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hint="eastAsia" w:ascii="方正小标宋简体" w:hAnsi="方正小标宋_GBK" w:eastAsia="方正小标宋简体" w:cs="方正小标宋_GBK"/>
          <w:b/>
          <w:sz w:val="32"/>
          <w:szCs w:val="32"/>
          <w:lang w:val="en-US" w:eastAsia="zh-CN"/>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sz w:val="32"/>
          <w:szCs w:val="32"/>
          <w:lang w:val="en-US" w:eastAsia="zh-CN"/>
        </w:rPr>
        <w:t>深圳会展中心2023年高交会通用宣传片制作</w:t>
      </w: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lang w:val="en-US" w:eastAsia="zh-CN"/>
        </w:rPr>
        <w:t>服务项目</w:t>
      </w:r>
      <w:bookmarkEnd w:id="0"/>
      <w:r>
        <w:rPr>
          <w:rFonts w:hint="eastAsia" w:ascii="方正小标宋简体" w:hAnsi="方正小标宋_GBK" w:eastAsia="方正小标宋简体" w:cs="方正小标宋_GBK"/>
          <w:b/>
          <w:sz w:val="32"/>
          <w:szCs w:val="32"/>
          <w:lang w:val="en-US" w:eastAsia="zh-CN"/>
        </w:rPr>
        <w:t>（二次启动）</w:t>
      </w: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rPr>
          <w:rFonts w:ascii="方正小标宋_GBK" w:hAnsi="方正小标宋_GBK" w:eastAsia="方正小标宋_GBK" w:cs="方正小标宋_GBK"/>
          <w:b/>
          <w:sz w:val="32"/>
          <w:szCs w:val="32"/>
        </w:rPr>
      </w:pPr>
    </w:p>
    <w:p>
      <w:pPr>
        <w:pStyle w:val="2"/>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8</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9"/>
        <w:tabs>
          <w:tab w:val="right" w:leader="dot" w:pos="8306"/>
        </w:tabs>
        <w:spacing w:after="156" w:afterLines="50"/>
        <w:jc w:val="cente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目     录</w:t>
      </w:r>
    </w:p>
    <w:p>
      <w:pPr>
        <w:rPr>
          <w:rFonts w:hint="eastAsia" w:ascii="方正小标宋_GBK" w:hAnsi="方正小标宋_GBK" w:eastAsia="方正小标宋_GBK" w:cs="方正小标宋_GBK"/>
          <w:b/>
          <w:sz w:val="32"/>
          <w:szCs w:val="32"/>
        </w:rPr>
      </w:pPr>
    </w:p>
    <w:p>
      <w:pPr>
        <w:pStyle w:val="2"/>
      </w:pPr>
    </w:p>
    <w:p>
      <w:pPr>
        <w:pStyle w:val="9"/>
        <w:tabs>
          <w:tab w:val="right" w:leader="dot" w:pos="8296"/>
        </w:tabs>
        <w:rPr>
          <w:rFonts w:hint="eastAsia" w:eastAsia="宋体" w:asciiTheme="minorHAnsi" w:hAnsiTheme="minorHAnsi" w:cstheme="minorBidi"/>
          <w:szCs w:val="22"/>
          <w:lang w:eastAsia="zh-CN"/>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19"/>
          <w:rFonts w:ascii="宋体" w:hAnsi="宋体"/>
          <w:b/>
        </w:rPr>
        <w:t>第一部分 项目要求</w:t>
      </w:r>
      <w:r>
        <w:tab/>
      </w:r>
      <w:r>
        <w:fldChar w:fldCharType="end"/>
      </w:r>
      <w:r>
        <w:rPr>
          <w:rFonts w:hint="eastAsia"/>
          <w:lang w:val="en-US" w:eastAsia="zh-CN"/>
        </w:rPr>
        <w:t>3</w:t>
      </w:r>
    </w:p>
    <w:p>
      <w:pPr>
        <w:pStyle w:val="11"/>
        <w:tabs>
          <w:tab w:val="right" w:leader="dot" w:pos="8296"/>
        </w:tabs>
        <w:rPr>
          <w:rFonts w:hint="eastAsia" w:eastAsia="宋体" w:asciiTheme="minorHAnsi" w:hAnsiTheme="minorHAnsi" w:cstheme="minorBidi"/>
          <w:szCs w:val="22"/>
          <w:lang w:val="en-US" w:eastAsia="zh-CN"/>
        </w:rPr>
      </w:pPr>
      <w:r>
        <w:fldChar w:fldCharType="begin"/>
      </w:r>
      <w:r>
        <w:instrText xml:space="preserve"> HYPERLINK \l "_Toc116550345" </w:instrText>
      </w:r>
      <w:r>
        <w:fldChar w:fldCharType="separate"/>
      </w:r>
      <w:r>
        <w:rPr>
          <w:rStyle w:val="19"/>
          <w:rFonts w:ascii="宋体" w:hAnsi="宋体" w:cs="仿宋"/>
          <w:bCs/>
        </w:rPr>
        <w:t>一、</w:t>
      </w:r>
      <w:r>
        <w:rPr>
          <w:rStyle w:val="19"/>
          <w:rFonts w:ascii="宋体" w:hAnsi="宋体"/>
        </w:rPr>
        <w:t xml:space="preserve"> 投标人须知</w:t>
      </w:r>
      <w:r>
        <w:tab/>
      </w:r>
      <w:r>
        <w:fldChar w:fldCharType="end"/>
      </w:r>
      <w:r>
        <w:rPr>
          <w:rFonts w:hint="eastAsia"/>
          <w:lang w:val="en-US" w:eastAsia="zh-CN"/>
        </w:rPr>
        <w:t>3</w:t>
      </w:r>
    </w:p>
    <w:p>
      <w:pPr>
        <w:pStyle w:val="11"/>
        <w:tabs>
          <w:tab w:val="right" w:leader="dot" w:pos="8296"/>
        </w:tabs>
        <w:rPr>
          <w:rFonts w:hint="eastAsia" w:eastAsia="宋体" w:asciiTheme="minorHAnsi" w:hAnsiTheme="minorHAnsi" w:cstheme="minorBidi"/>
          <w:szCs w:val="22"/>
          <w:lang w:eastAsia="zh-CN"/>
        </w:rPr>
      </w:pPr>
      <w:r>
        <w:fldChar w:fldCharType="begin"/>
      </w:r>
      <w:r>
        <w:instrText xml:space="preserve"> HYPERLINK \l "_Toc116550346" </w:instrText>
      </w:r>
      <w:r>
        <w:fldChar w:fldCharType="separate"/>
      </w:r>
      <w:r>
        <w:rPr>
          <w:rStyle w:val="19"/>
          <w:rFonts w:ascii="宋体" w:hAnsi="宋体" w:cs="仿宋"/>
          <w:bCs/>
        </w:rPr>
        <w:t>二、</w:t>
      </w:r>
      <w:r>
        <w:rPr>
          <w:rStyle w:val="19"/>
          <w:rFonts w:ascii="宋体" w:hAnsi="宋体"/>
        </w:rPr>
        <w:t xml:space="preserve"> 特别说明</w:t>
      </w:r>
      <w:r>
        <w:tab/>
      </w:r>
      <w:r>
        <w:fldChar w:fldCharType="end"/>
      </w:r>
      <w:r>
        <w:rPr>
          <w:rFonts w:hint="eastAsia"/>
          <w:lang w:val="en-US" w:eastAsia="zh-CN"/>
        </w:rPr>
        <w:t>5</w:t>
      </w:r>
    </w:p>
    <w:p>
      <w:pPr>
        <w:pStyle w:val="11"/>
        <w:tabs>
          <w:tab w:val="right" w:leader="dot" w:pos="8296"/>
        </w:tabs>
        <w:rPr>
          <w:rFonts w:hint="eastAsia" w:eastAsia="宋体" w:asciiTheme="minorHAnsi" w:hAnsiTheme="minorHAnsi" w:cstheme="minorBidi"/>
          <w:szCs w:val="22"/>
          <w:lang w:val="en-US" w:eastAsia="zh-CN"/>
        </w:rPr>
      </w:pPr>
      <w:r>
        <w:fldChar w:fldCharType="begin"/>
      </w:r>
      <w:r>
        <w:instrText xml:space="preserve"> HYPERLINK \l "_Toc116550347" </w:instrText>
      </w:r>
      <w:r>
        <w:fldChar w:fldCharType="separate"/>
      </w:r>
      <w:r>
        <w:rPr>
          <w:rStyle w:val="19"/>
          <w:rFonts w:ascii="宋体" w:hAnsi="宋体" w:cs="仿宋"/>
          <w:bCs/>
        </w:rPr>
        <w:t>三、</w:t>
      </w:r>
      <w:r>
        <w:rPr>
          <w:rStyle w:val="19"/>
          <w:rFonts w:ascii="宋体" w:hAnsi="宋体"/>
        </w:rPr>
        <w:t xml:space="preserve"> 投标文件编制</w:t>
      </w:r>
      <w:r>
        <w:tab/>
      </w:r>
      <w:r>
        <w:fldChar w:fldCharType="end"/>
      </w:r>
      <w:r>
        <w:rPr>
          <w:rFonts w:hint="eastAsia"/>
          <w:lang w:val="en-US" w:eastAsia="zh-CN"/>
        </w:rPr>
        <w:t>5</w:t>
      </w:r>
    </w:p>
    <w:p>
      <w:pPr>
        <w:pStyle w:val="11"/>
        <w:tabs>
          <w:tab w:val="right" w:leader="dot" w:pos="8296"/>
        </w:tabs>
        <w:rPr>
          <w:rFonts w:hint="eastAsia" w:eastAsia="宋体" w:asciiTheme="minorHAnsi" w:hAnsiTheme="minorHAnsi" w:cstheme="minorBidi"/>
          <w:szCs w:val="22"/>
          <w:lang w:eastAsia="zh-CN"/>
        </w:rPr>
      </w:pPr>
      <w:r>
        <w:fldChar w:fldCharType="begin"/>
      </w:r>
      <w:r>
        <w:instrText xml:space="preserve"> HYPERLINK \l "_Toc116550348" </w:instrText>
      </w:r>
      <w:r>
        <w:fldChar w:fldCharType="separate"/>
      </w:r>
      <w:r>
        <w:rPr>
          <w:rStyle w:val="19"/>
          <w:rFonts w:ascii="宋体" w:hAnsi="宋体" w:cs="仿宋"/>
          <w:bCs/>
        </w:rPr>
        <w:t>四、</w:t>
      </w:r>
      <w:r>
        <w:rPr>
          <w:rStyle w:val="19"/>
          <w:rFonts w:ascii="宋体" w:hAnsi="宋体"/>
        </w:rPr>
        <w:t xml:space="preserve"> 项目要求</w:t>
      </w:r>
      <w:r>
        <w:tab/>
      </w:r>
      <w:r>
        <w:fldChar w:fldCharType="end"/>
      </w:r>
      <w:r>
        <w:rPr>
          <w:rFonts w:hint="eastAsia"/>
          <w:lang w:val="en-US" w:eastAsia="zh-CN"/>
        </w:rPr>
        <w:t>6</w:t>
      </w:r>
    </w:p>
    <w:p>
      <w:pPr>
        <w:pStyle w:val="11"/>
        <w:tabs>
          <w:tab w:val="right" w:leader="dot" w:pos="8296"/>
        </w:tabs>
        <w:ind w:left="0" w:leftChars="0" w:firstLine="420" w:firstLineChars="200"/>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19"/>
          <w:rFonts w:ascii="宋体" w:hAnsi="宋体" w:cs="仿宋"/>
          <w:bCs/>
        </w:rPr>
        <w:t>五、</w:t>
      </w:r>
      <w:r>
        <w:rPr>
          <w:rStyle w:val="19"/>
          <w:rFonts w:ascii="宋体" w:hAnsi="宋体"/>
        </w:rPr>
        <w:t xml:space="preserve"> 其他项目说明资料</w:t>
      </w:r>
      <w:r>
        <w:tab/>
      </w:r>
      <w:r>
        <w:fldChar w:fldCharType="end"/>
      </w:r>
      <w:r>
        <w:rPr>
          <w:rFonts w:hint="eastAsia"/>
          <w:lang w:val="en-US" w:eastAsia="zh-CN"/>
        </w:rPr>
        <w:t>7</w:t>
      </w:r>
    </w:p>
    <w:p>
      <w:pPr>
        <w:pStyle w:val="9"/>
        <w:tabs>
          <w:tab w:val="right" w:leader="dot" w:pos="8296"/>
        </w:tabs>
        <w:rPr>
          <w:rFonts w:hint="eastAsia" w:eastAsia="宋体" w:asciiTheme="minorHAnsi" w:hAnsiTheme="minorHAnsi" w:cstheme="minorBidi"/>
          <w:szCs w:val="22"/>
          <w:lang w:eastAsia="zh-CN"/>
        </w:rPr>
      </w:pPr>
      <w:r>
        <w:fldChar w:fldCharType="begin"/>
      </w:r>
      <w:r>
        <w:instrText xml:space="preserve"> HYPERLINK \l "_Toc116550350" </w:instrText>
      </w:r>
      <w:r>
        <w:fldChar w:fldCharType="separate"/>
      </w:r>
      <w:r>
        <w:rPr>
          <w:rStyle w:val="19"/>
          <w:rFonts w:ascii="宋体" w:hAnsi="宋体"/>
          <w:b/>
        </w:rPr>
        <w:t>第二部分：开标评标流程</w:t>
      </w:r>
      <w:r>
        <w:tab/>
      </w:r>
      <w:r>
        <w:fldChar w:fldCharType="end"/>
      </w:r>
      <w:r>
        <w:rPr>
          <w:rFonts w:hint="eastAsia"/>
          <w:lang w:val="en-US" w:eastAsia="zh-CN"/>
        </w:rPr>
        <w:t>8</w:t>
      </w:r>
    </w:p>
    <w:p>
      <w:pPr>
        <w:pStyle w:val="11"/>
        <w:tabs>
          <w:tab w:val="right" w:leader="dot" w:pos="8296"/>
        </w:tabs>
        <w:rPr>
          <w:rFonts w:hint="eastAsia" w:eastAsia="宋体" w:asciiTheme="minorHAnsi" w:hAnsiTheme="minorHAnsi" w:cstheme="minorBidi"/>
          <w:szCs w:val="22"/>
          <w:lang w:eastAsia="zh-CN"/>
        </w:rPr>
      </w:pPr>
      <w:r>
        <w:fldChar w:fldCharType="begin"/>
      </w:r>
      <w:r>
        <w:instrText xml:space="preserve"> HYPERLINK \l "_Toc116550351" </w:instrText>
      </w:r>
      <w:r>
        <w:fldChar w:fldCharType="separate"/>
      </w:r>
      <w:r>
        <w:rPr>
          <w:rStyle w:val="19"/>
          <w:rFonts w:ascii="宋体" w:hAnsi="宋体" w:cs="仿宋"/>
          <w:bCs/>
        </w:rPr>
        <w:t>六、</w:t>
      </w:r>
      <w:r>
        <w:rPr>
          <w:rStyle w:val="19"/>
        </w:rPr>
        <w:t xml:space="preserve"> 开标阶段</w:t>
      </w:r>
      <w:r>
        <w:tab/>
      </w:r>
      <w:r>
        <w:fldChar w:fldCharType="end"/>
      </w:r>
      <w:r>
        <w:rPr>
          <w:rFonts w:hint="eastAsia"/>
          <w:lang w:val="en-US" w:eastAsia="zh-CN"/>
        </w:rPr>
        <w:t>8</w:t>
      </w:r>
    </w:p>
    <w:p>
      <w:pPr>
        <w:pStyle w:val="11"/>
        <w:tabs>
          <w:tab w:val="right" w:leader="dot" w:pos="8296"/>
        </w:tabs>
        <w:rPr>
          <w:rFonts w:hint="eastAsia" w:eastAsia="宋体" w:asciiTheme="minorHAnsi" w:hAnsiTheme="minorHAnsi" w:cstheme="minorBidi"/>
          <w:szCs w:val="22"/>
          <w:lang w:eastAsia="zh-CN"/>
        </w:rPr>
      </w:pPr>
      <w:r>
        <w:fldChar w:fldCharType="begin"/>
      </w:r>
      <w:r>
        <w:instrText xml:space="preserve"> HYPERLINK \l "_Toc116550352" </w:instrText>
      </w:r>
      <w:r>
        <w:fldChar w:fldCharType="separate"/>
      </w:r>
      <w:r>
        <w:rPr>
          <w:rStyle w:val="19"/>
          <w:rFonts w:ascii="宋体" w:hAnsi="宋体" w:cs="仿宋"/>
          <w:bCs/>
        </w:rPr>
        <w:t>七、</w:t>
      </w:r>
      <w:r>
        <w:rPr>
          <w:rStyle w:val="19"/>
        </w:rPr>
        <w:t xml:space="preserve"> 评标阶段</w:t>
      </w:r>
      <w:r>
        <w:tab/>
      </w:r>
      <w:r>
        <w:fldChar w:fldCharType="end"/>
      </w:r>
      <w:r>
        <w:rPr>
          <w:rFonts w:hint="eastAsia"/>
          <w:lang w:val="en-US" w:eastAsia="zh-CN"/>
        </w:rPr>
        <w:t>8</w:t>
      </w:r>
    </w:p>
    <w:p>
      <w:pPr>
        <w:pStyle w:val="9"/>
        <w:tabs>
          <w:tab w:val="right" w:leader="dot" w:pos="8296"/>
        </w:tabs>
        <w:rPr>
          <w:rFonts w:hint="eastAsia" w:eastAsia="宋体" w:asciiTheme="minorHAnsi" w:hAnsiTheme="minorHAnsi" w:cstheme="minorBidi"/>
          <w:szCs w:val="22"/>
          <w:lang w:eastAsia="zh-CN"/>
        </w:rPr>
      </w:pPr>
      <w:r>
        <w:fldChar w:fldCharType="begin"/>
      </w:r>
      <w:r>
        <w:instrText xml:space="preserve"> HYPERLINK \l "_Toc116550353" </w:instrText>
      </w:r>
      <w:r>
        <w:fldChar w:fldCharType="separate"/>
      </w:r>
      <w:r>
        <w:rPr>
          <w:rStyle w:val="19"/>
          <w:rFonts w:ascii="宋体" w:hAnsi="宋体"/>
          <w:b/>
        </w:rPr>
        <w:t>第三部分：评审办法</w:t>
      </w:r>
      <w:r>
        <w:tab/>
      </w:r>
      <w:r>
        <w:fldChar w:fldCharType="end"/>
      </w:r>
      <w:r>
        <w:rPr>
          <w:rFonts w:hint="eastAsia"/>
          <w:lang w:val="en-US" w:eastAsia="zh-CN"/>
        </w:rPr>
        <w:t>9</w:t>
      </w:r>
    </w:p>
    <w:p>
      <w:pPr>
        <w:pStyle w:val="11"/>
        <w:tabs>
          <w:tab w:val="right" w:leader="dot" w:pos="8296"/>
        </w:tabs>
        <w:rPr>
          <w:rFonts w:hint="eastAsia" w:eastAsia="宋体" w:asciiTheme="minorHAnsi" w:hAnsiTheme="minorHAnsi" w:cstheme="minorBidi"/>
          <w:szCs w:val="22"/>
          <w:lang w:eastAsia="zh-CN"/>
        </w:rPr>
      </w:pPr>
      <w:r>
        <w:fldChar w:fldCharType="begin"/>
      </w:r>
      <w:r>
        <w:instrText xml:space="preserve"> HYPERLINK \l "_Toc116550354" </w:instrText>
      </w:r>
      <w:r>
        <w:fldChar w:fldCharType="separate"/>
      </w:r>
      <w:r>
        <w:rPr>
          <w:rStyle w:val="19"/>
          <w:rFonts w:ascii="宋体" w:hAnsi="宋体" w:cs="仿宋"/>
          <w:bCs/>
        </w:rPr>
        <w:t>八、</w:t>
      </w:r>
      <w:r>
        <w:rPr>
          <w:rStyle w:val="19"/>
          <w:rFonts w:ascii="宋体" w:hAnsi="宋体"/>
          <w:bCs/>
        </w:rPr>
        <w:t xml:space="preserve"> 评审办法</w:t>
      </w:r>
      <w:r>
        <w:tab/>
      </w:r>
      <w:r>
        <w:fldChar w:fldCharType="end"/>
      </w:r>
      <w:r>
        <w:rPr>
          <w:rFonts w:hint="eastAsia"/>
          <w:lang w:val="en-US" w:eastAsia="zh-CN"/>
        </w:rPr>
        <w:t>9</w:t>
      </w:r>
    </w:p>
    <w:p>
      <w:pPr>
        <w:pStyle w:val="5"/>
        <w:tabs>
          <w:tab w:val="left" w:pos="1682"/>
          <w:tab w:val="right" w:leader="dot" w:pos="8296"/>
        </w:tabs>
        <w:rPr>
          <w:rFonts w:hint="eastAsia" w:eastAsia="宋体" w:asciiTheme="minorHAnsi" w:hAnsiTheme="minorHAnsi" w:cstheme="minorBidi"/>
          <w:szCs w:val="22"/>
          <w:lang w:eastAsia="zh-CN"/>
        </w:rPr>
      </w:pPr>
      <w:r>
        <w:fldChar w:fldCharType="begin"/>
      </w:r>
      <w:r>
        <w:instrText xml:space="preserve"> HYPERLINK \l "_Toc116550355" </w:instrText>
      </w:r>
      <w:r>
        <w:fldChar w:fldCharType="separate"/>
      </w:r>
      <w:r>
        <w:rPr>
          <w:rStyle w:val="19"/>
          <w:rFonts w:ascii="宋体" w:hAnsi="宋体"/>
        </w:rPr>
        <w:t>（一）</w:t>
      </w:r>
      <w:r>
        <w:rPr>
          <w:rFonts w:asciiTheme="minorHAnsi" w:hAnsiTheme="minorHAnsi" w:eastAsiaTheme="minorEastAsia" w:cstheme="minorBidi"/>
          <w:szCs w:val="22"/>
        </w:rPr>
        <w:tab/>
      </w:r>
      <w:r>
        <w:rPr>
          <w:rStyle w:val="19"/>
          <w:rFonts w:ascii="宋体" w:hAnsi="宋体"/>
          <w:bCs/>
        </w:rPr>
        <w:t>符合性检查</w:t>
      </w:r>
      <w:r>
        <w:tab/>
      </w:r>
      <w:r>
        <w:fldChar w:fldCharType="end"/>
      </w:r>
      <w:r>
        <w:rPr>
          <w:rFonts w:hint="eastAsia"/>
          <w:lang w:val="en-US" w:eastAsia="zh-CN"/>
        </w:rPr>
        <w:t>9</w:t>
      </w:r>
    </w:p>
    <w:p>
      <w:pPr>
        <w:pStyle w:val="5"/>
        <w:tabs>
          <w:tab w:val="left" w:pos="1682"/>
          <w:tab w:val="right" w:leader="dot" w:pos="8296"/>
        </w:tabs>
        <w:rPr>
          <w:rFonts w:hint="eastAsia" w:eastAsia="宋体" w:asciiTheme="minorHAnsi" w:hAnsiTheme="minorHAnsi" w:cstheme="minorBidi"/>
          <w:szCs w:val="22"/>
          <w:lang w:eastAsia="zh-CN"/>
        </w:rPr>
      </w:pPr>
      <w:r>
        <w:fldChar w:fldCharType="begin"/>
      </w:r>
      <w:r>
        <w:instrText xml:space="preserve"> HYPERLINK \l "_Toc116550356" </w:instrText>
      </w:r>
      <w:r>
        <w:fldChar w:fldCharType="separate"/>
      </w:r>
      <w:r>
        <w:rPr>
          <w:rStyle w:val="19"/>
          <w:rFonts w:ascii="宋体" w:hAnsi="宋体"/>
          <w:bCs/>
        </w:rPr>
        <w:t>（二）</w:t>
      </w:r>
      <w:r>
        <w:rPr>
          <w:rFonts w:asciiTheme="minorHAnsi" w:hAnsiTheme="minorHAnsi" w:eastAsiaTheme="minorEastAsia" w:cstheme="minorBidi"/>
          <w:szCs w:val="22"/>
        </w:rPr>
        <w:tab/>
      </w:r>
      <w:r>
        <w:rPr>
          <w:rStyle w:val="19"/>
          <w:rFonts w:ascii="宋体" w:hAnsi="宋体"/>
          <w:bCs/>
        </w:rPr>
        <w:t>不可偏离项检查</w:t>
      </w:r>
      <w:r>
        <w:tab/>
      </w:r>
      <w:r>
        <w:fldChar w:fldCharType="end"/>
      </w:r>
      <w:r>
        <w:rPr>
          <w:rFonts w:hint="eastAsia"/>
          <w:lang w:val="en-US" w:eastAsia="zh-CN"/>
        </w:rPr>
        <w:t>9</w:t>
      </w:r>
    </w:p>
    <w:p>
      <w:pPr>
        <w:pStyle w:val="5"/>
        <w:tabs>
          <w:tab w:val="left" w:pos="1682"/>
          <w:tab w:val="right" w:leader="dot" w:pos="8296"/>
        </w:tabs>
        <w:rPr>
          <w:rFonts w:hint="eastAsia" w:eastAsia="宋体" w:asciiTheme="minorHAnsi" w:hAnsiTheme="minorHAnsi" w:cstheme="minorBidi"/>
          <w:szCs w:val="22"/>
          <w:lang w:eastAsia="zh-CN"/>
        </w:rPr>
      </w:pPr>
      <w:r>
        <w:fldChar w:fldCharType="begin"/>
      </w:r>
      <w:r>
        <w:instrText xml:space="preserve"> HYPERLINK \l "_Toc116550357" </w:instrText>
      </w:r>
      <w:r>
        <w:fldChar w:fldCharType="separate"/>
      </w:r>
      <w:r>
        <w:rPr>
          <w:rStyle w:val="19"/>
          <w:rFonts w:ascii="宋体" w:hAnsi="宋体"/>
          <w:bCs/>
        </w:rPr>
        <w:t>（三）</w:t>
      </w:r>
      <w:r>
        <w:rPr>
          <w:rFonts w:asciiTheme="minorHAnsi" w:hAnsiTheme="minorHAnsi" w:eastAsiaTheme="minorEastAsia" w:cstheme="minorBidi"/>
          <w:szCs w:val="22"/>
        </w:rPr>
        <w:tab/>
      </w:r>
      <w:r>
        <w:rPr>
          <w:rStyle w:val="19"/>
          <w:rFonts w:ascii="宋体" w:hAnsi="宋体"/>
          <w:bCs/>
        </w:rPr>
        <w:t>综合评议指标表</w:t>
      </w:r>
      <w:r>
        <w:tab/>
      </w:r>
      <w:r>
        <w:fldChar w:fldCharType="end"/>
      </w:r>
      <w:r>
        <w:rPr>
          <w:rFonts w:hint="eastAsia"/>
          <w:lang w:val="en-US" w:eastAsia="zh-CN"/>
        </w:rPr>
        <w:t>9</w:t>
      </w:r>
    </w:p>
    <w:p>
      <w:pPr>
        <w:pStyle w:val="9"/>
        <w:tabs>
          <w:tab w:val="right" w:leader="dot" w:pos="8296"/>
        </w:tabs>
        <w:rPr>
          <w:rStyle w:val="19"/>
          <w:rFonts w:hint="eastAsia" w:ascii="宋体" w:hAnsi="宋体" w:eastAsia="宋体"/>
          <w:b/>
          <w:lang w:val="en-US" w:eastAsia="zh-CN"/>
        </w:rPr>
      </w:pPr>
      <w:r>
        <w:fldChar w:fldCharType="begin"/>
      </w:r>
      <w:r>
        <w:instrText xml:space="preserve"> HYPERLINK \l "_Toc116550358" </w:instrText>
      </w:r>
      <w:r>
        <w:fldChar w:fldCharType="separate"/>
      </w:r>
      <w:r>
        <w:rPr>
          <w:rStyle w:val="19"/>
          <w:rFonts w:ascii="宋体" w:hAnsi="宋体"/>
          <w:b/>
        </w:rPr>
        <w:t>第四部分：</w:t>
      </w:r>
      <w:r>
        <w:rPr>
          <w:rStyle w:val="19"/>
          <w:rFonts w:hint="eastAsia" w:ascii="宋体" w:hAnsi="宋体"/>
          <w:b/>
          <w:lang w:val="en-US" w:eastAsia="zh-CN"/>
        </w:rPr>
        <w:t>招标失败后续处理</w:t>
      </w:r>
      <w:r>
        <w:fldChar w:fldCharType="begin"/>
      </w:r>
      <w:r>
        <w:instrText xml:space="preserve"> HYPERLINK \l "_Toc116550358" </w:instrText>
      </w:r>
      <w:r>
        <w:fldChar w:fldCharType="separate"/>
      </w:r>
      <w:r>
        <w:tab/>
      </w:r>
      <w:r>
        <w:rPr>
          <w:rFonts w:hint="eastAsia"/>
          <w:lang w:val="en-US" w:eastAsia="zh-CN"/>
        </w:rPr>
        <w:t>1</w:t>
      </w:r>
      <w:r>
        <w:fldChar w:fldCharType="end"/>
      </w:r>
      <w:r>
        <w:rPr>
          <w:rFonts w:hint="eastAsia"/>
          <w:lang w:val="en-US" w:eastAsia="zh-CN"/>
        </w:rPr>
        <w:t>3</w:t>
      </w:r>
    </w:p>
    <w:p>
      <w:pPr>
        <w:pStyle w:val="9"/>
        <w:tabs>
          <w:tab w:val="right" w:leader="dot" w:pos="8296"/>
        </w:tabs>
        <w:rPr>
          <w:rFonts w:hint="default" w:eastAsia="宋体" w:asciiTheme="minorHAnsi" w:hAnsiTheme="minorHAnsi" w:cstheme="minorBidi"/>
          <w:szCs w:val="22"/>
          <w:lang w:val="en-US" w:eastAsia="zh-CN"/>
        </w:rPr>
      </w:pPr>
      <w:r>
        <w:rPr>
          <w:rStyle w:val="19"/>
          <w:rFonts w:hint="eastAsia" w:ascii="宋体" w:hAnsi="宋体"/>
          <w:b/>
          <w:lang w:val="en-US" w:eastAsia="zh-CN"/>
        </w:rPr>
        <w:t>第五部分：</w:t>
      </w:r>
      <w:r>
        <w:rPr>
          <w:rStyle w:val="19"/>
          <w:rFonts w:ascii="宋体" w:hAnsi="宋体"/>
          <w:b/>
        </w:rPr>
        <w:t>合同条款及格式</w:t>
      </w:r>
      <w:r>
        <w:tab/>
      </w:r>
      <w:r>
        <w:fldChar w:fldCharType="end"/>
      </w:r>
      <w:r>
        <w:rPr>
          <w:rFonts w:hint="eastAsia"/>
          <w:lang w:val="en-US" w:eastAsia="zh-CN"/>
        </w:rPr>
        <w:t>15</w:t>
      </w:r>
    </w:p>
    <w:p>
      <w:pPr>
        <w:pStyle w:val="9"/>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"_Toc116550359" </w:instrText>
      </w:r>
      <w:r>
        <w:fldChar w:fldCharType="separate"/>
      </w:r>
      <w:r>
        <w:rPr>
          <w:rStyle w:val="19"/>
          <w:b/>
        </w:rPr>
        <w:t>第</w:t>
      </w:r>
      <w:r>
        <w:rPr>
          <w:rStyle w:val="19"/>
          <w:rFonts w:hint="eastAsia"/>
          <w:b/>
          <w:lang w:val="en-US" w:eastAsia="zh-CN"/>
        </w:rPr>
        <w:t>六</w:t>
      </w:r>
      <w:r>
        <w:rPr>
          <w:rStyle w:val="19"/>
          <w:b/>
        </w:rPr>
        <w:t>部分：参考附件</w:t>
      </w:r>
      <w:r>
        <w:tab/>
      </w:r>
      <w:r>
        <w:fldChar w:fldCharType="end"/>
      </w:r>
      <w:r>
        <w:rPr>
          <w:rFonts w:hint="eastAsia"/>
          <w:lang w:val="en-US" w:eastAsia="zh-CN"/>
        </w:rPr>
        <w:t>19</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"_Toc116550360" </w:instrText>
      </w:r>
      <w:r>
        <w:fldChar w:fldCharType="separate"/>
      </w:r>
      <w:r>
        <w:rPr>
          <w:rStyle w:val="19"/>
          <w:rFonts w:ascii="宋体" w:hAnsi="宋体"/>
        </w:rPr>
        <w:t>附件1：报名回函</w:t>
      </w:r>
      <w:r>
        <w:tab/>
      </w:r>
      <w:r>
        <w:fldChar w:fldCharType="end"/>
      </w:r>
      <w:r>
        <w:rPr>
          <w:rFonts w:hint="eastAsia"/>
          <w:lang w:val="en-US" w:eastAsia="zh-CN"/>
        </w:rPr>
        <w:t>19</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"_Toc116550361" </w:instrText>
      </w:r>
      <w:r>
        <w:fldChar w:fldCharType="separate"/>
      </w:r>
      <w:r>
        <w:rPr>
          <w:rStyle w:val="19"/>
          <w:rFonts w:ascii="宋体" w:hAnsi="宋体"/>
        </w:rPr>
        <w:t>附件2：投标函</w:t>
      </w:r>
      <w:r>
        <w:tab/>
      </w:r>
      <w:r>
        <w:fldChar w:fldCharType="end"/>
      </w:r>
      <w:r>
        <w:rPr>
          <w:rFonts w:hint="eastAsia"/>
          <w:lang w:val="en-US" w:eastAsia="zh-CN"/>
        </w:rPr>
        <w:t>20</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"_Toc116550362" </w:instrText>
      </w:r>
      <w:r>
        <w:fldChar w:fldCharType="separate"/>
      </w:r>
      <w:r>
        <w:rPr>
          <w:rStyle w:val="19"/>
          <w:rFonts w:ascii="宋体" w:hAnsi="宋体"/>
        </w:rPr>
        <w:t>附件3：投标一览表</w:t>
      </w:r>
      <w:r>
        <w:tab/>
      </w:r>
      <w:r>
        <w:fldChar w:fldCharType="end"/>
      </w:r>
      <w:r>
        <w:rPr>
          <w:rFonts w:hint="eastAsia"/>
          <w:lang w:val="en-US" w:eastAsia="zh-CN"/>
        </w:rPr>
        <w:t>21</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"_Toc116550363" </w:instrText>
      </w:r>
      <w:r>
        <w:fldChar w:fldCharType="separate"/>
      </w:r>
      <w:r>
        <w:rPr>
          <w:rStyle w:val="19"/>
          <w:rFonts w:ascii="宋体" w:hAnsi="宋体"/>
        </w:rPr>
        <w:t>附件4：考察证明（本项目不适用）</w:t>
      </w:r>
      <w:r>
        <w:tab/>
      </w:r>
      <w:r>
        <w:fldChar w:fldCharType="end"/>
      </w:r>
      <w:r>
        <w:rPr>
          <w:rFonts w:hint="eastAsia"/>
          <w:lang w:val="en-US" w:eastAsia="zh-CN"/>
        </w:rPr>
        <w:t>22</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"_Toc116550364" </w:instrText>
      </w:r>
      <w:r>
        <w:fldChar w:fldCharType="separate"/>
      </w:r>
      <w:r>
        <w:rPr>
          <w:rStyle w:val="19"/>
          <w:rFonts w:ascii="宋体" w:hAnsi="宋体"/>
        </w:rPr>
        <w:t>附件5：技术服务响应/偏离表</w:t>
      </w:r>
      <w:r>
        <w:tab/>
      </w:r>
      <w:r>
        <w:fldChar w:fldCharType="end"/>
      </w:r>
      <w:r>
        <w:rPr>
          <w:rFonts w:hint="eastAsia"/>
          <w:lang w:val="en-US" w:eastAsia="zh-CN"/>
        </w:rPr>
        <w:t>23</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"_Toc116550365" </w:instrText>
      </w:r>
      <w:r>
        <w:fldChar w:fldCharType="separate"/>
      </w:r>
      <w:r>
        <w:rPr>
          <w:rStyle w:val="19"/>
          <w:rFonts w:ascii="宋体" w:hAnsi="宋体"/>
        </w:rPr>
        <w:t>附件6：商务条款响应/偏离表</w:t>
      </w:r>
      <w:r>
        <w:tab/>
      </w:r>
      <w:r>
        <w:fldChar w:fldCharType="end"/>
      </w:r>
      <w:r>
        <w:rPr>
          <w:rFonts w:hint="eastAsia"/>
          <w:lang w:val="en-US" w:eastAsia="zh-CN"/>
        </w:rPr>
        <w:t>24</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"_Toc116550366" </w:instrText>
      </w:r>
      <w:r>
        <w:fldChar w:fldCharType="separate"/>
      </w:r>
      <w:r>
        <w:rPr>
          <w:rStyle w:val="19"/>
          <w:rFonts w:ascii="宋体" w:hAnsi="宋体"/>
        </w:rPr>
        <w:t>附件7：报价一览表（货物）（本项目不适用）</w:t>
      </w:r>
      <w:r>
        <w:tab/>
      </w:r>
      <w:r>
        <w:fldChar w:fldCharType="end"/>
      </w:r>
      <w:r>
        <w:rPr>
          <w:rFonts w:hint="eastAsia"/>
          <w:lang w:val="en-US" w:eastAsia="zh-CN"/>
        </w:rPr>
        <w:t>25</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"_Toc116550367" </w:instrText>
      </w:r>
      <w:r>
        <w:fldChar w:fldCharType="separate"/>
      </w:r>
      <w:r>
        <w:rPr>
          <w:rStyle w:val="19"/>
          <w:rFonts w:ascii="宋体" w:hAnsi="宋体"/>
        </w:rPr>
        <w:t>附件8：报价一览表（服务）</w:t>
      </w:r>
      <w:r>
        <w:tab/>
      </w:r>
      <w:r>
        <w:fldChar w:fldCharType="end"/>
      </w:r>
      <w:r>
        <w:rPr>
          <w:rFonts w:hint="eastAsia"/>
          <w:lang w:val="en-US" w:eastAsia="zh-CN"/>
        </w:rPr>
        <w:t>26</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"_Toc116550368" </w:instrText>
      </w:r>
      <w:r>
        <w:fldChar w:fldCharType="separate"/>
      </w:r>
      <w:r>
        <w:rPr>
          <w:rStyle w:val="19"/>
          <w:rFonts w:ascii="宋体" w:hAnsi="宋体"/>
        </w:rPr>
        <w:t>附件9：报价一览表（工程）（本项目不适用）</w:t>
      </w:r>
      <w:r>
        <w:tab/>
      </w:r>
      <w:r>
        <w:fldChar w:fldCharType="end"/>
      </w:r>
      <w:r>
        <w:rPr>
          <w:rFonts w:hint="eastAsia"/>
          <w:lang w:val="en-US" w:eastAsia="zh-CN"/>
        </w:rPr>
        <w:t>27</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"_Toc116550369" </w:instrText>
      </w:r>
      <w:r>
        <w:fldChar w:fldCharType="separate"/>
      </w:r>
      <w:r>
        <w:rPr>
          <w:rStyle w:val="19"/>
          <w:rFonts w:ascii="宋体" w:hAnsi="宋体"/>
        </w:rPr>
        <w:t>附件10：法定代表人证明书</w:t>
      </w:r>
      <w:r>
        <w:tab/>
      </w:r>
      <w:r>
        <w:fldChar w:fldCharType="end"/>
      </w:r>
      <w:r>
        <w:rPr>
          <w:rFonts w:hint="eastAsia"/>
          <w:lang w:val="en-US" w:eastAsia="zh-CN"/>
        </w:rPr>
        <w:t>28</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"_Toc116550370" </w:instrText>
      </w:r>
      <w:r>
        <w:fldChar w:fldCharType="separate"/>
      </w:r>
      <w:r>
        <w:rPr>
          <w:rStyle w:val="19"/>
          <w:rFonts w:ascii="宋体" w:hAnsi="宋体"/>
        </w:rPr>
        <w:t>附件11：法人授权委托证明书</w:t>
      </w:r>
      <w:r>
        <w:tab/>
      </w:r>
      <w:r>
        <w:fldChar w:fldCharType="end"/>
      </w:r>
      <w:r>
        <w:rPr>
          <w:rFonts w:hint="eastAsia"/>
          <w:lang w:val="en-US" w:eastAsia="zh-CN"/>
        </w:rPr>
        <w:t>29</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"_Toc116550371" </w:instrText>
      </w:r>
      <w:r>
        <w:fldChar w:fldCharType="separate"/>
      </w:r>
      <w:r>
        <w:rPr>
          <w:rStyle w:val="19"/>
          <w:rFonts w:ascii="宋体" w:hAnsi="宋体"/>
        </w:rPr>
        <w:t>附件12：经营业绩一览表</w:t>
      </w:r>
      <w:r>
        <w:tab/>
      </w:r>
      <w:r>
        <w:fldChar w:fldCharType="end"/>
      </w:r>
      <w:r>
        <w:rPr>
          <w:rFonts w:hint="eastAsia"/>
          <w:lang w:val="en-US" w:eastAsia="zh-CN"/>
        </w:rPr>
        <w:t>30</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"_Toc116550372" </w:instrText>
      </w:r>
      <w:r>
        <w:fldChar w:fldCharType="separate"/>
      </w:r>
      <w:r>
        <w:rPr>
          <w:rStyle w:val="19"/>
          <w:rFonts w:ascii="宋体" w:hAnsi="宋体"/>
        </w:rPr>
        <w:t>附件13：售后服务承诺书（质量保证服务承诺书）</w:t>
      </w:r>
      <w:r>
        <w:tab/>
      </w:r>
      <w:r>
        <w:fldChar w:fldCharType="end"/>
      </w:r>
      <w:r>
        <w:rPr>
          <w:rFonts w:hint="eastAsia"/>
          <w:lang w:val="en-US" w:eastAsia="zh-CN"/>
        </w:rPr>
        <w:t>31</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"_Toc116550373" </w:instrText>
      </w:r>
      <w:r>
        <w:fldChar w:fldCharType="separate"/>
      </w:r>
      <w:r>
        <w:rPr>
          <w:rStyle w:val="19"/>
          <w:rFonts w:ascii="宋体" w:hAnsi="宋体"/>
        </w:rPr>
        <w:t>附件14：履约情况及社会信誉承诺书</w:t>
      </w:r>
      <w:r>
        <w:tab/>
      </w:r>
      <w:r>
        <w:fldChar w:fldCharType="end"/>
      </w:r>
      <w:r>
        <w:rPr>
          <w:rFonts w:hint="eastAsia"/>
          <w:lang w:val="en-US" w:eastAsia="zh-CN"/>
        </w:rPr>
        <w:t>32</w:t>
      </w:r>
    </w:p>
    <w:p>
      <w:pPr>
        <w:pStyle w:val="11"/>
        <w:tabs>
          <w:tab w:val="right" w:leader="dot" w:pos="8296"/>
        </w:tabs>
        <w:rPr>
          <w:rFonts w:hint="default" w:eastAsia="宋体" w:asciiTheme="minorHAnsi" w:hAnsiTheme="minorHAnsi" w:cstheme="minorBidi"/>
          <w:szCs w:val="22"/>
          <w:lang w:val="en-US" w:eastAsia="zh-CN"/>
        </w:rPr>
      </w:pPr>
      <w:r>
        <w:fldChar w:fldCharType="begin"/>
      </w:r>
      <w:r>
        <w:instrText xml:space="preserve"> HYPERLINK \l "_Toc116550374" </w:instrText>
      </w:r>
      <w:r>
        <w:fldChar w:fldCharType="separate"/>
      </w:r>
      <w:r>
        <w:rPr>
          <w:rStyle w:val="19"/>
          <w:rFonts w:ascii="宋体" w:hAnsi="宋体"/>
        </w:rPr>
        <w:t>附件15：投标文件密码单</w:t>
      </w:r>
      <w:r>
        <w:tab/>
      </w:r>
      <w:r>
        <w:fldChar w:fldCharType="end"/>
      </w:r>
      <w:r>
        <w:rPr>
          <w:rFonts w:hint="eastAsia"/>
          <w:lang w:val="en-US" w:eastAsia="zh-CN"/>
        </w:rPr>
        <w:t>33</w:t>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fmt="decimal"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16550344"/>
      <w:r>
        <w:rPr>
          <w:rFonts w:hint="eastAsia" w:ascii="宋体" w:hAnsi="宋体"/>
          <w:b/>
          <w:sz w:val="32"/>
          <w:szCs w:val="32"/>
        </w:rPr>
        <w:t>第一部分 项目要求</w:t>
      </w:r>
      <w:bookmarkEnd w:id="1"/>
    </w:p>
    <w:p>
      <w:pPr>
        <w:numPr>
          <w:ilvl w:val="0"/>
          <w:numId w:val="1"/>
        </w:numPr>
        <w:spacing w:before="156" w:beforeLines="50" w:line="360" w:lineRule="auto"/>
        <w:outlineLvl w:val="1"/>
        <w:rPr>
          <w:rFonts w:ascii="宋体" w:hAnsi="宋体"/>
          <w:b/>
          <w:szCs w:val="21"/>
        </w:rPr>
      </w:pPr>
      <w:bookmarkStart w:id="2" w:name="_Toc116550345"/>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名称：深圳会展中心管理有限责任公司</w:t>
            </w:r>
          </w:p>
          <w:p>
            <w:pPr>
              <w:wordWrap w:val="0"/>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联系地址：深圳市福田区福华三路深圳会展中心</w:t>
            </w:r>
          </w:p>
          <w:p>
            <w:pPr>
              <w:wordWrap w:val="0"/>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rPr>
              <w:t>联系人：</w:t>
            </w:r>
            <w:r>
              <w:rPr>
                <w:rFonts w:hint="eastAsia" w:ascii="宋体" w:hAnsi="宋体"/>
                <w:color w:val="auto"/>
                <w:szCs w:val="21"/>
                <w:highlight w:val="none"/>
                <w:lang w:val="en-US" w:eastAsia="zh-CN"/>
              </w:rPr>
              <w:t>区宛翔</w:t>
            </w:r>
          </w:p>
          <w:p>
            <w:pPr>
              <w:wordWrap w:val="0"/>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rPr>
              <w:t>电话：0755-8284</w:t>
            </w:r>
            <w:r>
              <w:rPr>
                <w:rFonts w:hint="eastAsia" w:ascii="宋体" w:hAnsi="宋体"/>
                <w:color w:val="auto"/>
                <w:szCs w:val="21"/>
                <w:highlight w:val="none"/>
                <w:lang w:val="en-US" w:eastAsia="zh-CN"/>
              </w:rPr>
              <w:t>8795</w:t>
            </w:r>
          </w:p>
          <w:p>
            <w:pPr>
              <w:wordWrap w:val="0"/>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rPr>
              <w:t>传真：0755-8284</w:t>
            </w:r>
            <w:r>
              <w:rPr>
                <w:rFonts w:hint="eastAsia" w:ascii="宋体" w:hAnsi="宋体"/>
                <w:color w:val="auto"/>
                <w:szCs w:val="21"/>
                <w:highlight w:val="none"/>
                <w:lang w:val="en-US" w:eastAsia="zh-CN"/>
              </w:rPr>
              <w:t>8694</w:t>
            </w:r>
          </w:p>
          <w:p>
            <w:pPr>
              <w:wordWrap w:val="0"/>
              <w:autoSpaceDE w:val="0"/>
              <w:autoSpaceDN w:val="0"/>
              <w:adjustRightInd w:val="0"/>
              <w:snapToGrid w:val="0"/>
              <w:rPr>
                <w:rFonts w:ascii="宋体" w:hAnsi="宋体"/>
                <w:kern w:val="0"/>
                <w:szCs w:val="21"/>
                <w:u w:val="single"/>
              </w:rPr>
            </w:pPr>
            <w:r>
              <w:rPr>
                <w:rFonts w:hint="eastAsia" w:ascii="宋体" w:hAnsi="宋体"/>
                <w:color w:val="auto"/>
                <w:szCs w:val="21"/>
                <w:highlight w:val="none"/>
              </w:rPr>
              <w:t>邮箱：</w:t>
            </w:r>
            <w:r>
              <w:rPr>
                <w:color w:val="auto"/>
                <w:highlight w:val="none"/>
              </w:rPr>
              <w:fldChar w:fldCharType="begin"/>
            </w:r>
            <w:r>
              <w:rPr>
                <w:color w:val="auto"/>
                <w:highlight w:val="none"/>
              </w:rPr>
              <w:instrText xml:space="preserve"> HYPERLINK "mailto:*@qq.com" </w:instrText>
            </w:r>
            <w:r>
              <w:rPr>
                <w:color w:val="auto"/>
                <w:highlight w:val="none"/>
              </w:rPr>
              <w:fldChar w:fldCharType="separate"/>
            </w:r>
            <w:r>
              <w:rPr>
                <w:rFonts w:hint="eastAsia" w:ascii="宋体" w:hAnsi="宋体"/>
                <w:color w:val="auto"/>
                <w:szCs w:val="21"/>
                <w:highlight w:val="none"/>
                <w:lang w:val="en-US" w:eastAsia="zh-CN"/>
              </w:rPr>
              <w:t>ouwx</w:t>
            </w:r>
            <w:r>
              <w:rPr>
                <w:rFonts w:hint="eastAsia" w:ascii="宋体" w:hAnsi="宋体"/>
                <w:color w:val="auto"/>
                <w:szCs w:val="21"/>
                <w:highlight w:val="none"/>
              </w:rPr>
              <w:t>@</w:t>
            </w:r>
            <w:r>
              <w:rPr>
                <w:rFonts w:hint="eastAsia" w:ascii="宋体" w:hAnsi="宋体"/>
                <w:color w:val="auto"/>
                <w:szCs w:val="21"/>
                <w:highlight w:val="none"/>
                <w:lang w:val="en-US" w:eastAsia="zh-CN"/>
              </w:rPr>
              <w:t>c</w:t>
            </w:r>
            <w:r>
              <w:rPr>
                <w:rFonts w:hint="eastAsia" w:ascii="宋体" w:hAnsi="宋体"/>
                <w:color w:val="auto"/>
                <w:szCs w:val="21"/>
                <w:highlight w:val="none"/>
              </w:rPr>
              <w:fldChar w:fldCharType="end"/>
            </w:r>
            <w:r>
              <w:rPr>
                <w:rFonts w:hint="eastAsia" w:ascii="宋体" w:hAnsi="宋体"/>
                <w:color w:val="auto"/>
                <w:szCs w:val="21"/>
                <w:highlight w:val="none"/>
                <w:lang w:val="en-US" w:eastAsia="zh-CN"/>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项目名称</w:t>
            </w:r>
          </w:p>
        </w:tc>
        <w:tc>
          <w:tcPr>
            <w:tcW w:w="7029" w:type="dxa"/>
            <w:vAlign w:val="center"/>
          </w:tcPr>
          <w:p>
            <w:pPr>
              <w:autoSpaceDE w:val="0"/>
              <w:autoSpaceDN w:val="0"/>
              <w:adjustRightInd w:val="0"/>
              <w:snapToGrid w:val="0"/>
              <w:rPr>
                <w:rFonts w:hint="eastAsia" w:ascii="宋体" w:hAnsi="宋体" w:eastAsia="宋体"/>
                <w:color w:val="auto"/>
                <w:szCs w:val="21"/>
                <w:highlight w:val="none"/>
                <w:lang w:eastAsia="zh-CN"/>
              </w:rPr>
            </w:pPr>
            <w:r>
              <w:rPr>
                <w:rFonts w:hint="eastAsia" w:ascii="宋体" w:hAnsi="宋体"/>
                <w:color w:val="auto"/>
                <w:szCs w:val="21"/>
                <w:highlight w:val="none"/>
              </w:rPr>
              <w:t>深圳会展中心</w:t>
            </w:r>
            <w:bookmarkStart w:id="93" w:name="_GoBack"/>
            <w:bookmarkEnd w:id="93"/>
            <w:r>
              <w:rPr>
                <w:rFonts w:hint="eastAsia" w:ascii="宋体" w:hAnsi="宋体"/>
                <w:color w:val="auto"/>
                <w:szCs w:val="21"/>
                <w:highlight w:val="none"/>
                <w:lang w:val="en-US" w:eastAsia="zh-CN"/>
              </w:rPr>
              <w:t>2023年高交会通用宣传片制作服务</w:t>
            </w:r>
            <w:r>
              <w:rPr>
                <w:rFonts w:hint="eastAsia" w:ascii="宋体" w:hAnsi="宋体"/>
                <w:color w:val="auto"/>
                <w:szCs w:val="21"/>
                <w:highlight w:val="none"/>
              </w:rPr>
              <w:t>项目</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二次启动</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项目介绍</w:t>
            </w:r>
          </w:p>
        </w:tc>
        <w:tc>
          <w:tcPr>
            <w:tcW w:w="7029" w:type="dxa"/>
            <w:vAlign w:val="center"/>
          </w:tcPr>
          <w:p>
            <w:pPr>
              <w:autoSpaceDE w:val="0"/>
              <w:autoSpaceDN w:val="0"/>
              <w:adjustRightInd w:val="0"/>
              <w:snapToGrid w:val="0"/>
              <w:ind w:firstLine="420" w:firstLineChars="200"/>
              <w:rPr>
                <w:rFonts w:hint="default"/>
                <w:color w:val="auto"/>
                <w:highlight w:val="none"/>
                <w:lang w:val="en-US"/>
              </w:rPr>
            </w:pPr>
            <w:r>
              <w:rPr>
                <w:rFonts w:hint="eastAsia" w:ascii="宋体" w:hAnsi="宋体"/>
                <w:color w:val="auto"/>
                <w:szCs w:val="21"/>
                <w:highlight w:val="none"/>
                <w:lang w:val="en-US" w:eastAsia="zh-CN"/>
              </w:rPr>
              <w:t>2023年高交会通用宣传片制作服务</w:t>
            </w:r>
            <w:r>
              <w:rPr>
                <w:rFonts w:hint="eastAsia" w:ascii="宋体" w:hAnsi="宋体"/>
                <w:color w:val="auto"/>
                <w:szCs w:val="21"/>
                <w:highlight w:val="none"/>
              </w:rPr>
              <w:t>项目</w:t>
            </w:r>
            <w:r>
              <w:rPr>
                <w:rFonts w:hint="eastAsia" w:ascii="宋体" w:hAnsi="宋体"/>
                <w:color w:val="auto"/>
                <w:szCs w:val="21"/>
                <w:highlight w:val="none"/>
                <w:lang w:val="en-US" w:eastAsia="zh-CN"/>
              </w:rPr>
              <w:t>包含2023年高交会中英文版通用宣传片拍摄与制作，第二十五届高交会微视频拍摄与制作。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实施地点</w:t>
            </w:r>
          </w:p>
        </w:tc>
        <w:tc>
          <w:tcPr>
            <w:tcW w:w="7029" w:type="dxa"/>
            <w:vAlign w:val="center"/>
          </w:tcPr>
          <w:p>
            <w:pPr>
              <w:autoSpaceDE w:val="0"/>
              <w:autoSpaceDN w:val="0"/>
              <w:adjustRightInd w:val="0"/>
              <w:snapToGrid w:val="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服务期</w:t>
            </w:r>
            <w:r>
              <w:rPr>
                <w:rFonts w:ascii="宋体" w:hAnsi="宋体"/>
                <w:color w:val="auto"/>
                <w:szCs w:val="21"/>
                <w:highlight w:val="none"/>
              </w:rPr>
              <w:t>/</w:t>
            </w:r>
            <w:r>
              <w:rPr>
                <w:rFonts w:hint="eastAsia" w:ascii="宋体" w:hAnsi="宋体"/>
                <w:color w:val="auto"/>
                <w:szCs w:val="21"/>
                <w:highlight w:val="none"/>
              </w:rPr>
              <w:t>交货期/工期</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8</w:t>
            </w:r>
            <w:r>
              <w:rPr>
                <w:rFonts w:ascii="宋体" w:hAnsi="宋体"/>
                <w:b/>
                <w:bCs/>
                <w:szCs w:val="21"/>
                <w:highlight w:val="yellow"/>
              </w:rPr>
              <w:t>-</w:t>
            </w:r>
            <w:r>
              <w:rPr>
                <w:rFonts w:hint="eastAsia" w:ascii="宋体" w:hAnsi="宋体"/>
                <w:b/>
                <w:bCs/>
                <w:szCs w:val="21"/>
                <w:highlight w:val="yellow"/>
                <w:lang w:val="en-US" w:eastAsia="zh-CN"/>
              </w:rPr>
              <w:t>25</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
                <w:bCs/>
                <w:color w:val="auto"/>
                <w:szCs w:val="21"/>
                <w:highlight w:val="yellow"/>
              </w:rPr>
              <w:t>https://cg.szcec.com/sharing/MyZsnpbKh</w:t>
            </w:r>
            <w:r>
              <w:rPr>
                <w:rFonts w:hint="eastAsia" w:ascii="宋体" w:hAnsi="宋体"/>
                <w:bCs/>
                <w:color w:val="auto"/>
                <w:highlight w:val="none"/>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9"/>
                <w:rFonts w:ascii="宋体" w:hAnsi="宋体"/>
                <w:szCs w:val="21"/>
              </w:rPr>
              <w:t>https://www.szcec.com/News/index/id/256.html</w:t>
            </w:r>
            <w:r>
              <w:rPr>
                <w:rStyle w:val="19"/>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jc w:val="left"/>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8</w:t>
            </w:r>
            <w:r>
              <w:rPr>
                <w:rFonts w:ascii="宋体" w:hAnsi="宋体"/>
                <w:b/>
                <w:bCs/>
                <w:szCs w:val="21"/>
                <w:highlight w:val="yellow"/>
              </w:rPr>
              <w:t>-</w:t>
            </w:r>
            <w:r>
              <w:rPr>
                <w:rFonts w:hint="eastAsia" w:ascii="宋体" w:hAnsi="宋体"/>
                <w:b/>
                <w:bCs/>
                <w:szCs w:val="21"/>
                <w:highlight w:val="yellow"/>
                <w:lang w:val="en-US" w:eastAsia="zh-CN"/>
              </w:rPr>
              <w:t>30</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8</w:t>
            </w:r>
            <w:r>
              <w:rPr>
                <w:rFonts w:ascii="宋体" w:hAnsi="宋体"/>
                <w:b/>
                <w:bCs/>
                <w:szCs w:val="21"/>
                <w:highlight w:val="yellow"/>
              </w:rPr>
              <w:t>-</w:t>
            </w:r>
            <w:r>
              <w:rPr>
                <w:rFonts w:hint="eastAsia" w:ascii="宋体" w:hAnsi="宋体"/>
                <w:b/>
                <w:bCs/>
                <w:szCs w:val="21"/>
                <w:highlight w:val="yellow"/>
                <w:lang w:val="en-US" w:eastAsia="zh-CN"/>
              </w:rPr>
              <w:t>30</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8</w:t>
            </w:r>
            <w:r>
              <w:rPr>
                <w:rFonts w:ascii="宋体" w:hAnsi="宋体"/>
                <w:b/>
                <w:bCs/>
                <w:szCs w:val="21"/>
                <w:highlight w:val="yellow"/>
              </w:rPr>
              <w:t>-</w:t>
            </w:r>
            <w:r>
              <w:rPr>
                <w:rFonts w:hint="eastAsia" w:ascii="宋体" w:hAnsi="宋体"/>
                <w:b/>
                <w:bCs/>
                <w:szCs w:val="21"/>
                <w:highlight w:val="yellow"/>
                <w:lang w:val="en-US" w:eastAsia="zh-CN"/>
              </w:rPr>
              <w:t>31</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4</w:t>
            </w:r>
            <w:r>
              <w:rPr>
                <w:rFonts w:ascii="宋体" w:hAnsi="宋体"/>
                <w:b/>
                <w:bCs/>
                <w:szCs w:val="21"/>
                <w:highlight w:val="yellow"/>
              </w:rPr>
              <w:t xml:space="preserve"> </w:t>
            </w:r>
            <w:r>
              <w:rPr>
                <w:rFonts w:hint="eastAsia" w:ascii="宋体" w:hAnsi="宋体"/>
                <w:b/>
                <w:bCs/>
                <w:szCs w:val="21"/>
                <w:highlight w:val="yellow"/>
                <w:lang w:val="en-US" w:eastAsia="zh-CN"/>
              </w:rPr>
              <w:t>17</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
                <w:bCs/>
                <w:color w:val="auto"/>
                <w:szCs w:val="21"/>
                <w:highlight w:val="yellow"/>
              </w:rPr>
              <w:t>https://cg.szcec.com/sharing/5i21Q1GYR</w:t>
            </w:r>
            <w:r>
              <w:rPr>
                <w:rFonts w:hint="eastAsia" w:ascii="宋体" w:hAnsi="宋体"/>
                <w:bCs w:val="0"/>
                <w:color w:val="auto"/>
                <w:szCs w:val="21"/>
                <w:highlight w:val="none"/>
              </w:rPr>
              <w:t>，</w:t>
            </w:r>
            <w:r>
              <w:rPr>
                <w:rFonts w:hint="eastAsia" w:ascii="宋体" w:hAnsi="宋体"/>
                <w:szCs w:val="21"/>
              </w:rPr>
              <w:t>并致电确认</w:t>
            </w:r>
            <w:bookmarkStart w:id="3" w:name="_Toc478110532"/>
            <w:bookmarkStart w:id="4" w:name="_Toc478392822"/>
            <w:bookmarkStart w:id="5" w:name="_Toc478393187"/>
            <w:r>
              <w:rPr>
                <w:rFonts w:hint="eastAsia" w:ascii="宋体" w:hAnsi="宋体"/>
                <w:szCs w:val="21"/>
              </w:rPr>
              <w:t>。</w:t>
            </w:r>
            <w:r>
              <w:rPr>
                <w:rFonts w:hint="eastAsia" w:ascii="宋体" w:hAnsi="宋体"/>
              </w:rPr>
              <w:t>注意事项如下：</w:t>
            </w:r>
          </w:p>
          <w:p>
            <w:pPr>
              <w:pStyle w:val="23"/>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3"/>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3"/>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3"/>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6</w:t>
            </w:r>
            <w:r>
              <w:rPr>
                <w:rFonts w:ascii="宋体" w:hAnsi="宋体"/>
                <w:b/>
                <w:bCs/>
                <w:szCs w:val="21"/>
                <w:highlight w:val="yellow"/>
              </w:rPr>
              <w:t xml:space="preserve"> </w:t>
            </w:r>
            <w:r>
              <w:rPr>
                <w:rFonts w:hint="eastAsia" w:ascii="宋体" w:hAnsi="宋体"/>
                <w:b/>
                <w:bCs/>
                <w:szCs w:val="21"/>
                <w:highlight w:val="yellow"/>
                <w:lang w:val="en-US" w:eastAsia="zh-CN"/>
              </w:rPr>
              <w:t>9</w:t>
            </w:r>
            <w:r>
              <w:rPr>
                <w:rFonts w:ascii="宋体" w:hAnsi="宋体"/>
                <w:b/>
                <w:bCs/>
                <w:szCs w:val="21"/>
                <w:highlight w:val="yellow"/>
              </w:rPr>
              <w:t>:</w:t>
            </w:r>
            <w:r>
              <w:rPr>
                <w:rFonts w:hint="eastAsia" w:ascii="宋体" w:hAnsi="宋体"/>
                <w:b/>
                <w:bCs/>
                <w:szCs w:val="21"/>
                <w:highlight w:val="yellow"/>
                <w:lang w:val="en-US" w:eastAsia="zh-CN"/>
              </w:rPr>
              <w:t>30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b/>
                <w:bCs/>
                <w:szCs w:val="21"/>
                <w:highlight w:val="yellow"/>
              </w:rPr>
              <w:t>373-132-113</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
                <w:bCs/>
                <w:szCs w:val="21"/>
                <w:highlight w:val="yellow"/>
              </w:rPr>
              <w:t>https://cg.szcec.com/sharing/6VJRv6nOC</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sym w:font="Wingdings 2" w:char="0052"/>
            </w:r>
            <w:r>
              <w:rPr>
                <w:rFonts w:hint="eastAsia" w:ascii="宋体" w:hAnsi="宋体" w:cstheme="minorBidi"/>
                <w:color w:val="000000" w:themeColor="text1"/>
                <w:szCs w:val="21"/>
                <w:highlight w:val="none"/>
                <w14:textFill>
                  <w14:solidFill>
                    <w14:schemeClr w14:val="tx1"/>
                  </w14:solidFill>
                </w14:textFill>
              </w:rPr>
              <w:t>不接受</w:t>
            </w:r>
          </w:p>
          <w:p>
            <w:pPr>
              <w:autoSpaceDE w:val="0"/>
              <w:autoSpaceDN w:val="0"/>
              <w:adjustRightInd w:val="0"/>
              <w:snapToGrid w:val="0"/>
              <w:rPr>
                <w:rFonts w:ascii="宋体" w:hAnsi="宋体"/>
                <w:kern w:val="0"/>
                <w:szCs w:val="21"/>
              </w:rPr>
            </w:pPr>
            <w:r>
              <w:rPr>
                <w:rFonts w:hint="eastAsia" w:ascii="宋体" w:hAnsi="宋体" w:cstheme="minorBidi"/>
                <w:color w:val="000000" w:themeColor="text1"/>
                <w:szCs w:val="21"/>
                <w:highlight w:val="none"/>
                <w14:textFill>
                  <w14:solidFill>
                    <w14:schemeClr w14:val="tx1"/>
                  </w14:solidFill>
                </w14:textFill>
              </w:rPr>
              <w:t xml:space="preserve">□接受，应满足下列要求：    </w:t>
            </w:r>
            <w:r>
              <w:rPr>
                <w:rFonts w:hint="eastAsia" w:ascii="宋体" w:hAnsi="宋体" w:cstheme="minorBidi"/>
                <w:color w:val="FF0000"/>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highlight w:val="none"/>
              </w:rPr>
            </w:pPr>
            <w:r>
              <w:rPr>
                <w:rFonts w:hint="eastAsia" w:ascii="宋体" w:hAnsi="宋体" w:cs="Segoe UI Symbol"/>
                <w:kern w:val="0"/>
                <w:szCs w:val="21"/>
                <w:highlight w:val="none"/>
              </w:rPr>
              <w:sym w:font="Wingdings 2" w:char="0052"/>
            </w:r>
            <w:r>
              <w:rPr>
                <w:rFonts w:hint="eastAsia" w:ascii="宋体" w:hAnsi="宋体" w:cstheme="minorBidi"/>
                <w:kern w:val="0"/>
                <w:szCs w:val="21"/>
                <w:highlight w:val="none"/>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highlight w:val="none"/>
              </w:rPr>
              <w:t>□组织，踏</w:t>
            </w:r>
            <w:r>
              <w:rPr>
                <w:rFonts w:hint="eastAsia" w:ascii="宋体" w:hAnsi="宋体" w:cstheme="minorBidi"/>
                <w:kern w:val="0"/>
                <w:szCs w:val="21"/>
              </w:rPr>
              <w:t>勘要求：</w:t>
            </w:r>
          </w:p>
          <w:p>
            <w:pPr>
              <w:pStyle w:val="23"/>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3"/>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3"/>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××邀请投标人人员察看现场并讲解项目需求；投标人应指派符合要求的人员参加本项目的现场踏勘。</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3"/>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3"/>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3"/>
              <w:numPr>
                <w:ilvl w:val="0"/>
                <w:numId w:val="7"/>
              </w:numPr>
              <w:autoSpaceDE w:val="0"/>
              <w:autoSpaceDN w:val="0"/>
              <w:adjustRightInd w:val="0"/>
              <w:snapToGrid w:val="0"/>
              <w:ind w:left="536" w:hanging="536" w:firstLineChars="0"/>
              <w:rPr>
                <w:rFonts w:ascii="宋体" w:hAnsi="宋体" w:eastAsia="宋体" w:cs="Segoe UI Symbol"/>
                <w:color w:val="000000" w:themeColor="text1"/>
                <w:kern w:val="0"/>
                <w:szCs w:val="21"/>
                <w:highlight w:val="none"/>
                <w14:textFill>
                  <w14:solidFill>
                    <w14:schemeClr w14:val="tx1"/>
                  </w14:solidFill>
                </w14:textFill>
              </w:rPr>
            </w:pPr>
            <w:r>
              <w:rPr>
                <w:rFonts w:hint="eastAsia" w:ascii="宋体" w:hAnsi="宋体" w:eastAsia="宋体" w:cs="Segoe UI Symbol"/>
                <w:color w:val="000000" w:themeColor="text1"/>
                <w:kern w:val="0"/>
                <w:szCs w:val="21"/>
                <w:highlight w:val="none"/>
                <w14:textFill>
                  <w14:solidFill>
                    <w14:schemeClr w14:val="tx1"/>
                  </w14:solidFill>
                </w14:textFill>
              </w:rPr>
              <w:sym w:font="Wingdings 2" w:char="0052"/>
            </w:r>
            <w:r>
              <w:rPr>
                <w:rFonts w:hint="eastAsia" w:ascii="宋体" w:hAnsi="宋体" w:eastAsia="宋体" w:cs="Segoe UI Symbol"/>
                <w:color w:val="000000" w:themeColor="text1"/>
                <w:kern w:val="0"/>
                <w:szCs w:val="21"/>
                <w:highlight w:val="none"/>
                <w14:textFill>
                  <w14:solidFill>
                    <w14:schemeClr w14:val="tx1"/>
                  </w14:solidFill>
                </w14:textFill>
              </w:rPr>
              <w:t>不要求</w:t>
            </w:r>
          </w:p>
          <w:p>
            <w:pPr>
              <w:pStyle w:val="23"/>
              <w:numPr>
                <w:ilvl w:val="0"/>
                <w:numId w:val="7"/>
              </w:numPr>
              <w:autoSpaceDE w:val="0"/>
              <w:autoSpaceDN w:val="0"/>
              <w:adjustRightInd w:val="0"/>
              <w:snapToGrid w:val="0"/>
              <w:ind w:left="536" w:hanging="536" w:firstLineChars="0"/>
              <w:rPr>
                <w:rFonts w:ascii="宋体" w:hAnsi="宋体" w:eastAsia="宋体" w:cs="Segoe UI Symbol"/>
                <w:color w:val="000000" w:themeColor="text1"/>
                <w:kern w:val="0"/>
                <w:szCs w:val="21"/>
                <w:highlight w:val="none"/>
                <w14:textFill>
                  <w14:solidFill>
                    <w14:schemeClr w14:val="tx1"/>
                  </w14:solidFill>
                </w14:textFill>
              </w:rPr>
            </w:pPr>
            <w:r>
              <w:rPr>
                <w:rFonts w:hint="eastAsia" w:ascii="宋体" w:hAnsi="宋体" w:eastAsia="宋体" w:cs="Segoe UI Symbol"/>
                <w:color w:val="000000" w:themeColor="text1"/>
                <w:kern w:val="0"/>
                <w:szCs w:val="21"/>
                <w:highlight w:val="none"/>
                <w14:textFill>
                  <w14:solidFill>
                    <w14:schemeClr w14:val="tx1"/>
                  </w14:solidFill>
                </w14:textFill>
              </w:rPr>
              <w:t>□要求</w:t>
            </w:r>
          </w:p>
          <w:p>
            <w:pPr>
              <w:pStyle w:val="23"/>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23"/>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23"/>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23"/>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000000" w:themeColor="text1"/>
                <w:szCs w:val="21"/>
                <w:highlight w:val="none"/>
                <w14:textFill>
                  <w14:solidFill>
                    <w14:schemeClr w14:val="tx1"/>
                  </w14:solidFill>
                </w14:textFill>
              </w:rPr>
            </w:pPr>
            <w:r>
              <w:rPr>
                <w:rFonts w:ascii="宋体" w:hAnsi="宋体" w:cs="Segoe UI Symbol"/>
                <w:color w:val="000000" w:themeColor="text1"/>
                <w:kern w:val="0"/>
                <w:szCs w:val="21"/>
                <w:highlight w:val="none"/>
                <w14:textFill>
                  <w14:solidFill>
                    <w14:schemeClr w14:val="tx1"/>
                  </w14:solidFill>
                </w14:textFill>
              </w:rPr>
              <w:sym w:font="Wingdings 2" w:char="0052"/>
            </w:r>
            <w:r>
              <w:rPr>
                <w:rFonts w:hint="eastAsia" w:ascii="宋体" w:hAnsi="宋体"/>
                <w:color w:val="000000" w:themeColor="text1"/>
                <w:szCs w:val="21"/>
                <w:highlight w:val="none"/>
                <w14:textFill>
                  <w14:solidFill>
                    <w14:schemeClr w14:val="tx1"/>
                  </w14:solidFill>
                </w14:textFill>
              </w:rPr>
              <w:t>不要求递交投标样品</w:t>
            </w:r>
          </w:p>
          <w:p>
            <w:pPr>
              <w:autoSpaceDE w:val="0"/>
              <w:autoSpaceDN w:val="0"/>
              <w:adjustRightInd w:val="0"/>
              <w:snapToGrid w:val="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□递交投标样品，具体要求：</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ascii="宋体" w:hAnsi="宋体" w:cs="Segoe UI Symbol"/>
                <w:color w:val="000000" w:themeColor="text1"/>
                <w:kern w:val="0"/>
                <w:szCs w:val="21"/>
                <w:highlight w:val="none"/>
                <w14:textFill>
                  <w14:solidFill>
                    <w14:schemeClr w14:val="tx1"/>
                  </w14:solidFill>
                </w14:textFill>
              </w:rPr>
              <w:sym w:font="Wingdings 2" w:char="0052"/>
            </w:r>
            <w:r>
              <w:rPr>
                <w:rFonts w:hint="eastAsia" w:ascii="宋体" w:hAnsi="宋体" w:cs="Segoe UI Symbol"/>
                <w:color w:val="000000" w:themeColor="text1"/>
                <w:kern w:val="0"/>
                <w:szCs w:val="21"/>
                <w:highlight w:val="none"/>
                <w14:textFill>
                  <w14:solidFill>
                    <w14:schemeClr w14:val="tx1"/>
                  </w14:solidFill>
                </w14:textFill>
              </w:rPr>
              <w:t>综合评分法</w:t>
            </w:r>
          </w:p>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hint="eastAsia" w:ascii="宋体" w:hAnsi="宋体" w:cs="Segoe UI Symbol"/>
                <w:color w:val="000000" w:themeColor="text1"/>
                <w:kern w:val="0"/>
                <w:szCs w:val="21"/>
                <w:highlight w:val="none"/>
                <w14:textFill>
                  <w14:solidFill>
                    <w14:schemeClr w14:val="tx1"/>
                  </w14:solidFill>
                </w14:textFill>
              </w:rPr>
              <w:t>□最低价法</w:t>
            </w:r>
          </w:p>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hint="eastAsia" w:ascii="宋体" w:hAnsi="宋体" w:cs="Segoe UI Symbol"/>
                <w:color w:val="000000" w:themeColor="text1"/>
                <w:kern w:val="0"/>
                <w:szCs w:val="21"/>
                <w:highlight w:val="none"/>
                <w14:textFill>
                  <w14:solidFill>
                    <w14:schemeClr w14:val="tx1"/>
                  </w14:solidFill>
                </w14:textFill>
              </w:rPr>
              <w:t>□其他：</w:t>
            </w:r>
            <w:r>
              <w:rPr>
                <w:rFonts w:hint="eastAsia" w:ascii="宋体" w:hAnsi="宋体" w:cs="Segoe UI Symbol"/>
                <w:color w:val="000000" w:themeColor="text1"/>
                <w:kern w:val="0"/>
                <w:szCs w:val="2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000000" w:themeColor="text1"/>
                <w:szCs w:val="21"/>
                <w:highlight w:val="none"/>
                <w14:textFill>
                  <w14:solidFill>
                    <w14:schemeClr w14:val="tx1"/>
                  </w14:solidFill>
                </w14:textFill>
              </w:rPr>
            </w:pPr>
            <w:r>
              <w:rPr>
                <w:rFonts w:ascii="宋体" w:hAnsi="宋体" w:cs="Segoe UI Symbol"/>
                <w:color w:val="000000" w:themeColor="text1"/>
                <w:kern w:val="0"/>
                <w:szCs w:val="21"/>
                <w:highlight w:val="none"/>
                <w14:textFill>
                  <w14:solidFill>
                    <w14:schemeClr w14:val="tx1"/>
                  </w14:solidFill>
                </w14:textFill>
              </w:rPr>
              <w:sym w:font="Wingdings 2" w:char="0052"/>
            </w:r>
            <w:r>
              <w:rPr>
                <w:rFonts w:hint="eastAsia" w:ascii="宋体" w:hAnsi="宋体" w:cs="Segoe UI Symbol"/>
                <w:color w:val="000000" w:themeColor="text1"/>
                <w:kern w:val="0"/>
                <w:szCs w:val="21"/>
                <w:highlight w:val="none"/>
                <w14:textFill>
                  <w14:solidFill>
                    <w14:schemeClr w14:val="tx1"/>
                  </w14:solidFill>
                </w14:textFill>
              </w:rPr>
              <w:t>内部招标评标</w:t>
            </w:r>
            <w:r>
              <w:rPr>
                <w:rFonts w:ascii="宋体" w:hAnsi="宋体" w:cs="Segoe UI Symbol"/>
                <w:color w:val="000000" w:themeColor="text1"/>
                <w:kern w:val="0"/>
                <w:szCs w:val="21"/>
                <w:highlight w:val="none"/>
                <w14:textFill>
                  <w14:solidFill>
                    <w14:schemeClr w14:val="tx1"/>
                  </w14:solidFill>
                </w14:textFill>
              </w:rPr>
              <w:t>小组推荐的中标候选人数</w:t>
            </w:r>
            <w:r>
              <w:rPr>
                <w:rFonts w:hint="eastAsia" w:ascii="宋体" w:hAnsi="宋体" w:cs="Segoe UI Symbol"/>
                <w:color w:val="000000" w:themeColor="text1"/>
                <w:kern w:val="0"/>
                <w:szCs w:val="21"/>
                <w:highlight w:val="none"/>
                <w14:textFill>
                  <w14:solidFill>
                    <w14:schemeClr w14:val="tx1"/>
                  </w14:solidFill>
                </w14:textFill>
              </w:rPr>
              <w:t>：</w:t>
            </w:r>
            <w:r>
              <w:rPr>
                <w:rFonts w:hint="eastAsia" w:ascii="宋体" w:hAnsi="宋体" w:cs="Segoe UI Symbol"/>
                <w:color w:val="000000" w:themeColor="text1"/>
                <w:kern w:val="0"/>
                <w:szCs w:val="21"/>
                <w:highlight w:val="none"/>
                <w:u w:val="single"/>
                <w14:textFill>
                  <w14:solidFill>
                    <w14:schemeClr w14:val="tx1"/>
                  </w14:solidFill>
                </w14:textFill>
              </w:rPr>
              <w:t xml:space="preserve">  1  个</w:t>
            </w:r>
            <w:r>
              <w:rPr>
                <w:rFonts w:hint="eastAsia" w:ascii="宋体" w:hAnsi="宋体" w:cs="Segoe UI Symbol"/>
                <w:color w:val="000000" w:themeColor="text1"/>
                <w:kern w:val="0"/>
                <w:szCs w:val="21"/>
                <w:highlight w:val="none"/>
                <w14:textFill>
                  <w14:solidFill>
                    <w14:schemeClr w14:val="tx1"/>
                  </w14:solidFill>
                </w14:textFill>
              </w:rPr>
              <w:t>。</w:t>
            </w:r>
          </w:p>
          <w:p>
            <w:pPr>
              <w:autoSpaceDE w:val="0"/>
              <w:autoSpaceDN w:val="0"/>
              <w:adjustRightInd w:val="0"/>
              <w:snapToGrid w:val="0"/>
              <w:rPr>
                <w:rFonts w:ascii="宋体" w:hAnsi="宋体" w:cs="Segoe UI Symbol"/>
                <w:color w:val="000000" w:themeColor="text1"/>
                <w:kern w:val="0"/>
                <w:szCs w:val="21"/>
                <w:highlight w:val="none"/>
                <w14:textFill>
                  <w14:solidFill>
                    <w14:schemeClr w14:val="tx1"/>
                  </w14:solidFill>
                </w14:textFill>
              </w:rPr>
            </w:pPr>
            <w:r>
              <w:rPr>
                <w:rFonts w:hint="eastAsia" w:ascii="宋体" w:hAnsi="宋体" w:cs="Segoe UI Symbol"/>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适用于采用</w:t>
            </w:r>
            <w:r>
              <w:rPr>
                <w:rFonts w:hint="eastAsia" w:ascii="宋体" w:hAnsi="宋体" w:cs="宋体"/>
                <w:b/>
                <w:bCs/>
                <w:color w:val="000000" w:themeColor="text1"/>
                <w:szCs w:val="21"/>
                <w:highlight w:val="none"/>
                <w14:textFill>
                  <w14:solidFill>
                    <w14:schemeClr w14:val="tx1"/>
                  </w14:solidFill>
                </w14:textFill>
              </w:rPr>
              <w:t>综合评分法</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最低价法</w:t>
            </w:r>
            <w:r>
              <w:rPr>
                <w:rFonts w:hint="eastAsia" w:ascii="宋体" w:hAnsi="宋体" w:cs="宋体"/>
                <w:bCs/>
                <w:color w:val="000000" w:themeColor="text1"/>
                <w:szCs w:val="21"/>
                <w:highlight w:val="none"/>
                <w14:textFill>
                  <w14:solidFill>
                    <w14:schemeClr w14:val="tx1"/>
                  </w14:solidFill>
                </w14:textFill>
              </w:rPr>
              <w:t>）</w:t>
            </w:r>
          </w:p>
        </w:tc>
      </w:tr>
    </w:tbl>
    <w:p>
      <w:pPr>
        <w:numPr>
          <w:ilvl w:val="0"/>
          <w:numId w:val="1"/>
        </w:numPr>
        <w:spacing w:line="560" w:lineRule="exact"/>
        <w:outlineLvl w:val="1"/>
        <w:rPr>
          <w:rFonts w:ascii="宋体" w:hAnsi="宋体"/>
          <w:b/>
          <w:szCs w:val="21"/>
        </w:rPr>
      </w:pPr>
      <w:bookmarkStart w:id="7" w:name="_Toc82591926"/>
      <w:bookmarkEnd w:id="7"/>
      <w:bookmarkStart w:id="8" w:name="_Toc82591928"/>
      <w:bookmarkEnd w:id="8"/>
      <w:bookmarkStart w:id="9" w:name="_Toc82591925"/>
      <w:bookmarkEnd w:id="9"/>
      <w:bookmarkStart w:id="10" w:name="_Toc82591927"/>
      <w:bookmarkEnd w:id="10"/>
      <w:bookmarkStart w:id="11" w:name="_Toc82684703"/>
      <w:bookmarkEnd w:id="11"/>
      <w:bookmarkStart w:id="12" w:name="_Toc82685542"/>
      <w:bookmarkEnd w:id="12"/>
      <w:bookmarkStart w:id="13" w:name="_Toc82684705"/>
      <w:bookmarkEnd w:id="13"/>
      <w:bookmarkStart w:id="14" w:name="_Toc82685541"/>
      <w:bookmarkEnd w:id="14"/>
      <w:bookmarkStart w:id="15" w:name="_Toc82684588"/>
      <w:bookmarkEnd w:id="15"/>
      <w:bookmarkStart w:id="16" w:name="_Toc82684704"/>
      <w:bookmarkEnd w:id="16"/>
      <w:bookmarkStart w:id="17" w:name="_Toc82684591"/>
      <w:bookmarkEnd w:id="17"/>
      <w:bookmarkStart w:id="18" w:name="_Toc82684590"/>
      <w:bookmarkEnd w:id="18"/>
      <w:bookmarkStart w:id="19" w:name="_Toc82684589"/>
      <w:bookmarkEnd w:id="19"/>
      <w:bookmarkStart w:id="20" w:name="_Toc82685540"/>
      <w:bookmarkEnd w:id="20"/>
      <w:bookmarkStart w:id="21" w:name="_Toc82685543"/>
      <w:bookmarkEnd w:id="21"/>
      <w:bookmarkStart w:id="22" w:name="_Toc82684706"/>
      <w:bookmarkEnd w:id="22"/>
      <w:bookmarkStart w:id="23" w:name="_Toc116550346"/>
      <w:r>
        <w:rPr>
          <w:rFonts w:hint="eastAsia" w:ascii="宋体" w:hAnsi="宋体"/>
          <w:b/>
          <w:szCs w:val="21"/>
        </w:rPr>
        <w:t>特别说明</w:t>
      </w:r>
      <w:bookmarkEnd w:id="23"/>
    </w:p>
    <w:p>
      <w:pPr>
        <w:pStyle w:val="23"/>
        <w:numPr>
          <w:ilvl w:val="0"/>
          <w:numId w:val="9"/>
        </w:numPr>
        <w:spacing w:line="360" w:lineRule="auto"/>
        <w:ind w:left="0" w:firstLine="420" w:firstLineChars="0"/>
        <w:rPr>
          <w:rFonts w:ascii="宋体" w:hAnsi="宋体" w:eastAsia="宋体" w:cs="宋体"/>
          <w:szCs w:val="21"/>
        </w:rPr>
      </w:pPr>
      <w:bookmarkStart w:id="24" w:name="_Toc478387747"/>
      <w:bookmarkStart w:id="25" w:name="_Toc45028463"/>
      <w:bookmarkStart w:id="26" w:name="_Toc517278751"/>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591988"/>
      <w:bookmarkEnd w:id="27"/>
      <w:bookmarkStart w:id="28" w:name="_Toc82591985"/>
      <w:bookmarkEnd w:id="28"/>
      <w:bookmarkStart w:id="29" w:name="_Toc82684708"/>
      <w:bookmarkEnd w:id="29"/>
      <w:bookmarkStart w:id="30" w:name="_Toc82684593"/>
      <w:bookmarkEnd w:id="30"/>
      <w:bookmarkStart w:id="31" w:name="_Toc82591986"/>
      <w:bookmarkEnd w:id="31"/>
      <w:bookmarkStart w:id="32" w:name="_Toc82685545"/>
      <w:bookmarkEnd w:id="32"/>
      <w:bookmarkStart w:id="33" w:name="_Toc82591930"/>
      <w:bookmarkEnd w:id="33"/>
      <w:bookmarkStart w:id="34" w:name="_Toc82591987"/>
      <w:bookmarkEnd w:id="34"/>
      <w:bookmarkStart w:id="35" w:name="_Toc82591989"/>
      <w:bookmarkEnd w:id="35"/>
      <w:bookmarkStart w:id="36" w:name="_Toc116550347"/>
      <w:r>
        <w:rPr>
          <w:rFonts w:hint="eastAsia" w:ascii="宋体" w:hAnsi="宋体"/>
          <w:b/>
          <w:szCs w:val="21"/>
        </w:rPr>
        <w:t>投标文件编制</w:t>
      </w:r>
      <w:bookmarkEnd w:id="36"/>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116550348"/>
      <w:r>
        <w:rPr>
          <w:rFonts w:hint="eastAsia" w:ascii="宋体" w:hAnsi="宋体"/>
          <w:b/>
          <w:szCs w:val="21"/>
        </w:rPr>
        <w:t>项目要求</w:t>
      </w:r>
      <w:bookmarkEnd w:id="37"/>
    </w:p>
    <w:tbl>
      <w:tblPr>
        <w:tblStyle w:val="15"/>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3"/>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1" w:firstLine="0"/>
            </w:pPr>
            <w:r>
              <w:rPr>
                <w:rFonts w:hint="eastAsia"/>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0"/>
              </w:numPr>
              <w:tabs>
                <w:tab w:val="left" w:pos="531"/>
              </w:tabs>
              <w:snapToGrid w:val="0"/>
              <w:ind w:left="0" w:firstLine="0"/>
            </w:pPr>
            <w:r>
              <w:rPr>
                <w:rFonts w:hint="eastAsia"/>
              </w:rPr>
              <w:t>投标人代表必须是投标单位的法定代表人或持有法定代表人亲自签署的法人授权委托证明书的人员。（提供法定代表人证明书、法人授权委托证明书</w:t>
            </w:r>
            <w:r>
              <w:rPr>
                <w:rFonts w:hint="eastAsia" w:ascii="宋体" w:hAnsi="宋体" w:cs="宋体"/>
              </w:rPr>
              <w:t>及法定代表人、被委托人身份证扫描件并加盖投标人公章；</w:t>
            </w:r>
            <w:r>
              <w:rPr>
                <w:rFonts w:hint="eastAsia"/>
              </w:rPr>
              <w:t>如单位法定代表人为本项目授权代表，则仅提供法定代表人证明书及身份证复印件，各证明书须加盖公章，身份证原件备查）。</w:t>
            </w:r>
          </w:p>
          <w:p>
            <w:pPr>
              <w:numPr>
                <w:ilvl w:val="0"/>
                <w:numId w:val="10"/>
              </w:numPr>
              <w:tabs>
                <w:tab w:val="left" w:pos="531"/>
              </w:tabs>
              <w:snapToGrid w:val="0"/>
            </w:pPr>
            <w:r>
              <w:rPr>
                <w:rFonts w:hint="eastAsia"/>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ascii="宋体" w:hAnsi="宋体"/>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报价以人民币为结算币种，《投标一览表》</w:t>
            </w:r>
            <w:r>
              <w:rPr>
                <w:rFonts w:hint="eastAsia" w:ascii="宋体" w:hAnsi="宋体"/>
                <w:color w:val="000000" w:themeColor="text1"/>
                <w:szCs w:val="21"/>
                <w:highlight w:val="none"/>
                <w14:textFill>
                  <w14:solidFill>
                    <w14:schemeClr w14:val="tx1"/>
                  </w14:solidFill>
                </w14:textFill>
              </w:rPr>
              <w:t>应包含税率、税额、</w:t>
            </w:r>
            <w:r>
              <w:rPr>
                <w:rFonts w:hint="eastAsia" w:ascii="宋体" w:hAnsi="宋体"/>
                <w:color w:val="000000" w:themeColor="text1"/>
                <w:szCs w:val="21"/>
                <w:highlight w:val="none"/>
                <w:lang w:val="en-US" w:eastAsia="zh-CN"/>
                <w14:textFill>
                  <w14:solidFill>
                    <w14:schemeClr w14:val="tx1"/>
                  </w14:solidFill>
                </w14:textFill>
              </w:rPr>
              <w:t>未</w:t>
            </w:r>
            <w:r>
              <w:rPr>
                <w:rFonts w:hint="eastAsia" w:ascii="宋体" w:hAnsi="宋体"/>
                <w:color w:val="000000" w:themeColor="text1"/>
                <w:szCs w:val="21"/>
                <w:highlight w:val="none"/>
                <w14:textFill>
                  <w14:solidFill>
                    <w14:schemeClr w14:val="tx1"/>
                  </w14:solidFill>
                </w14:textFill>
              </w:rPr>
              <w:t>税及税后总金额。</w:t>
            </w:r>
          </w:p>
          <w:p>
            <w:pPr>
              <w:numPr>
                <w:ilvl w:val="0"/>
                <w:numId w:val="11"/>
              </w:numPr>
              <w:tabs>
                <w:tab w:val="left" w:pos="531"/>
              </w:tabs>
              <w:snapToGrid w:val="0"/>
              <w:ind w:left="0" w:firstLine="0"/>
              <w:rPr>
                <w:rFonts w:ascii="宋体" w:hAnsi="宋体" w:cs="仿宋_GB2312"/>
                <w:color w:val="000000" w:themeColor="text1"/>
                <w:szCs w:val="2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投标报价不得出现可选择性的报价,含有备选方案的报价将导致废标。</w:t>
            </w:r>
          </w:p>
          <w:p>
            <w:pPr>
              <w:numPr>
                <w:ilvl w:val="0"/>
                <w:numId w:val="11"/>
              </w:numPr>
              <w:tabs>
                <w:tab w:val="left" w:pos="531"/>
              </w:tabs>
              <w:snapToGrid w:val="0"/>
              <w:ind w:left="0" w:firstLine="0"/>
              <w:rPr>
                <w:color w:val="000000" w:themeColor="text1"/>
                <w:highlight w:val="none"/>
                <w14:textFill>
                  <w14:solidFill>
                    <w14:schemeClr w14:val="tx1"/>
                  </w14:solidFill>
                </w14:textFill>
              </w:rPr>
            </w:pPr>
            <w:r>
              <w:rPr>
                <w:rFonts w:hint="eastAsia" w:ascii="宋体" w:hAnsi="宋体" w:cs="仿宋_GB2312"/>
                <w:color w:val="000000" w:themeColor="text1"/>
                <w:szCs w:val="21"/>
                <w:highlight w:val="none"/>
                <w14:textFill>
                  <w14:solidFill>
                    <w14:schemeClr w14:val="tx1"/>
                  </w14:solidFill>
                </w14:textFill>
              </w:rPr>
              <w:t>投标报价包括但不限于完成本项目所需的全部费用。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本项目采购控制金额为人民币</w:t>
            </w:r>
            <w:r>
              <w:rPr>
                <w:rFonts w:hint="eastAsia" w:ascii="宋体" w:hAnsi="宋体"/>
                <w:color w:val="000000" w:themeColor="text1"/>
                <w:szCs w:val="21"/>
                <w:highlight w:val="none"/>
                <w:lang w:val="en-US" w:eastAsia="zh-CN"/>
                <w14:textFill>
                  <w14:solidFill>
                    <w14:schemeClr w14:val="tx1"/>
                  </w14:solidFill>
                </w14:textFill>
              </w:rPr>
              <w:t>35</w:t>
            </w:r>
            <w:r>
              <w:rPr>
                <w:rFonts w:ascii="宋体" w:hAnsi="宋体" w:cs="宋体"/>
                <w:color w:val="000000" w:themeColor="text1"/>
                <w:szCs w:val="21"/>
                <w:highlight w:val="none"/>
                <w14:textFill>
                  <w14:solidFill>
                    <w14:schemeClr w14:val="tx1"/>
                  </w14:solidFill>
                </w14:textFill>
              </w:rPr>
              <w:t>万元（含税）</w:t>
            </w:r>
            <w:r>
              <w:rPr>
                <w:rFonts w:hint="eastAsia" w:ascii="宋体" w:hAnsi="宋体" w:cs="宋体"/>
                <w:color w:val="000000" w:themeColor="text1"/>
                <w:szCs w:val="21"/>
                <w:highlight w:val="none"/>
                <w14:textFill>
                  <w14:solidFill>
                    <w14:schemeClr w14:val="tx1"/>
                  </w14:solidFill>
                </w14:textFill>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w:t>
            </w:r>
            <w:r>
              <w:rPr>
                <w:rFonts w:hint="eastAsia" w:ascii="宋体" w:hAnsi="宋体" w:cs="宋体"/>
                <w:color w:val="000000" w:themeColor="text1"/>
                <w:highlight w:val="none"/>
                <w:lang w:val="en-US" w:eastAsia="zh-CN"/>
                <w14:textFill>
                  <w14:solidFill>
                    <w14:schemeClr w14:val="tx1"/>
                  </w14:solidFill>
                </w14:textFill>
              </w:rPr>
              <w:t>实</w:t>
            </w:r>
            <w:r>
              <w:rPr>
                <w:rFonts w:hint="eastAsia" w:ascii="宋体" w:hAnsi="宋体" w:cs="宋体"/>
                <w:color w:val="000000" w:themeColor="text1"/>
                <w:highlight w:val="none"/>
                <w14:textFill>
                  <w14:solidFill>
                    <w14:schemeClr w14:val="tx1"/>
                  </w14:solidFill>
                </w14:textFill>
              </w:rPr>
              <w:t>施完毕且验收合格后，一次性支付合同总金额</w:t>
            </w:r>
            <w:r>
              <w:rPr>
                <w:rFonts w:hint="eastAsia" w:ascii="宋体" w:hAnsi="宋体" w:cs="宋体"/>
                <w:color w:val="000000" w:themeColor="text1"/>
                <w:highlight w:val="none"/>
                <w:lang w:val="en-US" w:eastAsia="zh-CN"/>
                <w14:textFill>
                  <w14:solidFill>
                    <w14:schemeClr w14:val="tx1"/>
                  </w14:solidFill>
                </w14:textFill>
              </w:rPr>
              <w:t>全款</w:t>
            </w:r>
            <w:r>
              <w:rPr>
                <w:rFonts w:hint="eastAsia" w:ascii="宋体" w:hAnsi="宋体" w:cs="宋体"/>
                <w:color w:val="000000" w:themeColor="text1"/>
                <w:highlight w:val="none"/>
                <w14:textFill>
                  <w14:solidFill>
                    <w14:schemeClr w14:val="tx1"/>
                  </w14:solidFill>
                </w14:textFill>
              </w:rPr>
              <w:t>。</w:t>
            </w:r>
          </w:p>
          <w:p>
            <w:pPr>
              <w:numPr>
                <w:ilvl w:val="0"/>
                <w:numId w:val="12"/>
              </w:numPr>
              <w:tabs>
                <w:tab w:val="left" w:pos="531"/>
              </w:tabs>
              <w:snapToGrid w:val="0"/>
              <w:ind w:left="0" w:firstLine="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0" w:beforeLines="-2147483648" w:after="0" w:afterLines="-2147483648"/>
              <w:jc w:val="center"/>
              <w:rPr>
                <w:rFonts w:hint="eastAsia" w:ascii="宋体" w:hAnsi="宋体" w:cs="宋体"/>
                <w:szCs w:val="21"/>
                <w:lang w:val="en-US" w:eastAsia="zh-CN"/>
              </w:rPr>
            </w:pPr>
            <w:r>
              <w:rPr>
                <w:rFonts w:hint="eastAsia" w:ascii="宋体" w:hAnsi="宋体" w:cs="宋体"/>
                <w:szCs w:val="21"/>
                <w:lang w:val="en-US" w:eastAsia="zh-CN"/>
              </w:rPr>
              <w:t>不可</w:t>
            </w:r>
          </w:p>
          <w:p>
            <w:pPr>
              <w:spacing w:before="0" w:beforeLines="-2147483648" w:after="0" w:afterLines="-2147483648"/>
              <w:jc w:val="center"/>
              <w:rPr>
                <w:rFonts w:ascii="宋体" w:hAnsi="宋体" w:cs="宋体"/>
                <w:b/>
                <w:bCs/>
                <w:szCs w:val="21"/>
              </w:rPr>
            </w:pPr>
            <w:r>
              <w:rPr>
                <w:rFonts w:hint="eastAsia" w:ascii="宋体" w:hAnsi="宋体" w:cs="宋体"/>
                <w:szCs w:val="21"/>
                <w:lang w:val="en-US" w:eastAsia="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000000" w:themeColor="text1"/>
                <w:szCs w:val="21"/>
                <w:highlight w:val="none"/>
                <w:lang w:val="en-US"/>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项目说明</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napToGrid w:val="0"/>
              <w:ind w:left="0" w:leftChars="0"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2023 年高交会</w:t>
            </w:r>
            <w:r>
              <w:rPr>
                <w:rFonts w:hint="eastAsia" w:ascii="宋体" w:hAnsi="宋体" w:cs="宋体"/>
                <w:color w:val="000000" w:themeColor="text1"/>
                <w:highlight w:val="none"/>
                <w:lang w:val="en-US" w:eastAsia="zh-CN"/>
                <w14:textFill>
                  <w14:solidFill>
                    <w14:schemeClr w14:val="tx1"/>
                  </w14:solidFill>
                </w14:textFill>
              </w:rPr>
              <w:t>中文版</w:t>
            </w:r>
            <w:r>
              <w:rPr>
                <w:rFonts w:hint="eastAsia" w:ascii="宋体" w:hAnsi="宋体" w:cs="宋体"/>
                <w:color w:val="000000" w:themeColor="text1"/>
                <w:highlight w:val="none"/>
                <w14:textFill>
                  <w14:solidFill>
                    <w14:schemeClr w14:val="tx1"/>
                  </w14:solidFill>
                </w14:textFill>
              </w:rPr>
              <w:t>通用宣传片</w:t>
            </w:r>
            <w:r>
              <w:rPr>
                <w:rFonts w:hint="eastAsia" w:ascii="宋体" w:hAnsi="宋体" w:cs="宋体"/>
                <w:color w:val="000000" w:themeColor="text1"/>
                <w:highlight w:val="none"/>
                <w:lang w:eastAsia="zh-CN"/>
                <w14:textFill>
                  <w14:solidFill>
                    <w14:schemeClr w14:val="tx1"/>
                  </w14:solidFill>
                </w14:textFill>
              </w:rPr>
              <w:t>：</w:t>
            </w:r>
          </w:p>
          <w:p>
            <w:pPr>
              <w:numPr>
                <w:ilvl w:val="0"/>
                <w:numId w:val="0"/>
              </w:numPr>
              <w:tabs>
                <w:tab w:val="left" w:pos="531"/>
              </w:tabs>
              <w:snapToGrid w:val="0"/>
              <w:ind w:leftChars="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根据对高交会的理解和定位，撰写</w:t>
            </w:r>
            <w:r>
              <w:rPr>
                <w:rFonts w:hint="eastAsia" w:ascii="宋体" w:hAnsi="宋体" w:cs="宋体"/>
                <w:color w:val="000000" w:themeColor="text1"/>
                <w:highlight w:val="none"/>
                <w:lang w:val="en-US" w:eastAsia="zh-CN"/>
                <w14:textFill>
                  <w14:solidFill>
                    <w14:schemeClr w14:val="tx1"/>
                  </w14:solidFill>
                </w14:textFill>
              </w:rPr>
              <w:t>通用宣传片</w:t>
            </w:r>
            <w:r>
              <w:rPr>
                <w:rFonts w:hint="eastAsia" w:ascii="宋体" w:hAnsi="宋体" w:cs="宋体"/>
                <w:color w:val="000000" w:themeColor="text1"/>
                <w:highlight w:val="none"/>
                <w14:textFill>
                  <w14:solidFill>
                    <w14:schemeClr w14:val="tx1"/>
                  </w14:solidFill>
                </w14:textFill>
              </w:rPr>
              <w:t>脚本</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并报招标人</w:t>
            </w:r>
            <w:r>
              <w:rPr>
                <w:rFonts w:hint="eastAsia" w:ascii="宋体" w:hAnsi="宋体" w:cs="宋体"/>
                <w:color w:val="000000" w:themeColor="text1"/>
                <w:highlight w:val="none"/>
                <w14:textFill>
                  <w14:solidFill>
                    <w14:schemeClr w14:val="tx1"/>
                  </w14:solidFill>
                </w14:textFill>
              </w:rPr>
              <w:t>确认</w:t>
            </w:r>
            <w:r>
              <w:rPr>
                <w:rFonts w:hint="eastAsia" w:ascii="宋体" w:hAnsi="宋体" w:cs="宋体"/>
                <w:color w:val="000000" w:themeColor="text1"/>
                <w:highlight w:val="none"/>
                <w:lang w:val="en-US" w:eastAsia="zh-CN"/>
                <w14:textFill>
                  <w14:solidFill>
                    <w14:schemeClr w14:val="tx1"/>
                  </w14:solidFill>
                </w14:textFill>
              </w:rPr>
              <w:t>后</w:t>
            </w:r>
            <w:r>
              <w:rPr>
                <w:rFonts w:hint="eastAsia" w:ascii="宋体" w:hAnsi="宋体" w:cs="宋体"/>
                <w:color w:val="000000" w:themeColor="text1"/>
                <w:highlight w:val="none"/>
                <w14:textFill>
                  <w14:solidFill>
                    <w14:schemeClr w14:val="tx1"/>
                  </w14:solidFill>
                </w14:textFill>
              </w:rPr>
              <w:t>，利用</w:t>
            </w:r>
            <w:r>
              <w:rPr>
                <w:rFonts w:hint="eastAsia" w:ascii="宋体" w:hAnsi="宋体" w:cs="宋体"/>
                <w:color w:val="000000" w:themeColor="text1"/>
                <w:highlight w:val="none"/>
                <w:lang w:val="en-US" w:eastAsia="zh-CN"/>
                <w14:textFill>
                  <w14:solidFill>
                    <w14:schemeClr w14:val="tx1"/>
                  </w14:solidFill>
                </w14:textFill>
              </w:rPr>
              <w:t>已有</w:t>
            </w:r>
            <w:r>
              <w:rPr>
                <w:rFonts w:hint="eastAsia" w:ascii="宋体" w:hAnsi="宋体" w:cs="宋体"/>
                <w:color w:val="000000" w:themeColor="text1"/>
                <w:highlight w:val="none"/>
                <w14:textFill>
                  <w14:solidFill>
                    <w14:schemeClr w14:val="tx1"/>
                  </w14:solidFill>
                </w14:textFill>
              </w:rPr>
              <w:t>素材</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如有需要投标人需进行素材拍摄），</w:t>
            </w:r>
            <w:r>
              <w:rPr>
                <w:rFonts w:hint="eastAsia" w:ascii="宋体" w:hAnsi="宋体" w:cs="宋体"/>
                <w:color w:val="000000" w:themeColor="text1"/>
                <w:highlight w:val="none"/>
                <w14:textFill>
                  <w14:solidFill>
                    <w14:schemeClr w14:val="tx1"/>
                  </w14:solidFill>
                </w14:textFill>
              </w:rPr>
              <w:t>制作一条时长5分钟</w:t>
            </w:r>
            <w:r>
              <w:rPr>
                <w:rFonts w:hint="eastAsia" w:ascii="宋体" w:hAnsi="宋体" w:cs="宋体"/>
                <w:color w:val="000000" w:themeColor="text1"/>
                <w:highlight w:val="none"/>
                <w:lang w:val="en-US" w:eastAsia="zh-CN"/>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的</w:t>
            </w:r>
            <w:r>
              <w:rPr>
                <w:rFonts w:hint="eastAsia" w:ascii="宋体" w:hAnsi="宋体" w:cs="宋体"/>
                <w:color w:val="000000" w:themeColor="text1"/>
                <w:highlight w:val="none"/>
                <w:lang w:val="en-US" w:eastAsia="zh-CN"/>
                <w14:textFill>
                  <w14:solidFill>
                    <w14:schemeClr w14:val="tx1"/>
                  </w14:solidFill>
                </w14:textFill>
              </w:rPr>
              <w:t>通用宣传</w:t>
            </w:r>
            <w:r>
              <w:rPr>
                <w:rFonts w:hint="eastAsia" w:ascii="宋体" w:hAnsi="宋体" w:cs="宋体"/>
                <w:color w:val="000000" w:themeColor="text1"/>
                <w:highlight w:val="none"/>
                <w14:textFill>
                  <w14:solidFill>
                    <w14:schemeClr w14:val="tx1"/>
                  </w14:solidFill>
                </w14:textFill>
              </w:rPr>
              <w:t>片</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片子需配有中文配音和字幕</w:t>
            </w:r>
            <w:r>
              <w:rPr>
                <w:rFonts w:hint="eastAsia" w:ascii="宋体" w:hAnsi="宋体" w:cs="宋体"/>
                <w:color w:val="000000" w:themeColor="text1"/>
                <w:highlight w:val="none"/>
                <w:lang w:eastAsia="zh-CN"/>
                <w14:textFill>
                  <w14:solidFill>
                    <w14:schemeClr w14:val="tx1"/>
                  </w14:solidFill>
                </w14:textFill>
              </w:rPr>
              <w:t>。</w:t>
            </w:r>
          </w:p>
          <w:p>
            <w:pPr>
              <w:numPr>
                <w:ilvl w:val="-1"/>
                <w:numId w:val="0"/>
              </w:numPr>
              <w:tabs>
                <w:tab w:val="left" w:pos="531"/>
              </w:tabs>
              <w:snapToGrid w:val="0"/>
              <w:ind w:left="0" w:leftChars="0" w:firstLine="0" w:firstLineChars="0"/>
              <w:rPr>
                <w:rFonts w:hint="default"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2023 年高交会</w:t>
            </w:r>
            <w:r>
              <w:rPr>
                <w:rFonts w:hint="eastAsia" w:ascii="宋体" w:hAnsi="宋体" w:cs="宋体"/>
                <w:color w:val="000000" w:themeColor="text1"/>
                <w:highlight w:val="none"/>
                <w:lang w:val="en-US" w:eastAsia="zh-CN"/>
                <w14:textFill>
                  <w14:solidFill>
                    <w14:schemeClr w14:val="tx1"/>
                  </w14:solidFill>
                </w14:textFill>
              </w:rPr>
              <w:t>英文版</w:t>
            </w:r>
            <w:r>
              <w:rPr>
                <w:rFonts w:hint="eastAsia" w:ascii="宋体" w:hAnsi="宋体" w:cs="宋体"/>
                <w:color w:val="000000" w:themeColor="text1"/>
                <w:highlight w:val="none"/>
                <w14:textFill>
                  <w14:solidFill>
                    <w14:schemeClr w14:val="tx1"/>
                  </w14:solidFill>
                </w14:textFill>
              </w:rPr>
              <w:t>通用宣传片</w:t>
            </w:r>
            <w:r>
              <w:rPr>
                <w:rFonts w:hint="eastAsia" w:ascii="宋体" w:hAnsi="宋体" w:cs="宋体"/>
                <w:color w:val="000000" w:themeColor="text1"/>
                <w:highlight w:val="none"/>
                <w:lang w:eastAsia="zh-CN"/>
                <w14:textFill>
                  <w14:solidFill>
                    <w14:schemeClr w14:val="tx1"/>
                  </w14:solidFill>
                </w14:textFill>
              </w:rPr>
              <w:t>：</w:t>
            </w:r>
          </w:p>
          <w:p>
            <w:pPr>
              <w:numPr>
                <w:ilvl w:val="0"/>
                <w:numId w:val="0"/>
              </w:numPr>
              <w:tabs>
                <w:tab w:val="left" w:pos="531"/>
              </w:tabs>
              <w:snapToGrid w:val="0"/>
              <w:ind w:leftChars="0"/>
              <w:rPr>
                <w:rFonts w:hint="default"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投标人结合高交会国际化的推广需求，制作一版高交会英文版通用宣传片，片子需有英文配音和字幕，时长5分钟以上。</w:t>
            </w:r>
          </w:p>
          <w:p>
            <w:pPr>
              <w:numPr>
                <w:ilvl w:val="-1"/>
                <w:numId w:val="0"/>
              </w:numPr>
              <w:tabs>
                <w:tab w:val="left" w:pos="531"/>
              </w:tabs>
              <w:snapToGrid w:val="0"/>
              <w:ind w:left="0" w:leftChars="0" w:firstLine="0" w:firstLine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（3）第二十五届高交会</w:t>
            </w:r>
            <w:r>
              <w:rPr>
                <w:rFonts w:hint="eastAsia" w:ascii="宋体" w:hAnsi="宋体" w:cs="宋体"/>
                <w:color w:val="000000" w:themeColor="text1"/>
                <w:highlight w:val="none"/>
                <w14:textFill>
                  <w14:solidFill>
                    <w14:schemeClr w14:val="tx1"/>
                  </w14:solidFill>
                </w14:textFill>
              </w:rPr>
              <w:t>微视频</w:t>
            </w:r>
            <w:r>
              <w:rPr>
                <w:rFonts w:hint="eastAsia" w:ascii="宋体" w:hAnsi="宋体" w:cs="宋体"/>
                <w:color w:val="000000" w:themeColor="text1"/>
                <w:highlight w:val="none"/>
                <w:lang w:eastAsia="zh-CN"/>
                <w14:textFill>
                  <w14:solidFill>
                    <w14:schemeClr w14:val="tx1"/>
                  </w14:solidFill>
                </w14:textFill>
              </w:rPr>
              <w:t>：</w:t>
            </w:r>
          </w:p>
          <w:p>
            <w:pPr>
              <w:numPr>
                <w:ilvl w:val="0"/>
                <w:numId w:val="0"/>
              </w:numPr>
              <w:tabs>
                <w:tab w:val="left" w:pos="531"/>
              </w:tabs>
              <w:snapToGrid w:val="0"/>
              <w:ind w:leftChars="0"/>
              <w:rPr>
                <w:rFonts w:hint="default"/>
                <w:color w:val="000000" w:themeColor="text1"/>
                <w:highlight w:val="none"/>
                <w:lang w:val="en-US"/>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投标人根据第二十五届高交会的宣传需求，制作一条时长约1分钟的高交会宣传微视频。</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服务需求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napToGrid w:val="0"/>
              <w:ind w:left="0" w:leftChars="0" w:firstLine="0" w:firstLineChars="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（1）投标人须指定本项目负责人，并提供该负责人姓名、电话、职务及身份证复印件（加盖公章，原件备查）等信息，负责联络、沟通、协调及跟进该项目具体实施。</w:t>
            </w:r>
          </w:p>
          <w:p>
            <w:pPr>
              <w:numPr>
                <w:ilvl w:val="-1"/>
                <w:numId w:val="0"/>
              </w:numPr>
              <w:tabs>
                <w:tab w:val="left" w:pos="531"/>
              </w:tabs>
              <w:snapToGrid w:val="0"/>
              <w:ind w:left="0" w:leftChars="0" w:firstLine="0" w:firstLineChars="0"/>
              <w:rPr>
                <w:rFonts w:hint="default"/>
                <w:color w:val="000000" w:themeColor="text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（2）投标人须配备专业的制作团队，随时响应项目制作需求。</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成果交付</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1"/>
                <w:numId w:val="0"/>
              </w:numPr>
              <w:tabs>
                <w:tab w:val="left" w:pos="531"/>
              </w:tabs>
              <w:snapToGrid w:val="0"/>
              <w:ind w:left="0" w:leftChars="0" w:firstLine="0" w:firstLineChars="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（1）2023 年高交会通用宣传片中文版，1条，时长5分钟以上；</w:t>
            </w:r>
          </w:p>
          <w:p>
            <w:pPr>
              <w:numPr>
                <w:ilvl w:val="-1"/>
                <w:numId w:val="0"/>
              </w:numPr>
              <w:tabs>
                <w:tab w:val="left" w:pos="531"/>
              </w:tabs>
              <w:snapToGrid w:val="0"/>
              <w:ind w:left="0" w:leftChars="0" w:firstLine="0" w:firstLineChars="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（2）2023 年高交会通用宣传片英文版，1条，时长5分钟以上；</w:t>
            </w:r>
          </w:p>
          <w:p>
            <w:pPr>
              <w:numPr>
                <w:ilvl w:val="-1"/>
                <w:numId w:val="0"/>
              </w:numPr>
              <w:tabs>
                <w:tab w:val="left" w:pos="531"/>
              </w:tabs>
              <w:snapToGrid w:val="0"/>
              <w:ind w:left="0" w:leftChars="0" w:firstLine="0" w:firstLineChars="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（3）第二十五届高交会微视频，1条，时长约1分钟。</w:t>
            </w:r>
          </w:p>
          <w:p>
            <w:pPr>
              <w:numPr>
                <w:ilvl w:val="0"/>
                <w:numId w:val="0"/>
              </w:numPr>
              <w:ind w:left="0"/>
            </w:pPr>
            <w:r>
              <w:rPr>
                <w:rFonts w:hint="eastAsia" w:ascii="宋体" w:hAnsi="宋体" w:cs="宋体"/>
                <w:color w:val="000000" w:themeColor="text1"/>
                <w:szCs w:val="21"/>
                <w:highlight w:val="none"/>
                <w:lang w:val="en-US" w:eastAsia="zh-CN"/>
                <w14:textFill>
                  <w14:solidFill>
                    <w14:schemeClr w14:val="tx1"/>
                  </w14:solidFill>
                </w14:textFill>
              </w:rPr>
              <w:t>（4）交付形式：将三个视频的高清版（1080p）压缩版（按需提供自媒体所需格式），源文件以及所用到的所有素材一同打包，通过单独移动硬盘的形式交付采购方。</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napToGrid/>
                <w:spacing w:val="0"/>
                <w:kern w:val="2"/>
                <w:sz w:val="21"/>
                <w:szCs w:val="21"/>
                <w:lang w:val="en-US" w:eastAsia="zh-CN"/>
              </w:rPr>
            </w:pPr>
            <w:r>
              <w:rPr>
                <w:rFonts w:hint="eastAsia" w:ascii="宋体" w:hAnsi="宋体" w:cs="宋体"/>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版权归属</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（1）本项目的方案和所有成果版权归深圳会展中心管理有限责任公司所有；</w:t>
            </w:r>
          </w:p>
          <w:p>
            <w:pPr>
              <w:numPr>
                <w:ilvl w:val="0"/>
                <w:numId w:val="0"/>
              </w:numPr>
              <w:tabs>
                <w:tab w:val="left" w:pos="531"/>
              </w:tabs>
              <w:snapToGrid w:val="0"/>
              <w:ind w:leftChars="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投标人必须对成果拥有原创性，不得有模仿、抄袭（包括但不仅限于字体、图文、创意）等侵权行为，如果因此所带来的法律责任和造成的损失均由投标人承担，与深圳会展中心无关。因此给深圳会展中心造成损失的，由投标人全部承担并赔偿深圳会展中心相应损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lang w:val="en-US" w:eastAsia="zh-CN"/>
              </w:rPr>
            </w:pPr>
            <w:r>
              <w:rPr>
                <w:rFonts w:hint="eastAsia" w:ascii="宋体" w:hAnsi="宋体" w:cs="宋体"/>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ind w:leftChars="0"/>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五年内，投标人需根据采购人需求，略微调整视频内容。</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不可偏离</w:t>
            </w:r>
          </w:p>
        </w:tc>
      </w:tr>
    </w:tbl>
    <w:p>
      <w:pPr>
        <w:numPr>
          <w:ilvl w:val="-1"/>
          <w:numId w:val="0"/>
        </w:numPr>
        <w:jc w:val="left"/>
        <w:outlineLvl w:val="1"/>
        <w:rPr>
          <w:rFonts w:ascii="宋体" w:hAnsi="宋体"/>
          <w:b/>
          <w:szCs w:val="21"/>
        </w:rPr>
      </w:pPr>
    </w:p>
    <w:p>
      <w:pPr>
        <w:numPr>
          <w:ilvl w:val="0"/>
          <w:numId w:val="1"/>
        </w:numPr>
        <w:jc w:val="left"/>
        <w:outlineLvl w:val="1"/>
        <w:rPr>
          <w:rFonts w:ascii="宋体" w:hAnsi="宋体"/>
          <w:b/>
          <w:szCs w:val="21"/>
        </w:rPr>
      </w:pPr>
      <w:r>
        <w:rPr>
          <w:rFonts w:ascii="宋体" w:hAnsi="宋体"/>
          <w:b/>
          <w:szCs w:val="21"/>
        </w:rPr>
        <w:t>其他项目说明资料</w:t>
      </w:r>
    </w:p>
    <w:p>
      <w:pPr>
        <w:widowControl/>
        <w:ind w:firstLine="420" w:firstLineChars="200"/>
        <w:jc w:val="left"/>
        <w:rPr>
          <w:color w:val="FF0000"/>
          <w:highlight w:val="yellow"/>
        </w:rPr>
      </w:pPr>
      <w:r>
        <w:rPr>
          <w:rFonts w:hint="eastAsia"/>
          <w:color w:val="auto"/>
          <w:highlight w:val="none"/>
          <w:lang w:val="en-US" w:eastAsia="zh-CN"/>
        </w:rPr>
        <w:t>无</w:t>
      </w:r>
      <w:r>
        <w:rPr>
          <w:color w:val="FF0000"/>
          <w:highlight w:val="yellow"/>
        </w:rPr>
        <w:br w:type="page"/>
      </w:r>
    </w:p>
    <w:p>
      <w:pPr>
        <w:spacing w:line="360" w:lineRule="auto"/>
        <w:jc w:val="center"/>
        <w:outlineLvl w:val="0"/>
        <w:rPr>
          <w:rFonts w:ascii="宋体" w:hAnsi="宋体"/>
          <w:b/>
          <w:sz w:val="32"/>
          <w:szCs w:val="32"/>
        </w:rPr>
      </w:pPr>
      <w:bookmarkStart w:id="38" w:name="_Toc116550350"/>
      <w:r>
        <w:rPr>
          <w:rFonts w:hint="eastAsia" w:ascii="宋体" w:hAnsi="宋体"/>
          <w:b/>
          <w:sz w:val="32"/>
          <w:szCs w:val="32"/>
        </w:rPr>
        <w:t>第二部分：开标评标流程</w:t>
      </w:r>
      <w:bookmarkEnd w:id="38"/>
    </w:p>
    <w:p>
      <w:pPr>
        <w:numPr>
          <w:ilvl w:val="0"/>
          <w:numId w:val="1"/>
        </w:numPr>
        <w:spacing w:line="360" w:lineRule="auto"/>
        <w:outlineLvl w:val="1"/>
        <w:rPr>
          <w:b/>
        </w:rPr>
      </w:pPr>
      <w:bookmarkStart w:id="39" w:name="_Toc116550351"/>
      <w:bookmarkStart w:id="40" w:name="_Toc104994641"/>
      <w:bookmarkStart w:id="41" w:name="_Hlk104908581"/>
      <w:bookmarkStart w:id="42" w:name="_Hlk104908397"/>
      <w:r>
        <w:rPr>
          <w:rFonts w:hint="eastAsia"/>
          <w:b/>
        </w:rPr>
        <w:t>开标阶段</w:t>
      </w:r>
      <w:bookmarkEnd w:id="39"/>
      <w:bookmarkEnd w:id="40"/>
    </w:p>
    <w:bookmarkEnd w:id="41"/>
    <w:p>
      <w:pPr>
        <w:pStyle w:val="23"/>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3"/>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3"/>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3"/>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3"/>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3"/>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3"/>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3"/>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3" w:name="_Toc104994642"/>
      <w:bookmarkStart w:id="44" w:name="_Toc116550352"/>
      <w:r>
        <w:rPr>
          <w:rFonts w:hint="eastAsia"/>
          <w:b/>
        </w:rPr>
        <w:t>评标阶段</w:t>
      </w:r>
      <w:bookmarkEnd w:id="43"/>
      <w:bookmarkEnd w:id="44"/>
    </w:p>
    <w:p>
      <w:pPr>
        <w:pStyle w:val="23"/>
        <w:numPr>
          <w:ilvl w:val="0"/>
          <w:numId w:val="14"/>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3"/>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3"/>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3"/>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3"/>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3"/>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3"/>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3"/>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2"/>
    <w:p>
      <w:pPr>
        <w:widowControl/>
        <w:jc w:val="left"/>
        <w:rPr>
          <w:rFonts w:ascii="仿宋_GB2312" w:hAnsi="宋体" w:eastAsia="仿宋_GB2312"/>
        </w:rPr>
      </w:pPr>
      <w:r>
        <w:br w:type="page"/>
      </w:r>
    </w:p>
    <w:p>
      <w:pPr>
        <w:pStyle w:val="12"/>
        <w:rPr>
          <w:rFonts w:ascii="宋体"/>
          <w:b/>
          <w:sz w:val="28"/>
        </w:rPr>
      </w:pPr>
    </w:p>
    <w:p>
      <w:pPr>
        <w:spacing w:line="360" w:lineRule="auto"/>
        <w:jc w:val="center"/>
        <w:outlineLvl w:val="0"/>
        <w:rPr>
          <w:rFonts w:ascii="宋体" w:hAnsi="宋体"/>
          <w:b/>
          <w:sz w:val="32"/>
          <w:szCs w:val="32"/>
        </w:rPr>
      </w:pPr>
      <w:bookmarkStart w:id="45" w:name="_Toc116550353"/>
      <w:r>
        <w:rPr>
          <w:rFonts w:hint="eastAsia" w:ascii="宋体" w:hAnsi="宋体"/>
          <w:b/>
          <w:sz w:val="32"/>
          <w:szCs w:val="32"/>
        </w:rPr>
        <w:t>第三部分：评审办法</w:t>
      </w:r>
      <w:bookmarkEnd w:id="45"/>
    </w:p>
    <w:p>
      <w:pPr>
        <w:numPr>
          <w:ilvl w:val="0"/>
          <w:numId w:val="1"/>
        </w:numPr>
        <w:spacing w:line="360" w:lineRule="auto"/>
        <w:outlineLvl w:val="1"/>
        <w:rPr>
          <w:rFonts w:ascii="宋体" w:hAnsi="宋体"/>
          <w:szCs w:val="21"/>
        </w:rPr>
      </w:pPr>
      <w:bookmarkStart w:id="46" w:name="_Toc116550354"/>
      <w:r>
        <w:rPr>
          <w:rFonts w:hint="eastAsia" w:ascii="宋体" w:hAnsi="宋体"/>
          <w:b/>
          <w:bCs/>
          <w:szCs w:val="21"/>
        </w:rPr>
        <w:t>评审办法</w:t>
      </w:r>
      <w:bookmarkEnd w:id="46"/>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none"/>
        </w:rPr>
        <w:t>100分制综合评分法</w:t>
      </w:r>
      <w:r>
        <w:rPr>
          <w:rFonts w:hint="eastAsia" w:ascii="宋体" w:hAnsi="宋体"/>
          <w:szCs w:val="21"/>
        </w:rPr>
        <w:t>进行评分。</w:t>
      </w:r>
    </w:p>
    <w:tbl>
      <w:tblPr>
        <w:tblStyle w:val="16"/>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lang w:val="en-US" w:eastAsia="zh-CN"/>
              </w:rPr>
              <w:t>40</w:t>
            </w:r>
            <w:r>
              <w:rPr>
                <w:rFonts w:hint="eastAsia" w:ascii="宋体" w:hAnsi="宋体"/>
                <w:color w:val="auto"/>
                <w:szCs w:val="21"/>
              </w:rPr>
              <w:t>%</w:t>
            </w:r>
          </w:p>
        </w:tc>
        <w:tc>
          <w:tcPr>
            <w:tcW w:w="2131"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lang w:val="en-US" w:eastAsia="zh-CN"/>
              </w:rPr>
              <w:t>40</w:t>
            </w:r>
            <w:r>
              <w:rPr>
                <w:rFonts w:hint="eastAsia" w:ascii="宋体" w:hAnsi="宋体"/>
                <w:color w:val="auto"/>
                <w:szCs w:val="21"/>
              </w:rPr>
              <w:t>%</w:t>
            </w:r>
          </w:p>
        </w:tc>
        <w:tc>
          <w:tcPr>
            <w:tcW w:w="2585"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lang w:val="en-US" w:eastAsia="zh-CN"/>
              </w:rPr>
              <w:t>20</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5"/>
        </w:numPr>
        <w:spacing w:before="156" w:beforeLines="50"/>
        <w:jc w:val="left"/>
        <w:outlineLvl w:val="2"/>
        <w:rPr>
          <w:rStyle w:val="30"/>
          <w:rFonts w:ascii="宋体" w:hAnsi="宋体"/>
          <w:b/>
          <w:szCs w:val="21"/>
        </w:rPr>
      </w:pPr>
      <w:bookmarkStart w:id="47" w:name="_Toc116550355"/>
      <w:r>
        <w:rPr>
          <w:rStyle w:val="30"/>
          <w:rFonts w:hint="eastAsia" w:ascii="宋体" w:hAnsi="宋体"/>
          <w:b/>
          <w:bCs/>
          <w:szCs w:val="21"/>
        </w:rPr>
        <w:t>符合性检查</w:t>
      </w:r>
      <w:bookmarkEnd w:id="47"/>
    </w:p>
    <w:tbl>
      <w:tblPr>
        <w:tblStyle w:val="15"/>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196" w:hRule="atLeast"/>
          <w:tblCellSpacing w:w="0" w:type="dxa"/>
        </w:trPr>
        <w:tc>
          <w:tcPr>
            <w:tcW w:w="1881" w:type="dxa"/>
            <w:tcBorders>
              <w:tl2br w:val="nil"/>
              <w:tr2bl w:val="nil"/>
            </w:tcBorders>
            <w:vAlign w:val="center"/>
          </w:tcPr>
          <w:p>
            <w:pPr>
              <w:spacing w:line="24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24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174" w:hRule="atLeast"/>
          <w:tblCellSpacing w:w="0" w:type="dxa"/>
        </w:trPr>
        <w:tc>
          <w:tcPr>
            <w:tcW w:w="1881" w:type="dxa"/>
            <w:tcBorders>
              <w:tl2br w:val="nil"/>
              <w:tr2bl w:val="nil"/>
            </w:tcBorders>
            <w:vAlign w:val="center"/>
          </w:tcPr>
          <w:p>
            <w:pPr>
              <w:spacing w:line="24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24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527" w:hRule="atLeast"/>
          <w:tblCellSpacing w:w="0" w:type="dxa"/>
        </w:trPr>
        <w:tc>
          <w:tcPr>
            <w:tcW w:w="1881" w:type="dxa"/>
            <w:tcBorders>
              <w:tl2br w:val="nil"/>
              <w:tr2bl w:val="nil"/>
            </w:tcBorders>
            <w:vAlign w:val="center"/>
          </w:tcPr>
          <w:p>
            <w:pPr>
              <w:spacing w:line="360" w:lineRule="auto"/>
              <w:jc w:val="center"/>
              <w:rPr>
                <w:rFonts w:ascii="宋体" w:hAnsi="宋体" w:cs="仿宋"/>
                <w:color w:val="000000" w:themeColor="text1"/>
                <w:szCs w:val="21"/>
                <w:highlight w:val="none"/>
                <w14:textFill>
                  <w14:solidFill>
                    <w14:schemeClr w14:val="tx1"/>
                  </w14:solidFill>
                </w14:textFill>
              </w:rPr>
            </w:pPr>
            <w:r>
              <w:rPr>
                <w:rFonts w:hint="eastAsia" w:ascii="宋体" w:hAnsi="宋体" w:cs="仿宋"/>
                <w:color w:val="000000" w:themeColor="text1"/>
                <w:szCs w:val="21"/>
                <w:highlight w:val="none"/>
                <w14:textFill>
                  <w14:solidFill>
                    <w14:schemeClr w14:val="tx1"/>
                  </w14:solidFill>
                </w14:textFill>
              </w:rPr>
              <w:t>资格证明文件</w:t>
            </w:r>
          </w:p>
        </w:tc>
        <w:tc>
          <w:tcPr>
            <w:tcW w:w="7635" w:type="dxa"/>
            <w:tcBorders>
              <w:tl2br w:val="nil"/>
              <w:tr2bl w:val="nil"/>
            </w:tcBorders>
            <w:vAlign w:val="center"/>
          </w:tcPr>
          <w:p>
            <w:pPr>
              <w:numPr>
                <w:ilvl w:val="-1"/>
                <w:numId w:val="0"/>
              </w:numPr>
              <w:tabs>
                <w:tab w:val="left" w:pos="531"/>
              </w:tabs>
              <w:snapToGrid w:val="0"/>
              <w:ind w:left="0" w:firstLine="0"/>
            </w:pPr>
            <w:r>
              <w:rPr>
                <w:rFonts w:hint="eastAsia"/>
                <w:lang w:eastAsia="zh-CN"/>
              </w:rPr>
              <w:t>（</w:t>
            </w:r>
            <w:r>
              <w:rPr>
                <w:rFonts w:hint="eastAsia"/>
                <w:lang w:val="en-US" w:eastAsia="zh-CN"/>
              </w:rPr>
              <w:t>1</w:t>
            </w:r>
            <w:r>
              <w:rPr>
                <w:rFonts w:hint="eastAsia"/>
                <w:lang w:eastAsia="zh-CN"/>
              </w:rPr>
              <w:t>）</w:t>
            </w:r>
            <w:r>
              <w:rPr>
                <w:rFonts w:hint="eastAsia"/>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0"/>
              </w:numPr>
              <w:tabs>
                <w:tab w:val="left" w:pos="531"/>
              </w:tabs>
              <w:snapToGrid w:val="0"/>
              <w:spacing w:line="240" w:lineRule="auto"/>
              <w:rPr>
                <w:rFonts w:hint="eastAsia"/>
              </w:rPr>
            </w:pPr>
            <w:r>
              <w:rPr>
                <w:rFonts w:hint="eastAsia"/>
                <w:lang w:eastAsia="zh-CN"/>
              </w:rPr>
              <w:t>（</w:t>
            </w:r>
            <w:r>
              <w:rPr>
                <w:rFonts w:hint="eastAsia"/>
                <w:lang w:val="en-US" w:eastAsia="zh-CN"/>
              </w:rPr>
              <w:t>2</w:t>
            </w:r>
            <w:r>
              <w:rPr>
                <w:rFonts w:hint="eastAsia"/>
                <w:lang w:eastAsia="zh-CN"/>
              </w:rPr>
              <w:t>）</w:t>
            </w:r>
            <w:r>
              <w:rPr>
                <w:rFonts w:hint="eastAsia"/>
              </w:rPr>
              <w:t>投标人代表必须是投标单位的法定代表人或持有法定代表人亲自签署的法人授权委托证明书的人员。（提供法定代表人证明书、法人授权委托证明书</w:t>
            </w:r>
            <w:r>
              <w:rPr>
                <w:rFonts w:hint="eastAsia" w:ascii="宋体" w:hAnsi="宋体" w:cs="宋体"/>
              </w:rPr>
              <w:t>及法定代表人、被委托人身份证扫描件并加盖投标人公章；</w:t>
            </w:r>
            <w:r>
              <w:rPr>
                <w:rFonts w:hint="eastAsia"/>
              </w:rPr>
              <w:t>如单位法定代表人为本项目授权代表，则仅提供法定代表人证明书及身份证复印件，各证明书须加盖公章，身份证原件备查）。</w:t>
            </w:r>
          </w:p>
          <w:p>
            <w:pPr>
              <w:numPr>
                <w:ilvl w:val="-1"/>
                <w:numId w:val="0"/>
              </w:numPr>
              <w:tabs>
                <w:tab w:val="left" w:pos="531"/>
              </w:tabs>
              <w:snapToGrid w:val="0"/>
              <w:spacing w:line="240" w:lineRule="auto"/>
              <w:rPr>
                <w:color w:val="000000" w:themeColor="text1"/>
                <w:highlight w:val="none"/>
                <w14:textFill>
                  <w14:solidFill>
                    <w14:schemeClr w14:val="tx1"/>
                  </w14:solidFill>
                </w14:textFill>
              </w:rPr>
            </w:pPr>
            <w:r>
              <w:rPr>
                <w:rFonts w:hint="eastAsia"/>
                <w:lang w:eastAsia="zh-CN"/>
              </w:rPr>
              <w:t>（</w:t>
            </w:r>
            <w:r>
              <w:rPr>
                <w:rFonts w:hint="eastAsia"/>
                <w:lang w:val="en-US" w:eastAsia="zh-CN"/>
              </w:rPr>
              <w:t>3</w:t>
            </w:r>
            <w:r>
              <w:rPr>
                <w:rFonts w:hint="eastAsia"/>
                <w:lang w:eastAsia="zh-CN"/>
              </w:rPr>
              <w:t>）</w:t>
            </w:r>
            <w:r>
              <w:rPr>
                <w:rFonts w:hint="eastAsia"/>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655"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本项目报价是否高于</w:t>
            </w:r>
            <w:r>
              <w:rPr>
                <w:rFonts w:hint="eastAsia" w:ascii="宋体" w:hAnsi="宋体"/>
                <w:color w:val="auto"/>
                <w:szCs w:val="21"/>
                <w:highlight w:val="none"/>
                <w:lang w:val="en-US" w:eastAsia="zh-CN"/>
              </w:rPr>
              <w:t>35</w:t>
            </w:r>
            <w:r>
              <w:rPr>
                <w:rFonts w:ascii="宋体" w:hAnsi="宋体" w:cs="仿宋"/>
                <w:color w:val="auto"/>
                <w:szCs w:val="21"/>
                <w:highlight w:val="none"/>
              </w:rPr>
              <w:t>万元</w:t>
            </w:r>
            <w:r>
              <w:rPr>
                <w:rFonts w:ascii="宋体" w:hAnsi="宋体" w:cs="仿宋"/>
                <w:szCs w:val="21"/>
              </w:rPr>
              <w:t>（含税）</w:t>
            </w:r>
            <w:r>
              <w:rPr>
                <w:rFonts w:hint="eastAsia" w:ascii="宋体" w:hAnsi="宋体" w:cs="仿宋"/>
                <w:szCs w:val="21"/>
              </w:rPr>
              <w:t>，超过上述控制金额的视为无效报价。</w:t>
            </w:r>
          </w:p>
        </w:tc>
      </w:tr>
    </w:tbl>
    <w:p>
      <w:pPr>
        <w:numPr>
          <w:ilvl w:val="0"/>
          <w:numId w:val="15"/>
        </w:numPr>
        <w:spacing w:before="156" w:beforeLines="50"/>
        <w:jc w:val="left"/>
        <w:outlineLvl w:val="2"/>
        <w:rPr>
          <w:rStyle w:val="30"/>
          <w:rFonts w:ascii="宋体" w:hAnsi="宋体"/>
          <w:b/>
          <w:bCs/>
          <w:szCs w:val="21"/>
        </w:rPr>
      </w:pPr>
      <w:bookmarkStart w:id="48" w:name="_Toc116550356"/>
      <w:bookmarkStart w:id="49" w:name="_Toc114675512"/>
      <w:r>
        <w:rPr>
          <w:rStyle w:val="30"/>
          <w:rFonts w:hint="eastAsia" w:ascii="宋体" w:hAnsi="宋体"/>
          <w:b/>
          <w:bCs/>
          <w:szCs w:val="21"/>
        </w:rPr>
        <w:t>不可偏离项检查</w:t>
      </w:r>
      <w:bookmarkEnd w:id="48"/>
      <w:bookmarkEnd w:id="49"/>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5"/>
        </w:numPr>
        <w:spacing w:before="156" w:beforeLines="50"/>
        <w:jc w:val="left"/>
        <w:outlineLvl w:val="2"/>
        <w:rPr>
          <w:rFonts w:ascii="宋体" w:hAnsi="宋体"/>
          <w:b/>
          <w:bCs/>
          <w:szCs w:val="21"/>
        </w:rPr>
      </w:pPr>
      <w:bookmarkStart w:id="50" w:name="_Toc116550357"/>
      <w:bookmarkStart w:id="51" w:name="_Toc114675513"/>
      <w:r>
        <w:rPr>
          <w:rStyle w:val="30"/>
          <w:rFonts w:hint="eastAsia" w:ascii="宋体" w:hAnsi="宋体"/>
          <w:b/>
          <w:bCs/>
          <w:szCs w:val="21"/>
        </w:rPr>
        <w:t>综合评议指标表</w:t>
      </w:r>
      <w:bookmarkEnd w:id="50"/>
      <w:bookmarkEnd w:id="51"/>
    </w:p>
    <w:p>
      <w:pPr>
        <w:pStyle w:val="2"/>
      </w:pPr>
    </w:p>
    <w:tbl>
      <w:tblPr>
        <w:tblStyle w:val="15"/>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68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4"/>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b/>
                <w:szCs w:val="21"/>
                <w:lang w:val="en-US" w:eastAsia="zh-CN"/>
              </w:rPr>
              <w:t>40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3"/>
              <w:numPr>
                <w:ilvl w:val="0"/>
                <w:numId w:val="16"/>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default" w:ascii="宋体" w:hAnsi="宋体" w:eastAsia="宋体"/>
                <w:color w:val="000000" w:themeColor="text1"/>
                <w:szCs w:val="21"/>
                <w:highlight w:val="none"/>
                <w:lang w:val="en-US" w:eastAsia="zh-CN"/>
                <w14:textFill>
                  <w14:solidFill>
                    <w14:schemeClr w14:val="tx1"/>
                  </w14:solidFill>
                </w14:textFill>
              </w:rPr>
              <w:t>同类项目业绩情况</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20</w:t>
            </w:r>
            <w:r>
              <w:rPr>
                <w:rFonts w:hint="eastAsia" w:ascii="宋体" w:hAnsi="宋体"/>
                <w:color w:val="000000" w:themeColor="text1"/>
                <w:szCs w:val="21"/>
                <w:highlight w:val="none"/>
                <w14:textFill>
                  <w14:solidFill>
                    <w14:schemeClr w14:val="tx1"/>
                  </w14:solidFill>
                </w14:textFill>
              </w:rPr>
              <w:t>分</w:t>
            </w:r>
          </w:p>
        </w:tc>
        <w:tc>
          <w:tcPr>
            <w:tcW w:w="6804" w:type="dxa"/>
            <w:tcBorders>
              <w:tl2br w:val="nil"/>
              <w:tr2bl w:val="nil"/>
            </w:tcBorders>
            <w:tcMar>
              <w:top w:w="15" w:type="dxa"/>
              <w:left w:w="15" w:type="dxa"/>
              <w:bottom w:w="15" w:type="dxa"/>
              <w:right w:w="15" w:type="dxa"/>
            </w:tcMar>
            <w:vAlign w:val="center"/>
          </w:tcPr>
          <w:p>
            <w:pPr>
              <w:spacing w:line="320" w:lineRule="exact"/>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一、评分内容：</w:t>
            </w:r>
          </w:p>
          <w:p>
            <w:pPr>
              <w:spacing w:line="320" w:lineRule="exact"/>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投标人近三年（自2021年1月1日起至</w:t>
            </w:r>
            <w:r>
              <w:rPr>
                <w:rFonts w:hint="eastAsia" w:ascii="宋体" w:hAnsi="宋体" w:cs="Times New Roman"/>
                <w:color w:val="000000" w:themeColor="text1"/>
                <w:szCs w:val="21"/>
                <w:highlight w:val="none"/>
                <w:lang w:val="en-US" w:eastAsia="zh-CN"/>
                <w14:textFill>
                  <w14:solidFill>
                    <w14:schemeClr w14:val="tx1"/>
                  </w14:solidFill>
                </w14:textFill>
              </w:rPr>
              <w:t>本项目招标公告发布之</w:t>
            </w:r>
            <w:r>
              <w:rPr>
                <w:rFonts w:hint="eastAsia" w:ascii="宋体" w:hAnsi="宋体" w:eastAsia="宋体" w:cs="Times New Roman"/>
                <w:color w:val="000000" w:themeColor="text1"/>
                <w:szCs w:val="21"/>
                <w:highlight w:val="none"/>
                <w:lang w:val="en-US" w:eastAsia="zh-CN"/>
                <w14:textFill>
                  <w14:solidFill>
                    <w14:schemeClr w14:val="tx1"/>
                  </w14:solidFill>
                </w14:textFill>
              </w:rPr>
              <w:t>日止，以合同签订日期为准）具有视频制作相关经验的，每提供一项业绩得4分（同一合作单位</w:t>
            </w:r>
            <w:r>
              <w:rPr>
                <w:rFonts w:hint="eastAsia" w:ascii="宋体" w:hAnsi="宋体" w:cs="Times New Roman"/>
                <w:color w:val="000000" w:themeColor="text1"/>
                <w:szCs w:val="21"/>
                <w:highlight w:val="none"/>
                <w:lang w:val="en-US" w:eastAsia="zh-CN"/>
                <w14:textFill>
                  <w14:solidFill>
                    <w14:schemeClr w14:val="tx1"/>
                  </w14:solidFill>
                </w14:textFill>
              </w:rPr>
              <w:t>不同项目</w:t>
            </w:r>
            <w:r>
              <w:rPr>
                <w:rFonts w:hint="eastAsia" w:ascii="宋体" w:hAnsi="宋体" w:eastAsia="宋体" w:cs="Times New Roman"/>
                <w:color w:val="000000" w:themeColor="text1"/>
                <w:szCs w:val="21"/>
                <w:highlight w:val="none"/>
                <w:lang w:val="en-US" w:eastAsia="zh-CN"/>
                <w14:textFill>
                  <w14:solidFill>
                    <w14:schemeClr w14:val="tx1"/>
                  </w14:solidFill>
                </w14:textFill>
              </w:rPr>
              <w:t>可以重复得分），最高</w:t>
            </w:r>
            <w:r>
              <w:rPr>
                <w:rFonts w:hint="eastAsia" w:ascii="宋体" w:hAnsi="宋体" w:cs="Times New Roman"/>
                <w:color w:val="000000" w:themeColor="text1"/>
                <w:szCs w:val="21"/>
                <w:highlight w:val="none"/>
                <w:lang w:val="en-US" w:eastAsia="zh-CN"/>
                <w14:textFill>
                  <w14:solidFill>
                    <w14:schemeClr w14:val="tx1"/>
                  </w14:solidFill>
                </w14:textFill>
              </w:rPr>
              <w:t>得</w:t>
            </w:r>
            <w:r>
              <w:rPr>
                <w:rFonts w:hint="eastAsia" w:ascii="宋体" w:hAnsi="宋体" w:eastAsia="宋体" w:cs="Times New Roman"/>
                <w:color w:val="000000" w:themeColor="text1"/>
                <w:szCs w:val="21"/>
                <w:highlight w:val="none"/>
                <w:lang w:val="en-US" w:eastAsia="zh-CN"/>
                <w14:textFill>
                  <w14:solidFill>
                    <w14:schemeClr w14:val="tx1"/>
                  </w14:solidFill>
                </w14:textFill>
              </w:rPr>
              <w:t>20分。</w:t>
            </w:r>
          </w:p>
          <w:p>
            <w:pPr>
              <w:spacing w:line="320" w:lineRule="exact"/>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二、证明材料：</w:t>
            </w:r>
          </w:p>
          <w:p>
            <w:pPr>
              <w:spacing w:line="320" w:lineRule="exact"/>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1.提供合同关键信息</w:t>
            </w:r>
            <w:r>
              <w:rPr>
                <w:rFonts w:hint="eastAsia" w:ascii="宋体" w:hAnsi="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包括但不限于合同主体、服务内容、签订页等</w:t>
            </w:r>
            <w:r>
              <w:rPr>
                <w:rFonts w:hint="eastAsia" w:ascii="宋体" w:hAnsi="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通过合同关键信息无法判断的，还须同时提供</w:t>
            </w:r>
            <w:r>
              <w:rPr>
                <w:rFonts w:hint="eastAsia" w:ascii="宋体" w:hAnsi="宋体" w:cs="Times New Roman"/>
                <w:color w:val="000000" w:themeColor="text1"/>
                <w:szCs w:val="21"/>
                <w:highlight w:val="none"/>
                <w:lang w:val="en-US" w:eastAsia="zh-CN"/>
                <w14:textFill>
                  <w14:solidFill>
                    <w14:schemeClr w14:val="tx1"/>
                  </w14:solidFill>
                </w14:textFill>
              </w:rPr>
              <w:t>合同甲方盖章认可的</w:t>
            </w:r>
            <w:r>
              <w:rPr>
                <w:rFonts w:hint="eastAsia" w:ascii="宋体" w:hAnsi="宋体" w:eastAsia="宋体" w:cs="Times New Roman"/>
                <w:color w:val="000000" w:themeColor="text1"/>
                <w:szCs w:val="21"/>
                <w:highlight w:val="none"/>
                <w:lang w:val="en-US" w:eastAsia="zh-CN"/>
                <w14:textFill>
                  <w14:solidFill>
                    <w14:schemeClr w14:val="tx1"/>
                  </w14:solidFill>
                </w14:textFill>
              </w:rPr>
              <w:t>项目报告或合同甲方出具的证明文件。</w:t>
            </w:r>
          </w:p>
          <w:p>
            <w:pPr>
              <w:spacing w:line="320" w:lineRule="exact"/>
              <w:jc w:val="left"/>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以上资料均要求提供复印件并加盖投标人公章，原件备查。评分中出现无证明资料或</w:t>
            </w:r>
            <w:r>
              <w:rPr>
                <w:rFonts w:hint="eastAsia" w:ascii="宋体" w:hAnsi="宋体" w:cs="Times New Roman"/>
                <w:color w:val="000000" w:themeColor="text1"/>
                <w:szCs w:val="21"/>
                <w:highlight w:val="none"/>
                <w:lang w:val="en-US" w:eastAsia="zh-CN"/>
                <w14:textFill>
                  <w14:solidFill>
                    <w14:schemeClr w14:val="tx1"/>
                  </w14:solidFill>
                </w14:textFill>
              </w:rPr>
              <w:t>评委</w:t>
            </w:r>
            <w:r>
              <w:rPr>
                <w:rFonts w:hint="eastAsia" w:ascii="宋体" w:hAnsi="宋体" w:eastAsia="宋体" w:cs="Times New Roman"/>
                <w:color w:val="000000" w:themeColor="text1"/>
                <w:szCs w:val="21"/>
                <w:highlight w:val="none"/>
                <w:lang w:val="en-US" w:eastAsia="zh-CN"/>
                <w14:textFill>
                  <w14:solidFill>
                    <w14:schemeClr w14:val="tx1"/>
                  </w14:solidFill>
                </w14:textFill>
              </w:rPr>
              <w:t>无法凭所提供资料判断是否得分的情况，一律作不得分处理。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3"/>
              <w:numPr>
                <w:ilvl w:val="0"/>
                <w:numId w:val="16"/>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供应商获奖情况</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分</w:t>
            </w:r>
          </w:p>
        </w:tc>
        <w:tc>
          <w:tcPr>
            <w:tcW w:w="6804" w:type="dxa"/>
            <w:tcBorders>
              <w:tl2br w:val="nil"/>
              <w:tr2bl w:val="nil"/>
            </w:tcBorders>
            <w:tcMar>
              <w:top w:w="15" w:type="dxa"/>
              <w:left w:w="15" w:type="dxa"/>
              <w:bottom w:w="15" w:type="dxa"/>
              <w:right w:w="15" w:type="dxa"/>
            </w:tcMar>
            <w:vAlign w:val="center"/>
          </w:tcPr>
          <w:p>
            <w:pPr>
              <w:spacing w:line="320" w:lineRule="exact"/>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一、评分内容：</w:t>
            </w:r>
          </w:p>
          <w:p>
            <w:pPr>
              <w:spacing w:line="320" w:lineRule="exact"/>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投标人近三年（自2021年1月1日起至本项目招标公告发布之日止，以合同签订日期为准）获得的与内容制作相关的荣誉或奖项，每提供1个国家级荣誉或奖项得3分，每提供一个省级荣誉或奖项得1分，每提供一个市级荣誉或奖项得0.5分；此项累计得分，最高</w:t>
            </w:r>
            <w:r>
              <w:rPr>
                <w:rFonts w:hint="eastAsia" w:ascii="宋体" w:hAnsi="宋体" w:cs="Times New Roman"/>
                <w:color w:val="000000" w:themeColor="text1"/>
                <w:szCs w:val="21"/>
                <w:highlight w:val="none"/>
                <w:lang w:val="en-US" w:eastAsia="zh-CN"/>
                <w14:textFill>
                  <w14:solidFill>
                    <w14:schemeClr w14:val="tx1"/>
                  </w14:solidFill>
                </w14:textFill>
              </w:rPr>
              <w:t>得</w:t>
            </w:r>
            <w:r>
              <w:rPr>
                <w:rFonts w:hint="eastAsia" w:ascii="宋体" w:hAnsi="宋体" w:eastAsia="宋体" w:cs="Times New Roman"/>
                <w:color w:val="000000" w:themeColor="text1"/>
                <w:szCs w:val="21"/>
                <w:highlight w:val="none"/>
                <w:lang w:val="en-US" w:eastAsia="zh-CN"/>
                <w14:textFill>
                  <w14:solidFill>
                    <w14:schemeClr w14:val="tx1"/>
                  </w14:solidFill>
                </w14:textFill>
              </w:rPr>
              <w:t>10分。</w:t>
            </w:r>
          </w:p>
          <w:p>
            <w:pPr>
              <w:spacing w:line="320" w:lineRule="exact"/>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二、证明材料：</w:t>
            </w:r>
          </w:p>
          <w:p>
            <w:pPr>
              <w:spacing w:line="320" w:lineRule="exact"/>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1.要求提供奖项照片或获奖（荣誉）证书等证明材料作为得分依据。</w:t>
            </w:r>
          </w:p>
          <w:p>
            <w:pPr>
              <w:spacing w:line="320" w:lineRule="exact"/>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2.国家级要求颁发单位为国务院（或其直接所属的行政机关）；省级要求颁发单位为省（自治区、直辖市）人民政府（或其直接所属的行政机关）；市级要求颁发单位为市（地级，或以上级别）人民政府（或其直接所属的行政机关）。</w:t>
            </w:r>
          </w:p>
          <w:p>
            <w:pPr>
              <w:spacing w:line="320" w:lineRule="exact"/>
              <w:jc w:val="left"/>
              <w:rPr>
                <w:rFonts w:ascii="宋体" w:hAnsi="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以上资料均要求提供复印件并加盖投标人公章，原件备查。评分中出现无证明资料或</w:t>
            </w:r>
            <w:r>
              <w:rPr>
                <w:rFonts w:hint="eastAsia" w:ascii="宋体" w:hAnsi="宋体" w:cs="Times New Roman"/>
                <w:color w:val="000000" w:themeColor="text1"/>
                <w:szCs w:val="21"/>
                <w:highlight w:val="none"/>
                <w:lang w:val="en-US" w:eastAsia="zh-CN"/>
                <w14:textFill>
                  <w14:solidFill>
                    <w14:schemeClr w14:val="tx1"/>
                  </w14:solidFill>
                </w14:textFill>
              </w:rPr>
              <w:t>评委</w:t>
            </w:r>
            <w:r>
              <w:rPr>
                <w:rFonts w:hint="eastAsia" w:ascii="宋体" w:hAnsi="宋体" w:eastAsia="宋体" w:cs="Times New Roman"/>
                <w:color w:val="000000" w:themeColor="text1"/>
                <w:szCs w:val="21"/>
                <w:highlight w:val="none"/>
                <w:lang w:val="en-US" w:eastAsia="zh-CN"/>
                <w14:textFill>
                  <w14:solidFill>
                    <w14:schemeClr w14:val="tx1"/>
                  </w14:solidFill>
                </w14:textFill>
              </w:rPr>
              <w:t>无法凭所提供资料判断是否得分的情况，一律作不得分处理。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3"/>
              <w:numPr>
                <w:ilvl w:val="0"/>
                <w:numId w:val="16"/>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拟安排的项目负责人情况（仅限一人）</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分</w:t>
            </w:r>
          </w:p>
        </w:tc>
        <w:tc>
          <w:tcPr>
            <w:tcW w:w="6804" w:type="dxa"/>
            <w:tcBorders>
              <w:tl2br w:val="nil"/>
              <w:tr2bl w:val="nil"/>
            </w:tcBorders>
            <w:tcMar>
              <w:top w:w="15" w:type="dxa"/>
              <w:left w:w="15" w:type="dxa"/>
              <w:bottom w:w="15" w:type="dxa"/>
              <w:right w:w="15" w:type="dxa"/>
            </w:tcMar>
            <w:vAlign w:val="center"/>
          </w:tcPr>
          <w:p>
            <w:pPr>
              <w:spacing w:line="320" w:lineRule="exact"/>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一、评分内容：</w:t>
            </w:r>
          </w:p>
          <w:p>
            <w:pPr>
              <w:spacing w:line="320" w:lineRule="exact"/>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根据投标人</w:t>
            </w:r>
            <w:r>
              <w:rPr>
                <w:rFonts w:hint="eastAsia" w:ascii="宋体" w:hAnsi="宋体" w:eastAsia="宋体" w:cs="Times New Roman"/>
                <w:color w:val="000000" w:themeColor="text1"/>
                <w:szCs w:val="21"/>
                <w:highlight w:val="none"/>
                <w:lang w:val="en-US" w:eastAsia="zh-CN"/>
                <w14:textFill>
                  <w14:solidFill>
                    <w14:schemeClr w14:val="tx1"/>
                  </w14:solidFill>
                </w14:textFill>
              </w:rPr>
              <w:t>拟安排项目负责人</w:t>
            </w:r>
            <w:r>
              <w:rPr>
                <w:rFonts w:hint="eastAsia" w:ascii="宋体" w:hAnsi="宋体" w:cs="Times New Roman"/>
                <w:color w:val="000000" w:themeColor="text1"/>
                <w:szCs w:val="21"/>
                <w:highlight w:val="none"/>
                <w:lang w:val="en-US" w:eastAsia="zh-CN"/>
                <w14:textFill>
                  <w14:solidFill>
                    <w14:schemeClr w14:val="tx1"/>
                  </w14:solidFill>
                </w14:textFill>
              </w:rPr>
              <w:t>资格资质、荣誉等进行评议（须</w:t>
            </w:r>
            <w:r>
              <w:rPr>
                <w:rFonts w:hint="eastAsia" w:ascii="宋体" w:hAnsi="宋体" w:eastAsia="宋体" w:cs="Times New Roman"/>
                <w:color w:val="000000" w:themeColor="text1"/>
                <w:szCs w:val="21"/>
                <w:highlight w:val="none"/>
                <w:lang w:val="en-US" w:eastAsia="zh-CN"/>
                <w14:textFill>
                  <w14:solidFill>
                    <w14:schemeClr w14:val="tx1"/>
                  </w14:solidFill>
                </w14:textFill>
              </w:rPr>
              <w:t>为投标人单位正式聘任员工，否则本项不得分</w:t>
            </w:r>
            <w:r>
              <w:rPr>
                <w:rFonts w:hint="eastAsia" w:ascii="宋体" w:hAnsi="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br w:type="textWrapping"/>
            </w:r>
            <w:r>
              <w:rPr>
                <w:rFonts w:hint="eastAsia" w:ascii="宋体" w:hAnsi="宋体" w:eastAsia="宋体" w:cs="Times New Roman"/>
                <w:color w:val="000000" w:themeColor="text1"/>
                <w:szCs w:val="21"/>
                <w:highlight w:val="none"/>
                <w:lang w:val="en-US" w:eastAsia="zh-CN"/>
                <w14:textFill>
                  <w14:solidFill>
                    <w14:schemeClr w14:val="tx1"/>
                  </w14:solidFill>
                </w14:textFill>
              </w:rPr>
              <w:t>1.具有</w:t>
            </w:r>
            <w:r>
              <w:rPr>
                <w:rFonts w:hint="eastAsia" w:ascii="宋体" w:hAnsi="宋体" w:cs="Times New Roman"/>
                <w:color w:val="000000" w:themeColor="text1"/>
                <w:szCs w:val="21"/>
                <w:highlight w:val="none"/>
                <w:lang w:val="en-US" w:eastAsia="zh-CN"/>
                <w14:textFill>
                  <w14:solidFill>
                    <w14:schemeClr w14:val="tx1"/>
                  </w14:solidFill>
                </w14:textFill>
              </w:rPr>
              <w:t>市级（或以上）人力资源和社会保障部门颁发的</w:t>
            </w:r>
            <w:r>
              <w:rPr>
                <w:rFonts w:hint="eastAsia" w:ascii="宋体" w:hAnsi="宋体" w:eastAsia="宋体" w:cs="Times New Roman"/>
                <w:color w:val="000000" w:themeColor="text1"/>
                <w:szCs w:val="21"/>
                <w:highlight w:val="none"/>
                <w:lang w:val="en-US" w:eastAsia="zh-CN"/>
                <w14:textFill>
                  <w14:solidFill>
                    <w14:schemeClr w14:val="tx1"/>
                  </w14:solidFill>
                </w14:textFill>
              </w:rPr>
              <w:t>二级（或以上）导演证书的，得4分</w:t>
            </w:r>
            <w:r>
              <w:rPr>
                <w:rFonts w:hint="eastAsia" w:ascii="宋体" w:hAnsi="宋体" w:cs="Times New Roman"/>
                <w:color w:val="000000" w:themeColor="text1"/>
                <w:szCs w:val="21"/>
                <w:highlight w:val="none"/>
                <w:lang w:val="en-US" w:eastAsia="zh-CN"/>
                <w14:textFill>
                  <w14:solidFill>
                    <w14:schemeClr w14:val="tx1"/>
                  </w14:solidFill>
                </w14:textFill>
              </w:rPr>
              <w:t>，具有其他级别导演证书的，得1分</w:t>
            </w:r>
            <w:r>
              <w:rPr>
                <w:rFonts w:hint="eastAsia" w:ascii="宋体" w:hAnsi="宋体" w:eastAsia="宋体" w:cs="Times New Roman"/>
                <w:color w:val="000000" w:themeColor="text1"/>
                <w:szCs w:val="21"/>
                <w:highlight w:val="none"/>
                <w:lang w:val="en-US" w:eastAsia="zh-CN"/>
                <w14:textFill>
                  <w14:solidFill>
                    <w14:schemeClr w14:val="tx1"/>
                  </w14:solidFill>
                </w14:textFill>
              </w:rPr>
              <w:t>；</w:t>
            </w:r>
          </w:p>
          <w:p>
            <w:pPr>
              <w:spacing w:line="320" w:lineRule="exact"/>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2.获得过省级（或以上）荣誉奖项的，每提供1份荣誉奖项得2分，最高得6分。</w:t>
            </w:r>
            <w:r>
              <w:rPr>
                <w:rFonts w:hint="eastAsia" w:ascii="宋体" w:hAnsi="宋体" w:eastAsia="宋体" w:cs="Times New Roman"/>
                <w:color w:val="000000" w:themeColor="text1"/>
                <w:szCs w:val="21"/>
                <w:highlight w:val="none"/>
                <w:lang w:val="en-US" w:eastAsia="zh-CN"/>
                <w14:textFill>
                  <w14:solidFill>
                    <w14:schemeClr w14:val="tx1"/>
                  </w14:solidFill>
                </w14:textFill>
              </w:rPr>
              <w:br w:type="textWrapping"/>
            </w:r>
            <w:r>
              <w:rPr>
                <w:rFonts w:hint="eastAsia" w:ascii="宋体" w:hAnsi="宋体" w:eastAsia="宋体" w:cs="Times New Roman"/>
                <w:color w:val="000000" w:themeColor="text1"/>
                <w:szCs w:val="21"/>
                <w:highlight w:val="none"/>
                <w:lang w:val="en-US" w:eastAsia="zh-CN"/>
                <w14:textFill>
                  <w14:solidFill>
                    <w14:schemeClr w14:val="tx1"/>
                  </w14:solidFill>
                </w14:textFill>
              </w:rPr>
              <w:t>本项合计最高得10分。</w:t>
            </w:r>
          </w:p>
          <w:p>
            <w:pPr>
              <w:spacing w:line="320" w:lineRule="exact"/>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二、证明材料：</w:t>
            </w:r>
          </w:p>
          <w:p>
            <w:pPr>
              <w:spacing w:line="320" w:lineRule="exact"/>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1.须提供社保部门出具的投标企业</w:t>
            </w:r>
            <w:r>
              <w:rPr>
                <w:rFonts w:hint="eastAsia" w:ascii="宋体" w:hAnsi="宋体" w:cs="Times New Roman"/>
                <w:color w:val="000000" w:themeColor="text1"/>
                <w:szCs w:val="21"/>
                <w:highlight w:val="none"/>
                <w:lang w:val="en-US" w:eastAsia="zh-CN"/>
                <w14:textFill>
                  <w14:solidFill>
                    <w14:schemeClr w14:val="tx1"/>
                  </w14:solidFill>
                </w14:textFill>
              </w:rPr>
              <w:t>为项目负责</w:t>
            </w:r>
            <w:r>
              <w:rPr>
                <w:rFonts w:hint="eastAsia" w:ascii="宋体" w:hAnsi="宋体" w:eastAsia="宋体" w:cs="Times New Roman"/>
                <w:color w:val="000000" w:themeColor="text1"/>
                <w:szCs w:val="21"/>
                <w:highlight w:val="none"/>
                <w:lang w:val="en-US" w:eastAsia="zh-CN"/>
                <w14:textFill>
                  <w14:solidFill>
                    <w14:schemeClr w14:val="tx1"/>
                  </w14:solidFill>
                </w14:textFill>
              </w:rPr>
              <w:t>人缴纳的近3个月（自投标截止日当月倒算</w:t>
            </w:r>
            <w:r>
              <w:rPr>
                <w:rFonts w:hint="eastAsia" w:ascii="宋体" w:hAnsi="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如开标日上一个月的社保材料因社保部门原因暂时无法取得，则可以往前顺延一个月）社保证明文件复印件并加盖投标人公章，原件备查，</w:t>
            </w:r>
            <w:r>
              <w:rPr>
                <w:rFonts w:hint="eastAsia" w:ascii="宋体" w:hAnsi="宋体" w:cs="Times New Roman"/>
                <w:color w:val="000000" w:themeColor="text1"/>
                <w:szCs w:val="21"/>
                <w:highlight w:val="none"/>
                <w:lang w:val="en-US" w:eastAsia="zh-CN"/>
                <w14:textFill>
                  <w14:solidFill>
                    <w14:schemeClr w14:val="tx1"/>
                  </w14:solidFill>
                </w14:textFill>
              </w:rPr>
              <w:t>社保证明文件需保留验真码。</w:t>
            </w:r>
            <w:r>
              <w:rPr>
                <w:rFonts w:hint="eastAsia" w:ascii="宋体" w:hAnsi="宋体" w:eastAsia="宋体" w:cs="Times New Roman"/>
                <w:color w:val="000000" w:themeColor="text1"/>
                <w:szCs w:val="21"/>
                <w:highlight w:val="none"/>
                <w:lang w:val="en-US" w:eastAsia="zh-CN"/>
                <w14:textFill>
                  <w14:solidFill>
                    <w14:schemeClr w14:val="tx1"/>
                  </w14:solidFill>
                </w14:textFill>
              </w:rPr>
              <w:t>如</w:t>
            </w:r>
            <w:r>
              <w:rPr>
                <w:rFonts w:hint="eastAsia" w:ascii="宋体" w:hAnsi="宋体" w:cs="Times New Roman"/>
                <w:color w:val="000000" w:themeColor="text1"/>
                <w:szCs w:val="21"/>
                <w:highlight w:val="none"/>
                <w:lang w:val="en-US" w:eastAsia="zh-CN"/>
                <w14:textFill>
                  <w14:solidFill>
                    <w14:schemeClr w14:val="tx1"/>
                  </w14:solidFill>
                </w14:textFill>
              </w:rPr>
              <w:t>投标人</w:t>
            </w:r>
            <w:r>
              <w:rPr>
                <w:rFonts w:hint="eastAsia" w:ascii="宋体" w:hAnsi="宋体" w:eastAsia="宋体" w:cs="Times New Roman"/>
                <w:color w:val="000000" w:themeColor="text1"/>
                <w:szCs w:val="21"/>
                <w:highlight w:val="none"/>
                <w:lang w:val="en-US" w:eastAsia="zh-CN"/>
                <w14:textFill>
                  <w14:solidFill>
                    <w14:schemeClr w14:val="tx1"/>
                  </w14:solidFill>
                </w14:textFill>
              </w:rPr>
              <w:t>为新成立企业且成立时间不足三个月</w:t>
            </w:r>
            <w:r>
              <w:rPr>
                <w:rFonts w:hint="eastAsia" w:ascii="宋体" w:hAnsi="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可提供加盖投标人公章的情况说明或者证明材料亦视为符合，原件备查；</w:t>
            </w:r>
          </w:p>
          <w:p>
            <w:pPr>
              <w:spacing w:line="320" w:lineRule="exact"/>
              <w:jc w:val="left"/>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2.须提供</w:t>
            </w:r>
            <w:r>
              <w:rPr>
                <w:rFonts w:hint="eastAsia" w:ascii="宋体" w:hAnsi="宋体" w:cs="Times New Roman"/>
                <w:color w:val="000000" w:themeColor="text1"/>
                <w:szCs w:val="21"/>
                <w:highlight w:val="none"/>
                <w:lang w:val="en-US" w:eastAsia="zh-CN"/>
                <w14:textFill>
                  <w14:solidFill>
                    <w14:schemeClr w14:val="tx1"/>
                  </w14:solidFill>
                </w14:textFill>
              </w:rPr>
              <w:t>项目负责</w:t>
            </w:r>
            <w:r>
              <w:rPr>
                <w:rFonts w:hint="eastAsia" w:ascii="宋体" w:hAnsi="宋体" w:eastAsia="宋体" w:cs="Times New Roman"/>
                <w:color w:val="000000" w:themeColor="text1"/>
                <w:szCs w:val="21"/>
                <w:highlight w:val="none"/>
                <w:lang w:val="en-US" w:eastAsia="zh-CN"/>
                <w14:textFill>
                  <w14:solidFill>
                    <w14:schemeClr w14:val="tx1"/>
                  </w14:solidFill>
                </w14:textFill>
              </w:rPr>
              <w:t>人的资格证书复印件，原件备查；注：证书颁发单位应当是行政事业单位或行政事业单位授权的行业协会。</w:t>
            </w:r>
          </w:p>
          <w:p>
            <w:pPr>
              <w:spacing w:line="320" w:lineRule="exact"/>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3.须提供</w:t>
            </w:r>
            <w:r>
              <w:rPr>
                <w:rFonts w:hint="eastAsia" w:ascii="宋体" w:hAnsi="宋体" w:cs="Times New Roman"/>
                <w:color w:val="000000" w:themeColor="text1"/>
                <w:szCs w:val="21"/>
                <w:highlight w:val="none"/>
                <w:lang w:val="en-US" w:eastAsia="zh-CN"/>
                <w14:textFill>
                  <w14:solidFill>
                    <w14:schemeClr w14:val="tx1"/>
                  </w14:solidFill>
                </w14:textFill>
              </w:rPr>
              <w:t>项目负责</w:t>
            </w:r>
            <w:r>
              <w:rPr>
                <w:rFonts w:hint="eastAsia" w:ascii="宋体" w:hAnsi="宋体" w:eastAsia="宋体" w:cs="Times New Roman"/>
                <w:color w:val="000000" w:themeColor="text1"/>
                <w:szCs w:val="21"/>
                <w:highlight w:val="none"/>
                <w:lang w:val="en-US" w:eastAsia="zh-CN"/>
                <w14:textFill>
                  <w14:solidFill>
                    <w14:schemeClr w14:val="tx1"/>
                  </w14:solidFill>
                </w14:textFill>
              </w:rPr>
              <w:t>人获奖证书</w:t>
            </w:r>
            <w:r>
              <w:rPr>
                <w:rFonts w:hint="eastAsia" w:ascii="宋体" w:hAnsi="宋体" w:cs="Times New Roman"/>
                <w:color w:val="000000" w:themeColor="text1"/>
                <w:szCs w:val="21"/>
                <w:highlight w:val="none"/>
                <w:lang w:val="en-US" w:eastAsia="zh-CN"/>
                <w14:textFill>
                  <w14:solidFill>
                    <w14:schemeClr w14:val="tx1"/>
                  </w14:solidFill>
                </w14:textFill>
              </w:rPr>
              <w:t>复印件</w:t>
            </w:r>
            <w:r>
              <w:rPr>
                <w:rFonts w:hint="eastAsia" w:ascii="宋体" w:hAnsi="宋体" w:eastAsia="宋体" w:cs="Times New Roman"/>
                <w:color w:val="000000" w:themeColor="text1"/>
                <w:szCs w:val="21"/>
                <w:highlight w:val="none"/>
                <w:lang w:val="en-US" w:eastAsia="zh-CN"/>
                <w14:textFill>
                  <w14:solidFill>
                    <w14:schemeClr w14:val="tx1"/>
                  </w14:solidFill>
                </w14:textFill>
              </w:rPr>
              <w:t>（证书上须有本人姓名）。</w:t>
            </w:r>
          </w:p>
          <w:p>
            <w:pPr>
              <w:spacing w:line="320" w:lineRule="exact"/>
              <w:jc w:val="left"/>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lang w:val="en-US" w:eastAsia="zh-CN"/>
                <w14:textFill>
                  <w14:solidFill>
                    <w14:schemeClr w14:val="tx1"/>
                  </w14:solidFill>
                </w14:textFill>
              </w:rPr>
              <w:t>未提供或提供的内容不符合要求的，不得分。</w:t>
            </w:r>
          </w:p>
          <w:p>
            <w:pPr>
              <w:spacing w:line="320" w:lineRule="exact"/>
              <w:jc w:val="left"/>
              <w:rPr>
                <w:rFonts w:ascii="宋体" w:hAnsi="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以上资料均要求提供复印件并加盖投标人公章，原件备查。评分中出现无证明资料或</w:t>
            </w:r>
            <w:r>
              <w:rPr>
                <w:rFonts w:hint="eastAsia" w:ascii="宋体" w:hAnsi="宋体" w:cs="Times New Roman"/>
                <w:color w:val="000000" w:themeColor="text1"/>
                <w:szCs w:val="21"/>
                <w:highlight w:val="none"/>
                <w:lang w:val="en-US" w:eastAsia="zh-CN"/>
                <w14:textFill>
                  <w14:solidFill>
                    <w14:schemeClr w14:val="tx1"/>
                  </w14:solidFill>
                </w14:textFill>
              </w:rPr>
              <w:t>评委</w:t>
            </w:r>
            <w:r>
              <w:rPr>
                <w:rFonts w:hint="eastAsia" w:ascii="宋体" w:hAnsi="宋体" w:eastAsia="宋体" w:cs="Times New Roman"/>
                <w:color w:val="000000" w:themeColor="text1"/>
                <w:szCs w:val="21"/>
                <w:highlight w:val="none"/>
                <w:lang w:val="en-US" w:eastAsia="zh-CN"/>
                <w14:textFill>
                  <w14:solidFill>
                    <w14:schemeClr w14:val="tx1"/>
                  </w14:solidFill>
                </w14:textFill>
              </w:rPr>
              <w:t>无法凭所提供资料判断是否得分的情况，一律作不得分处理。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3"/>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技术服务评议项（</w:t>
            </w:r>
            <w:r>
              <w:rPr>
                <w:rFonts w:hint="eastAsia" w:ascii="宋体" w:hAnsi="宋体"/>
                <w:b/>
                <w:color w:val="000000" w:themeColor="text1"/>
                <w:szCs w:val="21"/>
                <w:highlight w:val="none"/>
                <w:lang w:val="en-US" w:eastAsia="zh-CN"/>
                <w14:textFill>
                  <w14:solidFill>
                    <w14:schemeClr w14:val="tx1"/>
                  </w14:solidFill>
                </w14:textFill>
              </w:rPr>
              <w:t>40</w:t>
            </w:r>
            <w:r>
              <w:rPr>
                <w:rFonts w:ascii="宋体" w:hAnsi="宋体"/>
                <w:b/>
                <w:color w:val="000000" w:themeColor="text1"/>
                <w:szCs w:val="21"/>
                <w:highlight w:val="none"/>
                <w14:textFill>
                  <w14:solidFill>
                    <w14:schemeClr w14:val="tx1"/>
                  </w14:solidFill>
                </w14:textFill>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14" w:hRule="atLeast"/>
          <w:tblCellSpacing w:w="0" w:type="dxa"/>
        </w:trPr>
        <w:tc>
          <w:tcPr>
            <w:tcW w:w="704" w:type="dxa"/>
            <w:tcBorders>
              <w:tl2br w:val="nil"/>
              <w:tr2bl w:val="nil"/>
            </w:tcBorders>
            <w:vAlign w:val="center"/>
          </w:tcPr>
          <w:p>
            <w:pPr>
              <w:pStyle w:val="23"/>
              <w:numPr>
                <w:ilvl w:val="0"/>
                <w:numId w:val="17"/>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实施方案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分</w:t>
            </w:r>
          </w:p>
        </w:tc>
        <w:tc>
          <w:tcPr>
            <w:tcW w:w="6804" w:type="dxa"/>
            <w:tcBorders>
              <w:tl2br w:val="nil"/>
              <w:tr2bl w:val="nil"/>
            </w:tcBorders>
            <w:tcMar>
              <w:top w:w="15" w:type="dxa"/>
              <w:left w:w="15" w:type="dxa"/>
              <w:bottom w:w="15" w:type="dxa"/>
              <w:right w:w="15" w:type="dxa"/>
            </w:tcMar>
            <w:vAlign w:val="center"/>
          </w:tcPr>
          <w:p>
            <w:pPr>
              <w:tabs>
                <w:tab w:val="left" w:pos="531"/>
              </w:tabs>
              <w:snapToGrid w:val="0"/>
              <w:rPr>
                <w:rFonts w:hint="eastAsia"/>
                <w:lang w:val="en-US" w:eastAsia="zh-CN"/>
              </w:rPr>
            </w:pPr>
            <w:r>
              <w:rPr>
                <w:rFonts w:hint="eastAsia"/>
                <w:lang w:val="en-US" w:eastAsia="zh-CN"/>
              </w:rPr>
              <w:t>一、评分内容：</w:t>
            </w:r>
          </w:p>
          <w:p>
            <w:pPr>
              <w:tabs>
                <w:tab w:val="left" w:pos="531"/>
              </w:tabs>
              <w:snapToGrid w:val="0"/>
              <w:rPr>
                <w:rFonts w:hint="eastAsia"/>
                <w:color w:val="auto"/>
                <w:lang w:val="en-US" w:eastAsia="zh-CN"/>
              </w:rPr>
            </w:pPr>
            <w:r>
              <w:rPr>
                <w:rFonts w:hint="eastAsia"/>
                <w:lang w:val="en-US" w:eastAsia="zh-CN"/>
              </w:rPr>
              <w:t>根据投标人提供的实施方案的科学、合理</w:t>
            </w:r>
            <w:r>
              <w:rPr>
                <w:rFonts w:hint="eastAsia"/>
                <w:color w:val="auto"/>
                <w:lang w:val="en-US" w:eastAsia="zh-CN"/>
              </w:rPr>
              <w:t>、可操作性等方面进行评议，</w:t>
            </w:r>
            <w:r>
              <w:rPr>
                <w:rFonts w:hint="eastAsia" w:ascii="宋体" w:hAnsi="宋体" w:eastAsia="宋体" w:cs="Times New Roman"/>
                <w:color w:val="auto"/>
                <w:szCs w:val="21"/>
                <w:lang w:val="en-US" w:eastAsia="zh-CN"/>
              </w:rPr>
              <w:t>方案需要包含“</w:t>
            </w:r>
            <w:r>
              <w:rPr>
                <w:rFonts w:hint="eastAsia"/>
                <w:color w:val="auto"/>
                <w:lang w:val="en-US" w:eastAsia="zh-CN"/>
              </w:rPr>
              <w:t>制作流程表</w:t>
            </w:r>
            <w:r>
              <w:rPr>
                <w:rFonts w:hint="eastAsia" w:ascii="宋体" w:hAnsi="宋体" w:eastAsia="宋体" w:cs="Times New Roman"/>
                <w:color w:val="auto"/>
                <w:szCs w:val="21"/>
                <w:lang w:val="en-US" w:eastAsia="zh-CN"/>
              </w:rPr>
              <w:t>”“人员分工”</w:t>
            </w:r>
            <w:r>
              <w:rPr>
                <w:rFonts w:hint="eastAsia" w:ascii="宋体" w:hAnsi="宋体" w:cs="Times New Roman"/>
                <w:color w:val="auto"/>
                <w:szCs w:val="21"/>
                <w:lang w:val="en-US" w:eastAsia="zh-CN"/>
              </w:rPr>
              <w:t>等</w:t>
            </w:r>
            <w:r>
              <w:rPr>
                <w:rFonts w:hint="eastAsia" w:ascii="宋体" w:hAnsi="宋体" w:eastAsia="宋体" w:cs="Times New Roman"/>
                <w:color w:val="auto"/>
                <w:szCs w:val="21"/>
                <w:lang w:val="en-US" w:eastAsia="zh-CN"/>
              </w:rPr>
              <w:t>。</w:t>
            </w:r>
          </w:p>
          <w:p>
            <w:pPr>
              <w:tabs>
                <w:tab w:val="left" w:pos="531"/>
              </w:tabs>
              <w:snapToGrid w:val="0"/>
              <w:rPr>
                <w:rFonts w:hint="eastAsia"/>
                <w:color w:val="auto"/>
                <w:lang w:val="en-US" w:eastAsia="zh-CN"/>
              </w:rPr>
            </w:pPr>
            <w:r>
              <w:rPr>
                <w:rFonts w:hint="eastAsia"/>
                <w:color w:val="auto"/>
                <w:lang w:val="en-US" w:eastAsia="zh-CN"/>
              </w:rPr>
              <w:t>1.方案科学、合理、可操作性强，得10-15分；</w:t>
            </w:r>
          </w:p>
          <w:p>
            <w:pPr>
              <w:tabs>
                <w:tab w:val="left" w:pos="531"/>
              </w:tabs>
              <w:snapToGrid w:val="0"/>
              <w:rPr>
                <w:rFonts w:hint="eastAsia"/>
                <w:lang w:val="en-US" w:eastAsia="zh-CN"/>
              </w:rPr>
            </w:pPr>
            <w:r>
              <w:rPr>
                <w:rFonts w:hint="eastAsia"/>
                <w:color w:val="auto"/>
                <w:lang w:val="en-US" w:eastAsia="zh-CN"/>
              </w:rPr>
              <w:t>2.方案科学、合理、可操作性一般，得5-9</w:t>
            </w:r>
            <w:r>
              <w:rPr>
                <w:rFonts w:hint="eastAsia"/>
                <w:lang w:val="en-US" w:eastAsia="zh-CN"/>
              </w:rPr>
              <w:t>分；</w:t>
            </w:r>
          </w:p>
          <w:p>
            <w:pPr>
              <w:tabs>
                <w:tab w:val="left" w:pos="531"/>
              </w:tabs>
              <w:snapToGrid w:val="0"/>
              <w:rPr>
                <w:rFonts w:hint="eastAsia"/>
                <w:lang w:val="en-US" w:eastAsia="zh-CN"/>
              </w:rPr>
            </w:pPr>
            <w:r>
              <w:rPr>
                <w:rFonts w:hint="eastAsia"/>
                <w:lang w:val="en-US" w:eastAsia="zh-CN"/>
              </w:rPr>
              <w:t>3.方案科学、合理、可操作性差，得1-4分</w:t>
            </w:r>
          </w:p>
          <w:p>
            <w:pPr>
              <w:tabs>
                <w:tab w:val="left" w:pos="531"/>
              </w:tabs>
              <w:snapToGrid w:val="0"/>
              <w:rPr>
                <w:rFonts w:hint="eastAsia"/>
                <w:lang w:val="en-US" w:eastAsia="zh-CN"/>
              </w:rPr>
            </w:pPr>
            <w:r>
              <w:rPr>
                <w:rFonts w:hint="eastAsia"/>
                <w:lang w:val="en-US" w:eastAsia="zh-CN"/>
              </w:rPr>
              <w:t>4.未提供方案得0分；</w:t>
            </w:r>
          </w:p>
          <w:p>
            <w:pPr>
              <w:tabs>
                <w:tab w:val="left" w:pos="531"/>
              </w:tabs>
              <w:snapToGrid w:val="0"/>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74" w:hRule="atLeast"/>
          <w:tblCellSpacing w:w="0" w:type="dxa"/>
        </w:trPr>
        <w:tc>
          <w:tcPr>
            <w:tcW w:w="704" w:type="dxa"/>
            <w:tcBorders>
              <w:tl2br w:val="nil"/>
              <w:tr2bl w:val="nil"/>
            </w:tcBorders>
            <w:vAlign w:val="center"/>
          </w:tcPr>
          <w:p>
            <w:pPr>
              <w:pStyle w:val="23"/>
              <w:numPr>
                <w:ilvl w:val="0"/>
                <w:numId w:val="17"/>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创意脚本</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10</w:t>
            </w:r>
          </w:p>
        </w:tc>
        <w:tc>
          <w:tcPr>
            <w:tcW w:w="6804" w:type="dxa"/>
            <w:tcBorders>
              <w:tl2br w:val="nil"/>
              <w:tr2bl w:val="nil"/>
            </w:tcBorders>
            <w:tcMar>
              <w:top w:w="15" w:type="dxa"/>
              <w:left w:w="15" w:type="dxa"/>
              <w:bottom w:w="15" w:type="dxa"/>
              <w:right w:w="15" w:type="dxa"/>
            </w:tcMar>
            <w:vAlign w:val="center"/>
          </w:tcPr>
          <w:p>
            <w:pPr>
              <w:tabs>
                <w:tab w:val="left" w:pos="531"/>
              </w:tabs>
              <w:snapToGrid w:val="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一、评分内容：</w:t>
            </w:r>
          </w:p>
          <w:p>
            <w:pPr>
              <w:tabs>
                <w:tab w:val="left" w:pos="531"/>
              </w:tabs>
              <w:snapToGrid w:val="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根据</w:t>
            </w:r>
            <w:r>
              <w:rPr>
                <w:rFonts w:hint="eastAsia" w:ascii="宋体" w:hAnsi="宋体" w:eastAsia="宋体" w:cs="Times New Roman"/>
                <w:color w:val="000000" w:themeColor="text1"/>
                <w:szCs w:val="21"/>
                <w:highlight w:val="none"/>
                <w:lang w:val="en-US" w:eastAsia="zh-CN"/>
                <w14:textFill>
                  <w14:solidFill>
                    <w14:schemeClr w14:val="tx1"/>
                  </w14:solidFill>
                </w14:textFill>
              </w:rPr>
              <w:t>投标人提供的</w:t>
            </w:r>
            <w:r>
              <w:rPr>
                <w:rFonts w:hint="eastAsia" w:ascii="宋体" w:hAnsi="宋体" w:cs="Times New Roman"/>
                <w:color w:val="000000" w:themeColor="text1"/>
                <w:szCs w:val="21"/>
                <w:highlight w:val="none"/>
                <w:lang w:val="en-US" w:eastAsia="zh-CN"/>
                <w14:textFill>
                  <w14:solidFill>
                    <w14:schemeClr w14:val="tx1"/>
                  </w14:solidFill>
                </w14:textFill>
              </w:rPr>
              <w:t>脚本的创意、内容等方面进行评议。</w:t>
            </w:r>
          </w:p>
          <w:p>
            <w:pPr>
              <w:tabs>
                <w:tab w:val="left" w:pos="531"/>
              </w:tabs>
              <w:snapToGrid w:val="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1.</w:t>
            </w:r>
            <w:r>
              <w:rPr>
                <w:rFonts w:hint="eastAsia" w:ascii="宋体" w:hAnsi="宋体" w:cs="Times New Roman"/>
                <w:color w:val="000000" w:themeColor="text1"/>
                <w:szCs w:val="21"/>
                <w:highlight w:val="none"/>
                <w:lang w:val="en-US" w:eastAsia="zh-CN"/>
                <w14:textFill>
                  <w14:solidFill>
                    <w14:schemeClr w14:val="tx1"/>
                  </w14:solidFill>
                </w14:textFill>
              </w:rPr>
              <w:t>方案创意新颖，</w:t>
            </w:r>
            <w:r>
              <w:rPr>
                <w:rFonts w:hint="eastAsia" w:ascii="宋体" w:hAnsi="宋体" w:eastAsia="宋体" w:cs="Times New Roman"/>
                <w:color w:val="000000" w:themeColor="text1"/>
                <w:szCs w:val="21"/>
                <w:highlight w:val="none"/>
                <w:lang w:val="en-US" w:eastAsia="zh-CN"/>
                <w14:textFill>
                  <w14:solidFill>
                    <w14:schemeClr w14:val="tx1"/>
                  </w14:solidFill>
                </w14:textFill>
              </w:rPr>
              <w:t>内容</w:t>
            </w:r>
            <w:r>
              <w:rPr>
                <w:rFonts w:hint="eastAsia" w:ascii="宋体" w:hAnsi="宋体" w:cs="Times New Roman"/>
                <w:color w:val="000000" w:themeColor="text1"/>
                <w:szCs w:val="21"/>
                <w:highlight w:val="none"/>
                <w:lang w:val="en-US" w:eastAsia="zh-CN"/>
                <w14:textFill>
                  <w14:solidFill>
                    <w14:schemeClr w14:val="tx1"/>
                  </w14:solidFill>
                </w14:textFill>
              </w:rPr>
              <w:t>准确鲜明，得8-10</w:t>
            </w:r>
            <w:r>
              <w:rPr>
                <w:rFonts w:hint="eastAsia" w:ascii="宋体" w:hAnsi="宋体" w:eastAsia="宋体" w:cs="Times New Roman"/>
                <w:color w:val="000000" w:themeColor="text1"/>
                <w:szCs w:val="21"/>
                <w:highlight w:val="none"/>
                <w:lang w:val="en-US" w:eastAsia="zh-CN"/>
                <w14:textFill>
                  <w14:solidFill>
                    <w14:schemeClr w14:val="tx1"/>
                  </w14:solidFill>
                </w14:textFill>
              </w:rPr>
              <w:t>分；</w:t>
            </w:r>
          </w:p>
          <w:p>
            <w:pPr>
              <w:tabs>
                <w:tab w:val="left" w:pos="531"/>
              </w:tabs>
              <w:snapToGrid w:val="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2.</w:t>
            </w:r>
            <w:r>
              <w:rPr>
                <w:rFonts w:hint="eastAsia" w:ascii="宋体" w:hAnsi="宋体" w:cs="Times New Roman"/>
                <w:color w:val="000000" w:themeColor="text1"/>
                <w:szCs w:val="21"/>
                <w:highlight w:val="none"/>
                <w:lang w:val="en-US" w:eastAsia="zh-CN"/>
                <w14:textFill>
                  <w14:solidFill>
                    <w14:schemeClr w14:val="tx1"/>
                  </w14:solidFill>
                </w14:textFill>
              </w:rPr>
              <w:t>方案创意较好，</w:t>
            </w:r>
            <w:r>
              <w:rPr>
                <w:rFonts w:hint="eastAsia" w:ascii="宋体" w:hAnsi="宋体" w:eastAsia="宋体" w:cs="Times New Roman"/>
                <w:color w:val="000000" w:themeColor="text1"/>
                <w:szCs w:val="21"/>
                <w:highlight w:val="none"/>
                <w:lang w:val="en-US" w:eastAsia="zh-CN"/>
                <w14:textFill>
                  <w14:solidFill>
                    <w14:schemeClr w14:val="tx1"/>
                  </w14:solidFill>
                </w14:textFill>
              </w:rPr>
              <w:t>内容</w:t>
            </w:r>
            <w:r>
              <w:rPr>
                <w:rFonts w:hint="eastAsia" w:ascii="宋体" w:hAnsi="宋体" w:cs="Times New Roman"/>
                <w:color w:val="000000" w:themeColor="text1"/>
                <w:szCs w:val="21"/>
                <w:highlight w:val="none"/>
                <w:lang w:val="en-US" w:eastAsia="zh-CN"/>
                <w14:textFill>
                  <w14:solidFill>
                    <w14:schemeClr w14:val="tx1"/>
                  </w14:solidFill>
                </w14:textFill>
              </w:rPr>
              <w:t>意义准确，得4-7</w:t>
            </w:r>
            <w:r>
              <w:rPr>
                <w:rFonts w:hint="eastAsia" w:ascii="宋体" w:hAnsi="宋体" w:eastAsia="宋体" w:cs="Times New Roman"/>
                <w:color w:val="000000" w:themeColor="text1"/>
                <w:szCs w:val="21"/>
                <w:highlight w:val="none"/>
                <w:lang w:val="en-US" w:eastAsia="zh-CN"/>
                <w14:textFill>
                  <w14:solidFill>
                    <w14:schemeClr w14:val="tx1"/>
                  </w14:solidFill>
                </w14:textFill>
              </w:rPr>
              <w:t>分；</w:t>
            </w:r>
          </w:p>
          <w:p>
            <w:pPr>
              <w:tabs>
                <w:tab w:val="left" w:pos="531"/>
              </w:tabs>
              <w:snapToGrid w:val="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3.</w:t>
            </w:r>
            <w:r>
              <w:rPr>
                <w:rFonts w:hint="eastAsia" w:ascii="宋体" w:hAnsi="宋体" w:cs="Times New Roman"/>
                <w:color w:val="000000" w:themeColor="text1"/>
                <w:szCs w:val="21"/>
                <w:highlight w:val="none"/>
                <w:lang w:val="en-US" w:eastAsia="zh-CN"/>
                <w14:textFill>
                  <w14:solidFill>
                    <w14:schemeClr w14:val="tx1"/>
                  </w14:solidFill>
                </w14:textFill>
              </w:rPr>
              <w:t>方案创意一般，</w:t>
            </w:r>
            <w:r>
              <w:rPr>
                <w:rFonts w:hint="eastAsia" w:ascii="宋体" w:hAnsi="宋体" w:eastAsia="宋体" w:cs="Times New Roman"/>
                <w:color w:val="000000" w:themeColor="text1"/>
                <w:szCs w:val="21"/>
                <w:highlight w:val="none"/>
                <w:lang w:val="en-US" w:eastAsia="zh-CN"/>
                <w14:textFill>
                  <w14:solidFill>
                    <w14:schemeClr w14:val="tx1"/>
                  </w14:solidFill>
                </w14:textFill>
              </w:rPr>
              <w:t>内容</w:t>
            </w:r>
            <w:r>
              <w:rPr>
                <w:rFonts w:hint="eastAsia" w:ascii="宋体" w:hAnsi="宋体" w:cs="Times New Roman"/>
                <w:color w:val="000000" w:themeColor="text1"/>
                <w:szCs w:val="21"/>
                <w:highlight w:val="none"/>
                <w:lang w:val="en-US" w:eastAsia="zh-CN"/>
                <w14:textFill>
                  <w14:solidFill>
                    <w14:schemeClr w14:val="tx1"/>
                  </w14:solidFill>
                </w14:textFill>
              </w:rPr>
              <w:t>完整性弱，得1-3</w:t>
            </w:r>
            <w:r>
              <w:rPr>
                <w:rFonts w:hint="eastAsia" w:ascii="宋体" w:hAnsi="宋体" w:eastAsia="宋体" w:cs="Times New Roman"/>
                <w:color w:val="000000" w:themeColor="text1"/>
                <w:szCs w:val="21"/>
                <w:highlight w:val="none"/>
                <w:lang w:val="en-US" w:eastAsia="zh-CN"/>
                <w14:textFill>
                  <w14:solidFill>
                    <w14:schemeClr w14:val="tx1"/>
                  </w14:solidFill>
                </w14:textFill>
              </w:rPr>
              <w:t>分；</w:t>
            </w:r>
          </w:p>
          <w:p>
            <w:pPr>
              <w:tabs>
                <w:tab w:val="left" w:pos="531"/>
              </w:tabs>
              <w:snapToGrid w:val="0"/>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4.</w:t>
            </w:r>
            <w:r>
              <w:rPr>
                <w:rFonts w:hint="eastAsia" w:ascii="宋体" w:hAnsi="宋体" w:eastAsia="宋体" w:cs="Times New Roman"/>
                <w:color w:val="000000" w:themeColor="text1"/>
                <w:szCs w:val="21"/>
                <w:highlight w:val="none"/>
                <w:lang w:val="en-US" w:eastAsia="zh-CN"/>
                <w14:textFill>
                  <w14:solidFill>
                    <w14:schemeClr w14:val="tx1"/>
                  </w14:solidFill>
                </w14:textFill>
              </w:rPr>
              <w:t>未提供</w:t>
            </w:r>
            <w:r>
              <w:rPr>
                <w:rFonts w:hint="eastAsia" w:ascii="宋体" w:hAnsi="宋体" w:cs="Times New Roman"/>
                <w:color w:val="000000" w:themeColor="text1"/>
                <w:szCs w:val="21"/>
                <w:highlight w:val="none"/>
                <w:lang w:val="en-US" w:eastAsia="zh-CN"/>
                <w14:textFill>
                  <w14:solidFill>
                    <w14:schemeClr w14:val="tx1"/>
                  </w14:solidFill>
                </w14:textFill>
              </w:rPr>
              <w:t>脚本</w:t>
            </w:r>
            <w:r>
              <w:rPr>
                <w:rFonts w:hint="eastAsia" w:ascii="宋体" w:hAnsi="宋体" w:eastAsia="宋体" w:cs="Times New Roman"/>
                <w:color w:val="000000" w:themeColor="text1"/>
                <w:szCs w:val="21"/>
                <w:highlight w:val="none"/>
                <w:lang w:val="en-US" w:eastAsia="zh-CN"/>
                <w14:textFill>
                  <w14:solidFill>
                    <w14:schemeClr w14:val="tx1"/>
                  </w14:solidFill>
                </w14:textFill>
              </w:rPr>
              <w:t>的</w:t>
            </w:r>
            <w:r>
              <w:rPr>
                <w:rFonts w:hint="eastAsia" w:ascii="宋体" w:hAnsi="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得</w:t>
            </w:r>
            <w:r>
              <w:rPr>
                <w:rFonts w:hint="eastAsia" w:ascii="宋体" w:hAnsi="宋体" w:cs="Times New Roman"/>
                <w:color w:val="000000" w:themeColor="text1"/>
                <w:szCs w:val="21"/>
                <w:highlight w:val="none"/>
                <w:lang w:val="en-US" w:eastAsia="zh-CN"/>
                <w14:textFill>
                  <w14:solidFill>
                    <w14:schemeClr w14:val="tx1"/>
                  </w14:solidFill>
                </w14:textFill>
              </w:rPr>
              <w:t>0</w:t>
            </w:r>
            <w:r>
              <w:rPr>
                <w:rFonts w:hint="eastAsia" w:ascii="宋体" w:hAnsi="宋体" w:eastAsia="宋体" w:cs="Times New Roman"/>
                <w:color w:val="000000" w:themeColor="text1"/>
                <w:szCs w:val="21"/>
                <w:highlight w:val="none"/>
                <w:lang w:val="en-US" w:eastAsia="zh-CN"/>
                <w14:textFill>
                  <w14:solidFill>
                    <w14:schemeClr w14:val="tx1"/>
                  </w14:solidFill>
                </w14:textFill>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3"/>
              <w:numPr>
                <w:ilvl w:val="0"/>
                <w:numId w:val="17"/>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拟投入项目人员及服务承诺</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分</w:t>
            </w:r>
          </w:p>
        </w:tc>
        <w:tc>
          <w:tcPr>
            <w:tcW w:w="6804" w:type="dxa"/>
            <w:tcBorders>
              <w:tl2br w:val="nil"/>
              <w:tr2bl w:val="nil"/>
            </w:tcBorders>
            <w:tcMar>
              <w:top w:w="15" w:type="dxa"/>
              <w:left w:w="15" w:type="dxa"/>
              <w:bottom w:w="15" w:type="dxa"/>
              <w:right w:w="15" w:type="dxa"/>
            </w:tcMar>
            <w:vAlign w:val="center"/>
          </w:tcPr>
          <w:p>
            <w:pPr>
              <w:tabs>
                <w:tab w:val="left" w:pos="531"/>
              </w:tabs>
              <w:snapToGrid w:val="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一、评分内容：</w:t>
            </w:r>
          </w:p>
          <w:p>
            <w:pPr>
              <w:tabs>
                <w:tab w:val="left" w:pos="531"/>
              </w:tabs>
              <w:snapToGrid w:val="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根据</w:t>
            </w:r>
            <w:r>
              <w:rPr>
                <w:rFonts w:hint="eastAsia" w:ascii="宋体" w:hAnsi="宋体" w:eastAsia="宋体" w:cs="Times New Roman"/>
                <w:color w:val="000000" w:themeColor="text1"/>
                <w:szCs w:val="21"/>
                <w:highlight w:val="none"/>
                <w:lang w:val="en-US" w:eastAsia="zh-CN"/>
                <w14:textFill>
                  <w14:solidFill>
                    <w14:schemeClr w14:val="tx1"/>
                  </w14:solidFill>
                </w14:textFill>
              </w:rPr>
              <w:t>投标人拟投入项目人员</w:t>
            </w:r>
            <w:r>
              <w:rPr>
                <w:rFonts w:hint="eastAsia" w:ascii="宋体" w:hAnsi="宋体" w:cs="Times New Roman"/>
                <w:color w:val="000000" w:themeColor="text1"/>
                <w:szCs w:val="21"/>
                <w:highlight w:val="none"/>
                <w:lang w:val="en-US" w:eastAsia="zh-CN"/>
                <w14:textFill>
                  <w14:solidFill>
                    <w14:schemeClr w14:val="tx1"/>
                  </w14:solidFill>
                </w14:textFill>
              </w:rPr>
              <w:t>进行评议，项目组投入人员在5人以上，否则此项不得分，得分要点如下</w:t>
            </w:r>
            <w:r>
              <w:rPr>
                <w:rFonts w:hint="eastAsia" w:ascii="宋体" w:hAnsi="宋体" w:eastAsia="宋体" w:cs="Times New Roman"/>
                <w:color w:val="000000" w:themeColor="text1"/>
                <w:szCs w:val="21"/>
                <w:highlight w:val="none"/>
                <w:lang w:val="en-US" w:eastAsia="zh-CN"/>
                <w14:textFill>
                  <w14:solidFill>
                    <w14:schemeClr w14:val="tx1"/>
                  </w14:solidFill>
                </w14:textFill>
              </w:rPr>
              <w:t>：</w:t>
            </w:r>
          </w:p>
          <w:p>
            <w:pPr>
              <w:numPr>
                <w:ilvl w:val="-1"/>
                <w:numId w:val="0"/>
              </w:numPr>
              <w:tabs>
                <w:tab w:val="left" w:pos="531"/>
              </w:tabs>
              <w:snapToGrid w:val="0"/>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1.项目组成员具备本科（或以上）学历及市级（或以上）人力资源和社会保障部门颁发的与项目相关的高级专业技术资格证书，每个得2.5分，满分10分。</w:t>
            </w:r>
          </w:p>
          <w:p>
            <w:pPr>
              <w:numPr>
                <w:ilvl w:val="-1"/>
                <w:numId w:val="0"/>
              </w:numPr>
              <w:tabs>
                <w:tab w:val="left" w:pos="531"/>
              </w:tabs>
              <w:snapToGrid w:val="0"/>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2.根据投标人对招标人承诺的服务进行综合评议，承诺内容越全面，得分越高</w:t>
            </w:r>
            <w:r>
              <w:rPr>
                <w:rFonts w:hint="eastAsia" w:ascii="宋体" w:hAnsi="宋体" w:cs="Times New Roman"/>
                <w:color w:val="000000" w:themeColor="text1"/>
                <w:szCs w:val="21"/>
                <w:highlight w:val="none"/>
                <w:lang w:val="en-US" w:eastAsia="zh-CN"/>
                <w14:textFill>
                  <w14:solidFill>
                    <w14:schemeClr w14:val="tx1"/>
                  </w14:solidFill>
                </w14:textFill>
              </w:rPr>
              <w:t>。评价优得5分，良得3分，一般得1分。</w:t>
            </w:r>
          </w:p>
          <w:p>
            <w:pPr>
              <w:tabs>
                <w:tab w:val="left" w:pos="531"/>
              </w:tabs>
              <w:snapToGrid w:val="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拟投入本项目的所有人员必须为投标人自有员工</w:t>
            </w:r>
            <w:r>
              <w:rPr>
                <w:rFonts w:hint="eastAsia" w:ascii="宋体" w:hAnsi="宋体" w:cs="Times New Roman"/>
                <w:color w:val="000000" w:themeColor="text1"/>
                <w:szCs w:val="21"/>
                <w:highlight w:val="none"/>
                <w:lang w:val="en-US" w:eastAsia="zh-CN"/>
                <w14:textFill>
                  <w14:solidFill>
                    <w14:schemeClr w14:val="tx1"/>
                  </w14:solidFill>
                </w14:textFill>
              </w:rPr>
              <w:t>，否则该人员情况不计分</w:t>
            </w:r>
            <w:r>
              <w:rPr>
                <w:rFonts w:hint="eastAsia" w:ascii="宋体" w:hAnsi="宋体" w:eastAsia="宋体" w:cs="Times New Roman"/>
                <w:color w:val="000000" w:themeColor="text1"/>
                <w:szCs w:val="21"/>
                <w:highlight w:val="none"/>
                <w:lang w:val="en-US" w:eastAsia="zh-CN"/>
                <w14:textFill>
                  <w14:solidFill>
                    <w14:schemeClr w14:val="tx1"/>
                  </w14:solidFill>
                </w14:textFill>
              </w:rPr>
              <w:t>；须提供社保部门出具的投标企业缴纳的近3个月（自投标截止日当月倒算</w:t>
            </w:r>
            <w:r>
              <w:rPr>
                <w:rFonts w:hint="eastAsia" w:ascii="宋体" w:hAnsi="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如开标日上一个月的社保材料因社保部门原因暂时无法取得，则可以往前顺延一个月）社保证明文件复印件并加盖投标人公章，原件备查，</w:t>
            </w:r>
            <w:r>
              <w:rPr>
                <w:rFonts w:hint="eastAsia" w:ascii="宋体" w:hAnsi="宋体" w:cs="Times New Roman"/>
                <w:color w:val="000000" w:themeColor="text1"/>
                <w:szCs w:val="21"/>
                <w:highlight w:val="none"/>
                <w:lang w:val="en-US" w:eastAsia="zh-CN"/>
                <w14:textFill>
                  <w14:solidFill>
                    <w14:schemeClr w14:val="tx1"/>
                  </w14:solidFill>
                </w14:textFill>
              </w:rPr>
              <w:t>社保证明文件需保留验真码。</w:t>
            </w:r>
            <w:r>
              <w:rPr>
                <w:rFonts w:hint="eastAsia" w:ascii="宋体" w:hAnsi="宋体" w:eastAsia="宋体" w:cs="Times New Roman"/>
                <w:color w:val="000000" w:themeColor="text1"/>
                <w:szCs w:val="21"/>
                <w:highlight w:val="none"/>
                <w:lang w:val="en-US" w:eastAsia="zh-CN"/>
                <w14:textFill>
                  <w14:solidFill>
                    <w14:schemeClr w14:val="tx1"/>
                  </w14:solidFill>
                </w14:textFill>
              </w:rPr>
              <w:t>如</w:t>
            </w:r>
            <w:r>
              <w:rPr>
                <w:rFonts w:hint="eastAsia" w:ascii="宋体" w:hAnsi="宋体" w:cs="Times New Roman"/>
                <w:color w:val="000000" w:themeColor="text1"/>
                <w:szCs w:val="21"/>
                <w:highlight w:val="none"/>
                <w:lang w:val="en-US" w:eastAsia="zh-CN"/>
                <w14:textFill>
                  <w14:solidFill>
                    <w14:schemeClr w14:val="tx1"/>
                  </w14:solidFill>
                </w14:textFill>
              </w:rPr>
              <w:t>投标人</w:t>
            </w:r>
            <w:r>
              <w:rPr>
                <w:rFonts w:hint="eastAsia" w:ascii="宋体" w:hAnsi="宋体" w:eastAsia="宋体" w:cs="Times New Roman"/>
                <w:color w:val="000000" w:themeColor="text1"/>
                <w:szCs w:val="21"/>
                <w:highlight w:val="none"/>
                <w:lang w:val="en-US" w:eastAsia="zh-CN"/>
                <w14:textFill>
                  <w14:solidFill>
                    <w14:schemeClr w14:val="tx1"/>
                  </w14:solidFill>
                </w14:textFill>
              </w:rPr>
              <w:t>为新成立企业且成立时间不足三个月</w:t>
            </w:r>
            <w:r>
              <w:rPr>
                <w:rFonts w:hint="eastAsia" w:ascii="宋体" w:hAnsi="宋体" w:cs="Times New Roman"/>
                <w:color w:val="000000" w:themeColor="text1"/>
                <w:szCs w:val="21"/>
                <w:highlight w:val="none"/>
                <w:lang w:val="en-US" w:eastAsia="zh-CN"/>
                <w14:textFill>
                  <w14:solidFill>
                    <w14:schemeClr w14:val="tx1"/>
                  </w14:solidFill>
                </w14:textFill>
              </w:rPr>
              <w:t>，</w:t>
            </w:r>
            <w:r>
              <w:rPr>
                <w:rFonts w:hint="eastAsia" w:ascii="宋体" w:hAnsi="宋体" w:eastAsia="宋体" w:cs="Times New Roman"/>
                <w:color w:val="000000" w:themeColor="text1"/>
                <w:szCs w:val="21"/>
                <w:highlight w:val="none"/>
                <w:lang w:val="en-US" w:eastAsia="zh-CN"/>
                <w14:textFill>
                  <w14:solidFill>
                    <w14:schemeClr w14:val="tx1"/>
                  </w14:solidFill>
                </w14:textFill>
              </w:rPr>
              <w:t>可提供加盖投标人公章的情况说明或者证明材料亦视为符合，原件备查；</w:t>
            </w:r>
          </w:p>
          <w:p>
            <w:pPr>
              <w:tabs>
                <w:tab w:val="left" w:pos="531"/>
              </w:tabs>
              <w:snapToGrid w:val="0"/>
              <w:rPr>
                <w:color w:val="000000" w:themeColor="text1"/>
                <w:highlight w:val="non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4"/>
            <w:tcBorders>
              <w:tl2br w:val="nil"/>
              <w:tr2bl w:val="nil"/>
            </w:tcBorders>
          </w:tcPr>
          <w:p>
            <w:pPr>
              <w:jc w:val="center"/>
              <w:rPr>
                <w:b/>
                <w:bCs/>
              </w:rPr>
            </w:pPr>
            <w:r>
              <w:rPr>
                <w:rFonts w:hint="eastAsia"/>
                <w:b/>
                <w:bCs/>
              </w:rPr>
              <w:t>价格评议项（</w:t>
            </w:r>
            <w:r>
              <w:rPr>
                <w:rFonts w:hint="eastAsia"/>
                <w:b/>
                <w:bCs/>
                <w:lang w:val="en-US" w:eastAsia="zh-CN"/>
              </w:rPr>
              <w:t>20</w:t>
            </w:r>
            <w:r>
              <w:rPr>
                <w:rFonts w:hint="eastAsia"/>
                <w:b/>
                <w:bCs/>
              </w:rPr>
              <w:t>分）</w:t>
            </w:r>
          </w:p>
          <w:p>
            <w:pPr>
              <w:jc w:val="center"/>
            </w:pPr>
            <w:r>
              <w:rPr>
                <w:rFonts w:hint="eastAsia"/>
                <w:b/>
                <w:bCs/>
                <w:color w:val="FF0000"/>
              </w:rPr>
              <w:t>（说明：以下所称的“投标报价”均是指</w:t>
            </w:r>
            <w:r>
              <w:rPr>
                <w:rFonts w:hint="eastAsia"/>
                <w:b/>
                <w:bCs/>
                <w:color w:val="FF0000"/>
                <w:lang w:val="en-US" w:eastAsia="zh-CN"/>
              </w:rPr>
              <w:t>未</w:t>
            </w:r>
            <w:r>
              <w:rPr>
                <w:rFonts w:hint="eastAsia"/>
                <w:b/>
                <w:bCs/>
                <w:color w:val="FF0000"/>
              </w:rPr>
              <w:t>税总金额，即净价）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3"/>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基准价</w:t>
            </w:r>
          </w:p>
        </w:tc>
        <w:tc>
          <w:tcPr>
            <w:tcW w:w="7513" w:type="dxa"/>
            <w:gridSpan w:val="2"/>
            <w:tcBorders>
              <w:tl2br w:val="nil"/>
              <w:tr2bl w:val="nil"/>
            </w:tcBorders>
            <w:vAlign w:val="center"/>
          </w:tcPr>
          <w:p>
            <w:pPr>
              <w:autoSpaceDE w:val="0"/>
              <w:autoSpaceDN w:val="0"/>
              <w:adjustRightInd w:val="0"/>
              <w:snapToGrid w:val="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□各有效</w:t>
            </w:r>
            <w:r>
              <w:rPr>
                <w:rFonts w:ascii="宋体" w:hAnsi="宋体"/>
                <w:color w:val="000000" w:themeColor="text1"/>
                <w:szCs w:val="21"/>
                <w:highlight w:val="none"/>
                <w14:textFill>
                  <w14:solidFill>
                    <w14:schemeClr w14:val="tx1"/>
                  </w14:solidFill>
                </w14:textFill>
              </w:rPr>
              <w:t>投</w:t>
            </w:r>
            <w:r>
              <w:rPr>
                <w:rFonts w:hint="eastAsia" w:ascii="宋体" w:hAnsi="宋体"/>
                <w:color w:val="000000" w:themeColor="text1"/>
                <w:szCs w:val="21"/>
                <w:highlight w:val="none"/>
                <w14:textFill>
                  <w14:solidFill>
                    <w14:schemeClr w14:val="tx1"/>
                  </w14:solidFill>
                </w14:textFill>
              </w:rPr>
              <w:t>标报价大于n家时，去掉一个最高和最低报价后的算术平均值乘以</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％。当有效投标报价少于n（含）家时，则以所有有效投标报价的算术平均值乘以</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p>
        </w:tc>
        <w:tc>
          <w:tcPr>
            <w:tcW w:w="7513" w:type="dxa"/>
            <w:gridSpan w:val="2"/>
            <w:tcBorders>
              <w:tl2br w:val="nil"/>
              <w:tr2bl w:val="nil"/>
            </w:tcBorders>
            <w:vAlign w:val="center"/>
          </w:tcPr>
          <w:p>
            <w:pPr>
              <w:spacing w:line="240" w:lineRule="atLeas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sym w:font="Wingdings 2" w:char="0052"/>
            </w:r>
            <w:r>
              <w:rPr>
                <w:rFonts w:hint="eastAsia" w:ascii="宋体" w:hAnsi="宋体"/>
                <w:color w:val="000000" w:themeColor="text1"/>
                <w:szCs w:val="21"/>
                <w:highlight w:val="none"/>
                <w14:textFill>
                  <w14:solidFill>
                    <w14:schemeClr w14:val="tx1"/>
                  </w14:solidFill>
                </w14:textFill>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p>
        </w:tc>
        <w:tc>
          <w:tcPr>
            <w:tcW w:w="7513" w:type="dxa"/>
            <w:gridSpan w:val="2"/>
            <w:tcBorders>
              <w:tl2br w:val="nil"/>
              <w:tr2bl w:val="nil"/>
            </w:tcBorders>
            <w:vAlign w:val="center"/>
          </w:tcPr>
          <w:p>
            <w:pPr>
              <w:spacing w:line="240" w:lineRule="atLeast"/>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算</w:t>
            </w:r>
            <w:r>
              <w:rPr>
                <w:rFonts w:ascii="宋体" w:hAnsi="宋体"/>
                <w:bCs/>
                <w:color w:val="000000" w:themeColor="text1"/>
                <w:szCs w:val="21"/>
                <w:highlight w:val="none"/>
                <w14:textFill>
                  <w14:solidFill>
                    <w14:schemeClr w14:val="tx1"/>
                  </w14:solidFill>
                </w14:textFill>
              </w:rPr>
              <w:t>法类型</w:t>
            </w:r>
          </w:p>
        </w:tc>
        <w:tc>
          <w:tcPr>
            <w:tcW w:w="709" w:type="dxa"/>
            <w:tcBorders>
              <w:tl2br w:val="nil"/>
              <w:tr2bl w:val="nil"/>
            </w:tcBorders>
            <w:vAlign w:val="center"/>
          </w:tcPr>
          <w:p>
            <w:pPr>
              <w:spacing w:line="240" w:lineRule="atLeast"/>
              <w:jc w:val="center"/>
              <w:rPr>
                <w:rFonts w:asci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□固定</w:t>
            </w:r>
            <w:r>
              <w:rPr>
                <w:rFonts w:ascii="宋体" w:hAnsi="宋体"/>
                <w:color w:val="000000" w:themeColor="text1"/>
                <w:szCs w:val="21"/>
                <w:highlight w:val="none"/>
                <w14:textFill>
                  <w14:solidFill>
                    <w14:schemeClr w14:val="tx1"/>
                  </w14:solidFill>
                </w14:textFill>
              </w:rPr>
              <w:t>比例</w:t>
            </w:r>
            <w:r>
              <w:rPr>
                <w:rFonts w:hint="eastAsia" w:ascii="宋体" w:hAnsi="宋体"/>
                <w:color w:val="000000" w:themeColor="text1"/>
                <w:szCs w:val="21"/>
                <w:highlight w:val="none"/>
                <w14:textFill>
                  <w14:solidFill>
                    <w14:schemeClr w14:val="tx1"/>
                  </w14:solidFill>
                </w14:textFill>
              </w:rPr>
              <w:t>法</w:t>
            </w:r>
          </w:p>
        </w:tc>
        <w:tc>
          <w:tcPr>
            <w:tcW w:w="6804" w:type="dxa"/>
            <w:tcBorders>
              <w:tl2br w:val="nil"/>
              <w:tr2bl w:val="nil"/>
            </w:tcBorders>
            <w:vAlign w:val="center"/>
          </w:tcPr>
          <w:p>
            <w:pPr>
              <w:autoSpaceDE w:val="0"/>
              <w:autoSpaceDN w:val="0"/>
              <w:adjustRightInd w:val="0"/>
              <w:snapToGrid w:val="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价格得分=M-[（｜投标价格-基准价｜/基准价）*100/</w:t>
            </w:r>
            <w:r>
              <w:rPr>
                <w:rFonts w:ascii="宋体" w:hAnsi="宋体"/>
                <w:color w:val="000000" w:themeColor="text1"/>
                <w:szCs w:val="21"/>
                <w:highlight w:val="none"/>
                <w14:textFill>
                  <w14:solidFill>
                    <w14:schemeClr w14:val="tx1"/>
                  </w14:solidFill>
                </w14:textFill>
              </w:rPr>
              <w:t>N]*</w:t>
            </w:r>
            <w:r>
              <w:rPr>
                <w:rFonts w:hint="eastAsia" w:ascii="宋体" w:hAnsi="宋体"/>
                <w:color w:val="000000" w:themeColor="text1"/>
                <w:szCs w:val="21"/>
                <w:highlight w:val="none"/>
                <w14:textFill>
                  <w14:solidFill>
                    <w14:schemeClr w14:val="tx1"/>
                  </w14:solidFill>
                </w14:textFill>
              </w:rPr>
              <w:t>扣分值</w:t>
            </w:r>
          </w:p>
          <w:p>
            <w:pPr>
              <w:autoSpaceDE w:val="0"/>
              <w:autoSpaceDN w:val="0"/>
              <w:adjustRightInd w:val="0"/>
              <w:snapToGrid w:val="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M=</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（价格评价分项满分值），N=</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，投标价格每高于N％时，扣</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分；每低于N％时，扣</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分；</w:t>
            </w:r>
          </w:p>
          <w:p>
            <w:pPr>
              <w:spacing w:line="240" w:lineRule="atLeast"/>
              <w:jc w:val="left"/>
              <w:rPr>
                <w:rFonts w:asci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p>
        </w:tc>
        <w:tc>
          <w:tcPr>
            <w:tcW w:w="709" w:type="dxa"/>
            <w:tcBorders>
              <w:tl2br w:val="nil"/>
              <w:tr2bl w:val="nil"/>
            </w:tcBorders>
            <w:vAlign w:val="center"/>
          </w:tcPr>
          <w:p>
            <w:pPr>
              <w:spacing w:line="240" w:lineRule="atLeast"/>
              <w:jc w:val="center"/>
              <w:rPr>
                <w:rFonts w:asci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固定乘积法</w:t>
            </w:r>
          </w:p>
        </w:tc>
        <w:tc>
          <w:tcPr>
            <w:tcW w:w="6804" w:type="dxa"/>
            <w:tcBorders>
              <w:tl2br w:val="nil"/>
              <w:tr2bl w:val="nil"/>
            </w:tcBorders>
            <w:vAlign w:val="center"/>
          </w:tcPr>
          <w:p>
            <w:pPr>
              <w:autoSpaceDE w:val="0"/>
              <w:autoSpaceDN w:val="0"/>
              <w:adjustRightInd w:val="0"/>
              <w:snapToGrid w:val="0"/>
              <w:jc w:val="left"/>
              <w:rPr>
                <w:rStyle w:val="20"/>
                <w:rFonts w:ascii="宋体" w:hAnsi="宋体"/>
                <w:color w:val="000000" w:themeColor="text1"/>
                <w:highlight w:val="none"/>
                <w14:textFill>
                  <w14:solidFill>
                    <w14:schemeClr w14:val="tx1"/>
                  </w14:solidFill>
                </w14:textFill>
              </w:rPr>
            </w:pPr>
            <w:r>
              <w:rPr>
                <w:rStyle w:val="20"/>
                <w:rFonts w:hint="eastAsia" w:ascii="宋体" w:hAnsi="宋体"/>
                <w:color w:val="000000" w:themeColor="text1"/>
                <w:highlight w:val="none"/>
                <w14:textFill>
                  <w14:solidFill>
                    <w14:schemeClr w14:val="tx1"/>
                  </w14:solidFill>
                </w14:textFill>
              </w:rPr>
              <w:t>价格得分=（1-A×｜1-投标报价/Z｜）×M</w:t>
            </w:r>
          </w:p>
          <w:p>
            <w:pPr>
              <w:numPr>
                <w:ilvl w:val="0"/>
                <w:numId w:val="18"/>
              </w:numPr>
              <w:autoSpaceDE w:val="0"/>
              <w:autoSpaceDN w:val="0"/>
              <w:adjustRightInd w:val="0"/>
              <w:snapToGrid w:val="0"/>
              <w:jc w:val="left"/>
              <w:rPr>
                <w:rStyle w:val="20"/>
                <w:rFonts w:ascii="宋体" w:hAnsi="宋体"/>
                <w:color w:val="000000" w:themeColor="text1"/>
                <w:highlight w:val="none"/>
                <w14:textFill>
                  <w14:solidFill>
                    <w14:schemeClr w14:val="tx1"/>
                  </w14:solidFill>
                </w14:textFill>
              </w:rPr>
            </w:pPr>
            <w:r>
              <w:rPr>
                <w:rStyle w:val="20"/>
                <w:rFonts w:hint="eastAsia" w:ascii="宋体" w:hAnsi="宋体"/>
                <w:color w:val="000000" w:themeColor="text1"/>
                <w:highlight w:val="none"/>
                <w14:textFill>
                  <w14:solidFill>
                    <w14:schemeClr w14:val="tx1"/>
                  </w14:solidFill>
                </w14:textFill>
              </w:rPr>
              <w:t xml:space="preserve">M= </w:t>
            </w:r>
            <w:r>
              <w:rPr>
                <w:rFonts w:hint="eastAsia" w:ascii="宋体" w:hAnsi="宋体"/>
                <w:color w:val="000000" w:themeColor="text1"/>
                <w:szCs w:val="21"/>
                <w:highlight w:val="none"/>
                <w:lang w:val="en-US" w:eastAsia="zh-CN"/>
                <w14:textFill>
                  <w14:solidFill>
                    <w14:schemeClr w14:val="tx1"/>
                  </w14:solidFill>
                </w14:textFill>
              </w:rPr>
              <w:t>20</w:t>
            </w:r>
            <w:r>
              <w:rPr>
                <w:rStyle w:val="20"/>
                <w:rFonts w:hint="eastAsia" w:ascii="宋体" w:hAnsi="宋体"/>
                <w:color w:val="000000" w:themeColor="text1"/>
                <w:highlight w:val="none"/>
                <w14:textFill>
                  <w14:solidFill>
                    <w14:schemeClr w14:val="tx1"/>
                  </w14:solidFill>
                </w14:textFill>
              </w:rPr>
              <w:t xml:space="preserve"> （价格评价分项满分值），Z为本次招标基准价；</w:t>
            </w:r>
          </w:p>
          <w:p>
            <w:pPr>
              <w:numPr>
                <w:ilvl w:val="0"/>
                <w:numId w:val="18"/>
              </w:numPr>
              <w:autoSpaceDE w:val="0"/>
              <w:autoSpaceDN w:val="0"/>
              <w:adjustRightInd w:val="0"/>
              <w:snapToGrid w:val="0"/>
              <w:jc w:val="left"/>
              <w:rPr>
                <w:rStyle w:val="20"/>
                <w:rFonts w:ascii="宋体" w:hAnsi="宋体"/>
                <w:color w:val="000000" w:themeColor="text1"/>
                <w:highlight w:val="none"/>
                <w14:textFill>
                  <w14:solidFill>
                    <w14:schemeClr w14:val="tx1"/>
                  </w14:solidFill>
                </w14:textFill>
              </w:rPr>
            </w:pPr>
            <w:r>
              <w:rPr>
                <w:rStyle w:val="20"/>
                <w:rFonts w:hint="eastAsia" w:ascii="宋体" w:hAnsi="宋体"/>
                <w:color w:val="000000" w:themeColor="text1"/>
                <w:highlight w:val="none"/>
                <w14:textFill>
                  <w14:solidFill>
                    <w14:schemeClr w14:val="tx1"/>
                  </w14:solidFill>
                </w14:textFill>
              </w:rPr>
              <w:t>A为价格调整系数，当投标报价低于本次招标最佳报价（即基准价）时，A=0.5；当投标报价高于次招标基准价时，取A=1；</w:t>
            </w:r>
          </w:p>
          <w:p>
            <w:pPr>
              <w:numPr>
                <w:ilvl w:val="0"/>
                <w:numId w:val="18"/>
              </w:numPr>
              <w:jc w:val="left"/>
              <w:rPr>
                <w:rFonts w:ascii="宋体" w:cs="宋体"/>
                <w:color w:val="000000" w:themeColor="text1"/>
                <w:kern w:val="0"/>
                <w:szCs w:val="21"/>
                <w:highlight w:val="none"/>
                <w14:textFill>
                  <w14:solidFill>
                    <w14:schemeClr w14:val="tx1"/>
                  </w14:solidFill>
                </w14:textFill>
              </w:rPr>
            </w:pPr>
            <w:r>
              <w:rPr>
                <w:rStyle w:val="20"/>
                <w:rFonts w:hint="eastAsia" w:ascii="宋体" w:hAnsi="宋体"/>
                <w:color w:val="000000" w:themeColor="text1"/>
                <w:highlight w:val="none"/>
                <w14:textFill>
                  <w14:solidFill>
                    <w14:schemeClr w14:val="tx1"/>
                  </w14:solidFill>
                </w14:textFill>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color w:val="000000" w:themeColor="text1"/>
                <w:szCs w:val="21"/>
                <w:highlight w:val="none"/>
                <w14:textFill>
                  <w14:solidFill>
                    <w14:schemeClr w14:val="tx1"/>
                  </w14:solidFill>
                </w14:textFill>
              </w:rPr>
            </w:pPr>
          </w:p>
        </w:tc>
        <w:tc>
          <w:tcPr>
            <w:tcW w:w="709" w:type="dxa"/>
            <w:tcBorders>
              <w:tl2br w:val="nil"/>
              <w:tr2bl w:val="nil"/>
            </w:tcBorders>
            <w:vAlign w:val="center"/>
          </w:tcPr>
          <w:p>
            <w:pPr>
              <w:spacing w:line="240" w:lineRule="atLeas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sym w:font="Wingdings 2" w:char="0052"/>
            </w:r>
            <w:r>
              <w:rPr>
                <w:rFonts w:hint="eastAsia" w:ascii="宋体" w:hAnsi="宋体"/>
                <w:color w:val="000000" w:themeColor="text1"/>
                <w:szCs w:val="21"/>
                <w:highlight w:val="none"/>
                <w14:textFill>
                  <w14:solidFill>
                    <w14:schemeClr w14:val="tx1"/>
                  </w14:solidFill>
                </w14:textFill>
              </w:rPr>
              <w:t>其他</w:t>
            </w:r>
            <w:r>
              <w:rPr>
                <w:rFonts w:ascii="宋体" w:hAnsi="宋体"/>
                <w:color w:val="000000" w:themeColor="text1"/>
                <w:szCs w:val="21"/>
                <w:highlight w:val="none"/>
                <w14:textFill>
                  <w14:solidFill>
                    <w14:schemeClr w14:val="tx1"/>
                  </w14:solidFill>
                </w14:textFill>
              </w:rPr>
              <w:t>方法</w:t>
            </w:r>
          </w:p>
        </w:tc>
        <w:tc>
          <w:tcPr>
            <w:tcW w:w="6804" w:type="dxa"/>
            <w:tcBorders>
              <w:tl2br w:val="nil"/>
              <w:tr2bl w:val="nil"/>
            </w:tcBorders>
            <w:vAlign w:val="center"/>
          </w:tcPr>
          <w:p>
            <w:pPr>
              <w:keepNext w:val="0"/>
              <w:keepLines w:val="0"/>
              <w:pageBreakBefore w:val="0"/>
              <w:widowControl/>
              <w:kinsoku/>
              <w:wordWrap/>
              <w:overflowPunct/>
              <w:topLinePunct w:val="0"/>
              <w:bidi w:val="0"/>
              <w:snapToGrid w:val="0"/>
              <w:spacing w:line="380" w:lineRule="exact"/>
              <w:ind w:right="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价格得分=（1-｜投标报价-基准价｜÷基准价）×价格权重分</w:t>
            </w:r>
          </w:p>
          <w:p>
            <w:pPr>
              <w:spacing w:line="240" w:lineRule="atLeast"/>
              <w:jc w:val="left"/>
              <w:rPr>
                <w:rFonts w:ascii="宋体" w:cs="宋体"/>
                <w:color w:val="000000" w:themeColor="text1"/>
                <w:kern w:val="0"/>
                <w:szCs w:val="21"/>
                <w:highlight w:val="none"/>
                <w14:textFill>
                  <w14:solidFill>
                    <w14:schemeClr w14:val="tx1"/>
                  </w14:solidFill>
                </w14:textFill>
              </w:rPr>
            </w:pPr>
            <w:r>
              <w:rPr>
                <w:rFonts w:hint="eastAsia" w:ascii="宋体" w:hAnsi="宋体" w:eastAsia="宋体" w:cs="宋体"/>
                <w:color w:val="auto"/>
                <w:kern w:val="2"/>
                <w:sz w:val="21"/>
                <w:szCs w:val="21"/>
                <w:highlight w:val="none"/>
                <w:lang w:val="en-US" w:eastAsia="zh-CN" w:bidi="ar-SA"/>
              </w:rPr>
              <w:t>说明：报价最接近基准价的投标人价格分最高，价格分保留至小数点后两位。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9"/>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9"/>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widowControl/>
        <w:spacing w:line="300" w:lineRule="auto"/>
        <w:ind w:firstLine="643" w:firstLineChars="200"/>
        <w:jc w:val="center"/>
        <w:rPr>
          <w:rFonts w:hint="eastAsia" w:ascii="宋体" w:hAnsi="宋体" w:eastAsia="宋体" w:cs="宋体"/>
          <w:b/>
          <w:bCs/>
          <w:color w:val="auto"/>
          <w:sz w:val="24"/>
          <w:szCs w:val="24"/>
          <w:highlight w:val="none"/>
        </w:rPr>
      </w:pPr>
      <w:bookmarkStart w:id="52" w:name="_Toc116550358"/>
      <w:r>
        <w:rPr>
          <w:rFonts w:hint="eastAsia" w:ascii="宋体" w:hAnsi="宋体"/>
          <w:b/>
          <w:sz w:val="32"/>
          <w:szCs w:val="32"/>
        </w:rPr>
        <w:t>第四部分：</w:t>
      </w:r>
      <w:r>
        <w:rPr>
          <w:rFonts w:hint="eastAsia" w:ascii="宋体" w:hAnsi="宋体" w:eastAsia="宋体" w:cs="Times New Roman"/>
          <w:b/>
          <w:bCs w:val="0"/>
          <w:sz w:val="32"/>
          <w:szCs w:val="32"/>
        </w:rPr>
        <w:t>招标失败后续处理</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cs="宋体"/>
          <w:b w:val="0"/>
          <w:bCs w:val="0"/>
          <w:i w:val="0"/>
          <w:iCs w:val="0"/>
          <w:color w:val="auto"/>
          <w:kern w:val="2"/>
          <w:sz w:val="21"/>
          <w:szCs w:val="21"/>
          <w:highlight w:val="none"/>
          <w:vertAlign w:val="baseline"/>
          <w:lang w:val="en-US" w:eastAsia="zh-CN" w:bidi="ar-SA"/>
        </w:rPr>
        <w:t>一、</w:t>
      </w:r>
      <w:r>
        <w:rPr>
          <w:rFonts w:hint="eastAsia" w:ascii="宋体" w:hAnsi="宋体" w:eastAsia="宋体" w:cs="宋体"/>
          <w:b w:val="0"/>
          <w:bCs w:val="0"/>
          <w:i w:val="0"/>
          <w:iCs w:val="0"/>
          <w:color w:val="auto"/>
          <w:kern w:val="2"/>
          <w:sz w:val="21"/>
          <w:szCs w:val="21"/>
          <w:highlight w:val="none"/>
          <w:vertAlign w:val="baseline"/>
          <w:lang w:val="en-US" w:eastAsia="zh-CN" w:bidi="ar-SA"/>
        </w:rPr>
        <w:t>说明</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 为提高采购效率，公开（邀请）招标失败后，招标人不再另行制作采购文件，将根据本招标文件规定的时间、需求内容采用非公开招标采购方式完成采购。</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2. 非公开招标采购方式视公开招标失败的具体情形而定。</w:t>
      </w:r>
    </w:p>
    <w:p>
      <w:pPr>
        <w:spacing w:line="300" w:lineRule="auto"/>
        <w:ind w:firstLine="420" w:firstLineChars="200"/>
        <w:rPr>
          <w:rFonts w:hint="eastAsia" w:ascii="宋体" w:hAnsi="宋体" w:eastAsia="宋体" w:cs="宋体"/>
          <w:color w:val="auto"/>
          <w:szCs w:val="21"/>
          <w:highlight w:val="none"/>
          <w:lang w:val="en-US" w:eastAsia="zh-CN"/>
        </w:rPr>
      </w:pP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cs="宋体"/>
          <w:b w:val="0"/>
          <w:bCs w:val="0"/>
          <w:i w:val="0"/>
          <w:iCs w:val="0"/>
          <w:color w:val="auto"/>
          <w:kern w:val="2"/>
          <w:sz w:val="21"/>
          <w:szCs w:val="21"/>
          <w:highlight w:val="none"/>
          <w:vertAlign w:val="baseline"/>
          <w:lang w:val="en-US" w:eastAsia="zh-CN" w:bidi="ar-SA"/>
        </w:rPr>
        <w:t>二、</w:t>
      </w:r>
      <w:r>
        <w:rPr>
          <w:rFonts w:hint="eastAsia" w:ascii="宋体" w:hAnsi="宋体" w:eastAsia="宋体" w:cs="宋体"/>
          <w:b w:val="0"/>
          <w:bCs w:val="0"/>
          <w:i w:val="0"/>
          <w:iCs w:val="0"/>
          <w:color w:val="auto"/>
          <w:kern w:val="2"/>
          <w:sz w:val="21"/>
          <w:szCs w:val="21"/>
          <w:highlight w:val="none"/>
          <w:vertAlign w:val="baseline"/>
          <w:lang w:val="en-US" w:eastAsia="zh-CN" w:bidi="ar-SA"/>
        </w:rPr>
        <w:t>采购方式</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 竞争性谈判</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1.1采用竞争性谈判方式采购的情形。</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ab/>
      </w:r>
      <w:r>
        <w:rPr>
          <w:rFonts w:hint="eastAsia" w:ascii="宋体" w:hAnsi="宋体" w:eastAsia="宋体" w:cs="宋体"/>
          <w:b w:val="0"/>
          <w:bCs w:val="0"/>
          <w:i w:val="0"/>
          <w:iCs w:val="0"/>
          <w:color w:val="auto"/>
          <w:kern w:val="2"/>
          <w:sz w:val="21"/>
          <w:szCs w:val="21"/>
          <w:highlight w:val="none"/>
          <w:vertAlign w:val="baseline"/>
          <w:lang w:val="en-US" w:eastAsia="zh-CN" w:bidi="ar-SA"/>
        </w:rPr>
        <w:t xml:space="preserve">    符合下列情形之一的，采用竞争性谈判方式采购。</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ab/>
      </w:r>
      <w:r>
        <w:rPr>
          <w:rFonts w:hint="eastAsia" w:ascii="宋体" w:hAnsi="宋体" w:eastAsia="宋体" w:cs="宋体"/>
          <w:b w:val="0"/>
          <w:bCs w:val="0"/>
          <w:i w:val="0"/>
          <w:iCs w:val="0"/>
          <w:color w:val="auto"/>
          <w:kern w:val="2"/>
          <w:sz w:val="21"/>
          <w:szCs w:val="21"/>
          <w:highlight w:val="none"/>
          <w:vertAlign w:val="baseline"/>
          <w:lang w:val="en-US" w:eastAsia="zh-CN" w:bidi="ar-SA"/>
        </w:rPr>
        <w:t xml:space="preserve">   1）在招标采购中，符合专业条件的供应商或者对招标文件作实质性响应的供应商只有两家的。</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ab/>
      </w:r>
      <w:r>
        <w:rPr>
          <w:rFonts w:hint="eastAsia" w:ascii="宋体" w:hAnsi="宋体" w:eastAsia="宋体" w:cs="宋体"/>
          <w:b w:val="0"/>
          <w:bCs w:val="0"/>
          <w:i w:val="0"/>
          <w:iCs w:val="0"/>
          <w:color w:val="auto"/>
          <w:kern w:val="2"/>
          <w:sz w:val="21"/>
          <w:szCs w:val="21"/>
          <w:highlight w:val="none"/>
          <w:vertAlign w:val="baseline"/>
          <w:lang w:val="en-US" w:eastAsia="zh-CN" w:bidi="ar-SA"/>
        </w:rPr>
        <w:t xml:space="preserve">   2）经公告或者邀请只有两家符合投标资格的供应人参加投标的。</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2. 单一来源采购</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2.1采用单一来源方式采购的情形。</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ab/>
      </w:r>
      <w:r>
        <w:rPr>
          <w:rFonts w:hint="eastAsia" w:ascii="宋体" w:hAnsi="宋体" w:eastAsia="宋体" w:cs="宋体"/>
          <w:b w:val="0"/>
          <w:bCs w:val="0"/>
          <w:i w:val="0"/>
          <w:iCs w:val="0"/>
          <w:color w:val="auto"/>
          <w:kern w:val="2"/>
          <w:sz w:val="21"/>
          <w:szCs w:val="21"/>
          <w:highlight w:val="none"/>
          <w:vertAlign w:val="baseline"/>
          <w:lang w:val="en-US" w:eastAsia="zh-CN" w:bidi="ar-SA"/>
        </w:rPr>
        <w:t xml:space="preserve">   符合下列情形之一的，采用单一来源方式采购。</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ab/>
      </w:r>
      <w:r>
        <w:rPr>
          <w:rFonts w:hint="eastAsia" w:ascii="宋体" w:hAnsi="宋体" w:eastAsia="宋体" w:cs="宋体"/>
          <w:b w:val="0"/>
          <w:bCs w:val="0"/>
          <w:i w:val="0"/>
          <w:iCs w:val="0"/>
          <w:color w:val="auto"/>
          <w:kern w:val="2"/>
          <w:sz w:val="21"/>
          <w:szCs w:val="21"/>
          <w:highlight w:val="none"/>
          <w:vertAlign w:val="baseline"/>
          <w:lang w:val="en-US" w:eastAsia="zh-CN" w:bidi="ar-SA"/>
        </w:rPr>
        <w:t xml:space="preserve">  1）在招标采购中，符合专业条件的供应商或者对招标文件作实质性响应的供应商只有一家的。</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ab/>
      </w:r>
      <w:r>
        <w:rPr>
          <w:rFonts w:hint="eastAsia" w:ascii="宋体" w:hAnsi="宋体" w:eastAsia="宋体" w:cs="宋体"/>
          <w:b w:val="0"/>
          <w:bCs w:val="0"/>
          <w:i w:val="0"/>
          <w:iCs w:val="0"/>
          <w:color w:val="auto"/>
          <w:kern w:val="2"/>
          <w:sz w:val="21"/>
          <w:szCs w:val="21"/>
          <w:highlight w:val="none"/>
          <w:vertAlign w:val="baseline"/>
          <w:lang w:val="en-US" w:eastAsia="zh-CN" w:bidi="ar-SA"/>
        </w:rPr>
        <w:t xml:space="preserve">  2）经公告或者邀请只有一家符合投标资格的供应人参加投标的。</w:t>
      </w:r>
    </w:p>
    <w:p>
      <w:pPr>
        <w:spacing w:line="300" w:lineRule="auto"/>
        <w:ind w:firstLine="420" w:firstLineChars="200"/>
        <w:rPr>
          <w:rFonts w:hint="eastAsia" w:ascii="宋体" w:hAnsi="宋体" w:eastAsia="宋体" w:cs="宋体"/>
          <w:color w:val="auto"/>
          <w:szCs w:val="21"/>
          <w:highlight w:val="none"/>
          <w:lang w:val="en-US" w:eastAsia="zh-CN"/>
        </w:rPr>
      </w:pP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cs="宋体"/>
          <w:b w:val="0"/>
          <w:bCs w:val="0"/>
          <w:i w:val="0"/>
          <w:iCs w:val="0"/>
          <w:color w:val="auto"/>
          <w:kern w:val="2"/>
          <w:sz w:val="21"/>
          <w:szCs w:val="21"/>
          <w:highlight w:val="none"/>
          <w:vertAlign w:val="baseline"/>
          <w:lang w:val="en-US" w:eastAsia="zh-CN" w:bidi="ar-SA"/>
        </w:rPr>
        <w:t>三、</w:t>
      </w:r>
      <w:r>
        <w:rPr>
          <w:rFonts w:hint="eastAsia" w:ascii="宋体" w:hAnsi="宋体" w:eastAsia="宋体" w:cs="宋体"/>
          <w:b w:val="0"/>
          <w:bCs w:val="0"/>
          <w:i w:val="0"/>
          <w:iCs w:val="0"/>
          <w:color w:val="auto"/>
          <w:kern w:val="2"/>
          <w:sz w:val="21"/>
          <w:szCs w:val="21"/>
          <w:highlight w:val="none"/>
          <w:vertAlign w:val="baseline"/>
          <w:lang w:val="en-US" w:eastAsia="zh-CN" w:bidi="ar-SA"/>
        </w:rPr>
        <w:t>采购程序</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 竞争性谈判</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1.1评审原则：符合采购要求，最终报价最低价为价格评议项基准价，价格分计算公式不变。</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1.2 成立谈判小组。谈判小组由5人组成。</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1.3谈判小组将与符合相应资格条件的供应商进行谈判；</w:t>
      </w:r>
    </w:p>
    <w:p>
      <w:pPr>
        <w:numPr>
          <w:ilvl w:val="-1"/>
          <w:numId w:val="0"/>
        </w:numPr>
        <w:snapToGrid/>
        <w:spacing w:line="300" w:lineRule="auto"/>
        <w:ind w:left="0"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1.4招标人与供应商应当遵循相关法规规定的原则，在保证符合采购项目服务内容和质量的基础上进行采购；</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1.5供应商最多共有三次报价机会（含初始报价）。谈判小组可视谈判情况，随时终止谈判；</w:t>
      </w:r>
    </w:p>
    <w:p>
      <w:pPr>
        <w:numPr>
          <w:ilvl w:val="-1"/>
          <w:numId w:val="0"/>
        </w:numPr>
        <w:snapToGrid/>
        <w:spacing w:line="300" w:lineRule="auto"/>
        <w:ind w:left="0"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1.6谈判结束后，谈判小组应当要求参加谈判的供应商在规定时间内进行最后承诺、填写并提交《最终报价单》（含现场承诺内容）。</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1.7成交供应商确定后，招标人向成交供应商发出《中选通知书》。</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1.8《中选通知书》是合同的一个组成部分。</w:t>
      </w:r>
    </w:p>
    <w:p>
      <w:pPr>
        <w:numPr>
          <w:ilvl w:val="-1"/>
          <w:numId w:val="0"/>
        </w:numPr>
        <w:snapToGrid/>
        <w:spacing w:line="300" w:lineRule="auto"/>
        <w:ind w:left="0"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1.9若最终报价相同，则抽签决定中选供应方。抽签原则：大号中标。抽签顺序：以接收文件时文件上传时间的顺序为准（未出席现场谈判的供应商由招标人代表代抽）。</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2. 单一来源采购</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2.1成立谈判小组。谈判小组由三人及以上的单数组成。</w:t>
      </w:r>
    </w:p>
    <w:p>
      <w:pPr>
        <w:numPr>
          <w:ilvl w:val="-1"/>
          <w:numId w:val="0"/>
        </w:numPr>
        <w:snapToGrid/>
        <w:spacing w:line="300" w:lineRule="auto"/>
        <w:ind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2.2谈判小组从确定符合相应资格条件的供应商参加谈判。</w:t>
      </w:r>
    </w:p>
    <w:p>
      <w:pPr>
        <w:numPr>
          <w:ilvl w:val="-1"/>
          <w:numId w:val="0"/>
        </w:numPr>
        <w:snapToGrid/>
        <w:spacing w:line="300" w:lineRule="auto"/>
        <w:ind w:left="0"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2.3招标人与供应商应当遵循相关法规规定的原则，在保证采购项目质量和双方商定合理价格的基础上进行采购。</w:t>
      </w:r>
    </w:p>
    <w:p>
      <w:pPr>
        <w:numPr>
          <w:ilvl w:val="-1"/>
          <w:numId w:val="0"/>
        </w:numPr>
        <w:snapToGrid/>
        <w:spacing w:line="300" w:lineRule="auto"/>
        <w:ind w:left="0" w:leftChars="0" w:firstLine="420" w:firstLineChars="200"/>
        <w:rPr>
          <w:rFonts w:hint="eastAsia" w:ascii="宋体" w:hAnsi="宋体" w:eastAsia="宋体" w:cs="宋体"/>
          <w:b w:val="0"/>
          <w:bCs w:val="0"/>
          <w:i w:val="0"/>
          <w:iCs w:val="0"/>
          <w:color w:val="auto"/>
          <w:kern w:val="2"/>
          <w:sz w:val="21"/>
          <w:szCs w:val="21"/>
          <w:highlight w:val="none"/>
          <w:vertAlign w:val="baseline"/>
          <w:lang w:val="en-US" w:eastAsia="zh-CN" w:bidi="ar-SA"/>
        </w:rPr>
      </w:pPr>
      <w:r>
        <w:rPr>
          <w:rFonts w:hint="eastAsia" w:ascii="宋体" w:hAnsi="宋体" w:eastAsia="宋体" w:cs="宋体"/>
          <w:b w:val="0"/>
          <w:bCs w:val="0"/>
          <w:i w:val="0"/>
          <w:iCs w:val="0"/>
          <w:color w:val="auto"/>
          <w:kern w:val="2"/>
          <w:sz w:val="21"/>
          <w:szCs w:val="21"/>
          <w:highlight w:val="none"/>
          <w:vertAlign w:val="baseline"/>
          <w:lang w:val="en-US" w:eastAsia="zh-CN" w:bidi="ar-SA"/>
        </w:rPr>
        <w:t>2.4谈判结束后，谈判小组应当要求参加谈判的供应商在规定时间内进行最后报价、填写并提交《最终报价》及《现场承诺书》。</w:t>
      </w:r>
    </w:p>
    <w:p>
      <w:pPr>
        <w:spacing w:line="360" w:lineRule="auto"/>
        <w:ind w:firstLine="420" w:firstLineChars="200"/>
        <w:jc w:val="both"/>
        <w:outlineLvl w:val="0"/>
        <w:rPr>
          <w:rFonts w:hint="eastAsia" w:ascii="宋体" w:hAnsi="宋体"/>
          <w:b/>
          <w:sz w:val="32"/>
          <w:szCs w:val="32"/>
        </w:rPr>
      </w:pPr>
      <w:r>
        <w:rPr>
          <w:rFonts w:hint="eastAsia" w:ascii="宋体" w:hAnsi="宋体" w:eastAsia="宋体" w:cs="宋体"/>
          <w:b w:val="0"/>
          <w:bCs w:val="0"/>
          <w:i w:val="0"/>
          <w:iCs w:val="0"/>
          <w:color w:val="auto"/>
          <w:kern w:val="2"/>
          <w:sz w:val="21"/>
          <w:szCs w:val="21"/>
          <w:highlight w:val="none"/>
          <w:vertAlign w:val="baseline"/>
          <w:lang w:val="en-US" w:eastAsia="zh-CN" w:bidi="ar-SA"/>
        </w:rPr>
        <w:t>2.5成交供应商确定后，招标人将向成交供应商发出《成交通知书》。</w:t>
      </w:r>
    </w:p>
    <w:p>
      <w:pPr>
        <w:spacing w:line="360" w:lineRule="auto"/>
        <w:jc w:val="center"/>
        <w:outlineLvl w:val="0"/>
        <w:rPr>
          <w:rFonts w:hint="eastAsia" w:ascii="宋体" w:hAnsi="宋体"/>
          <w:b/>
          <w:sz w:val="32"/>
          <w:szCs w:val="32"/>
          <w:lang w:val="en-US" w:eastAsia="zh-CN"/>
        </w:rPr>
      </w:pPr>
    </w:p>
    <w:p>
      <w:pPr>
        <w:spacing w:line="360" w:lineRule="auto"/>
        <w:jc w:val="center"/>
        <w:outlineLvl w:val="0"/>
        <w:rPr>
          <w:rFonts w:hint="eastAsia" w:ascii="宋体" w:hAnsi="宋体"/>
          <w:b/>
          <w:sz w:val="32"/>
          <w:szCs w:val="32"/>
          <w:lang w:val="en-US" w:eastAsia="zh-CN"/>
        </w:rPr>
      </w:pPr>
    </w:p>
    <w:p>
      <w:pPr>
        <w:spacing w:line="360" w:lineRule="auto"/>
        <w:jc w:val="center"/>
        <w:outlineLvl w:val="0"/>
        <w:rPr>
          <w:rFonts w:hint="eastAsia" w:ascii="宋体" w:hAnsi="宋体"/>
          <w:b/>
          <w:sz w:val="32"/>
          <w:szCs w:val="32"/>
          <w:lang w:val="en-US" w:eastAsia="zh-CN"/>
        </w:rPr>
      </w:pPr>
    </w:p>
    <w:p>
      <w:pPr>
        <w:spacing w:line="360" w:lineRule="auto"/>
        <w:jc w:val="center"/>
        <w:outlineLvl w:val="0"/>
        <w:rPr>
          <w:rFonts w:hint="eastAsia" w:ascii="宋体" w:hAnsi="宋体"/>
          <w:b/>
          <w:sz w:val="32"/>
          <w:szCs w:val="32"/>
          <w:lang w:val="en-US" w:eastAsia="zh-CN"/>
        </w:rPr>
      </w:pPr>
    </w:p>
    <w:p>
      <w:pPr>
        <w:spacing w:line="360" w:lineRule="auto"/>
        <w:jc w:val="center"/>
        <w:outlineLvl w:val="0"/>
        <w:rPr>
          <w:rFonts w:hint="eastAsia" w:ascii="宋体" w:hAnsi="宋体"/>
          <w:b/>
          <w:sz w:val="32"/>
          <w:szCs w:val="32"/>
          <w:lang w:val="en-US" w:eastAsia="zh-CN"/>
        </w:rPr>
      </w:pPr>
    </w:p>
    <w:p>
      <w:pPr>
        <w:spacing w:line="360" w:lineRule="auto"/>
        <w:jc w:val="center"/>
        <w:outlineLvl w:val="0"/>
        <w:rPr>
          <w:rFonts w:hint="eastAsia" w:ascii="宋体" w:hAnsi="宋体"/>
          <w:b/>
          <w:sz w:val="32"/>
          <w:szCs w:val="32"/>
          <w:lang w:val="en-US" w:eastAsia="zh-CN"/>
        </w:rPr>
      </w:pPr>
    </w:p>
    <w:p>
      <w:pPr>
        <w:spacing w:line="360" w:lineRule="auto"/>
        <w:jc w:val="center"/>
        <w:outlineLvl w:val="0"/>
        <w:rPr>
          <w:rFonts w:hint="eastAsia" w:ascii="宋体" w:hAnsi="宋体"/>
          <w:b/>
          <w:sz w:val="32"/>
          <w:szCs w:val="32"/>
          <w:lang w:val="en-US" w:eastAsia="zh-CN"/>
        </w:rPr>
      </w:pPr>
    </w:p>
    <w:p>
      <w:pPr>
        <w:spacing w:line="360" w:lineRule="auto"/>
        <w:jc w:val="center"/>
        <w:outlineLvl w:val="0"/>
        <w:rPr>
          <w:rFonts w:hint="eastAsia" w:ascii="宋体" w:hAnsi="宋体"/>
          <w:b/>
          <w:sz w:val="32"/>
          <w:szCs w:val="32"/>
          <w:lang w:val="en-US" w:eastAsia="zh-CN"/>
        </w:rPr>
      </w:pPr>
    </w:p>
    <w:p>
      <w:pPr>
        <w:spacing w:line="360" w:lineRule="auto"/>
        <w:jc w:val="center"/>
        <w:outlineLvl w:val="0"/>
        <w:rPr>
          <w:rFonts w:hint="eastAsia" w:ascii="宋体" w:hAnsi="宋体"/>
          <w:b/>
          <w:sz w:val="32"/>
          <w:szCs w:val="32"/>
          <w:lang w:val="en-US" w:eastAsia="zh-CN"/>
        </w:rPr>
      </w:pPr>
    </w:p>
    <w:p>
      <w:pPr>
        <w:spacing w:line="360" w:lineRule="auto"/>
        <w:jc w:val="center"/>
        <w:outlineLvl w:val="0"/>
        <w:rPr>
          <w:rFonts w:hint="eastAsia" w:ascii="宋体" w:hAnsi="宋体"/>
          <w:b/>
          <w:sz w:val="32"/>
          <w:szCs w:val="32"/>
          <w:lang w:val="en-US" w:eastAsia="zh-CN"/>
        </w:rPr>
      </w:pPr>
    </w:p>
    <w:p>
      <w:pPr>
        <w:spacing w:line="360" w:lineRule="auto"/>
        <w:jc w:val="center"/>
        <w:outlineLvl w:val="0"/>
        <w:rPr>
          <w:rFonts w:hint="eastAsia" w:ascii="宋体" w:hAnsi="宋体"/>
          <w:b/>
          <w:sz w:val="32"/>
          <w:szCs w:val="32"/>
          <w:lang w:val="en-US" w:eastAsia="zh-CN"/>
        </w:rPr>
      </w:pPr>
    </w:p>
    <w:p>
      <w:pPr>
        <w:spacing w:line="360" w:lineRule="auto"/>
        <w:jc w:val="center"/>
        <w:outlineLvl w:val="0"/>
        <w:rPr>
          <w:rFonts w:hint="eastAsia" w:ascii="宋体" w:hAnsi="宋体"/>
          <w:b/>
          <w:sz w:val="32"/>
          <w:szCs w:val="32"/>
          <w:lang w:val="en-US" w:eastAsia="zh-CN"/>
        </w:rPr>
      </w:pPr>
    </w:p>
    <w:p>
      <w:pPr>
        <w:spacing w:line="360" w:lineRule="auto"/>
        <w:jc w:val="center"/>
        <w:outlineLvl w:val="0"/>
        <w:rPr>
          <w:rFonts w:hint="eastAsia" w:ascii="宋体" w:hAnsi="宋体"/>
          <w:b/>
          <w:sz w:val="32"/>
          <w:szCs w:val="32"/>
          <w:lang w:val="en-US" w:eastAsia="zh-CN"/>
        </w:rPr>
      </w:pPr>
    </w:p>
    <w:p>
      <w:pPr>
        <w:spacing w:line="360" w:lineRule="auto"/>
        <w:jc w:val="center"/>
        <w:outlineLvl w:val="0"/>
        <w:rPr>
          <w:rFonts w:hint="eastAsia" w:ascii="宋体" w:hAnsi="宋体"/>
          <w:b/>
          <w:sz w:val="32"/>
          <w:szCs w:val="32"/>
          <w:lang w:val="en-US" w:eastAsia="zh-CN"/>
        </w:rPr>
      </w:pPr>
    </w:p>
    <w:p>
      <w:pPr>
        <w:spacing w:line="360" w:lineRule="auto"/>
        <w:jc w:val="center"/>
        <w:outlineLvl w:val="0"/>
        <w:rPr>
          <w:rFonts w:hint="eastAsia" w:ascii="宋体" w:hAnsi="宋体"/>
          <w:b/>
          <w:sz w:val="32"/>
          <w:szCs w:val="32"/>
          <w:lang w:val="en-US" w:eastAsia="zh-CN"/>
        </w:rPr>
      </w:pPr>
    </w:p>
    <w:p>
      <w:pPr>
        <w:spacing w:line="360" w:lineRule="auto"/>
        <w:jc w:val="center"/>
        <w:outlineLvl w:val="0"/>
        <w:rPr>
          <w:rFonts w:hint="eastAsia" w:ascii="宋体" w:hAnsi="宋体"/>
          <w:b/>
          <w:sz w:val="32"/>
          <w:szCs w:val="32"/>
          <w:lang w:val="en-US" w:eastAsia="zh-CN"/>
        </w:rPr>
      </w:pPr>
    </w:p>
    <w:p>
      <w:pPr>
        <w:spacing w:line="360" w:lineRule="auto"/>
        <w:jc w:val="center"/>
        <w:outlineLvl w:val="0"/>
        <w:rPr>
          <w:rFonts w:hint="eastAsia" w:ascii="宋体" w:hAnsi="宋体"/>
          <w:b/>
          <w:sz w:val="32"/>
          <w:szCs w:val="32"/>
          <w:lang w:val="en-US" w:eastAsia="zh-CN"/>
        </w:rPr>
      </w:pPr>
    </w:p>
    <w:p>
      <w:pPr>
        <w:spacing w:line="360" w:lineRule="auto"/>
        <w:jc w:val="center"/>
        <w:outlineLvl w:val="0"/>
        <w:rPr>
          <w:rFonts w:hint="eastAsia" w:ascii="宋体" w:hAnsi="宋体"/>
          <w:b/>
          <w:sz w:val="32"/>
          <w:szCs w:val="32"/>
          <w:lang w:val="en-US" w:eastAsia="zh-CN"/>
        </w:rPr>
      </w:pPr>
    </w:p>
    <w:p>
      <w:pPr>
        <w:spacing w:line="360" w:lineRule="auto"/>
        <w:jc w:val="center"/>
        <w:outlineLvl w:val="0"/>
        <w:rPr>
          <w:rFonts w:hint="eastAsia" w:ascii="宋体" w:hAnsi="宋体"/>
          <w:b/>
          <w:sz w:val="32"/>
          <w:szCs w:val="32"/>
          <w:lang w:val="en-US" w:eastAsia="zh-CN"/>
        </w:rPr>
      </w:pPr>
    </w:p>
    <w:p>
      <w:pPr>
        <w:spacing w:line="360" w:lineRule="auto"/>
        <w:jc w:val="center"/>
        <w:outlineLvl w:val="0"/>
        <w:rPr>
          <w:rFonts w:ascii="宋体" w:hAnsi="宋体"/>
          <w:b/>
          <w:sz w:val="32"/>
          <w:szCs w:val="32"/>
        </w:rPr>
      </w:pPr>
      <w:r>
        <w:rPr>
          <w:rFonts w:hint="eastAsia" w:ascii="宋体" w:hAnsi="宋体"/>
          <w:b/>
          <w:sz w:val="32"/>
          <w:szCs w:val="32"/>
          <w:lang w:val="en-US" w:eastAsia="zh-CN"/>
        </w:rPr>
        <w:t>第五部分：</w:t>
      </w:r>
      <w:r>
        <w:rPr>
          <w:rFonts w:hint="eastAsia" w:ascii="宋体" w:hAnsi="宋体"/>
          <w:b/>
          <w:sz w:val="32"/>
          <w:szCs w:val="32"/>
        </w:rPr>
        <w:t>合同条款及格式</w:t>
      </w:r>
      <w:bookmarkEnd w:id="52"/>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53" w:name="_Hlk116549198"/>
      <w:r>
        <w:rPr>
          <w:rFonts w:hint="eastAsia" w:ascii="方正小标宋简体" w:hAnsi="方正小标宋简体" w:eastAsia="方正小标宋简体" w:cs="方正小标宋简体"/>
          <w:b w:val="0"/>
          <w:bCs/>
          <w:kern w:val="0"/>
          <w:sz w:val="28"/>
          <w:szCs w:val="28"/>
          <w:lang w:val="en-US" w:eastAsia="zh-CN"/>
        </w:rPr>
        <w:t>深圳会展中心2023年高交会通用宣传片制作服务</w:t>
      </w:r>
      <w:r>
        <w:rPr>
          <w:rFonts w:hint="eastAsia" w:ascii="方正小标宋简体" w:hAnsi="方正小标宋简体" w:eastAsia="方正小标宋简体" w:cs="方正小标宋简体"/>
          <w:bCs/>
          <w:kern w:val="0"/>
          <w:sz w:val="28"/>
          <w:szCs w:val="28"/>
        </w:rPr>
        <w:t>合同</w:t>
      </w:r>
    </w:p>
    <w:bookmarkEnd w:id="53"/>
    <w:p>
      <w:pPr>
        <w:jc w:val="center"/>
        <w:rPr>
          <w:rFonts w:ascii="宋体" w:hAnsi="宋体"/>
          <w:szCs w:val="21"/>
        </w:rPr>
      </w:pPr>
      <w:bookmarkStart w:id="54" w:name="_Hlk116549211"/>
      <w:r>
        <w:rPr>
          <w:rFonts w:hint="eastAsia" w:ascii="方正小标宋简体" w:hAnsi="方正小标宋简体" w:eastAsia="方正小标宋简体" w:cs="方正小标宋简体"/>
          <w:bCs/>
          <w:kern w:val="0"/>
          <w:sz w:val="28"/>
          <w:szCs w:val="28"/>
        </w:rPr>
        <w:t>（</w:t>
      </w:r>
      <w:r>
        <w:rPr>
          <w:rFonts w:hint="eastAsia" w:ascii="方正小标宋简体" w:hAnsi="方正小标宋简体" w:eastAsia="方正小标宋简体" w:cs="方正小标宋简体"/>
          <w:bCs/>
          <w:kern w:val="0"/>
          <w:sz w:val="28"/>
          <w:szCs w:val="28"/>
          <w:lang w:val="en-US" w:eastAsia="zh-CN"/>
        </w:rPr>
        <w:t>服务类合同模板，后续根据招标结果补充完整</w:t>
      </w:r>
      <w:r>
        <w:rPr>
          <w:rFonts w:hint="eastAsia" w:ascii="方正小标宋简体" w:hAnsi="方正小标宋简体" w:eastAsia="方正小标宋简体" w:cs="方正小标宋简体"/>
          <w:bCs/>
          <w:kern w:val="0"/>
          <w:sz w:val="28"/>
          <w:szCs w:val="28"/>
        </w:rPr>
        <w:t>）</w:t>
      </w:r>
    </w:p>
    <w:bookmarkEnd w:id="54"/>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highlight w:val="none"/>
        </w:rPr>
      </w:pPr>
      <w:r>
        <w:rPr>
          <w:rFonts w:hint="eastAsia" w:ascii="宋体" w:hAnsi="宋体" w:cs="宋体"/>
          <w:b/>
          <w:kern w:val="0"/>
          <w:szCs w:val="21"/>
        </w:rPr>
        <w:t>甲方</w:t>
      </w:r>
      <w:r>
        <w:rPr>
          <w:rFonts w:hint="eastAsia" w:ascii="宋体" w:hAnsi="宋体" w:cs="宋体"/>
          <w:b/>
          <w:kern w:val="0"/>
          <w:szCs w:val="21"/>
          <w:highlight w:val="none"/>
        </w:rPr>
        <w:t>：深圳会展中心管理有限责任公司（简称“会展中心”）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地址：深圳市福田区福华三路深圳会展中心</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p>
    <w:p>
      <w:pPr>
        <w:autoSpaceDE w:val="0"/>
        <w:autoSpaceDN w:val="0"/>
        <w:adjustRightInd w:val="0"/>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电话：0755-8284XXXX</w:t>
      </w:r>
      <w:r>
        <w:rPr>
          <w:rFonts w:ascii="宋体" w:hAnsi="宋体" w:cs="宋体"/>
          <w:kern w:val="0"/>
          <w:szCs w:val="21"/>
          <w:highlight w:val="none"/>
        </w:rPr>
        <w:t xml:space="preserve"> </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widowControl/>
        <w:snapToGrid w:val="0"/>
        <w:spacing w:line="360" w:lineRule="auto"/>
        <w:ind w:firstLine="560"/>
        <w:rPr>
          <w:rFonts w:ascii="宋体" w:hAnsi="宋体" w:cs="宋体"/>
          <w:kern w:val="0"/>
          <w:szCs w:val="21"/>
          <w:highlight w:val="none"/>
        </w:rPr>
      </w:pPr>
    </w:p>
    <w:p>
      <w:pPr>
        <w:widowControl/>
        <w:snapToGrid w:val="0"/>
        <w:spacing w:line="360" w:lineRule="auto"/>
        <w:rPr>
          <w:rFonts w:ascii="宋体" w:hAnsi="宋体" w:cs="宋体"/>
          <w:b/>
          <w:kern w:val="0"/>
          <w:szCs w:val="21"/>
          <w:highlight w:val="none"/>
        </w:rPr>
      </w:pPr>
      <w:r>
        <w:rPr>
          <w:rFonts w:hint="eastAsia" w:ascii="宋体" w:hAnsi="宋体" w:cs="宋体"/>
          <w:b/>
          <w:kern w:val="0"/>
          <w:szCs w:val="21"/>
          <w:highlight w:val="none"/>
        </w:rPr>
        <w:t>乙方：XXXX公司（简称“XXXX”）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地址：XXXXXXXXXXXX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r>
        <w:rPr>
          <w:rFonts w:ascii="宋体" w:hAnsi="宋体" w:cs="宋体"/>
          <w:kern w:val="0"/>
          <w:szCs w:val="21"/>
          <w:highlight w:val="none"/>
        </w:rPr>
        <w:t xml:space="preserve"> </w:t>
      </w:r>
      <w:r>
        <w:rPr>
          <w:rFonts w:hint="eastAsia" w:ascii="宋体" w:hAnsi="宋体" w:cs="宋体"/>
          <w:kern w:val="0"/>
          <w:szCs w:val="21"/>
          <w:highlight w:val="none"/>
        </w:rPr>
        <w:t xml:space="preserve">  </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电话：0755-XXXXXX</w:t>
      </w:r>
    </w:p>
    <w:p>
      <w:pPr>
        <w:pStyle w:val="2"/>
        <w:spacing w:line="360" w:lineRule="auto"/>
        <w:ind w:left="0"/>
        <w:rPr>
          <w:rFonts w:ascii="宋体" w:hAnsi="宋体"/>
          <w:sz w:val="21"/>
          <w:szCs w:val="21"/>
          <w:highlight w:val="none"/>
        </w:rPr>
      </w:pPr>
      <w:r>
        <w:rPr>
          <w:rFonts w:hint="eastAsia" w:ascii="宋体" w:hAnsi="宋体" w:cs="宋体"/>
          <w:sz w:val="21"/>
          <w:szCs w:val="21"/>
          <w:highlight w:val="none"/>
        </w:rPr>
        <w:t>电子邮件：</w:t>
      </w:r>
    </w:p>
    <w:p>
      <w:pPr>
        <w:pStyle w:val="2"/>
        <w:spacing w:after="0" w:line="360" w:lineRule="auto"/>
        <w:ind w:left="0" w:firstLine="400" w:firstLineChars="200"/>
        <w:rPr>
          <w:rFonts w:ascii="宋体" w:hAnsi="宋体"/>
          <w:sz w:val="21"/>
          <w:szCs w:val="21"/>
          <w:highlight w:val="none"/>
        </w:rPr>
      </w:pPr>
    </w:p>
    <w:p>
      <w:pPr>
        <w:pStyle w:val="2"/>
        <w:spacing w:after="0" w:line="360" w:lineRule="auto"/>
        <w:ind w:left="0" w:firstLine="400" w:firstLineChars="200"/>
        <w:rPr>
          <w:rFonts w:ascii="宋体" w:hAnsi="宋体" w:cs="Arial"/>
          <w:sz w:val="21"/>
          <w:szCs w:val="21"/>
          <w:highlight w:val="none"/>
        </w:rPr>
      </w:pPr>
      <w:r>
        <w:rPr>
          <w:rFonts w:hint="eastAsia" w:ascii="宋体" w:hAnsi="宋体" w:cs="Arial"/>
          <w:sz w:val="21"/>
          <w:szCs w:val="21"/>
          <w:highlight w:val="none"/>
        </w:rPr>
        <w:t>依据《中华人民共和国民法典》及相关法律、法规的规定及行业规范，</w:t>
      </w:r>
      <w:r>
        <w:rPr>
          <w:rFonts w:hint="eastAsia" w:ascii="宋体" w:hAnsi="宋体" w:cs="仿宋"/>
          <w:sz w:val="21"/>
          <w:szCs w:val="21"/>
          <w:highlight w:val="none"/>
        </w:rPr>
        <w:t>甲、乙双方本着公平合理、平等互利、诚信自愿的原则，</w:t>
      </w:r>
      <w:r>
        <w:rPr>
          <w:rFonts w:hint="eastAsia" w:ascii="宋体" w:hAnsi="宋体" w:cs="Arial"/>
          <w:sz w:val="21"/>
          <w:szCs w:val="21"/>
          <w:highlight w:val="none"/>
        </w:rPr>
        <w:t>乙方受甲方委托为甲方提供</w:t>
      </w:r>
      <w:r>
        <w:rPr>
          <w:rFonts w:hint="eastAsia" w:ascii="宋体" w:hAnsi="宋体" w:cs="宋体"/>
          <w:sz w:val="21"/>
          <w:szCs w:val="21"/>
          <w:highlight w:val="none"/>
        </w:rPr>
        <w:t>XXXXXXXXXXXX</w:t>
      </w:r>
      <w:r>
        <w:rPr>
          <w:rFonts w:hint="eastAsia" w:ascii="宋体" w:hAnsi="宋体" w:cs="Arial"/>
          <w:sz w:val="21"/>
          <w:szCs w:val="21"/>
          <w:highlight w:val="none"/>
        </w:rPr>
        <w:t>服务，甲乙双方经协商一致，签订本合同，双方保证严格遵守和执行。</w:t>
      </w:r>
    </w:p>
    <w:p>
      <w:pPr>
        <w:pStyle w:val="2"/>
        <w:numPr>
          <w:ilvl w:val="0"/>
          <w:numId w:val="20"/>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服务内容及要求</w:t>
      </w:r>
    </w:p>
    <w:p>
      <w:pPr>
        <w:pStyle w:val="2"/>
        <w:numPr>
          <w:ilvl w:val="0"/>
          <w:numId w:val="21"/>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项目名称：</w:t>
      </w:r>
      <w:r>
        <w:rPr>
          <w:rFonts w:hint="eastAsia" w:ascii="宋体" w:hAnsi="宋体" w:cs="宋体"/>
          <w:sz w:val="21"/>
          <w:szCs w:val="21"/>
          <w:highlight w:val="none"/>
        </w:rPr>
        <w:t>XXXXXXXXXXXX</w:t>
      </w:r>
    </w:p>
    <w:p>
      <w:pPr>
        <w:pStyle w:val="2"/>
        <w:numPr>
          <w:ilvl w:val="0"/>
          <w:numId w:val="21"/>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项目实施地点：深圳会展中心</w:t>
      </w:r>
    </w:p>
    <w:p>
      <w:pPr>
        <w:pStyle w:val="2"/>
        <w:numPr>
          <w:ilvl w:val="0"/>
          <w:numId w:val="21"/>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服务内容</w:t>
      </w:r>
    </w:p>
    <w:p>
      <w:pPr>
        <w:pStyle w:val="2"/>
        <w:numPr>
          <w:ilvl w:val="0"/>
          <w:numId w:val="22"/>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2"/>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21"/>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增值服务（如有）</w:t>
      </w:r>
    </w:p>
    <w:p>
      <w:pPr>
        <w:pStyle w:val="2"/>
        <w:numPr>
          <w:ilvl w:val="0"/>
          <w:numId w:val="23"/>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3"/>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21"/>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服务要求</w:t>
      </w:r>
    </w:p>
    <w:p>
      <w:pPr>
        <w:pStyle w:val="2"/>
        <w:numPr>
          <w:ilvl w:val="0"/>
          <w:numId w:val="24"/>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4"/>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20"/>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服务期限</w:t>
      </w:r>
    </w:p>
    <w:p>
      <w:pPr>
        <w:pStyle w:val="2"/>
        <w:spacing w:after="0" w:line="360" w:lineRule="auto"/>
        <w:ind w:left="0" w:firstLine="400" w:firstLineChars="200"/>
        <w:rPr>
          <w:rFonts w:ascii="宋体" w:hAnsi="宋体" w:cs="仿宋"/>
          <w:b/>
          <w:bCs/>
          <w:sz w:val="21"/>
          <w:szCs w:val="21"/>
          <w:highlight w:val="none"/>
        </w:rPr>
      </w:pPr>
      <w:r>
        <w:rPr>
          <w:rFonts w:hint="eastAsia" w:ascii="宋体" w:hAnsi="宋体" w:cs="仿宋"/>
          <w:sz w:val="21"/>
          <w:szCs w:val="21"/>
          <w:highlight w:val="none"/>
        </w:rPr>
        <w:t>本项目服务期限为XX年，从本合同签订生效之日起至XXXX年X月X日止。年度服务期满前两个月，乙方应主动向甲方申请对其本年度服务情况进行评审，经甲方综合考核评审服务达到优良（综合得分</w:t>
      </w:r>
      <w:r>
        <w:rPr>
          <w:rFonts w:ascii="宋体" w:hAnsi="宋体" w:cs="仿宋"/>
          <w:sz w:val="21"/>
          <w:szCs w:val="21"/>
          <w:highlight w:val="none"/>
        </w:rPr>
        <w:t>≥</w:t>
      </w:r>
      <w:r>
        <w:rPr>
          <w:rFonts w:hint="eastAsia" w:ascii="宋体" w:hAnsi="宋体" w:cs="仿宋"/>
          <w:sz w:val="21"/>
          <w:szCs w:val="21"/>
          <w:highlight w:val="none"/>
        </w:rPr>
        <w:t>80分），则执行下一年度服务合同。如综合考核评审服务未达到优良，甲方有权终止下一年度服务合同。综合考核评审细则详见附件《XXXX考核评审细则》。</w:t>
      </w:r>
    </w:p>
    <w:p>
      <w:pPr>
        <w:pStyle w:val="2"/>
        <w:numPr>
          <w:ilvl w:val="0"/>
          <w:numId w:val="20"/>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合同金额及付款要求</w:t>
      </w:r>
    </w:p>
    <w:p>
      <w:pPr>
        <w:pStyle w:val="23"/>
        <w:numPr>
          <w:ilvl w:val="1"/>
          <w:numId w:val="25"/>
        </w:numPr>
        <w:spacing w:line="360" w:lineRule="auto"/>
        <w:ind w:left="0" w:firstLine="420"/>
        <w:rPr>
          <w:rFonts w:ascii="宋体" w:hAnsi="宋体" w:eastAsia="宋体" w:cs="仿宋"/>
          <w:spacing w:val="-2"/>
          <w:szCs w:val="21"/>
          <w:highlight w:val="none"/>
        </w:rPr>
      </w:pPr>
      <w:r>
        <w:rPr>
          <w:rFonts w:hint="eastAsia" w:ascii="宋体" w:hAnsi="宋体" w:eastAsia="宋体" w:cs="仿宋"/>
          <w:szCs w:val="21"/>
          <w:highlight w:val="none"/>
        </w:rPr>
        <w:t>合同金额</w:t>
      </w:r>
    </w:p>
    <w:p>
      <w:pPr>
        <w:pStyle w:val="23"/>
        <w:numPr>
          <w:ilvl w:val="0"/>
          <w:numId w:val="26"/>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本项</w:t>
      </w:r>
      <w:r>
        <w:rPr>
          <w:rFonts w:hint="eastAsia" w:ascii="宋体" w:hAnsi="宋体" w:eastAsia="宋体" w:cs="仿宋"/>
          <w:szCs w:val="21"/>
          <w:highlight w:val="none"/>
        </w:rPr>
        <w:t>目合同金额</w:t>
      </w:r>
      <w:r>
        <w:rPr>
          <w:rFonts w:hint="eastAsia" w:ascii="宋体" w:hAnsi="宋体" w:eastAsia="宋体" w:cs="仿宋"/>
          <w:bCs/>
          <w:szCs w:val="21"/>
          <w:highlight w:val="none"/>
        </w:rPr>
        <w:t>为¥XXX万元（</w:t>
      </w:r>
      <w:r>
        <w:rPr>
          <w:rFonts w:hint="eastAsia" w:ascii="宋体" w:hAnsi="宋体" w:eastAsia="宋体" w:cs="仿宋"/>
          <w:szCs w:val="21"/>
          <w:highlight w:val="none"/>
        </w:rPr>
        <w:t>大写人民币：</w:t>
      </w:r>
      <w:r>
        <w:rPr>
          <w:rFonts w:hint="eastAsia" w:ascii="宋体" w:hAnsi="宋体" w:eastAsia="宋体" w:cs="仿宋"/>
          <w:szCs w:val="21"/>
          <w:highlight w:val="none"/>
          <w:u w:val="single"/>
        </w:rPr>
        <w:t>XXXX元整</w:t>
      </w:r>
      <w:r>
        <w:rPr>
          <w:rFonts w:ascii="宋体" w:hAnsi="宋体" w:eastAsia="宋体" w:cs="仿宋"/>
          <w:szCs w:val="21"/>
          <w:highlight w:val="none"/>
          <w:u w:val="single"/>
        </w:rPr>
        <w:t xml:space="preserve"> </w:t>
      </w:r>
      <w:r>
        <w:rPr>
          <w:rFonts w:hint="eastAsia" w:ascii="宋体" w:hAnsi="宋体" w:eastAsia="宋体" w:cs="仿宋"/>
          <w:szCs w:val="21"/>
          <w:highlight w:val="none"/>
        </w:rPr>
        <w:t>），税率为X%</w:t>
      </w:r>
      <w:r>
        <w:rPr>
          <w:rFonts w:hint="eastAsia" w:ascii="宋体" w:hAnsi="宋体" w:eastAsia="宋体" w:cs="仿宋"/>
          <w:spacing w:val="-2"/>
          <w:szCs w:val="21"/>
          <w:highlight w:val="none"/>
        </w:rPr>
        <w:t>。</w:t>
      </w:r>
    </w:p>
    <w:p>
      <w:pPr>
        <w:pStyle w:val="23"/>
        <w:numPr>
          <w:ilvl w:val="0"/>
          <w:numId w:val="26"/>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以上金额已经包含项目费用开具增值税专用发票所产生的税费及乙方完成本项目服务所发生的</w:t>
      </w:r>
      <w:r>
        <w:rPr>
          <w:rFonts w:hint="eastAsia" w:ascii="宋体" w:hAnsi="宋体" w:eastAsia="宋体" w:cs="仿宋"/>
          <w:szCs w:val="21"/>
          <w:highlight w:val="none"/>
        </w:rPr>
        <w:t>全部费用。</w:t>
      </w:r>
    </w:p>
    <w:p>
      <w:pPr>
        <w:pStyle w:val="23"/>
        <w:numPr>
          <w:ilvl w:val="1"/>
          <w:numId w:val="25"/>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付款要求</w:t>
      </w:r>
    </w:p>
    <w:p>
      <w:pPr>
        <w:pStyle w:val="23"/>
        <w:numPr>
          <w:ilvl w:val="0"/>
          <w:numId w:val="27"/>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 xml:space="preserve"> 合同签订，乙方完成XXX后，15个工作日内甲方向乙方支付合同金额XX％款项，即人民币XXXX元（大写：XXXX元整）；</w:t>
      </w:r>
    </w:p>
    <w:p>
      <w:pPr>
        <w:pStyle w:val="23"/>
        <w:numPr>
          <w:ilvl w:val="0"/>
          <w:numId w:val="27"/>
        </w:numPr>
        <w:spacing w:line="360" w:lineRule="auto"/>
        <w:ind w:left="0" w:firstLine="412"/>
        <w:rPr>
          <w:rFonts w:ascii="宋体" w:hAnsi="宋体" w:eastAsia="宋体" w:cs="仿宋"/>
          <w:szCs w:val="21"/>
          <w:highlight w:val="none"/>
        </w:rPr>
      </w:pPr>
      <w:r>
        <w:rPr>
          <w:rFonts w:hint="eastAsia" w:ascii="宋体" w:hAnsi="宋体" w:eastAsia="宋体" w:cs="仿宋"/>
          <w:spacing w:val="-2"/>
          <w:szCs w:val="21"/>
          <w:highlight w:val="none"/>
        </w:rPr>
        <w:t xml:space="preserve"> 完成本项目所有服务内容并经甲方验收合格且完成违约责任清算后，甲方支付本项目剩余款项。</w:t>
      </w:r>
    </w:p>
    <w:p>
      <w:pPr>
        <w:pStyle w:val="23"/>
        <w:numPr>
          <w:ilvl w:val="0"/>
          <w:numId w:val="27"/>
        </w:numPr>
        <w:spacing w:line="360" w:lineRule="auto"/>
        <w:ind w:left="0" w:firstLine="420"/>
        <w:rPr>
          <w:rFonts w:ascii="宋体" w:hAnsi="宋体" w:eastAsia="宋体" w:cs="仿宋"/>
          <w:szCs w:val="21"/>
          <w:highlight w:val="none"/>
        </w:rPr>
      </w:pPr>
      <w:r>
        <w:rPr>
          <w:rFonts w:hint="eastAsia" w:ascii="宋体" w:hAnsi="宋体" w:eastAsia="宋体" w:cs="仿宋"/>
          <w:szCs w:val="21"/>
          <w:highlight w:val="none"/>
        </w:rPr>
        <w:t xml:space="preserve"> 甲方办理合同款项支付前，乙方需先向甲方提供全额（等额）真实、合法有效的增值税专用发票。</w:t>
      </w:r>
    </w:p>
    <w:p>
      <w:pPr>
        <w:pStyle w:val="2"/>
        <w:numPr>
          <w:ilvl w:val="0"/>
          <w:numId w:val="20"/>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验收标准</w:t>
      </w:r>
    </w:p>
    <w:p>
      <w:pPr>
        <w:pStyle w:val="2"/>
        <w:numPr>
          <w:ilvl w:val="0"/>
          <w:numId w:val="28"/>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8"/>
        </w:numPr>
        <w:spacing w:after="0" w:line="360" w:lineRule="auto"/>
        <w:ind w:left="0" w:firstLine="402" w:firstLineChars="200"/>
        <w:rPr>
          <w:rFonts w:ascii="宋体" w:hAnsi="宋体" w:cs="宋体"/>
          <w:sz w:val="21"/>
          <w:szCs w:val="21"/>
          <w:highlight w:val="none"/>
        </w:rPr>
      </w:pPr>
      <w:r>
        <w:rPr>
          <w:rFonts w:hint="eastAsia" w:ascii="宋体" w:hAnsi="宋体" w:cs="仿宋"/>
          <w:b/>
          <w:bCs/>
          <w:sz w:val="21"/>
          <w:szCs w:val="21"/>
          <w:highlight w:val="none"/>
        </w:rPr>
        <w:t>.</w:t>
      </w:r>
      <w:r>
        <w:rPr>
          <w:rFonts w:hint="eastAsia" w:ascii="宋体" w:hAnsi="宋体" w:cs="宋体"/>
          <w:sz w:val="21"/>
          <w:szCs w:val="21"/>
          <w:highlight w:val="none"/>
        </w:rPr>
        <w:t>.....</w:t>
      </w:r>
    </w:p>
    <w:p>
      <w:pPr>
        <w:pStyle w:val="2"/>
        <w:numPr>
          <w:ilvl w:val="0"/>
          <w:numId w:val="20"/>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双方权利与义务</w:t>
      </w:r>
    </w:p>
    <w:p>
      <w:pPr>
        <w:pStyle w:val="2"/>
        <w:numPr>
          <w:ilvl w:val="0"/>
          <w:numId w:val="29"/>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甲方权利与义务</w:t>
      </w:r>
    </w:p>
    <w:p>
      <w:pPr>
        <w:pStyle w:val="2"/>
        <w:numPr>
          <w:ilvl w:val="0"/>
          <w:numId w:val="30"/>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0"/>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29"/>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乙方权利与义务</w:t>
      </w:r>
    </w:p>
    <w:p>
      <w:pPr>
        <w:pStyle w:val="2"/>
        <w:numPr>
          <w:ilvl w:val="0"/>
          <w:numId w:val="31"/>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1"/>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20"/>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处罚标准（如有）</w:t>
      </w:r>
    </w:p>
    <w:p>
      <w:pPr>
        <w:pStyle w:val="2"/>
        <w:numPr>
          <w:ilvl w:val="0"/>
          <w:numId w:val="32"/>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2"/>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20"/>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知识产权归属（如有）</w:t>
      </w:r>
    </w:p>
    <w:p>
      <w:pPr>
        <w:pStyle w:val="2"/>
        <w:numPr>
          <w:ilvl w:val="0"/>
          <w:numId w:val="33"/>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33"/>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20"/>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违约责任</w:t>
      </w:r>
    </w:p>
    <w:p>
      <w:pPr>
        <w:numPr>
          <w:ilvl w:val="0"/>
          <w:numId w:val="34"/>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甲乙双方任何一方违反约定事项造成对方实际损失的，应在15天内向对方支付年度合同金额XX%的赔偿金和违约金。</w:t>
      </w:r>
    </w:p>
    <w:p>
      <w:pPr>
        <w:numPr>
          <w:ilvl w:val="0"/>
          <w:numId w:val="34"/>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20"/>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合同变更、终止</w:t>
      </w:r>
    </w:p>
    <w:p>
      <w:pPr>
        <w:numPr>
          <w:ilvl w:val="0"/>
          <w:numId w:val="35"/>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如果出现不可预见的情形，影响本合同项下相关服务的执行时，甲乙双方均可要求变更约定事项，但应提前通知对方，并由双方协商解决。</w:t>
      </w:r>
    </w:p>
    <w:p>
      <w:pPr>
        <w:numPr>
          <w:ilvl w:val="0"/>
          <w:numId w:val="35"/>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本合同签订后，双方应当按约履行，不得无故终止。如遇法定情形或特殊原因确需终止的,提出终止的一方应提前书面通知另一方。</w:t>
      </w:r>
    </w:p>
    <w:p>
      <w:pPr>
        <w:numPr>
          <w:ilvl w:val="0"/>
          <w:numId w:val="35"/>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highlight w:val="none"/>
        </w:rPr>
      </w:pPr>
      <w:r>
        <w:rPr>
          <w:rFonts w:hint="eastAsia" w:ascii="宋体" w:hAnsi="宋体" w:cs="仿宋"/>
          <w:sz w:val="21"/>
          <w:szCs w:val="21"/>
          <w:highlight w:val="none"/>
        </w:rPr>
        <w:t>（四）在乙方因自身原因单方终止本合同的情况下，乙方须退回甲方已经支付的本合同项下乙方未完成和未开始实施项相关费用。</w:t>
      </w:r>
    </w:p>
    <w:p>
      <w:pPr>
        <w:pStyle w:val="2"/>
        <w:numPr>
          <w:ilvl w:val="0"/>
          <w:numId w:val="20"/>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保密条款</w:t>
      </w:r>
    </w:p>
    <w:p>
      <w:pPr>
        <w:pStyle w:val="2"/>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20"/>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不可抗力</w:t>
      </w:r>
    </w:p>
    <w:p>
      <w:pPr>
        <w:pStyle w:val="23"/>
        <w:numPr>
          <w:ilvl w:val="0"/>
          <w:numId w:val="36"/>
        </w:numPr>
        <w:spacing w:line="360" w:lineRule="auto"/>
        <w:ind w:left="0" w:firstLine="420"/>
        <w:rPr>
          <w:rFonts w:ascii="宋体" w:hAnsi="宋体" w:eastAsia="宋体" w:cs="仿宋"/>
          <w:szCs w:val="21"/>
          <w:highlight w:val="none"/>
        </w:rPr>
      </w:pPr>
      <w:r>
        <w:rPr>
          <w:rFonts w:hint="eastAsia" w:ascii="宋体" w:hAnsi="宋体" w:eastAsia="宋体" w:cs="仿宋"/>
          <w:szCs w:val="21"/>
          <w:highlight w:val="none"/>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highlight w:val="none"/>
        </w:rPr>
        <w:t>,</w:t>
      </w:r>
      <w:r>
        <w:rPr>
          <w:rFonts w:hint="eastAsia" w:ascii="宋体" w:hAnsi="宋体" w:eastAsia="宋体" w:cs="仿宋"/>
          <w:szCs w:val="21"/>
          <w:highlight w:val="none"/>
        </w:rPr>
        <w:t>并提供有效证明，该方不被视为违反本合同。</w:t>
      </w:r>
    </w:p>
    <w:p>
      <w:pPr>
        <w:pStyle w:val="23"/>
        <w:numPr>
          <w:ilvl w:val="0"/>
          <w:numId w:val="36"/>
        </w:numPr>
        <w:spacing w:line="360" w:lineRule="auto"/>
        <w:ind w:left="0" w:firstLine="420"/>
        <w:rPr>
          <w:rFonts w:ascii="宋体" w:hAnsi="宋体" w:eastAsia="宋体" w:cs="仿宋"/>
          <w:szCs w:val="21"/>
          <w:highlight w:val="none"/>
        </w:rPr>
      </w:pPr>
      <w:r>
        <w:rPr>
          <w:rFonts w:hint="eastAsia" w:ascii="宋体" w:hAnsi="宋体" w:eastAsia="宋体" w:cs="仿宋"/>
          <w:szCs w:val="21"/>
          <w:highlight w:val="none"/>
        </w:rPr>
        <w:t>本合同项下的不可抗力是指：无法预见、无法避免且无法克服的客观事实，包括但不限于</w:t>
      </w:r>
      <w:r>
        <w:rPr>
          <w:rFonts w:hint="eastAsia" w:ascii="宋体" w:hAnsi="宋体" w:eastAsia="宋体"/>
          <w:bCs/>
          <w:szCs w:val="21"/>
          <w:highlight w:val="none"/>
        </w:rPr>
        <w:t>战争、罢工、倒闭、暴乱、疾病蔓延、戒严令、火灾、洪水、暴风雨、干旱、火山爆发、爆炸、核或化学事件或辐射、海啸、任何自然灾害</w:t>
      </w:r>
      <w:r>
        <w:rPr>
          <w:rFonts w:hint="eastAsia" w:ascii="宋体" w:hAnsi="宋体" w:eastAsia="宋体" w:cs="仿宋"/>
          <w:szCs w:val="21"/>
          <w:highlight w:val="none"/>
        </w:rPr>
        <w:t>等。</w:t>
      </w:r>
    </w:p>
    <w:p>
      <w:pPr>
        <w:pStyle w:val="2"/>
        <w:numPr>
          <w:ilvl w:val="0"/>
          <w:numId w:val="20"/>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争议解决</w:t>
      </w:r>
    </w:p>
    <w:p>
      <w:p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因本合同有关的任何纠纷或争议，双方应协商解决。协商不成的，双方均可向甲方所在地的人民法院提起诉讼。</w:t>
      </w:r>
    </w:p>
    <w:p>
      <w:pPr>
        <w:pStyle w:val="2"/>
        <w:numPr>
          <w:ilvl w:val="0"/>
          <w:numId w:val="20"/>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其他条款</w:t>
      </w:r>
    </w:p>
    <w:p>
      <w:pPr>
        <w:numPr>
          <w:ilvl w:val="0"/>
          <w:numId w:val="37"/>
        </w:numPr>
        <w:snapToGrid w:val="0"/>
        <w:spacing w:line="360" w:lineRule="auto"/>
        <w:ind w:firstLineChars="200"/>
        <w:rPr>
          <w:rFonts w:ascii="宋体" w:hAnsi="宋体" w:cs="仿宋"/>
          <w:szCs w:val="21"/>
          <w:highlight w:val="none"/>
        </w:rPr>
      </w:pPr>
      <w:r>
        <w:rPr>
          <w:rFonts w:hint="eastAsia" w:ascii="宋体" w:hAnsi="宋体" w:cs="仿宋"/>
          <w:szCs w:val="21"/>
          <w:highlight w:val="none"/>
        </w:rPr>
        <w:t>本合同经双方代表人签字并加盖单位公章之日起生效，并在双方履行完成约定事项后终止。</w:t>
      </w:r>
    </w:p>
    <w:p>
      <w:pPr>
        <w:numPr>
          <w:ilvl w:val="0"/>
          <w:numId w:val="37"/>
        </w:numPr>
        <w:snapToGrid w:val="0"/>
        <w:spacing w:line="360" w:lineRule="auto"/>
        <w:ind w:firstLineChars="200"/>
        <w:rPr>
          <w:rFonts w:ascii="宋体" w:hAnsi="宋体" w:cs="仿宋"/>
          <w:szCs w:val="21"/>
        </w:rPr>
      </w:pPr>
      <w:r>
        <w:rPr>
          <w:rFonts w:hint="eastAsia" w:ascii="宋体" w:hAnsi="宋体" w:cs="仿宋"/>
          <w:szCs w:val="21"/>
          <w:highlight w:val="none"/>
        </w:rPr>
        <w:t>本合同载</w:t>
      </w:r>
      <w:r>
        <w:rPr>
          <w:rFonts w:hint="eastAsia" w:ascii="宋体" w:hAnsi="宋体" w:cs="仿宋"/>
          <w:szCs w:val="21"/>
        </w:rPr>
        <w:t>明的联系方式（包括地址、联系人、电话）为双方约定的联系方式，若有变动，应提前书面告知对方，否则该联系方式为双方法定的送达和联系方式，一经发送至上述地址即视为送达。</w:t>
      </w:r>
    </w:p>
    <w:p>
      <w:pPr>
        <w:pStyle w:val="35"/>
        <w:numPr>
          <w:ilvl w:val="0"/>
          <w:numId w:val="37"/>
        </w:numPr>
        <w:spacing w:line="360" w:lineRule="auto"/>
        <w:rPr>
          <w:rFonts w:ascii="宋体" w:hAnsi="宋体" w:eastAsia="宋体" w:cs="仿宋"/>
          <w:szCs w:val="21"/>
        </w:rPr>
      </w:pPr>
      <w:bookmarkStart w:id="55"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55"/>
    </w:p>
    <w:p>
      <w:pPr>
        <w:numPr>
          <w:ilvl w:val="0"/>
          <w:numId w:val="37"/>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37"/>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312" w:beforeLines="100" w:after="312" w:afterLines="100" w:line="360" w:lineRule="auto"/>
        <w:jc w:val="center"/>
        <w:outlineLvl w:val="0"/>
        <w:rPr>
          <w:rFonts w:ascii="仿宋" w:hAnsi="仿宋" w:eastAsia="仿宋"/>
          <w:sz w:val="32"/>
          <w:szCs w:val="32"/>
        </w:rPr>
      </w:pPr>
      <w:bookmarkStart w:id="56" w:name="_Toc116550359"/>
      <w:r>
        <w:rPr>
          <w:rFonts w:hint="eastAsia"/>
          <w:b/>
          <w:sz w:val="32"/>
          <w:szCs w:val="32"/>
        </w:rPr>
        <w:t>第</w:t>
      </w:r>
      <w:r>
        <w:rPr>
          <w:rFonts w:hint="eastAsia"/>
          <w:b/>
          <w:sz w:val="32"/>
          <w:szCs w:val="32"/>
          <w:lang w:val="en-US" w:eastAsia="zh-CN"/>
        </w:rPr>
        <w:t>六</w:t>
      </w:r>
      <w:r>
        <w:rPr>
          <w:rFonts w:hint="eastAsia"/>
          <w:b/>
          <w:sz w:val="32"/>
          <w:szCs w:val="32"/>
        </w:rPr>
        <w:t>部分：参考附件</w:t>
      </w:r>
      <w:bookmarkEnd w:id="56"/>
    </w:p>
    <w:p>
      <w:pPr>
        <w:spacing w:line="0" w:lineRule="atLeast"/>
        <w:outlineLvl w:val="1"/>
        <w:rPr>
          <w:rFonts w:ascii="宋体" w:hAnsi="宋体"/>
        </w:rPr>
      </w:pPr>
      <w:bookmarkStart w:id="57" w:name="_Toc116550360"/>
      <w:r>
        <w:rPr>
          <w:rFonts w:hint="eastAsia" w:ascii="宋体" w:hAnsi="宋体"/>
          <w:szCs w:val="21"/>
        </w:rPr>
        <w:t>附件1：</w:t>
      </w:r>
      <w:r>
        <w:rPr>
          <w:rFonts w:hint="eastAsia" w:ascii="宋体" w:hAnsi="宋体"/>
        </w:rPr>
        <w:t>报名回函</w:t>
      </w:r>
      <w:bookmarkEnd w:id="57"/>
    </w:p>
    <w:p>
      <w:pPr>
        <w:pStyle w:val="12"/>
      </w:pPr>
    </w:p>
    <w:p>
      <w:pPr>
        <w:pStyle w:val="13"/>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7"/>
        <w:rPr>
          <w:b/>
          <w:sz w:val="21"/>
          <w:szCs w:val="21"/>
        </w:rPr>
      </w:pPr>
    </w:p>
    <w:p>
      <w:pPr>
        <w:widowControl/>
        <w:jc w:val="left"/>
        <w:rPr>
          <w:b/>
          <w:szCs w:val="21"/>
        </w:rPr>
      </w:pPr>
      <w:r>
        <w:rPr>
          <w:b/>
          <w:szCs w:val="21"/>
        </w:rPr>
        <w:br w:type="page"/>
      </w:r>
    </w:p>
    <w:p>
      <w:pPr>
        <w:pStyle w:val="7"/>
        <w:rPr>
          <w:b/>
          <w:sz w:val="21"/>
          <w:szCs w:val="21"/>
        </w:rPr>
      </w:pPr>
    </w:p>
    <w:p>
      <w:pPr>
        <w:spacing w:line="0" w:lineRule="atLeast"/>
        <w:outlineLvl w:val="1"/>
        <w:rPr>
          <w:rFonts w:ascii="宋体" w:hAnsi="宋体"/>
          <w:szCs w:val="21"/>
        </w:rPr>
      </w:pPr>
      <w:bookmarkStart w:id="58" w:name="_Toc116550361"/>
      <w:r>
        <w:rPr>
          <w:rFonts w:hint="eastAsia" w:ascii="宋体" w:hAnsi="宋体"/>
          <w:szCs w:val="21"/>
        </w:rPr>
        <w:t>附件2：投标函</w:t>
      </w:r>
      <w:bookmarkEnd w:id="58"/>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59" w:name="_Toc116550362"/>
      <w:r>
        <w:rPr>
          <w:rFonts w:hint="eastAsia" w:ascii="宋体" w:hAnsi="宋体"/>
          <w:szCs w:val="21"/>
        </w:rPr>
        <w:t>附件3：投标一览表</w:t>
      </w:r>
      <w:bookmarkEnd w:id="59"/>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0"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6"/>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0"/>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hint="eastAsia" w:ascii="宋体" w:hAnsi="宋体" w:eastAsia="宋体"/>
          <w:szCs w:val="21"/>
          <w:lang w:eastAsia="zh-CN"/>
        </w:rPr>
      </w:pPr>
      <w:bookmarkStart w:id="61" w:name="_Toc116550363"/>
      <w:r>
        <w:rPr>
          <w:rFonts w:hint="eastAsia" w:ascii="宋体" w:hAnsi="宋体"/>
          <w:szCs w:val="21"/>
        </w:rPr>
        <w:t>附件4：考察证明</w:t>
      </w:r>
      <w:bookmarkEnd w:id="61"/>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2"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3" w:name="_Hlk116548155"/>
      <w:r>
        <w:rPr>
          <w:rFonts w:hint="eastAsia" w:ascii="仿宋" w:hAnsi="仿宋" w:eastAsia="仿宋"/>
          <w:sz w:val="28"/>
          <w:szCs w:val="28"/>
        </w:rPr>
        <w:t>你单位</w:t>
      </w:r>
      <w:r>
        <w:rPr>
          <w:rFonts w:hint="eastAsia" w:ascii="仿宋" w:hAnsi="仿宋" w:eastAsia="仿宋"/>
          <w:sz w:val="28"/>
          <w:szCs w:val="28"/>
          <w:highlight w:val="none"/>
        </w:rPr>
        <w:t>已于</w:t>
      </w:r>
      <w:r>
        <w:rPr>
          <w:rFonts w:hint="eastAsia" w:ascii="仿宋" w:hAnsi="仿宋" w:eastAsia="仿宋"/>
          <w:b/>
          <w:sz w:val="28"/>
          <w:szCs w:val="28"/>
          <w:highlight w:val="none"/>
          <w:u w:val="single"/>
        </w:rPr>
        <w:t xml:space="preserve">      </w:t>
      </w:r>
      <w:r>
        <w:rPr>
          <w:rFonts w:hint="eastAsia" w:ascii="仿宋" w:hAnsi="仿宋" w:eastAsia="仿宋"/>
          <w:bCs/>
          <w:sz w:val="28"/>
          <w:szCs w:val="28"/>
          <w:highlight w:val="none"/>
        </w:rPr>
        <w:t>年</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日指派专人</w:t>
      </w:r>
      <w:r>
        <w:rPr>
          <w:rFonts w:hint="eastAsia" w:ascii="仿宋" w:hAnsi="仿宋" w:eastAsia="仿宋"/>
          <w:sz w:val="28"/>
          <w:szCs w:val="28"/>
          <w:highlight w:val="none"/>
        </w:rPr>
        <w:t>参加了招标人（深圳会展中心管理有限责任公司）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rPr>
        <w:t xml:space="preserve">                           项目</w:t>
      </w:r>
      <w:r>
        <w:rPr>
          <w:rFonts w:hint="eastAsia" w:ascii="仿宋" w:hAnsi="仿宋" w:eastAsia="仿宋"/>
          <w:b/>
          <w:sz w:val="28"/>
          <w:szCs w:val="28"/>
          <w:highlight w:val="none"/>
        </w:rPr>
        <w:t>的现场考察</w:t>
      </w:r>
      <w:r>
        <w:rPr>
          <w:rFonts w:hint="eastAsia" w:ascii="仿宋" w:hAnsi="仿宋" w:eastAsia="仿宋"/>
          <w:sz w:val="28"/>
          <w:szCs w:val="28"/>
          <w:highlight w:val="none"/>
        </w:rPr>
        <w:t>，</w:t>
      </w:r>
      <w:r>
        <w:rPr>
          <w:rFonts w:hint="eastAsia" w:ascii="仿宋" w:hAnsi="仿宋" w:eastAsia="仿宋"/>
          <w:sz w:val="28"/>
          <w:szCs w:val="28"/>
        </w:rPr>
        <w:t>详细听取了招标人的讲解和要求，已经知晓招标人本次项目的所有内容以及技术要求等。</w:t>
      </w:r>
    </w:p>
    <w:bookmarkEnd w:id="63"/>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2"/>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4" w:name="_Toc116550364"/>
      <w:r>
        <w:rPr>
          <w:rFonts w:hint="eastAsia" w:ascii="宋体" w:hAnsi="宋体"/>
          <w:szCs w:val="21"/>
        </w:rPr>
        <w:t>附件5：技术服务响应/偏离表</w:t>
      </w:r>
      <w:bookmarkEnd w:id="6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5" w:name="_Toc211248418"/>
      <w:r>
        <w:rPr>
          <w:rFonts w:hint="eastAsia" w:ascii="方正小标宋_GBK" w:hAnsi="方正小标宋_GBK" w:eastAsia="方正小标宋_GBK"/>
          <w:b/>
          <w:sz w:val="32"/>
          <w:szCs w:val="32"/>
        </w:rPr>
        <w:t>技术服务响应/偏离表</w:t>
      </w:r>
      <w:bookmarkEnd w:id="65"/>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5"/>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8"/>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6" w:name="_Hlk127434997"/>
      <w:bookmarkStart w:id="67" w:name="_Toc211243320"/>
      <w:r>
        <w:rPr>
          <w:rFonts w:hint="eastAsia" w:ascii="仿宋" w:hAnsi="仿宋" w:eastAsia="仿宋"/>
          <w:sz w:val="30"/>
          <w:szCs w:val="30"/>
        </w:rPr>
        <w:t>法定代表人或其授权委托人（签字或盖章）：</w:t>
      </w:r>
      <w:bookmarkEnd w:id="66"/>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7"/>
      <w:bookmarkStart w:id="68" w:name="_Toc246480945"/>
      <w:bookmarkStart w:id="69" w:name="_Toc236803114"/>
      <w:r>
        <w:rPr>
          <w:rFonts w:ascii="仿宋" w:hAnsi="仿宋" w:eastAsia="仿宋"/>
          <w:sz w:val="28"/>
          <w:szCs w:val="28"/>
        </w:rPr>
        <w:br w:type="page"/>
      </w:r>
    </w:p>
    <w:p>
      <w:pPr>
        <w:spacing w:line="0" w:lineRule="atLeast"/>
        <w:outlineLvl w:val="1"/>
        <w:rPr>
          <w:rFonts w:ascii="宋体" w:hAnsi="宋体"/>
          <w:szCs w:val="21"/>
        </w:rPr>
      </w:pPr>
      <w:bookmarkStart w:id="70" w:name="_Toc116550365"/>
      <w:r>
        <w:rPr>
          <w:rFonts w:hint="eastAsia" w:ascii="宋体" w:hAnsi="宋体"/>
          <w:szCs w:val="21"/>
        </w:rPr>
        <w:t>附件6：商务条款响应/偏离表</w:t>
      </w:r>
      <w:bookmarkEnd w:id="68"/>
      <w:bookmarkEnd w:id="69"/>
      <w:bookmarkEnd w:id="70"/>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1" w:name="_Toc211248420"/>
      <w:r>
        <w:rPr>
          <w:rFonts w:hint="eastAsia" w:ascii="方正小标宋_GBK" w:hAnsi="方正小标宋_GBK" w:eastAsia="方正小标宋_GBK"/>
          <w:b/>
          <w:sz w:val="32"/>
          <w:szCs w:val="32"/>
        </w:rPr>
        <w:t>商务条款响应/偏离表</w:t>
      </w:r>
      <w:bookmarkEnd w:id="71"/>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5"/>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2" w:name="_Toc478387764"/>
      <w:bookmarkStart w:id="73" w:name="_Toc395883088"/>
      <w:bookmarkStart w:id="74" w:name="_Toc236803111"/>
      <w:r>
        <w:rPr>
          <w:rFonts w:ascii="仿宋" w:hAnsi="仿宋" w:eastAsia="仿宋"/>
          <w:sz w:val="28"/>
          <w:szCs w:val="28"/>
        </w:rPr>
        <w:br w:type="page"/>
      </w:r>
    </w:p>
    <w:p>
      <w:pPr>
        <w:spacing w:line="0" w:lineRule="atLeast"/>
        <w:outlineLvl w:val="1"/>
        <w:rPr>
          <w:rFonts w:ascii="宋体" w:hAnsi="宋体"/>
          <w:szCs w:val="21"/>
        </w:rPr>
      </w:pPr>
      <w:bookmarkStart w:id="75" w:name="_Toc116550366"/>
      <w:r>
        <w:rPr>
          <w:rFonts w:hint="eastAsia" w:ascii="宋体" w:hAnsi="宋体"/>
          <w:szCs w:val="21"/>
        </w:rPr>
        <w:t>附件7：报价一览表（货物）</w:t>
      </w:r>
      <w:r>
        <w:rPr>
          <w:rFonts w:hint="eastAsia" w:ascii="宋体" w:hAnsi="宋体"/>
          <w:color w:val="auto"/>
          <w:szCs w:val="21"/>
        </w:rPr>
        <w:t>（本项目不适用）</w:t>
      </w:r>
      <w:bookmarkEnd w:id="75"/>
    </w:p>
    <w:bookmarkEnd w:id="72"/>
    <w:bookmarkEnd w:id="73"/>
    <w:bookmarkEnd w:id="74"/>
    <w:p>
      <w:pPr>
        <w:spacing w:before="120" w:after="240"/>
        <w:jc w:val="center"/>
        <w:rPr>
          <w:rFonts w:ascii="宋体" w:hAnsi="宋体"/>
          <w:b/>
          <w:sz w:val="32"/>
          <w:szCs w:val="32"/>
        </w:rPr>
      </w:pPr>
      <w:bookmarkStart w:id="76" w:name="_Toc211248412"/>
      <w:r>
        <w:rPr>
          <w:rFonts w:hint="eastAsia" w:ascii="方正小标宋_GBK" w:hAnsi="方正小标宋_GBK" w:eastAsia="方正小标宋_GBK"/>
          <w:b/>
          <w:sz w:val="32"/>
          <w:szCs w:val="32"/>
        </w:rPr>
        <w:t>报价一览表</w:t>
      </w:r>
      <w:bookmarkEnd w:id="76"/>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3"/>
        <w:numPr>
          <w:ilvl w:val="1"/>
          <w:numId w:val="40"/>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3"/>
        <w:numPr>
          <w:ilvl w:val="1"/>
          <w:numId w:val="40"/>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3"/>
        <w:numPr>
          <w:ilvl w:val="1"/>
          <w:numId w:val="40"/>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3"/>
        <w:numPr>
          <w:ilvl w:val="1"/>
          <w:numId w:val="40"/>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7" w:name="_Toc82359026"/>
      <w:bookmarkStart w:id="78"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77"/>
    <w:bookmarkEnd w:id="78"/>
    <w:p>
      <w:pPr>
        <w:spacing w:line="0" w:lineRule="atLeast"/>
        <w:outlineLvl w:val="1"/>
        <w:rPr>
          <w:rFonts w:ascii="宋体" w:hAnsi="宋体"/>
          <w:szCs w:val="21"/>
        </w:rPr>
      </w:pPr>
      <w:bookmarkStart w:id="79" w:name="_Toc116550367"/>
      <w:r>
        <w:rPr>
          <w:rFonts w:hint="eastAsia" w:ascii="宋体" w:hAnsi="宋体"/>
          <w:szCs w:val="21"/>
        </w:rPr>
        <w:t>附件8：报价一览表（服务）</w:t>
      </w:r>
      <w:bookmarkEnd w:id="79"/>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3"/>
        <w:numPr>
          <w:ilvl w:val="1"/>
          <w:numId w:val="41"/>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3"/>
        <w:numPr>
          <w:ilvl w:val="1"/>
          <w:numId w:val="41"/>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3"/>
        <w:numPr>
          <w:ilvl w:val="1"/>
          <w:numId w:val="41"/>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0" w:name="_Toc116550368"/>
      <w:r>
        <w:rPr>
          <w:rFonts w:hint="eastAsia" w:ascii="宋体" w:hAnsi="宋体"/>
          <w:szCs w:val="21"/>
        </w:rPr>
        <w:t>附件9：报价一览表（工程</w:t>
      </w:r>
      <w:r>
        <w:rPr>
          <w:rFonts w:hint="eastAsia" w:ascii="宋体" w:hAnsi="宋体"/>
          <w:color w:val="auto"/>
          <w:szCs w:val="21"/>
        </w:rPr>
        <w:t>）</w:t>
      </w:r>
      <w:bookmarkEnd w:id="80"/>
      <w:r>
        <w:rPr>
          <w:rFonts w:hint="eastAsia" w:ascii="宋体" w:hAnsi="宋体"/>
          <w:color w:val="auto"/>
          <w:szCs w:val="21"/>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3"/>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3"/>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3"/>
        <w:numPr>
          <w:ilvl w:val="1"/>
          <w:numId w:val="42"/>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3"/>
        <w:numPr>
          <w:ilvl w:val="1"/>
          <w:numId w:val="42"/>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1" w:name="_Toc116550369"/>
      <w:r>
        <w:rPr>
          <w:rFonts w:hint="eastAsia" w:ascii="宋体" w:hAnsi="宋体"/>
          <w:szCs w:val="21"/>
        </w:rPr>
        <w:t>附件10：法定代表人证明书</w:t>
      </w:r>
      <w:bookmarkEnd w:id="81"/>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3"/>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3"/>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3"/>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60288;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1312;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2"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2"/>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3"/>
        <w:numPr>
          <w:ilvl w:val="1"/>
          <w:numId w:val="44"/>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3"/>
        <w:numPr>
          <w:ilvl w:val="1"/>
          <w:numId w:val="44"/>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3"/>
        <w:numPr>
          <w:ilvl w:val="1"/>
          <w:numId w:val="44"/>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r>
        <w:rPr>
          <w:rFonts w:ascii="仿宋_GB2312" w:hAnsi="宋体" w:eastAsia="仿宋_GB2312"/>
          <w:b/>
          <w:color w:val="00000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3360;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y2XA1wAAAAcBAAAPAAAAAAAAAAEAIAAAACIAAABkcnMvZG93bnJl&#10;di54bWxQSwECFAAUAAAACACHTuJA+IU3BTcCAACQBAAADgAAAAAAAAABACAAAAAmAQAAZHJzL2Uy&#10;b0RvYy54bWxQSwUGAAAAAAYABgBZAQAAzwU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2336;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TNSa0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spacing w:line="0" w:lineRule="atLeast"/>
        <w:outlineLvl w:val="1"/>
        <w:rPr>
          <w:rFonts w:ascii="宋体" w:hAnsi="宋体"/>
          <w:szCs w:val="21"/>
        </w:rPr>
      </w:pPr>
      <w:bookmarkStart w:id="83"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3"/>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5"/>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3"/>
        <w:numPr>
          <w:ilvl w:val="1"/>
          <w:numId w:val="45"/>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3"/>
        <w:numPr>
          <w:ilvl w:val="1"/>
          <w:numId w:val="45"/>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3"/>
        <w:numPr>
          <w:ilvl w:val="1"/>
          <w:numId w:val="45"/>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3"/>
        <w:numPr>
          <w:ilvl w:val="1"/>
          <w:numId w:val="45"/>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4"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4"/>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5" w:name="_Toc32341"/>
      <w:r>
        <w:rPr>
          <w:rFonts w:ascii="仿宋" w:hAnsi="仿宋" w:eastAsia="仿宋"/>
          <w:sz w:val="28"/>
          <w:szCs w:val="28"/>
        </w:rPr>
        <w:br w:type="page"/>
      </w:r>
    </w:p>
    <w:p>
      <w:pPr>
        <w:spacing w:line="0" w:lineRule="atLeast"/>
        <w:outlineLvl w:val="1"/>
        <w:rPr>
          <w:rFonts w:ascii="宋体" w:hAnsi="宋体"/>
          <w:szCs w:val="21"/>
        </w:rPr>
      </w:pPr>
      <w:bookmarkStart w:id="86"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5"/>
      <w:bookmarkEnd w:id="86"/>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87" w:name="_Toc100848654"/>
      <w:bookmarkStart w:id="88" w:name="_Toc116550374"/>
      <w:r>
        <w:rPr>
          <w:rFonts w:hint="eastAsia" w:ascii="宋体" w:hAnsi="宋体"/>
        </w:rPr>
        <w:t>附件15：投标文件密码</w:t>
      </w:r>
      <w:bookmarkEnd w:id="87"/>
      <w:r>
        <w:rPr>
          <w:rFonts w:hint="eastAsia" w:ascii="宋体" w:hAnsi="宋体"/>
        </w:rPr>
        <w:t>单</w:t>
      </w:r>
      <w:bookmarkEnd w:id="88"/>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89"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89"/>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b/>
          <w:color w:val="FF0000"/>
          <w:sz w:val="28"/>
          <w:szCs w:val="28"/>
        </w:rPr>
      </w:pPr>
      <w:r>
        <w:rPr>
          <w:rFonts w:hint="eastAsia" w:ascii="仿宋" w:hAnsi="仿宋" w:eastAsia="仿宋"/>
          <w:b/>
          <w:color w:val="FF0000"/>
          <w:sz w:val="28"/>
          <w:szCs w:val="28"/>
        </w:rPr>
        <w:t>【特别注意】</w:t>
      </w:r>
    </w:p>
    <w:p>
      <w:pPr>
        <w:pStyle w:val="12"/>
        <w:numPr>
          <w:ilvl w:val="0"/>
          <w:numId w:val="48"/>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2"/>
        <w:numPr>
          <w:ilvl w:val="0"/>
          <w:numId w:val="48"/>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2"/>
      </w:pPr>
    </w:p>
    <w:p>
      <w:pPr>
        <w:pStyle w:val="12"/>
      </w:pPr>
    </w:p>
    <w:p>
      <w:pPr>
        <w:spacing w:line="360" w:lineRule="auto"/>
        <w:jc w:val="left"/>
        <w:rPr>
          <w:rFonts w:ascii="仿宋" w:hAnsi="仿宋" w:eastAsia="仿宋"/>
          <w:sz w:val="28"/>
          <w:szCs w:val="28"/>
        </w:rPr>
      </w:pPr>
      <w:bookmarkStart w:id="90"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2"/>
      </w:pPr>
      <w:r>
        <w:rPr>
          <w:rFonts w:hint="eastAsia" w:ascii="仿宋" w:hAnsi="仿宋" w:eastAsia="仿宋"/>
          <w:sz w:val="28"/>
          <w:szCs w:val="28"/>
        </w:rPr>
        <w:t>日期：_______年____月___日</w:t>
      </w:r>
      <w:bookmarkEnd w:id="90"/>
    </w:p>
    <w:p>
      <w:pPr>
        <w:pStyle w:val="12"/>
      </w:pPr>
    </w:p>
    <w:sectPr>
      <w:footerReference r:id="rId5" w:type="default"/>
      <w:pgSz w:w="11906" w:h="16838"/>
      <w:pgMar w:top="1134" w:right="1800" w:bottom="993" w:left="1800" w:header="851" w:footer="40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7797"/>
        <w:tab w:val="clear" w:pos="8306"/>
      </w:tabs>
      <w:ind w:right="-764" w:rightChars="-364"/>
      <w:jc w:val="right"/>
      <w:rPr>
        <w:rFonts w:ascii="宋体" w:hAnsi="宋体" w:cs="宋体"/>
        <w:bCs/>
      </w:rPr>
    </w:pPr>
    <w:bookmarkStart w:id="91" w:name="_Hlk116546062"/>
    <w:bookmarkStart w:id="92" w:name="_Hlk116546063"/>
    <w:r>
      <w:rPr>
        <w:rFonts w:hint="eastAsia" w:ascii="宋体" w:hAnsi="宋体" w:cs="宋体"/>
        <w:bCs/>
      </w:rPr>
      <w:t>版本发布日期：</w:t>
    </w:r>
    <w:r>
      <w:rPr>
        <w:rFonts w:hint="eastAsia" w:ascii="宋体" w:hAnsi="宋体" w:cs="宋体"/>
        <w:bCs/>
        <w:u w:val="single"/>
      </w:rPr>
      <w:t>2023年</w:t>
    </w:r>
    <w:r>
      <w:rPr>
        <w:rFonts w:hint="eastAsia" w:ascii="宋体" w:hAnsi="宋体" w:cs="宋体"/>
        <w:bCs/>
        <w:u w:val="single"/>
        <w:lang w:val="en-US" w:eastAsia="zh-CN"/>
      </w:rPr>
      <w:t>6</w:t>
    </w:r>
    <w:r>
      <w:rPr>
        <w:rFonts w:hint="eastAsia" w:ascii="宋体" w:hAnsi="宋体" w:cs="宋体"/>
        <w:bCs/>
        <w:u w:val="single"/>
      </w:rPr>
      <w:t>月</w:t>
    </w:r>
    <w:r>
      <w:rPr>
        <w:rFonts w:hint="eastAsia" w:ascii="宋体" w:hAnsi="宋体" w:cs="宋体"/>
        <w:bCs/>
        <w:u w:val="single"/>
        <w:lang w:val="en-US" w:eastAsia="zh-CN"/>
      </w:rPr>
      <w:t>12</w:t>
    </w:r>
    <w:r>
      <w:rPr>
        <w:rFonts w:hint="eastAsia" w:ascii="宋体" w:hAnsi="宋体" w:cs="宋体"/>
        <w:bCs/>
        <w:u w:val="single"/>
      </w:rPr>
      <w:t>日</w:t>
    </w:r>
    <w:bookmarkEnd w:id="91"/>
    <w:bookmarkEnd w:id="9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A2281775"/>
    <w:multiLevelType w:val="singleLevel"/>
    <w:tmpl w:val="A2281775"/>
    <w:lvl w:ilvl="0" w:tentative="0">
      <w:start w:val="1"/>
      <w:numFmt w:val="decimal"/>
      <w:suff w:val="space"/>
      <w:lvlText w:val="%1."/>
      <w:lvlJc w:val="left"/>
    </w:lvl>
  </w:abstractNum>
  <w:abstractNum w:abstractNumId="4">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5">
    <w:nsid w:val="CA690857"/>
    <w:multiLevelType w:val="singleLevel"/>
    <w:tmpl w:val="CA690857"/>
    <w:lvl w:ilvl="0" w:tentative="0">
      <w:start w:val="1"/>
      <w:numFmt w:val="decimal"/>
      <w:lvlText w:val="（%1）"/>
      <w:lvlJc w:val="left"/>
      <w:pPr>
        <w:ind w:left="420" w:hanging="420"/>
      </w:pPr>
      <w:rPr>
        <w:rFonts w:hint="eastAsia"/>
      </w:rPr>
    </w:lvl>
  </w:abstractNum>
  <w:abstractNum w:abstractNumId="6">
    <w:nsid w:val="CF7FE85F"/>
    <w:multiLevelType w:val="singleLevel"/>
    <w:tmpl w:val="CF7FE85F"/>
    <w:lvl w:ilvl="0" w:tentative="0">
      <w:start w:val="1"/>
      <w:numFmt w:val="decimal"/>
      <w:lvlText w:val="%1."/>
      <w:lvlJc w:val="left"/>
      <w:pPr>
        <w:ind w:left="425" w:hanging="425"/>
      </w:pPr>
      <w:rPr>
        <w:rFonts w:hint="default"/>
      </w:rPr>
    </w:lvl>
  </w:abstractNum>
  <w:abstractNum w:abstractNumId="7">
    <w:nsid w:val="D3051835"/>
    <w:multiLevelType w:val="singleLevel"/>
    <w:tmpl w:val="D3051835"/>
    <w:lvl w:ilvl="0" w:tentative="0">
      <w:start w:val="1"/>
      <w:numFmt w:val="decimal"/>
      <w:suff w:val="space"/>
      <w:lvlText w:val="%1."/>
      <w:lvlJc w:val="left"/>
    </w:lvl>
  </w:abstractNum>
  <w:abstractNum w:abstractNumId="8">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9">
    <w:nsid w:val="DAA5A57F"/>
    <w:multiLevelType w:val="singleLevel"/>
    <w:tmpl w:val="DAA5A57F"/>
    <w:lvl w:ilvl="0" w:tentative="0">
      <w:start w:val="1"/>
      <w:numFmt w:val="decimal"/>
      <w:suff w:val="space"/>
      <w:lvlText w:val="%1."/>
      <w:lvlJc w:val="left"/>
    </w:lvl>
  </w:abstractNum>
  <w:abstractNum w:abstractNumId="10">
    <w:nsid w:val="DB4D60E3"/>
    <w:multiLevelType w:val="singleLevel"/>
    <w:tmpl w:val="DB4D60E3"/>
    <w:lvl w:ilvl="0" w:tentative="0">
      <w:start w:val="1"/>
      <w:numFmt w:val="decimal"/>
      <w:suff w:val="space"/>
      <w:lvlText w:val="%1."/>
      <w:lvlJc w:val="left"/>
    </w:lvl>
  </w:abstractNum>
  <w:abstractNum w:abstractNumId="11">
    <w:nsid w:val="EBB28CBD"/>
    <w:multiLevelType w:val="singleLevel"/>
    <w:tmpl w:val="EBB28CBD"/>
    <w:lvl w:ilvl="0" w:tentative="0">
      <w:start w:val="1"/>
      <w:numFmt w:val="decimal"/>
      <w:suff w:val="space"/>
      <w:lvlText w:val="%1."/>
      <w:lvlJc w:val="left"/>
      <w:pPr>
        <w:ind w:left="520" w:firstLine="0"/>
      </w:pPr>
    </w:lvl>
  </w:abstractNum>
  <w:abstractNum w:abstractNumId="12">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3">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3"/>
    <w:multiLevelType w:val="singleLevel"/>
    <w:tmpl w:val="00000013"/>
    <w:lvl w:ilvl="0" w:tentative="0">
      <w:start w:val="1"/>
      <w:numFmt w:val="decimal"/>
      <w:lvlText w:val="%1."/>
      <w:lvlJc w:val="left"/>
      <w:pPr>
        <w:ind w:left="420" w:hanging="420"/>
      </w:pPr>
    </w:lvl>
  </w:abstractNum>
  <w:abstractNum w:abstractNumId="17">
    <w:nsid w:val="11D69C2C"/>
    <w:multiLevelType w:val="singleLevel"/>
    <w:tmpl w:val="11D69C2C"/>
    <w:lvl w:ilvl="0" w:tentative="0">
      <w:start w:val="1"/>
      <w:numFmt w:val="decimal"/>
      <w:suff w:val="space"/>
      <w:lvlText w:val="%1."/>
      <w:lvlJc w:val="left"/>
    </w:lvl>
  </w:abstractNum>
  <w:abstractNum w:abstractNumId="18">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0">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0AB9193"/>
    <w:multiLevelType w:val="singleLevel"/>
    <w:tmpl w:val="20AB9193"/>
    <w:lvl w:ilvl="0" w:tentative="0">
      <w:start w:val="1"/>
      <w:numFmt w:val="decimal"/>
      <w:lvlText w:val="%1."/>
      <w:lvlJc w:val="left"/>
      <w:pPr>
        <w:ind w:left="425" w:hanging="425"/>
      </w:pPr>
      <w:rPr>
        <w:rFonts w:hint="default"/>
      </w:rPr>
    </w:lvl>
  </w:abstractNum>
  <w:abstractNum w:abstractNumId="22">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1305886"/>
    <w:multiLevelType w:val="singleLevel"/>
    <w:tmpl w:val="21305886"/>
    <w:lvl w:ilvl="0" w:tentative="0">
      <w:start w:val="1"/>
      <w:numFmt w:val="decimal"/>
      <w:lvlText w:val="（%1）"/>
      <w:lvlJc w:val="left"/>
      <w:pPr>
        <w:ind w:left="420" w:hanging="420"/>
      </w:pPr>
      <w:rPr>
        <w:rFonts w:hint="eastAsia"/>
      </w:rPr>
    </w:lvl>
  </w:abstractNum>
  <w:abstractNum w:abstractNumId="24">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5">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8E10C89"/>
    <w:multiLevelType w:val="singleLevel"/>
    <w:tmpl w:val="28E10C89"/>
    <w:lvl w:ilvl="0" w:tentative="0">
      <w:start w:val="1"/>
      <w:numFmt w:val="decimal"/>
      <w:suff w:val="space"/>
      <w:lvlText w:val="%1."/>
      <w:lvlJc w:val="left"/>
    </w:lvl>
  </w:abstractNum>
  <w:abstractNum w:abstractNumId="28">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2">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5">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6">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7">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9">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40">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3">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4">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5">
    <w:nsid w:val="7B4A4E0C"/>
    <w:multiLevelType w:val="singleLevel"/>
    <w:tmpl w:val="7B4A4E0C"/>
    <w:lvl w:ilvl="0" w:tentative="0">
      <w:start w:val="1"/>
      <w:numFmt w:val="decimal"/>
      <w:lvlText w:val="（%1）"/>
      <w:lvlJc w:val="left"/>
      <w:pPr>
        <w:ind w:left="420" w:hanging="420"/>
      </w:pPr>
      <w:rPr>
        <w:rFonts w:hint="eastAsia"/>
      </w:rPr>
    </w:lvl>
  </w:abstractNum>
  <w:abstractNum w:abstractNumId="46">
    <w:nsid w:val="7ED17433"/>
    <w:multiLevelType w:val="singleLevel"/>
    <w:tmpl w:val="7ED17433"/>
    <w:lvl w:ilvl="0" w:tentative="0">
      <w:start w:val="1"/>
      <w:numFmt w:val="decimal"/>
      <w:lvlText w:val="（%1）"/>
      <w:lvlJc w:val="left"/>
      <w:pPr>
        <w:ind w:left="420" w:hanging="420"/>
      </w:pPr>
      <w:rPr>
        <w:rFonts w:hint="eastAsia"/>
      </w:rPr>
    </w:lvl>
  </w:abstractNum>
  <w:num w:numId="1">
    <w:abstractNumId w:val="39"/>
  </w:num>
  <w:num w:numId="2">
    <w:abstractNumId w:val="43"/>
  </w:num>
  <w:num w:numId="3">
    <w:abstractNumId w:val="30"/>
  </w:num>
  <w:num w:numId="4">
    <w:abstractNumId w:val="5"/>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40"/>
  </w:num>
  <w:num w:numId="8">
    <w:abstractNumId w:val="33"/>
  </w:num>
  <w:num w:numId="9">
    <w:abstractNumId w:val="18"/>
  </w:num>
  <w:num w:numId="10">
    <w:abstractNumId w:val="45"/>
  </w:num>
  <w:num w:numId="11">
    <w:abstractNumId w:val="46"/>
  </w:num>
  <w:num w:numId="12">
    <w:abstractNumId w:val="23"/>
  </w:num>
  <w:num w:numId="13">
    <w:abstractNumId w:val="7"/>
  </w:num>
  <w:num w:numId="14">
    <w:abstractNumId w:val="27"/>
  </w:num>
  <w:num w:numId="15">
    <w:abstractNumId w:val="15"/>
  </w:num>
  <w:num w:numId="16">
    <w:abstractNumId w:val="20"/>
  </w:num>
  <w:num w:numId="17">
    <w:abstractNumId w:val="29"/>
  </w:num>
  <w:num w:numId="18">
    <w:abstractNumId w:val="3"/>
  </w:num>
  <w:num w:numId="19">
    <w:abstractNumId w:val="9"/>
  </w:num>
  <w:num w:numId="20">
    <w:abstractNumId w:val="34"/>
  </w:num>
  <w:num w:numId="21">
    <w:abstractNumId w:val="31"/>
  </w:num>
  <w:num w:numId="22">
    <w:abstractNumId w:val="11"/>
  </w:num>
  <w:num w:numId="23">
    <w:abstractNumId w:val="21"/>
  </w:num>
  <w:num w:numId="24">
    <w:abstractNumId w:val="6"/>
  </w:num>
  <w:num w:numId="25">
    <w:abstractNumId w:val="41"/>
  </w:num>
  <w:num w:numId="26">
    <w:abstractNumId w:val="17"/>
  </w:num>
  <w:num w:numId="27">
    <w:abstractNumId w:val="36"/>
  </w:num>
  <w:num w:numId="28">
    <w:abstractNumId w:val="4"/>
  </w:num>
  <w:num w:numId="29">
    <w:abstractNumId w:val="24"/>
  </w:num>
  <w:num w:numId="30">
    <w:abstractNumId w:val="1"/>
  </w:num>
  <w:num w:numId="31">
    <w:abstractNumId w:val="10"/>
  </w:num>
  <w:num w:numId="32">
    <w:abstractNumId w:val="8"/>
  </w:num>
  <w:num w:numId="33">
    <w:abstractNumId w:val="44"/>
  </w:num>
  <w:num w:numId="34">
    <w:abstractNumId w:val="0"/>
  </w:num>
  <w:num w:numId="35">
    <w:abstractNumId w:val="2"/>
  </w:num>
  <w:num w:numId="36">
    <w:abstractNumId w:val="32"/>
  </w:num>
  <w:num w:numId="37">
    <w:abstractNumId w:val="12"/>
  </w:num>
  <w:num w:numId="38">
    <w:abstractNumId w:val="14"/>
  </w:num>
  <w:num w:numId="39">
    <w:abstractNumId w:val="13"/>
  </w:num>
  <w:num w:numId="40">
    <w:abstractNumId w:val="42"/>
  </w:num>
  <w:num w:numId="41">
    <w:abstractNumId w:val="35"/>
  </w:num>
  <w:num w:numId="42">
    <w:abstractNumId w:val="28"/>
  </w:num>
  <w:num w:numId="43">
    <w:abstractNumId w:val="25"/>
  </w:num>
  <w:num w:numId="44">
    <w:abstractNumId w:val="37"/>
  </w:num>
  <w:num w:numId="45">
    <w:abstractNumId w:val="22"/>
  </w:num>
  <w:num w:numId="46">
    <w:abstractNumId w:val="16"/>
  </w:num>
  <w:num w:numId="47">
    <w:abstractNumId w:val="38"/>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5M2IwZjM2YzE1YTNmZTAyODdjM2NlYWRiNWQyNjA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352349"/>
    <w:rsid w:val="02526FD2"/>
    <w:rsid w:val="02B47C4D"/>
    <w:rsid w:val="03BC2EAD"/>
    <w:rsid w:val="04450729"/>
    <w:rsid w:val="048E00AE"/>
    <w:rsid w:val="04D46768"/>
    <w:rsid w:val="04EC5816"/>
    <w:rsid w:val="04F90B5F"/>
    <w:rsid w:val="053A1CC8"/>
    <w:rsid w:val="06856661"/>
    <w:rsid w:val="06E150F5"/>
    <w:rsid w:val="071F71BB"/>
    <w:rsid w:val="077B4608"/>
    <w:rsid w:val="07BB74B6"/>
    <w:rsid w:val="07D7576E"/>
    <w:rsid w:val="08493DEA"/>
    <w:rsid w:val="086E4EC9"/>
    <w:rsid w:val="09992C90"/>
    <w:rsid w:val="0B734A64"/>
    <w:rsid w:val="0CDE01F2"/>
    <w:rsid w:val="0D7C646B"/>
    <w:rsid w:val="0DD201F4"/>
    <w:rsid w:val="0F4526B6"/>
    <w:rsid w:val="0F4A7B25"/>
    <w:rsid w:val="10091618"/>
    <w:rsid w:val="10E26207"/>
    <w:rsid w:val="11CF74C4"/>
    <w:rsid w:val="12C86F91"/>
    <w:rsid w:val="15034E0A"/>
    <w:rsid w:val="152B64B8"/>
    <w:rsid w:val="15740DA4"/>
    <w:rsid w:val="17082C67"/>
    <w:rsid w:val="178338C7"/>
    <w:rsid w:val="18263FE3"/>
    <w:rsid w:val="195A6BC0"/>
    <w:rsid w:val="1ACC1C39"/>
    <w:rsid w:val="1AF30046"/>
    <w:rsid w:val="1C5670DA"/>
    <w:rsid w:val="1CBC2848"/>
    <w:rsid w:val="1D3D3219"/>
    <w:rsid w:val="1E4075E6"/>
    <w:rsid w:val="1E965746"/>
    <w:rsid w:val="1F7074E6"/>
    <w:rsid w:val="20B545BC"/>
    <w:rsid w:val="20FA40B1"/>
    <w:rsid w:val="20FA7E7D"/>
    <w:rsid w:val="227A4EED"/>
    <w:rsid w:val="228D0750"/>
    <w:rsid w:val="239C59FC"/>
    <w:rsid w:val="24786106"/>
    <w:rsid w:val="247C515B"/>
    <w:rsid w:val="257058F7"/>
    <w:rsid w:val="25A5748F"/>
    <w:rsid w:val="25BE1EBF"/>
    <w:rsid w:val="25D85A3C"/>
    <w:rsid w:val="26356216"/>
    <w:rsid w:val="267E19B6"/>
    <w:rsid w:val="26E95967"/>
    <w:rsid w:val="27360E6A"/>
    <w:rsid w:val="27D22371"/>
    <w:rsid w:val="29F16897"/>
    <w:rsid w:val="2A1D36D7"/>
    <w:rsid w:val="2A81202D"/>
    <w:rsid w:val="2B3730DB"/>
    <w:rsid w:val="2B6B6652"/>
    <w:rsid w:val="2B9E3425"/>
    <w:rsid w:val="2BD84FDD"/>
    <w:rsid w:val="2BFA4386"/>
    <w:rsid w:val="2CD73EA3"/>
    <w:rsid w:val="2D0568E8"/>
    <w:rsid w:val="2D845ED0"/>
    <w:rsid w:val="2E6E5E89"/>
    <w:rsid w:val="2EAB6E76"/>
    <w:rsid w:val="30381F4F"/>
    <w:rsid w:val="30D164F4"/>
    <w:rsid w:val="30F07ACA"/>
    <w:rsid w:val="31460EE6"/>
    <w:rsid w:val="3268347F"/>
    <w:rsid w:val="34A05B77"/>
    <w:rsid w:val="34FA364F"/>
    <w:rsid w:val="353C7350"/>
    <w:rsid w:val="35AF2BC8"/>
    <w:rsid w:val="35D231D8"/>
    <w:rsid w:val="3643788F"/>
    <w:rsid w:val="37097428"/>
    <w:rsid w:val="371725E5"/>
    <w:rsid w:val="38AC36F6"/>
    <w:rsid w:val="3AAD7F79"/>
    <w:rsid w:val="3ACC453A"/>
    <w:rsid w:val="3ACD1152"/>
    <w:rsid w:val="3B991A52"/>
    <w:rsid w:val="3BB26AC4"/>
    <w:rsid w:val="3C35255B"/>
    <w:rsid w:val="3C3663D5"/>
    <w:rsid w:val="3C602D05"/>
    <w:rsid w:val="3D3679ED"/>
    <w:rsid w:val="402F6E96"/>
    <w:rsid w:val="408D7227"/>
    <w:rsid w:val="40EB0960"/>
    <w:rsid w:val="41407E51"/>
    <w:rsid w:val="416718EC"/>
    <w:rsid w:val="439D7A21"/>
    <w:rsid w:val="43D97719"/>
    <w:rsid w:val="44243658"/>
    <w:rsid w:val="447267E8"/>
    <w:rsid w:val="44E328F5"/>
    <w:rsid w:val="44E431E5"/>
    <w:rsid w:val="453C1F26"/>
    <w:rsid w:val="460F447D"/>
    <w:rsid w:val="46B30DE6"/>
    <w:rsid w:val="492A4A83"/>
    <w:rsid w:val="495C1F5C"/>
    <w:rsid w:val="4AF77150"/>
    <w:rsid w:val="4B4E5319"/>
    <w:rsid w:val="4B8B03E4"/>
    <w:rsid w:val="4C2057FE"/>
    <w:rsid w:val="4D9A3F67"/>
    <w:rsid w:val="4DDF67CC"/>
    <w:rsid w:val="4EE12BFB"/>
    <w:rsid w:val="50FA6A61"/>
    <w:rsid w:val="51794BC1"/>
    <w:rsid w:val="51883B1A"/>
    <w:rsid w:val="523F3135"/>
    <w:rsid w:val="524436BD"/>
    <w:rsid w:val="53203896"/>
    <w:rsid w:val="535A1B4B"/>
    <w:rsid w:val="536C30EB"/>
    <w:rsid w:val="53D25371"/>
    <w:rsid w:val="540F1FD2"/>
    <w:rsid w:val="54F171A0"/>
    <w:rsid w:val="55716B7D"/>
    <w:rsid w:val="55AF2020"/>
    <w:rsid w:val="561F6663"/>
    <w:rsid w:val="57315BF2"/>
    <w:rsid w:val="57594B93"/>
    <w:rsid w:val="57A36E83"/>
    <w:rsid w:val="587547D2"/>
    <w:rsid w:val="594A6990"/>
    <w:rsid w:val="5A2E0F40"/>
    <w:rsid w:val="5B076FF2"/>
    <w:rsid w:val="5B5A796F"/>
    <w:rsid w:val="5C68299A"/>
    <w:rsid w:val="5E8307E5"/>
    <w:rsid w:val="5F2B57AF"/>
    <w:rsid w:val="60475C3F"/>
    <w:rsid w:val="60785544"/>
    <w:rsid w:val="60A60070"/>
    <w:rsid w:val="61A26997"/>
    <w:rsid w:val="61A700C2"/>
    <w:rsid w:val="62053064"/>
    <w:rsid w:val="622C21AB"/>
    <w:rsid w:val="62D00ABF"/>
    <w:rsid w:val="640C25AF"/>
    <w:rsid w:val="649E1BE9"/>
    <w:rsid w:val="64D358CC"/>
    <w:rsid w:val="652F402B"/>
    <w:rsid w:val="6541126B"/>
    <w:rsid w:val="65E96EE9"/>
    <w:rsid w:val="67266D86"/>
    <w:rsid w:val="683A303D"/>
    <w:rsid w:val="68E97B63"/>
    <w:rsid w:val="6A425588"/>
    <w:rsid w:val="6A5B2F9C"/>
    <w:rsid w:val="6AEF17A6"/>
    <w:rsid w:val="6B1E605C"/>
    <w:rsid w:val="6C5E0507"/>
    <w:rsid w:val="6C6B5505"/>
    <w:rsid w:val="6CFF3162"/>
    <w:rsid w:val="6DA25F17"/>
    <w:rsid w:val="6DF67C63"/>
    <w:rsid w:val="6E3F209B"/>
    <w:rsid w:val="6E5F1C80"/>
    <w:rsid w:val="700E4C63"/>
    <w:rsid w:val="725336E8"/>
    <w:rsid w:val="72FD5B3A"/>
    <w:rsid w:val="74783A1C"/>
    <w:rsid w:val="74AB354D"/>
    <w:rsid w:val="74B05132"/>
    <w:rsid w:val="74B41184"/>
    <w:rsid w:val="76484E1E"/>
    <w:rsid w:val="76C52AAF"/>
    <w:rsid w:val="76E063E5"/>
    <w:rsid w:val="772A35DE"/>
    <w:rsid w:val="781B5752"/>
    <w:rsid w:val="798425C1"/>
    <w:rsid w:val="79A35F22"/>
    <w:rsid w:val="79BF662E"/>
    <w:rsid w:val="7A361C20"/>
    <w:rsid w:val="7A751935"/>
    <w:rsid w:val="7ACD0759"/>
    <w:rsid w:val="7B12731D"/>
    <w:rsid w:val="7B2952F2"/>
    <w:rsid w:val="7C01687E"/>
    <w:rsid w:val="7CF46BD3"/>
    <w:rsid w:val="7F9364DF"/>
    <w:rsid w:val="7FC41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3">
    <w:name w:val="Normal Indent"/>
    <w:basedOn w:val="1"/>
    <w:qFormat/>
    <w:uiPriority w:val="0"/>
    <w:pPr>
      <w:ind w:firstLine="420" w:firstLineChars="200"/>
    </w:pPr>
    <w:rPr>
      <w:kern w:val="0"/>
      <w:sz w:val="24"/>
    </w:rPr>
  </w:style>
  <w:style w:type="paragraph" w:styleId="4">
    <w:name w:val="annotation text"/>
    <w:basedOn w:val="1"/>
    <w:link w:val="25"/>
    <w:unhideWhenUsed/>
    <w:qFormat/>
    <w:uiPriority w:val="99"/>
    <w:pPr>
      <w:jc w:val="left"/>
    </w:pPr>
  </w:style>
  <w:style w:type="paragraph" w:styleId="5">
    <w:name w:val="toc 3"/>
    <w:basedOn w:val="1"/>
    <w:next w:val="1"/>
    <w:unhideWhenUsed/>
    <w:qFormat/>
    <w:uiPriority w:val="39"/>
    <w:pPr>
      <w:ind w:left="840" w:leftChars="400"/>
    </w:pPr>
  </w:style>
  <w:style w:type="paragraph" w:styleId="6">
    <w:name w:val="Balloon Text"/>
    <w:basedOn w:val="1"/>
    <w:link w:val="27"/>
    <w:semiHidden/>
    <w:unhideWhenUsed/>
    <w:qFormat/>
    <w:uiPriority w:val="99"/>
    <w:rPr>
      <w:sz w:val="18"/>
      <w:szCs w:val="18"/>
    </w:rPr>
  </w:style>
  <w:style w:type="paragraph" w:styleId="7">
    <w:name w:val="footer"/>
    <w:basedOn w:val="1"/>
    <w:link w:val="29"/>
    <w:unhideWhenUsed/>
    <w:qFormat/>
    <w:uiPriority w:val="99"/>
    <w:pPr>
      <w:tabs>
        <w:tab w:val="center" w:pos="4153"/>
        <w:tab w:val="right" w:pos="8306"/>
      </w:tabs>
      <w:snapToGrid w:val="0"/>
      <w:jc w:val="left"/>
    </w:pPr>
    <w:rPr>
      <w:sz w:val="18"/>
      <w:szCs w:val="18"/>
    </w:rPr>
  </w:style>
  <w:style w:type="paragraph" w:styleId="8">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4"/>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3"/>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4"/>
    <w:next w:val="4"/>
    <w:link w:val="3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basedOn w:val="17"/>
    <w:unhideWhenUsed/>
    <w:qFormat/>
    <w:uiPriority w:val="99"/>
    <w:rPr>
      <w:sz w:val="21"/>
      <w:szCs w:val="21"/>
    </w:rPr>
  </w:style>
  <w:style w:type="character" w:styleId="21">
    <w:name w:val="footnote reference"/>
    <w:basedOn w:val="17"/>
    <w:semiHidden/>
    <w:unhideWhenUsed/>
    <w:qFormat/>
    <w:uiPriority w:val="99"/>
    <w:rPr>
      <w:vertAlign w:val="superscript"/>
    </w:rPr>
  </w:style>
  <w:style w:type="character" w:customStyle="1" w:styleId="22">
    <w:name w:val="列表段落 字符"/>
    <w:link w:val="23"/>
    <w:qFormat/>
    <w:uiPriority w:val="34"/>
    <w:rPr>
      <w:rFonts w:ascii="Times New Roman" w:hAnsi="Times New Roman"/>
      <w:szCs w:val="24"/>
    </w:rPr>
  </w:style>
  <w:style w:type="paragraph" w:styleId="23">
    <w:name w:val="List Paragraph"/>
    <w:basedOn w:val="1"/>
    <w:link w:val="22"/>
    <w:qFormat/>
    <w:uiPriority w:val="34"/>
    <w:pPr>
      <w:ind w:firstLine="420" w:firstLineChars="200"/>
    </w:pPr>
    <w:rPr>
      <w:rFonts w:eastAsiaTheme="minorEastAsia" w:cstheme="minorBidi"/>
    </w:rPr>
  </w:style>
  <w:style w:type="character" w:customStyle="1" w:styleId="24">
    <w:name w:val="批注文字 字符"/>
    <w:basedOn w:val="17"/>
    <w:semiHidden/>
    <w:qFormat/>
    <w:uiPriority w:val="99"/>
    <w:rPr>
      <w:rFonts w:ascii="Times New Roman" w:hAnsi="Times New Roman" w:eastAsia="宋体" w:cs="Times New Roman"/>
      <w:szCs w:val="24"/>
    </w:rPr>
  </w:style>
  <w:style w:type="character" w:customStyle="1" w:styleId="25">
    <w:name w:val="批注文字 字符1"/>
    <w:link w:val="4"/>
    <w:qFormat/>
    <w:uiPriority w:val="99"/>
    <w:rPr>
      <w:rFonts w:ascii="Times New Roman" w:hAnsi="Times New Roman" w:eastAsia="宋体" w:cs="Times New Roman"/>
      <w:szCs w:val="24"/>
    </w:rPr>
  </w:style>
  <w:style w:type="paragraph" w:customStyle="1" w:styleId="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7">
    <w:name w:val="批注框文本 字符"/>
    <w:basedOn w:val="17"/>
    <w:link w:val="6"/>
    <w:semiHidden/>
    <w:qFormat/>
    <w:uiPriority w:val="99"/>
    <w:rPr>
      <w:rFonts w:ascii="Times New Roman" w:hAnsi="Times New Roman" w:eastAsia="宋体" w:cs="Times New Roman"/>
      <w:sz w:val="18"/>
      <w:szCs w:val="18"/>
    </w:rPr>
  </w:style>
  <w:style w:type="character" w:customStyle="1" w:styleId="28">
    <w:name w:val="页眉 字符"/>
    <w:basedOn w:val="17"/>
    <w:link w:val="8"/>
    <w:qFormat/>
    <w:uiPriority w:val="99"/>
    <w:rPr>
      <w:rFonts w:ascii="Times New Roman" w:hAnsi="Times New Roman" w:eastAsia="宋体" w:cs="Times New Roman"/>
      <w:sz w:val="18"/>
      <w:szCs w:val="18"/>
    </w:rPr>
  </w:style>
  <w:style w:type="character" w:customStyle="1" w:styleId="29">
    <w:name w:val="页脚 字符"/>
    <w:basedOn w:val="17"/>
    <w:link w:val="7"/>
    <w:qFormat/>
    <w:uiPriority w:val="99"/>
    <w:rPr>
      <w:rFonts w:ascii="Times New Roman" w:hAnsi="Times New Roman" w:eastAsia="宋体" w:cs="Times New Roman"/>
      <w:sz w:val="18"/>
      <w:szCs w:val="18"/>
    </w:rPr>
  </w:style>
  <w:style w:type="character" w:customStyle="1" w:styleId="30">
    <w:name w:val="标题1"/>
    <w:basedOn w:val="17"/>
    <w:qFormat/>
    <w:uiPriority w:val="0"/>
  </w:style>
  <w:style w:type="character" w:customStyle="1" w:styleId="31">
    <w:name w:val="批注主题 字符"/>
    <w:basedOn w:val="25"/>
    <w:link w:val="14"/>
    <w:semiHidden/>
    <w:qFormat/>
    <w:uiPriority w:val="99"/>
    <w:rPr>
      <w:rFonts w:ascii="Times New Roman" w:hAnsi="Times New Roman" w:eastAsia="宋体" w:cs="Times New Roman"/>
      <w:b/>
      <w:bCs/>
      <w:szCs w:val="24"/>
    </w:rPr>
  </w:style>
  <w:style w:type="paragraph" w:customStyle="1" w:styleId="3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3">
    <w:name w:val="正文文本 2 字符"/>
    <w:basedOn w:val="17"/>
    <w:link w:val="12"/>
    <w:qFormat/>
    <w:uiPriority w:val="0"/>
    <w:rPr>
      <w:rFonts w:ascii="仿宋_GB2312" w:hAnsi="宋体" w:eastAsia="仿宋_GB2312"/>
      <w:kern w:val="2"/>
      <w:sz w:val="21"/>
      <w:szCs w:val="24"/>
    </w:rPr>
  </w:style>
  <w:style w:type="character" w:customStyle="1" w:styleId="34">
    <w:name w:val="脚注文本 字符"/>
    <w:basedOn w:val="17"/>
    <w:link w:val="10"/>
    <w:semiHidden/>
    <w:qFormat/>
    <w:uiPriority w:val="99"/>
    <w:rPr>
      <w:kern w:val="2"/>
      <w:sz w:val="18"/>
      <w:szCs w:val="18"/>
    </w:rPr>
  </w:style>
  <w:style w:type="paragraph" w:customStyle="1" w:styleId="35">
    <w:name w:val="列出段落1"/>
    <w:basedOn w:val="1"/>
    <w:qFormat/>
    <w:uiPriority w:val="34"/>
    <w:pPr>
      <w:ind w:firstLine="420" w:firstLineChars="200"/>
    </w:pPr>
    <w:rPr>
      <w:rFonts w:asciiTheme="minorHAnsi" w:hAnsiTheme="minorHAnsi" w:eastAsiaTheme="minorEastAsia" w:cstheme="minorBidi"/>
      <w:szCs w:val="22"/>
    </w:rPr>
  </w:style>
  <w:style w:type="table" w:customStyle="1" w:styleId="36">
    <w:name w:val="网格型11"/>
    <w:basedOn w:val="15"/>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31</Pages>
  <Words>14194</Words>
  <Characters>15310</Characters>
  <Lines>140</Lines>
  <Paragraphs>39</Paragraphs>
  <TotalTime>2</TotalTime>
  <ScaleCrop>false</ScaleCrop>
  <LinksUpToDate>false</LinksUpToDate>
  <CharactersWithSpaces>17709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宛</cp:lastModifiedBy>
  <cp:lastPrinted>2023-07-24T03:54:00Z</cp:lastPrinted>
  <dcterms:modified xsi:type="dcterms:W3CDTF">2023-08-24T07:34:53Z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067355F7B69441608F3DF93CB8BA5D30</vt:lpwstr>
  </property>
</Properties>
</file>