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auto"/>
          <w:sz w:val="32"/>
          <w:szCs w:val="32"/>
          <w:highlight w:val="none"/>
        </w:rPr>
        <w:t>深圳会展中心</w:t>
      </w:r>
      <w:r>
        <w:rPr>
          <w:rFonts w:hint="eastAsia" w:ascii="方正小标宋简体" w:hAnsi="方正小标宋_GBK" w:eastAsia="方正小标宋简体" w:cs="方正小标宋_GBK"/>
          <w:b/>
          <w:color w:val="auto"/>
          <w:sz w:val="32"/>
          <w:szCs w:val="32"/>
          <w:highlight w:val="none"/>
          <w:lang w:val="en-US" w:eastAsia="zh-CN"/>
        </w:rPr>
        <w:t>2023-2025年度</w:t>
      </w:r>
      <w:r>
        <w:rPr>
          <w:rFonts w:hint="eastAsia" w:ascii="方正小标宋简体" w:hAnsi="方正小标宋_GBK" w:eastAsia="方正小标宋简体" w:cs="方正小标宋_GBK"/>
          <w:b/>
          <w:color w:val="auto"/>
          <w:sz w:val="32"/>
          <w:szCs w:val="32"/>
          <w:highlight w:val="none"/>
        </w:rPr>
        <w:t>应急发电机组维护保养项目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8</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11</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11</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11</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12</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12</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12</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21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w:t>
      </w:r>
      <w:r>
        <w:tab/>
      </w:r>
      <w:r>
        <w:fldChar w:fldCharType="begin"/>
      </w:r>
      <w:r>
        <w:instrText xml:space="preserve"> PAGEREF _Toc128989108 \h </w:instrText>
      </w:r>
      <w:r>
        <w:fldChar w:fldCharType="separate"/>
      </w:r>
      <w:r>
        <w:t>22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fldChar w:fldCharType="begin"/>
      </w:r>
      <w:r>
        <w:instrText xml:space="preserve"> PAGEREF _Toc128989109 \h </w:instrText>
      </w:r>
      <w:r>
        <w:fldChar w:fldCharType="separate"/>
      </w:r>
      <w:r>
        <w:t>23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24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25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26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27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28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29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30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31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黄生</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8822</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szCs w:val="21"/>
              </w:rPr>
              <w:t>邮箱：</w:t>
            </w:r>
            <w:r>
              <w:rPr>
                <w:rFonts w:hint="eastAsia" w:ascii="宋体" w:hAnsi="宋体"/>
                <w:szCs w:val="21"/>
                <w:lang w:val="en-US" w:eastAsia="zh-CN"/>
              </w:rPr>
              <w:t>cghyz</w:t>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r>
              <w:rPr>
                <w:rFonts w:hint="eastAsia" w:ascii="宋体" w:hAnsi="宋体"/>
                <w:color w:val="auto"/>
                <w:szCs w:val="21"/>
                <w:highlight w:val="none"/>
                <w:lang w:val="en-US" w:eastAsia="zh-CN"/>
              </w:rPr>
              <w:t>2023-2025年度</w:t>
            </w:r>
            <w:r>
              <w:rPr>
                <w:rFonts w:hint="eastAsia" w:ascii="宋体" w:hAnsi="宋体"/>
                <w:color w:val="auto"/>
                <w:szCs w:val="21"/>
                <w:highlight w:val="none"/>
              </w:rPr>
              <w:t>应急发电机组维护保养项目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eastAsia="宋体" w:cs="宋体"/>
                <w:sz w:val="21"/>
                <w:szCs w:val="21"/>
              </w:rPr>
              <w:t>为提高深圳会展中心应急发电机组工作的可靠性及设备的完好性，保证在紧急情况下发电机组正常启动，保障市电停电下的消防设备用电和应急照明供应，根据会展中心设备设施标准化管理的相关要求，对柴油发电机组及配套设备的进行维护保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8</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25</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
                <w:bCs/>
                <w:color w:val="auto"/>
                <w:szCs w:val="21"/>
                <w:highlight w:val="yellow"/>
              </w:rPr>
              <w:t>https://cg.szcec.com/sharing/Xix4o5Lbo</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8</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8</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8</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31</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17</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17</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https://cg.szcec.com/sharing/XAFil9AB6</w:t>
            </w:r>
            <w:r>
              <w:rPr>
                <w:rFonts w:hint="eastAsia" w:ascii="宋体" w:hAnsi="宋体"/>
                <w:b/>
                <w:bCs/>
                <w:color w:val="auto"/>
                <w:szCs w:val="21"/>
                <w:highlight w:val="yellow"/>
                <w:lang w:eastAsia="zh-CN"/>
              </w:rPr>
              <w:t>，</w:t>
            </w:r>
            <w:r>
              <w:rPr>
                <w:rFonts w:hint="eastAsia" w:ascii="宋体" w:hAnsi="宋体"/>
                <w:szCs w:val="21"/>
              </w:rPr>
              <w:t>并致电确认</w:t>
            </w:r>
            <w:bookmarkStart w:id="1" w:name="_Toc478110532"/>
            <w:bookmarkStart w:id="2" w:name="_Toc478393187"/>
            <w:bookmarkStart w:id="3" w:name="_Toc478392822"/>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auto"/>
                <w:highlight w:val="none"/>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3</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14</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auto"/>
                <w:szCs w:val="21"/>
                <w:highlight w:val="none"/>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cs="宋体"/>
                <w:color w:val="FF0000"/>
                <w:szCs w:val="21"/>
                <w:highlight w:val="yellow"/>
              </w:rPr>
              <w:t>开标密码上传要求：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rPr>
              <w:t>请在开标前</w:t>
            </w:r>
            <w:r>
              <w:rPr>
                <w:rFonts w:hint="eastAsia" w:ascii="宋体" w:hAnsi="宋体" w:cs="宋体"/>
                <w:color w:val="FF0000"/>
                <w:szCs w:val="21"/>
                <w:highlight w:val="yellow"/>
                <w:lang w:val="en-US" w:eastAsia="zh-CN"/>
              </w:rPr>
              <w:t>15</w:t>
            </w:r>
            <w:r>
              <w:rPr>
                <w:rFonts w:hint="eastAsia" w:ascii="宋体" w:hAnsi="宋体" w:cs="宋体"/>
                <w:color w:val="FF0000"/>
                <w:szCs w:val="21"/>
                <w:highlight w:val="yellow"/>
              </w:rPr>
              <w:t>分钟内将投标文件解密密码上传至https://cg.szcec.com/sharing/bxavb0oBw,未按时上传投标文件解密密码将失去投标资格。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kern w:val="0"/>
                <w:szCs w:val="21"/>
                <w:highlight w:val="none"/>
              </w:rPr>
              <w:sym w:font="Wingdings 2" w:char="0052"/>
            </w:r>
            <w:r>
              <w:rPr>
                <w:rFonts w:hint="eastAsia" w:ascii="宋体" w:hAnsi="宋体"/>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highlight w:val="none"/>
              </w:rPr>
            </w:pPr>
            <w:r>
              <w:rPr>
                <w:rFonts w:hint="eastAsia" w:ascii="宋体" w:hAnsi="宋体"/>
                <w:kern w:val="0"/>
                <w:szCs w:val="21"/>
                <w:highlight w:val="none"/>
              </w:rPr>
              <w:sym w:font="Wingdings 2" w:char="00A3"/>
            </w:r>
            <w:r>
              <w:rPr>
                <w:rFonts w:hint="eastAsia" w:ascii="宋体" w:hAnsi="宋体"/>
                <w:kern w:val="0"/>
                <w:szCs w:val="21"/>
                <w:highlight w:val="none"/>
              </w:rPr>
              <w:t>不组织,参加单位可在本项目招标公告发布后至报名（文件获取）时间截止前自行踏勘。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b/>
                <w:bCs/>
                <w:kern w:val="0"/>
                <w:szCs w:val="21"/>
                <w:highlight w:val="none"/>
              </w:rPr>
              <w:sym w:font="Wingdings 2" w:char="0052"/>
            </w:r>
            <w:r>
              <w:rPr>
                <w:rFonts w:hint="eastAsia" w:ascii="宋体" w:hAnsi="宋体"/>
                <w:b/>
                <w:bCs/>
                <w:kern w:val="0"/>
                <w:szCs w:val="21"/>
                <w:highlight w:val="none"/>
              </w:rPr>
              <w:t>组织</w:t>
            </w:r>
            <w:r>
              <w:rPr>
                <w:rFonts w:hint="eastAsia" w:ascii="宋体" w:hAnsi="宋体"/>
                <w:kern w:val="0"/>
                <w:szCs w:val="21"/>
                <w:highlight w:val="none"/>
              </w:rPr>
              <w:t>，踏</w:t>
            </w:r>
            <w:r>
              <w:rPr>
                <w:rFonts w:hint="eastAsia" w:ascii="宋体" w:hAnsi="宋体"/>
                <w:kern w:val="0"/>
                <w:szCs w:val="21"/>
              </w:rPr>
              <w:t>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b/>
                <w:bCs/>
                <w:kern w:val="0"/>
                <w:szCs w:val="21"/>
              </w:rPr>
            </w:pPr>
            <w:r>
              <w:rPr>
                <w:rFonts w:hint="eastAsia" w:ascii="宋体" w:hAnsi="宋体"/>
                <w:b/>
                <w:bCs/>
                <w:kern w:val="0"/>
                <w:szCs w:val="21"/>
              </w:rPr>
              <w:sym w:font="Wingdings 2" w:char="0052"/>
            </w:r>
            <w:r>
              <w:rPr>
                <w:rFonts w:hint="eastAsia" w:ascii="宋体" w:hAnsi="宋体"/>
                <w:b/>
                <w:bCs/>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b/>
                <w:bCs/>
                <w:kern w:val="0"/>
                <w:szCs w:val="21"/>
              </w:rPr>
            </w:pPr>
            <w:r>
              <w:rPr>
                <w:rFonts w:hint="eastAsia" w:ascii="宋体" w:hAnsi="宋体"/>
                <w:b/>
                <w:bCs/>
                <w:kern w:val="0"/>
                <w:szCs w:val="21"/>
              </w:rPr>
              <w:t>采购人定于</w:t>
            </w:r>
            <w:r>
              <w:rPr>
                <w:rFonts w:hint="eastAsia" w:ascii="宋体" w:hAnsi="宋体" w:eastAsia="宋体" w:cs="Times New Roman"/>
                <w:b/>
                <w:bCs/>
                <w:color w:val="auto"/>
                <w:kern w:val="2"/>
                <w:sz w:val="21"/>
                <w:szCs w:val="21"/>
                <w:highlight w:val="yellow"/>
                <w:lang w:val="en-US" w:eastAsia="zh-CN" w:bidi="ar-SA"/>
              </w:rPr>
              <w:t>202</w:t>
            </w:r>
            <w:r>
              <w:rPr>
                <w:rFonts w:hint="eastAsia" w:ascii="宋体" w:hAnsi="宋体" w:cs="Times New Roman"/>
                <w:b/>
                <w:bCs/>
                <w:color w:val="auto"/>
                <w:kern w:val="2"/>
                <w:sz w:val="21"/>
                <w:szCs w:val="21"/>
                <w:highlight w:val="yellow"/>
                <w:lang w:val="en-US" w:eastAsia="zh-CN" w:bidi="ar-SA"/>
              </w:rPr>
              <w:t>3</w:t>
            </w:r>
            <w:r>
              <w:rPr>
                <w:rFonts w:hint="eastAsia" w:ascii="宋体" w:hAnsi="宋体" w:eastAsia="宋体" w:cs="Times New Roman"/>
                <w:b/>
                <w:bCs/>
                <w:color w:val="auto"/>
                <w:kern w:val="2"/>
                <w:sz w:val="21"/>
                <w:szCs w:val="21"/>
                <w:highlight w:val="yellow"/>
                <w:lang w:val="en-US" w:eastAsia="zh-CN" w:bidi="ar-SA"/>
              </w:rPr>
              <w:t>-</w:t>
            </w:r>
            <w:r>
              <w:rPr>
                <w:rFonts w:hint="eastAsia" w:ascii="宋体" w:hAnsi="宋体" w:cs="Times New Roman"/>
                <w:b/>
                <w:bCs/>
                <w:color w:val="auto"/>
                <w:kern w:val="2"/>
                <w:sz w:val="21"/>
                <w:szCs w:val="21"/>
                <w:highlight w:val="yellow"/>
                <w:lang w:val="en-US" w:eastAsia="zh-CN" w:bidi="ar-SA"/>
              </w:rPr>
              <w:t>8</w:t>
            </w:r>
            <w:r>
              <w:rPr>
                <w:rFonts w:hint="eastAsia" w:ascii="宋体" w:hAnsi="宋体" w:eastAsia="宋体" w:cs="Times New Roman"/>
                <w:b/>
                <w:bCs/>
                <w:color w:val="auto"/>
                <w:kern w:val="2"/>
                <w:sz w:val="21"/>
                <w:szCs w:val="21"/>
                <w:highlight w:val="yellow"/>
                <w:lang w:val="en-US" w:eastAsia="zh-CN" w:bidi="ar-SA"/>
              </w:rPr>
              <w:t>-</w:t>
            </w:r>
            <w:r>
              <w:rPr>
                <w:rFonts w:hint="eastAsia" w:ascii="宋体" w:hAnsi="宋体" w:cs="Times New Roman"/>
                <w:b/>
                <w:bCs/>
                <w:color w:val="auto"/>
                <w:kern w:val="2"/>
                <w:sz w:val="21"/>
                <w:szCs w:val="21"/>
                <w:highlight w:val="yellow"/>
                <w:lang w:val="en-US" w:eastAsia="zh-CN" w:bidi="ar-SA"/>
              </w:rPr>
              <w:t>30</w:t>
            </w:r>
            <w:r>
              <w:rPr>
                <w:rFonts w:hint="eastAsia" w:ascii="宋体" w:hAnsi="宋体" w:eastAsia="宋体" w:cs="Times New Roman"/>
                <w:b/>
                <w:bCs/>
                <w:color w:val="auto"/>
                <w:kern w:val="2"/>
                <w:sz w:val="21"/>
                <w:szCs w:val="21"/>
                <w:highlight w:val="yellow"/>
                <w:lang w:val="en-US" w:eastAsia="zh-CN" w:bidi="ar-SA"/>
              </w:rPr>
              <w:t xml:space="preserve"> </w:t>
            </w:r>
            <w:r>
              <w:rPr>
                <w:rFonts w:hint="eastAsia" w:ascii="宋体" w:hAnsi="宋体" w:cs="Times New Roman"/>
                <w:b/>
                <w:bCs/>
                <w:color w:val="auto"/>
                <w:kern w:val="2"/>
                <w:sz w:val="21"/>
                <w:szCs w:val="21"/>
                <w:highlight w:val="yellow"/>
                <w:lang w:val="en-US" w:eastAsia="zh-CN" w:bidi="ar-SA"/>
              </w:rPr>
              <w:t>15</w:t>
            </w:r>
            <w:r>
              <w:rPr>
                <w:rFonts w:hint="eastAsia" w:ascii="宋体" w:hAnsi="宋体" w:eastAsia="宋体" w:cs="Times New Roman"/>
                <w:b/>
                <w:bCs/>
                <w:color w:val="auto"/>
                <w:kern w:val="2"/>
                <w:sz w:val="21"/>
                <w:szCs w:val="21"/>
                <w:highlight w:val="yellow"/>
                <w:lang w:val="en-US" w:eastAsia="zh-CN" w:bidi="ar-SA"/>
              </w:rPr>
              <w:t xml:space="preserve">: </w:t>
            </w:r>
            <w:r>
              <w:rPr>
                <w:rFonts w:hint="eastAsia" w:ascii="宋体" w:hAnsi="宋体" w:cs="Times New Roman"/>
                <w:b/>
                <w:bCs/>
                <w:color w:val="auto"/>
                <w:kern w:val="2"/>
                <w:sz w:val="21"/>
                <w:szCs w:val="21"/>
                <w:highlight w:val="yellow"/>
                <w:lang w:val="en-US" w:eastAsia="zh-CN" w:bidi="ar-SA"/>
              </w:rPr>
              <w:t>00</w:t>
            </w:r>
            <w:r>
              <w:rPr>
                <w:rFonts w:hint="eastAsia" w:ascii="宋体" w:hAnsi="宋体"/>
                <w:b/>
                <w:bCs/>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b/>
                <w:bCs/>
                <w:color w:val="auto"/>
                <w:kern w:val="0"/>
                <w:szCs w:val="21"/>
                <w:highlight w:val="yellow"/>
              </w:rPr>
            </w:pPr>
            <w:r>
              <w:rPr>
                <w:rFonts w:hint="eastAsia" w:ascii="宋体" w:hAnsi="宋体"/>
                <w:b/>
                <w:bCs/>
                <w:kern w:val="0"/>
                <w:szCs w:val="21"/>
              </w:rPr>
              <w:t>踏勘联</w:t>
            </w:r>
            <w:r>
              <w:rPr>
                <w:rFonts w:hint="eastAsia" w:ascii="宋体" w:hAnsi="宋体"/>
                <w:b/>
                <w:bCs/>
                <w:color w:val="auto"/>
                <w:kern w:val="0"/>
                <w:szCs w:val="21"/>
                <w:highlight w:val="none"/>
              </w:rPr>
              <w:t>系人：</w:t>
            </w:r>
            <w:bookmarkStart w:id="52" w:name="_GoBack"/>
            <w:r>
              <w:rPr>
                <w:rFonts w:hint="eastAsia" w:ascii="宋体" w:hAnsi="宋体"/>
                <w:b/>
                <w:bCs/>
                <w:color w:val="auto"/>
                <w:kern w:val="0"/>
                <w:szCs w:val="21"/>
                <w:highlight w:val="yellow"/>
                <w:lang w:eastAsia="zh-CN"/>
              </w:rPr>
              <w:t>周工</w:t>
            </w:r>
          </w:p>
          <w:p>
            <w:pPr>
              <w:pStyle w:val="29"/>
              <w:tabs>
                <w:tab w:val="left" w:pos="541"/>
              </w:tabs>
              <w:snapToGrid w:val="0"/>
              <w:ind w:left="805" w:firstLine="0" w:firstLineChars="0"/>
              <w:rPr>
                <w:rFonts w:hint="default" w:ascii="宋体" w:hAnsi="宋体" w:eastAsia="宋体"/>
                <w:b/>
                <w:bCs/>
                <w:color w:val="auto"/>
                <w:kern w:val="0"/>
                <w:szCs w:val="21"/>
                <w:highlight w:val="yellow"/>
                <w:lang w:val="en-US" w:eastAsia="zh-CN"/>
              </w:rPr>
            </w:pPr>
            <w:r>
              <w:rPr>
                <w:rFonts w:hint="eastAsia" w:ascii="宋体" w:hAnsi="宋体"/>
                <w:b/>
                <w:bCs/>
                <w:color w:val="auto"/>
                <w:kern w:val="0"/>
                <w:szCs w:val="21"/>
                <w:highlight w:val="yellow"/>
              </w:rPr>
              <w:t>电话：</w:t>
            </w:r>
            <w:r>
              <w:rPr>
                <w:rFonts w:hint="eastAsia" w:ascii="宋体" w:hAnsi="宋体" w:cs="Segoe UI Symbol"/>
                <w:b/>
                <w:bCs/>
                <w:color w:val="auto"/>
                <w:kern w:val="0"/>
                <w:szCs w:val="21"/>
                <w:highlight w:val="yellow"/>
              </w:rPr>
              <w:t>0755-8284</w:t>
            </w:r>
            <w:r>
              <w:rPr>
                <w:rFonts w:hint="eastAsia" w:ascii="宋体" w:hAnsi="宋体" w:cs="Segoe UI Symbol"/>
                <w:b/>
                <w:bCs/>
                <w:color w:val="auto"/>
                <w:kern w:val="0"/>
                <w:szCs w:val="21"/>
                <w:highlight w:val="yellow"/>
                <w:lang w:val="en-US" w:eastAsia="zh-CN"/>
              </w:rPr>
              <w:t>8819</w:t>
            </w:r>
            <w:r>
              <w:rPr>
                <w:rFonts w:hint="eastAsia" w:ascii="宋体" w:hAnsi="宋体" w:cs="Segoe UI Symbol"/>
                <w:b/>
                <w:bCs/>
                <w:color w:val="auto"/>
                <w:kern w:val="0"/>
                <w:szCs w:val="21"/>
                <w:highlight w:val="yellow"/>
              </w:rPr>
              <w:t>,移动电话：</w:t>
            </w:r>
            <w:r>
              <w:rPr>
                <w:rFonts w:hint="eastAsia" w:ascii="宋体" w:hAnsi="宋体" w:cs="Segoe UI Symbol"/>
                <w:b/>
                <w:bCs/>
                <w:color w:val="auto"/>
                <w:kern w:val="0"/>
                <w:szCs w:val="21"/>
                <w:highlight w:val="yellow"/>
                <w:lang w:val="en-US" w:eastAsia="zh-CN"/>
              </w:rPr>
              <w:t>18998919684</w:t>
            </w:r>
          </w:p>
          <w:p>
            <w:pPr>
              <w:pStyle w:val="29"/>
              <w:tabs>
                <w:tab w:val="left" w:pos="541"/>
              </w:tabs>
              <w:snapToGrid w:val="0"/>
              <w:ind w:left="805" w:firstLine="0" w:firstLineChars="0"/>
              <w:rPr>
                <w:rFonts w:hint="eastAsia" w:ascii="宋体" w:hAnsi="宋体" w:eastAsia="宋体"/>
                <w:color w:val="auto"/>
                <w:kern w:val="0"/>
                <w:szCs w:val="21"/>
                <w:highlight w:val="yellow"/>
                <w:lang w:eastAsia="zh-CN"/>
              </w:rPr>
            </w:pPr>
            <w:r>
              <w:rPr>
                <w:rFonts w:hint="eastAsia" w:ascii="宋体" w:hAnsi="宋体"/>
                <w:b/>
                <w:bCs/>
                <w:color w:val="auto"/>
                <w:kern w:val="0"/>
                <w:szCs w:val="21"/>
                <w:highlight w:val="yellow"/>
              </w:rPr>
              <w:t>集合地点：</w:t>
            </w:r>
            <w:r>
              <w:rPr>
                <w:rFonts w:hint="eastAsia" w:ascii="宋体" w:hAnsi="宋体" w:cs="Segoe UI Symbol"/>
                <w:b/>
                <w:bCs/>
                <w:color w:val="auto"/>
                <w:kern w:val="0"/>
                <w:szCs w:val="21"/>
                <w:highlight w:val="yellow"/>
                <w:lang w:eastAsia="zh-CN"/>
              </w:rPr>
              <w:t>会展中心北二门</w:t>
            </w:r>
          </w:p>
          <w:bookmarkEnd w:id="52"/>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 xml:space="preserve">最低价法  </w:t>
            </w:r>
            <w:r>
              <w:rPr>
                <w:rFonts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0"/>
        </w:numPr>
        <w:spacing w:line="300" w:lineRule="auto"/>
        <w:ind w:left="420" w:leftChars="0"/>
        <w:outlineLvl w:val="0"/>
        <w:rPr>
          <w:rFonts w:ascii="宋体" w:hAnsi="宋体" w:cs="宋体"/>
          <w:b/>
          <w:szCs w:val="21"/>
        </w:rPr>
      </w:pPr>
      <w:bookmarkStart w:id="4" w:name="_Toc128989094"/>
    </w:p>
    <w:p>
      <w:pPr>
        <w:numPr>
          <w:ilvl w:val="0"/>
          <w:numId w:val="1"/>
        </w:numPr>
        <w:spacing w:line="300" w:lineRule="auto"/>
        <w:outlineLvl w:val="0"/>
        <w:rPr>
          <w:rFonts w:ascii="宋体" w:hAnsi="宋体" w:cs="宋体"/>
          <w:b/>
          <w:szCs w:val="21"/>
        </w:rPr>
      </w:pPr>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517278751"/>
      <w:bookmarkStart w:id="6" w:name="_Toc478387747"/>
      <w:bookmarkStart w:id="7"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w:t>
      </w:r>
      <w:r>
        <w:rPr>
          <w:rFonts w:hint="eastAsia" w:ascii="宋体" w:hAnsi="宋体" w:cs="宋体"/>
          <w:szCs w:val="21"/>
          <w:highlight w:val="none"/>
        </w:rPr>
        <w:t>上指定的地址和方式发</w:t>
      </w:r>
      <w:r>
        <w:rPr>
          <w:rFonts w:hint="eastAsia" w:ascii="宋体" w:hAnsi="宋体" w:cs="宋体"/>
          <w:szCs w:val="21"/>
        </w:rPr>
        <w:t>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0"/>
        </w:numPr>
        <w:spacing w:line="300" w:lineRule="auto"/>
        <w:ind w:left="420" w:leftChars="0"/>
        <w:outlineLvl w:val="0"/>
      </w:pPr>
      <w:bookmarkStart w:id="8" w:name="_Toc128989095"/>
    </w:p>
    <w:p>
      <w:pPr>
        <w:numPr>
          <w:ilvl w:val="0"/>
          <w:numId w:val="1"/>
        </w:numPr>
        <w:spacing w:line="300" w:lineRule="auto"/>
        <w:outlineLvl w:val="0"/>
      </w:pPr>
      <w:r>
        <w:rPr>
          <w:rFonts w:hint="eastAsia" w:ascii="宋体" w:hAnsi="宋体" w:cs="宋体"/>
          <w:b/>
          <w:sz w:val="24"/>
        </w:rPr>
        <w:t>投标文件编制</w:t>
      </w:r>
      <w:bookmarkEnd w:id="8"/>
    </w:p>
    <w:tbl>
      <w:tblPr>
        <w:tblStyle w:val="15"/>
        <w:tblW w:w="9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6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9589"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6479"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6479"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6479"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6479"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6479"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6479"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lang w:eastAsia="zh-CN"/>
              </w:rPr>
              <w:sym w:font="Wingdings 2" w:char="0052"/>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sym w:font="Wingdings 2" w:char="00A3"/>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公章。被列入失信主体、经营异常的，将被拒绝参与本项目的采购活动。）</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lang w:eastAsia="zh-CN"/>
              </w:rPr>
            </w:pPr>
            <w:bookmarkStart w:id="10" w:name="OLE_LINK4"/>
            <w:bookmarkStart w:id="11" w:name="OLE_LINK3"/>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公章；如单位法定代表人为本项目授权代表，则仅需提供法定代表人证明书及身份证复印件，各证明书须加盖公章，身份证原件备查）</w:t>
            </w:r>
            <w:bookmarkEnd w:id="10"/>
            <w:bookmarkEnd w:id="11"/>
            <w:r>
              <w:rPr>
                <w:rFonts w:hint="eastAsia" w:ascii="宋体" w:hAnsi="宋体" w:eastAsia="宋体" w:cs="宋体"/>
                <w:color w:val="auto"/>
                <w:kern w:val="2"/>
                <w:sz w:val="21"/>
                <w:szCs w:val="21"/>
                <w:highlight w:val="none"/>
                <w:lang w:eastAsia="zh-CN"/>
              </w:rPr>
              <w:t>。</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仿宋_GB2312"/>
                <w:color w:val="auto"/>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）参</w:t>
            </w:r>
            <w:r>
              <w:rPr>
                <w:rFonts w:hint="eastAsia" w:ascii="宋体" w:hAnsi="宋体" w:eastAsia="宋体" w:cs="宋体"/>
                <w:color w:val="auto"/>
                <w:kern w:val="2"/>
                <w:sz w:val="21"/>
                <w:szCs w:val="21"/>
                <w:highlight w:val="none"/>
                <w:lang w:val="en-US" w:eastAsia="zh-CN"/>
              </w:rPr>
              <w:t>加</w:t>
            </w:r>
            <w:r>
              <w:rPr>
                <w:rFonts w:hint="eastAsia" w:ascii="宋体" w:hAnsi="宋体" w:eastAsia="宋体" w:cs="宋体"/>
                <w:color w:val="auto"/>
                <w:kern w:val="2"/>
                <w:sz w:val="21"/>
                <w:szCs w:val="21"/>
                <w:highlight w:val="none"/>
                <w:lang w:eastAsia="zh-CN"/>
              </w:rPr>
              <w:t>单位</w:t>
            </w:r>
            <w:r>
              <w:rPr>
                <w:rFonts w:hint="eastAsia" w:ascii="宋体" w:hAnsi="宋体" w:eastAsia="宋体" w:cs="宋体"/>
                <w:color w:val="auto"/>
                <w:szCs w:val="21"/>
                <w:highlight w:val="none"/>
              </w:rPr>
              <w:t>须</w:t>
            </w:r>
            <w:r>
              <w:rPr>
                <w:rFonts w:hint="eastAsia" w:ascii="宋体" w:hAnsi="宋体" w:eastAsia="宋体" w:cs="仿宋_GB2312"/>
                <w:color w:val="auto"/>
                <w:szCs w:val="21"/>
                <w:highlight w:val="none"/>
                <w:lang w:val="en-US" w:eastAsia="zh-CN"/>
              </w:rPr>
              <w:t>具备康明斯经销商（发电机组服务）证明文件或团队成员中持有康明斯服务培训结业证书资格。（提供各证明书须加盖公章</w:t>
            </w:r>
            <w:r>
              <w:rPr>
                <w:rFonts w:hint="eastAsia"/>
                <w:color w:val="auto"/>
                <w:highlight w:val="none"/>
                <w:lang w:eastAsia="zh-CN"/>
              </w:rPr>
              <w:t>，原件备查</w:t>
            </w:r>
            <w:r>
              <w:rPr>
                <w:rFonts w:hint="eastAsia" w:ascii="宋体" w:hAnsi="宋体" w:eastAsia="宋体" w:cs="仿宋_GB2312"/>
                <w:color w:val="auto"/>
                <w:szCs w:val="21"/>
                <w:highlight w:val="none"/>
                <w:lang w:val="en-US" w:eastAsia="zh-CN"/>
              </w:rPr>
              <w:t>）</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仿宋_GB2312"/>
                <w:color w:val="auto"/>
                <w:szCs w:val="21"/>
                <w:highlight w:val="none"/>
                <w:lang w:val="en-US" w:eastAsia="zh-CN"/>
              </w:rPr>
              <w:t>（4）</w:t>
            </w:r>
            <w:r>
              <w:rPr>
                <w:rFonts w:hint="eastAsia" w:ascii="宋体" w:hAnsi="宋体" w:eastAsia="宋体" w:cs="宋体"/>
                <w:color w:val="auto"/>
                <w:kern w:val="2"/>
                <w:sz w:val="21"/>
                <w:szCs w:val="21"/>
                <w:highlight w:val="none"/>
              </w:rPr>
              <w:t>参</w:t>
            </w:r>
            <w:r>
              <w:rPr>
                <w:rFonts w:hint="eastAsia" w:ascii="宋体" w:hAnsi="宋体" w:eastAsia="宋体" w:cs="宋体"/>
                <w:color w:val="auto"/>
                <w:kern w:val="2"/>
                <w:sz w:val="21"/>
                <w:szCs w:val="21"/>
                <w:highlight w:val="none"/>
                <w:lang w:val="en-US" w:eastAsia="zh-CN"/>
              </w:rPr>
              <w:t>加</w:t>
            </w:r>
            <w:r>
              <w:rPr>
                <w:rFonts w:hint="eastAsia" w:ascii="宋体" w:hAnsi="宋体" w:eastAsia="宋体" w:cs="宋体"/>
                <w:color w:val="auto"/>
                <w:kern w:val="2"/>
                <w:sz w:val="21"/>
                <w:szCs w:val="21"/>
                <w:highlight w:val="none"/>
              </w:rPr>
              <w:t>单位须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2份时间自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本公告发布之日柴油发电机组的</w:t>
            </w:r>
            <w:r>
              <w:rPr>
                <w:rFonts w:hint="eastAsia" w:ascii="宋体" w:hAnsi="宋体" w:eastAsia="宋体" w:cs="宋体"/>
                <w:color w:val="auto"/>
                <w:szCs w:val="21"/>
                <w:highlight w:val="none"/>
              </w:rPr>
              <w:t>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维保</w:t>
            </w:r>
            <w:r>
              <w:rPr>
                <w:rFonts w:hint="eastAsia" w:ascii="宋体" w:hAnsi="宋体" w:eastAsia="宋体" w:cs="宋体"/>
                <w:color w:val="auto"/>
                <w:szCs w:val="21"/>
                <w:highlight w:val="none"/>
              </w:rPr>
              <w:t>类相关项目</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或同类的合同业绩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合同关键页复印件并加盖参加单位公章。合同关键页包含但不限于项目名称、业主方名称、合同金额、合同主要内容、签订时间、履约地点、甲乙双方盖章等信息。</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报价以人民币为结算币种，《</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》应包含税率、税额、税前及</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szCs w:val="21"/>
                <w:highlight w:val="none"/>
              </w:rPr>
              <w:t>总金额。</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报价不得出现可选择性的报价,含有备选方案的报价将导致废标。</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包括该项目的相关维护保养的材料费用（含每年定期更换耗材及低值易损件）、工具费、运输费、人工费、安全措施保障费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增值税费等完成本项目所需的全部费用</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采购人不再支付其他任何费用。</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本项目承包方式为总价包干，因中选单位施工或管理原因导致返工</w:t>
            </w:r>
            <w:r>
              <w:rPr>
                <w:rFonts w:hint="eastAsia" w:ascii="宋体" w:hAnsi="宋体" w:eastAsia="宋体" w:cs="宋体"/>
                <w:color w:val="auto"/>
                <w:szCs w:val="21"/>
                <w:highlight w:val="none"/>
                <w:lang w:val="en-US" w:eastAsia="zh-CN"/>
              </w:rPr>
              <w:t>的费用</w:t>
            </w:r>
            <w:r>
              <w:rPr>
                <w:rFonts w:hint="eastAsia" w:ascii="宋体" w:hAnsi="宋体" w:eastAsia="宋体" w:cs="宋体"/>
                <w:color w:val="auto"/>
                <w:szCs w:val="21"/>
                <w:highlight w:val="none"/>
              </w:rPr>
              <w:t>问题，均由中选单位自行承担</w:t>
            </w:r>
            <w:r>
              <w:rPr>
                <w:rFonts w:hint="eastAsia" w:ascii="宋体" w:hAnsi="宋体" w:eastAsia="宋体" w:cs="宋体"/>
                <w:color w:val="auto"/>
                <w:szCs w:val="21"/>
                <w:highlight w:val="none"/>
                <w:lang w:eastAsia="zh-CN"/>
              </w:rPr>
              <w:t>。</w:t>
            </w:r>
          </w:p>
          <w:p>
            <w:pPr>
              <w:pStyle w:val="36"/>
              <w:widowControl/>
              <w:tabs>
                <w:tab w:val="left" w:pos="606"/>
              </w:tabs>
              <w:snapToGrid w:val="0"/>
              <w:spacing w:line="400" w:lineRule="exact"/>
              <w:ind w:right="3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本项目每年最高限价不得超过人民币</w:t>
            </w:r>
            <w:r>
              <w:rPr>
                <w:rFonts w:hint="eastAsia" w:ascii="宋体" w:hAnsi="宋体" w:eastAsia="宋体" w:cs="宋体"/>
                <w:color w:val="auto"/>
                <w:szCs w:val="21"/>
                <w:highlight w:val="none"/>
                <w:lang w:val="en-US" w:eastAsia="zh-CN"/>
              </w:rPr>
              <w:t>8.48</w:t>
            </w:r>
            <w:r>
              <w:rPr>
                <w:rFonts w:hint="eastAsia" w:ascii="宋体" w:hAnsi="宋体" w:eastAsia="宋体" w:cs="宋体"/>
                <w:color w:val="auto"/>
                <w:szCs w:val="21"/>
                <w:highlight w:val="none"/>
              </w:rPr>
              <w:t>万元，按3年合同期报价，总报价金额不得超过人民币</w:t>
            </w:r>
            <w:r>
              <w:rPr>
                <w:rFonts w:hint="eastAsia" w:ascii="宋体" w:hAnsi="宋体" w:eastAsia="宋体" w:cs="宋体"/>
                <w:color w:val="auto"/>
                <w:szCs w:val="21"/>
                <w:highlight w:val="none"/>
                <w:lang w:val="en-US" w:eastAsia="zh-CN"/>
              </w:rPr>
              <w:t>25.44</w:t>
            </w:r>
            <w:r>
              <w:rPr>
                <w:rFonts w:hint="eastAsia" w:ascii="宋体" w:hAnsi="宋体" w:eastAsia="宋体" w:cs="宋体"/>
                <w:color w:val="auto"/>
                <w:szCs w:val="21"/>
                <w:highlight w:val="none"/>
              </w:rPr>
              <w:t>万元，报价超过上述控制金额的投标文件作废标处理。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firstLine="420" w:firstLineChars="200"/>
              <w:rPr>
                <w:rFonts w:hint="eastAsia" w:ascii="宋体" w:hAnsi="宋体" w:eastAsia="宋体" w:cs="仿宋_GB2312"/>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仿宋_GB2312"/>
                <w:color w:val="auto"/>
                <w:szCs w:val="21"/>
                <w:highlight w:val="none"/>
                <w:lang w:val="en-US" w:eastAsia="zh-CN"/>
              </w:rPr>
              <w:t>合同签订后每半年支付一次保养费，</w:t>
            </w:r>
            <w:r>
              <w:rPr>
                <w:rFonts w:hint="eastAsia" w:ascii="宋体" w:hAnsi="宋体" w:cs="仿宋_GB2312"/>
                <w:color w:val="auto"/>
                <w:szCs w:val="21"/>
                <w:highlight w:val="none"/>
                <w:lang w:val="en-US" w:eastAsia="zh-CN"/>
              </w:rPr>
              <w:t>参加单位</w:t>
            </w:r>
            <w:r>
              <w:rPr>
                <w:rFonts w:hint="eastAsia" w:ascii="宋体" w:hAnsi="宋体" w:eastAsia="宋体" w:cs="仿宋_GB2312"/>
                <w:color w:val="auto"/>
                <w:szCs w:val="21"/>
                <w:highlight w:val="none"/>
                <w:lang w:val="en-US" w:eastAsia="zh-CN"/>
              </w:rPr>
              <w:t>应提供发电机组维护保养总结报告、每次巡检、维护相应的发电机组状态报告，</w:t>
            </w:r>
            <w:r>
              <w:rPr>
                <w:rFonts w:hint="eastAsia" w:ascii="宋体" w:hAnsi="宋体" w:cs="仿宋_GB2312"/>
                <w:color w:val="auto"/>
                <w:szCs w:val="21"/>
                <w:highlight w:val="none"/>
                <w:lang w:val="en-US" w:eastAsia="zh-CN"/>
              </w:rPr>
              <w:t>经采购人审核确认通过后</w:t>
            </w:r>
            <w:r>
              <w:rPr>
                <w:rFonts w:hint="eastAsia" w:ascii="宋体" w:hAnsi="宋体" w:eastAsia="宋体" w:cs="仿宋_GB2312"/>
                <w:color w:val="auto"/>
                <w:szCs w:val="21"/>
                <w:highlight w:val="none"/>
                <w:lang w:val="en-US" w:eastAsia="zh-CN"/>
              </w:rPr>
              <w:t>支付年度保养费50%。</w:t>
            </w:r>
          </w:p>
          <w:p>
            <w:pPr>
              <w:numPr>
                <w:ilvl w:val="0"/>
                <w:numId w:val="0"/>
              </w:numPr>
              <w:tabs>
                <w:tab w:val="left" w:pos="531"/>
              </w:tabs>
              <w:snapToGrid w:val="0"/>
              <w:ind w:leftChars="0" w:firstLine="420" w:firstLineChars="200"/>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（2）</w:t>
            </w:r>
            <w:r>
              <w:rPr>
                <w:rFonts w:hint="eastAsia" w:ascii="宋体" w:hAnsi="宋体" w:cs="仿宋_GB2312"/>
                <w:color w:val="auto"/>
                <w:szCs w:val="21"/>
                <w:highlight w:val="none"/>
                <w:lang w:val="en-US" w:eastAsia="zh-CN"/>
              </w:rPr>
              <w:t>年度</w:t>
            </w:r>
            <w:r>
              <w:rPr>
                <w:rFonts w:hint="eastAsia" w:ascii="宋体" w:hAnsi="宋体" w:eastAsia="宋体" w:cs="仿宋_GB2312"/>
                <w:color w:val="auto"/>
                <w:szCs w:val="21"/>
                <w:highlight w:val="none"/>
                <w:lang w:val="en-US" w:eastAsia="zh-CN"/>
              </w:rPr>
              <w:t>合同期满后一个月内，</w:t>
            </w:r>
            <w:r>
              <w:rPr>
                <w:rFonts w:hint="eastAsia" w:ascii="宋体" w:hAnsi="宋体" w:cs="仿宋_GB2312"/>
                <w:color w:val="auto"/>
                <w:szCs w:val="21"/>
                <w:highlight w:val="none"/>
                <w:lang w:val="en-US" w:eastAsia="zh-CN"/>
              </w:rPr>
              <w:t>参加单位</w:t>
            </w:r>
            <w:r>
              <w:rPr>
                <w:rFonts w:hint="eastAsia" w:ascii="宋体" w:hAnsi="宋体" w:eastAsia="宋体" w:cs="仿宋_GB2312"/>
                <w:color w:val="auto"/>
                <w:szCs w:val="21"/>
                <w:highlight w:val="none"/>
                <w:lang w:val="en-US" w:eastAsia="zh-CN"/>
              </w:rPr>
              <w:t>应提供发电机组维护保养总结报告、每次巡检、维护相应的发电机组状态报告，</w:t>
            </w:r>
            <w:r>
              <w:rPr>
                <w:rFonts w:hint="eastAsia" w:ascii="宋体" w:hAnsi="宋体" w:cs="仿宋_GB2312"/>
                <w:color w:val="auto"/>
                <w:szCs w:val="21"/>
                <w:highlight w:val="none"/>
                <w:lang w:val="en-US" w:eastAsia="zh-CN"/>
              </w:rPr>
              <w:t>经采购人审核确认通过后，</w:t>
            </w:r>
            <w:r>
              <w:rPr>
                <w:rFonts w:hint="eastAsia" w:ascii="宋体" w:hAnsi="宋体" w:eastAsia="宋体" w:cs="仿宋_GB2312"/>
                <w:color w:val="auto"/>
                <w:szCs w:val="21"/>
                <w:highlight w:val="none"/>
                <w:lang w:val="en-US" w:eastAsia="zh-CN"/>
              </w:rPr>
              <w:t>支付</w:t>
            </w:r>
            <w:r>
              <w:rPr>
                <w:rFonts w:hint="eastAsia" w:ascii="宋体" w:hAnsi="宋体" w:cs="仿宋_GB2312"/>
                <w:color w:val="auto"/>
                <w:szCs w:val="21"/>
                <w:highlight w:val="none"/>
                <w:lang w:val="en-US" w:eastAsia="zh-CN"/>
              </w:rPr>
              <w:t>当</w:t>
            </w:r>
            <w:r>
              <w:rPr>
                <w:rFonts w:hint="eastAsia" w:ascii="宋体" w:hAnsi="宋体" w:eastAsia="宋体" w:cs="仿宋_GB2312"/>
                <w:color w:val="auto"/>
                <w:szCs w:val="21"/>
                <w:highlight w:val="none"/>
                <w:lang w:val="en-US" w:eastAsia="zh-CN"/>
              </w:rPr>
              <w:t>年</w:t>
            </w:r>
            <w:r>
              <w:rPr>
                <w:rFonts w:hint="eastAsia" w:ascii="宋体" w:hAnsi="宋体" w:cs="仿宋_GB2312"/>
                <w:color w:val="auto"/>
                <w:szCs w:val="21"/>
                <w:highlight w:val="none"/>
                <w:lang w:val="en-US" w:eastAsia="zh-CN"/>
              </w:rPr>
              <w:t>度</w:t>
            </w:r>
            <w:r>
              <w:rPr>
                <w:rFonts w:hint="eastAsia" w:ascii="宋体" w:hAnsi="宋体" w:eastAsia="宋体" w:cs="仿宋_GB2312"/>
                <w:color w:val="auto"/>
                <w:szCs w:val="21"/>
                <w:highlight w:val="none"/>
                <w:lang w:val="en-US" w:eastAsia="zh-CN"/>
              </w:rPr>
              <w:t>保养费</w:t>
            </w:r>
            <w:r>
              <w:rPr>
                <w:rFonts w:hint="eastAsia" w:ascii="宋体" w:hAnsi="宋体" w:cs="仿宋_GB2312"/>
                <w:color w:val="auto"/>
                <w:szCs w:val="21"/>
                <w:highlight w:val="none"/>
                <w:lang w:val="en-US" w:eastAsia="zh-CN"/>
              </w:rPr>
              <w:t>的</w:t>
            </w:r>
            <w:r>
              <w:rPr>
                <w:rFonts w:hint="eastAsia" w:ascii="宋体" w:hAnsi="宋体" w:eastAsia="宋体" w:cs="仿宋_GB2312"/>
                <w:color w:val="auto"/>
                <w:szCs w:val="21"/>
                <w:highlight w:val="none"/>
                <w:lang w:val="en-US" w:eastAsia="zh-CN"/>
              </w:rPr>
              <w:t>50%。</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pacing w:line="400" w:lineRule="exact"/>
              <w:ind w:right="3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本项目服务期为3年，采用1+1+1合同模式。每一年合同到期前1个月参加单位应主动向采购人提请对其当年服务情况进行评审，采购人根据参加单位的服务质量、各项承诺兑现情况等因素进行考核评估，如考核达到80分（含）以上，则继续履行合同，如考核未达到80分，年度合同期满时自动终止合同。</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val="en-US" w:eastAsia="zh-CN"/>
              </w:rPr>
            </w:pPr>
            <w:r>
              <w:rPr>
                <w:rFonts w:hint="eastAsia" w:ascii="宋体" w:hAnsi="宋体" w:cs="宋体"/>
                <w:b w:val="0"/>
                <w:snapToGrid w:val="0"/>
                <w:szCs w:val="21"/>
                <w:lang w:val="en-US" w:eastAsia="zh-CN"/>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2"/>
                <w:sz w:val="21"/>
                <w:szCs w:val="21"/>
                <w:lang w:val="en-US" w:eastAsia="zh-CN" w:bidi="ar-SA"/>
              </w:rPr>
            </w:pPr>
            <w:r>
              <w:rPr>
                <w:rFonts w:hint="eastAsia" w:ascii="宋体" w:hAnsi="宋体" w:cs="宋体"/>
                <w:b w:val="0"/>
                <w:bCs/>
                <w:szCs w:val="21"/>
                <w:lang w:eastAsia="zh-CN"/>
              </w:rPr>
              <w:t>项目地点</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eastAsia" w:ascii="宋体" w:hAnsi="宋体" w:eastAsia="宋体" w:cs="宋体"/>
                <w:b/>
                <w:kern w:val="2"/>
                <w:sz w:val="21"/>
                <w:szCs w:val="21"/>
                <w:lang w:val="en-US" w:eastAsia="zh-CN" w:bidi="ar-SA"/>
              </w:rPr>
            </w:pPr>
            <w:r>
              <w:rPr>
                <w:rFonts w:hint="eastAsia" w:ascii="宋体" w:hAnsi="宋体" w:cs="宋体"/>
                <w:b w:val="0"/>
                <w:bCs/>
                <w:szCs w:val="21"/>
                <w:lang w:eastAsia="zh-CN"/>
              </w:rPr>
              <w:t>会展中心东</w:t>
            </w:r>
            <w:r>
              <w:rPr>
                <w:rFonts w:hint="eastAsia" w:ascii="宋体" w:hAnsi="宋体" w:cs="宋体"/>
                <w:b w:val="0"/>
                <w:bCs/>
                <w:szCs w:val="21"/>
                <w:lang w:val="en-US" w:eastAsia="zh-CN"/>
              </w:rPr>
              <w:t>、西发电机房。</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2"/>
                <w:sz w:val="21"/>
                <w:szCs w:val="21"/>
                <w:lang w:val="en-US" w:eastAsia="zh-CN" w:bidi="ar-SA"/>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val="0"/>
                <w:snapToGrid w:val="0"/>
                <w:sz w:val="21"/>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保养设备名称及数量</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9"/>
              <w:numPr>
                <w:ilvl w:val="0"/>
                <w:numId w:val="9"/>
              </w:numPr>
              <w:spacing w:line="264" w:lineRule="auto"/>
              <w:ind w:firstLineChars="0"/>
              <w:jc w:val="left"/>
              <w:rPr>
                <w:rFonts w:hint="eastAsia" w:ascii="宋体" w:hAnsi="宋体" w:eastAsia="宋体" w:cs="宋体"/>
                <w:sz w:val="21"/>
                <w:szCs w:val="21"/>
              </w:rPr>
            </w:pPr>
            <w:r>
              <w:rPr>
                <w:rFonts w:hint="eastAsia" w:ascii="宋体" w:hAnsi="宋体" w:eastAsia="宋体" w:cs="宋体"/>
                <w:sz w:val="21"/>
                <w:szCs w:val="21"/>
              </w:rPr>
              <w:t>发电机组型号petbow 柴油机KTA50-G8，数量4台。</w:t>
            </w:r>
          </w:p>
          <w:p>
            <w:pPr>
              <w:pStyle w:val="29"/>
              <w:numPr>
                <w:ilvl w:val="0"/>
                <w:numId w:val="9"/>
              </w:numPr>
              <w:spacing w:line="264" w:lineRule="auto"/>
              <w:ind w:firstLineChars="0"/>
              <w:jc w:val="left"/>
              <w:rPr>
                <w:rFonts w:hint="eastAsia" w:ascii="宋体" w:hAnsi="宋体" w:eastAsia="宋体" w:cs="宋体"/>
                <w:sz w:val="21"/>
                <w:szCs w:val="21"/>
              </w:rPr>
            </w:pPr>
            <w:r>
              <w:rPr>
                <w:rFonts w:hint="eastAsia" w:ascii="宋体" w:hAnsi="宋体" w:eastAsia="宋体" w:cs="宋体"/>
                <w:sz w:val="21"/>
                <w:szCs w:val="21"/>
              </w:rPr>
              <w:t>出烟口环保水处理系统，数量4套。</w:t>
            </w:r>
          </w:p>
          <w:p>
            <w:pPr>
              <w:pStyle w:val="29"/>
              <w:numPr>
                <w:ilvl w:val="0"/>
                <w:numId w:val="9"/>
              </w:numPr>
              <w:spacing w:line="264" w:lineRule="auto"/>
              <w:ind w:firstLineChars="0"/>
              <w:jc w:val="left"/>
              <w:rPr>
                <w:rFonts w:hint="eastAsia" w:ascii="宋体" w:hAnsi="宋体" w:eastAsia="宋体" w:cs="宋体"/>
                <w:sz w:val="21"/>
                <w:szCs w:val="21"/>
              </w:rPr>
            </w:pPr>
            <w:r>
              <w:rPr>
                <w:rFonts w:hint="eastAsia" w:ascii="宋体" w:hAnsi="宋体" w:eastAsia="宋体" w:cs="宋体"/>
                <w:sz w:val="21"/>
                <w:szCs w:val="21"/>
              </w:rPr>
              <w:t>发电机并网柜，数量2套。</w:t>
            </w:r>
          </w:p>
          <w:p>
            <w:pPr>
              <w:pStyle w:val="29"/>
              <w:numPr>
                <w:ilvl w:val="0"/>
                <w:numId w:val="9"/>
              </w:numPr>
              <w:spacing w:line="264" w:lineRule="auto"/>
              <w:ind w:firstLineChars="0"/>
              <w:jc w:val="left"/>
              <w:rPr>
                <w:rFonts w:hint="eastAsia" w:ascii="宋体" w:hAnsi="宋体" w:eastAsia="宋体" w:cs="宋体"/>
                <w:sz w:val="21"/>
                <w:szCs w:val="21"/>
              </w:rPr>
            </w:pPr>
            <w:r>
              <w:rPr>
                <w:rFonts w:hint="eastAsia" w:ascii="宋体" w:hAnsi="宋体" w:eastAsia="宋体" w:cs="宋体"/>
                <w:sz w:val="21"/>
                <w:szCs w:val="21"/>
              </w:rPr>
              <w:t>发电机控制及后台监控系统，数量4套。</w:t>
            </w:r>
          </w:p>
          <w:p>
            <w:pPr>
              <w:pStyle w:val="29"/>
              <w:numPr>
                <w:ilvl w:val="0"/>
                <w:numId w:val="9"/>
              </w:numPr>
              <w:spacing w:line="264" w:lineRule="auto"/>
              <w:ind w:firstLineChars="0"/>
              <w:jc w:val="left"/>
              <w:rPr>
                <w:rFonts w:hint="eastAsia" w:ascii="宋体" w:hAnsi="宋体" w:eastAsia="宋体" w:cs="宋体"/>
                <w:sz w:val="21"/>
                <w:szCs w:val="21"/>
              </w:rPr>
            </w:pPr>
            <w:r>
              <w:rPr>
                <w:rFonts w:hint="eastAsia" w:ascii="宋体" w:hAnsi="宋体" w:eastAsia="宋体" w:cs="宋体"/>
                <w:sz w:val="21"/>
                <w:szCs w:val="21"/>
              </w:rPr>
              <w:t>两个机房共250㎡地面清洁</w:t>
            </w:r>
            <w:r>
              <w:rPr>
                <w:rFonts w:hint="eastAsia" w:ascii="宋体" w:hAnsi="宋体" w:eastAsia="宋体" w:cs="宋体"/>
                <w:sz w:val="21"/>
                <w:szCs w:val="21"/>
                <w:lang w:eastAsia="zh-CN"/>
              </w:rPr>
              <w:t>。</w:t>
            </w:r>
          </w:p>
          <w:p>
            <w:pPr>
              <w:pStyle w:val="29"/>
              <w:numPr>
                <w:ilvl w:val="0"/>
                <w:numId w:val="9"/>
              </w:numPr>
              <w:spacing w:line="264" w:lineRule="auto"/>
              <w:ind w:firstLineChars="0"/>
              <w:jc w:val="left"/>
              <w:rPr>
                <w:rFonts w:hint="eastAsia" w:ascii="宋体" w:hAnsi="宋体" w:eastAsia="宋体" w:cs="宋体"/>
                <w:sz w:val="21"/>
                <w:szCs w:val="21"/>
              </w:rPr>
            </w:pPr>
            <w:r>
              <w:rPr>
                <w:rFonts w:hint="eastAsia" w:ascii="宋体" w:hAnsi="宋体" w:eastAsia="宋体" w:cs="宋体"/>
                <w:sz w:val="21"/>
                <w:szCs w:val="21"/>
              </w:rPr>
              <w:t>两个机房共660㎡隔音设施的维护，保证其完整性。</w:t>
            </w:r>
          </w:p>
          <w:p>
            <w:pPr>
              <w:pStyle w:val="29"/>
              <w:numPr>
                <w:ilvl w:val="0"/>
                <w:numId w:val="9"/>
              </w:numPr>
              <w:spacing w:line="264" w:lineRule="auto"/>
              <w:ind w:left="360" w:leftChars="0" w:hanging="36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两个机房共240米排烟管道的维护及清理。</w:t>
            </w:r>
          </w:p>
          <w:p>
            <w:pPr>
              <w:pStyle w:val="29"/>
              <w:numPr>
                <w:ilvl w:val="0"/>
                <w:numId w:val="9"/>
              </w:numPr>
              <w:spacing w:line="264" w:lineRule="auto"/>
              <w:ind w:left="360" w:leftChars="0" w:hanging="36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喷油器检测调校64台（包括垫片、喷油嘴油头、胶圈、滤网等）。</w:t>
            </w:r>
          </w:p>
          <w:p>
            <w:pPr>
              <w:pStyle w:val="29"/>
              <w:numPr>
                <w:ilvl w:val="0"/>
                <w:numId w:val="9"/>
              </w:numPr>
              <w:spacing w:line="264" w:lineRule="auto"/>
              <w:ind w:left="360" w:leftChars="0" w:hanging="36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燃油泵检测调校4台（包括垫片、轴承、滤网等）。</w:t>
            </w:r>
          </w:p>
          <w:p>
            <w:pPr>
              <w:pStyle w:val="29"/>
              <w:numPr>
                <w:ilvl w:val="0"/>
                <w:numId w:val="9"/>
              </w:numPr>
              <w:spacing w:line="264" w:lineRule="auto"/>
              <w:ind w:left="360" w:leftChars="0" w:hanging="36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lang w:val="en-US" w:eastAsia="zh-CN"/>
              </w:rPr>
              <w:t>增压器检测调校8台（包括油封、轴承、垫片等）。</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kern w:val="2"/>
                <w:sz w:val="21"/>
                <w:szCs w:val="21"/>
                <w:lang w:val="en-US" w:eastAsia="zh-CN" w:bidi="ar-SA"/>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val="0"/>
                <w:snapToGrid w:val="0"/>
                <w:sz w:val="21"/>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每年定期更换耗材</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3"/>
                <w:numId w:val="10"/>
              </w:numPr>
              <w:spacing w:line="264" w:lineRule="auto"/>
              <w:ind w:left="473"/>
              <w:jc w:val="left"/>
              <w:rPr>
                <w:rFonts w:hint="eastAsia" w:ascii="宋体" w:hAnsi="宋体" w:eastAsia="宋体" w:cs="宋体"/>
                <w:sz w:val="21"/>
                <w:szCs w:val="21"/>
              </w:rPr>
            </w:pPr>
            <w:r>
              <w:rPr>
                <w:rFonts w:hint="eastAsia" w:ascii="宋体" w:hAnsi="宋体" w:eastAsia="宋体" w:cs="宋体"/>
                <w:sz w:val="21"/>
                <w:szCs w:val="21"/>
              </w:rPr>
              <w:t>空气过滤器(AF25278)8个。</w:t>
            </w:r>
          </w:p>
          <w:p>
            <w:pPr>
              <w:numPr>
                <w:ilvl w:val="3"/>
                <w:numId w:val="10"/>
              </w:numPr>
              <w:spacing w:line="264" w:lineRule="auto"/>
              <w:ind w:left="473"/>
              <w:jc w:val="left"/>
              <w:rPr>
                <w:rFonts w:hint="eastAsia" w:ascii="宋体" w:hAnsi="宋体" w:eastAsia="宋体" w:cs="宋体"/>
                <w:sz w:val="21"/>
                <w:szCs w:val="21"/>
              </w:rPr>
            </w:pPr>
            <w:r>
              <w:rPr>
                <w:rFonts w:hint="eastAsia" w:ascii="宋体" w:hAnsi="宋体" w:eastAsia="宋体" w:cs="宋体"/>
                <w:sz w:val="21"/>
                <w:szCs w:val="21"/>
              </w:rPr>
              <w:t>机油过滤器(LF3325)20个。</w:t>
            </w:r>
          </w:p>
          <w:p>
            <w:pPr>
              <w:numPr>
                <w:ilvl w:val="3"/>
                <w:numId w:val="10"/>
              </w:numPr>
              <w:spacing w:line="264" w:lineRule="auto"/>
              <w:ind w:left="473" w:hanging="425"/>
              <w:jc w:val="left"/>
              <w:rPr>
                <w:rFonts w:hint="eastAsia" w:ascii="宋体" w:hAnsi="宋体" w:eastAsia="宋体" w:cs="宋体"/>
                <w:sz w:val="21"/>
                <w:szCs w:val="21"/>
              </w:rPr>
            </w:pPr>
            <w:r>
              <w:rPr>
                <w:rFonts w:hint="eastAsia" w:ascii="宋体" w:hAnsi="宋体" w:eastAsia="宋体" w:cs="宋体"/>
                <w:sz w:val="21"/>
                <w:szCs w:val="21"/>
              </w:rPr>
              <w:t>机油旁路过滤器(LF777)8个。</w:t>
            </w:r>
          </w:p>
          <w:p>
            <w:pPr>
              <w:numPr>
                <w:ilvl w:val="3"/>
                <w:numId w:val="10"/>
              </w:numPr>
              <w:spacing w:line="264" w:lineRule="auto"/>
              <w:ind w:left="473" w:hanging="425"/>
              <w:jc w:val="left"/>
              <w:rPr>
                <w:rFonts w:hint="eastAsia" w:ascii="宋体" w:hAnsi="宋体" w:eastAsia="宋体" w:cs="宋体"/>
                <w:sz w:val="21"/>
                <w:szCs w:val="21"/>
              </w:rPr>
            </w:pPr>
            <w:r>
              <w:rPr>
                <w:rFonts w:hint="eastAsia" w:ascii="宋体" w:hAnsi="宋体" w:eastAsia="宋体" w:cs="宋体"/>
                <w:sz w:val="21"/>
                <w:szCs w:val="21"/>
              </w:rPr>
              <w:t>柴油过滤器(FF202)8个。</w:t>
            </w:r>
          </w:p>
          <w:p>
            <w:pPr>
              <w:numPr>
                <w:ilvl w:val="3"/>
                <w:numId w:val="10"/>
              </w:numPr>
              <w:spacing w:line="264" w:lineRule="auto"/>
              <w:ind w:left="473" w:hanging="425"/>
              <w:jc w:val="left"/>
              <w:rPr>
                <w:rFonts w:hint="eastAsia" w:ascii="宋体" w:hAnsi="宋体" w:eastAsia="宋体" w:cs="宋体"/>
                <w:sz w:val="21"/>
                <w:szCs w:val="21"/>
              </w:rPr>
            </w:pPr>
            <w:r>
              <w:rPr>
                <w:rFonts w:hint="eastAsia" w:ascii="宋体" w:hAnsi="宋体" w:eastAsia="宋体" w:cs="宋体"/>
                <w:sz w:val="21"/>
                <w:szCs w:val="21"/>
              </w:rPr>
              <w:t>水过滤器(WF2076)8个。</w:t>
            </w:r>
          </w:p>
          <w:p>
            <w:pPr>
              <w:numPr>
                <w:ilvl w:val="3"/>
                <w:numId w:val="10"/>
              </w:numPr>
              <w:spacing w:line="264" w:lineRule="auto"/>
              <w:ind w:left="473" w:hanging="425"/>
              <w:jc w:val="left"/>
              <w:rPr>
                <w:rFonts w:hint="eastAsia" w:ascii="宋体" w:hAnsi="宋体" w:eastAsia="宋体" w:cs="宋体"/>
                <w:sz w:val="21"/>
                <w:szCs w:val="21"/>
              </w:rPr>
            </w:pPr>
            <w:r>
              <w:rPr>
                <w:rFonts w:hint="eastAsia" w:ascii="宋体" w:hAnsi="宋体" w:eastAsia="宋体" w:cs="宋体"/>
                <w:sz w:val="21"/>
                <w:szCs w:val="21"/>
              </w:rPr>
              <w:t>防锈水(DCA65L)24瓶。</w:t>
            </w:r>
          </w:p>
          <w:p>
            <w:pPr>
              <w:numPr>
                <w:ilvl w:val="3"/>
                <w:numId w:val="10"/>
              </w:numPr>
              <w:spacing w:line="264" w:lineRule="auto"/>
              <w:ind w:left="473" w:hanging="425"/>
              <w:jc w:val="left"/>
              <w:rPr>
                <w:rFonts w:hint="eastAsia" w:ascii="宋体" w:hAnsi="宋体" w:eastAsia="宋体" w:cs="宋体"/>
                <w:sz w:val="21"/>
                <w:szCs w:val="21"/>
              </w:rPr>
            </w:pPr>
            <w:r>
              <w:rPr>
                <w:rFonts w:hint="eastAsia" w:ascii="宋体" w:hAnsi="宋体" w:eastAsia="宋体" w:cs="宋体"/>
                <w:sz w:val="21"/>
                <w:szCs w:val="21"/>
              </w:rPr>
              <w:t>油水分离器芯(2020PM)8个。</w:t>
            </w:r>
          </w:p>
          <w:p>
            <w:pPr>
              <w:numPr>
                <w:ilvl w:val="3"/>
                <w:numId w:val="10"/>
              </w:numPr>
              <w:spacing w:line="264" w:lineRule="auto"/>
              <w:ind w:left="473"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润滑油40桶（DEL15W-40 API CH-4金德乐18升/桶）。</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snapToGrid w:val="0"/>
                <w:sz w:val="21"/>
                <w:szCs w:val="21"/>
                <w:lang w:val="en-US" w:eastAsia="zh-CN"/>
              </w:rPr>
            </w:pPr>
            <w:r>
              <w:rPr>
                <w:rFonts w:hint="eastAsia" w:ascii="宋体" w:hAnsi="宋体" w:cs="宋体"/>
                <w:b w:val="0"/>
                <w:snapToGrid w:val="0"/>
                <w:sz w:val="21"/>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低值易损件</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低值易损件（根据设备运行情况酌定需要免费更换低值易损件(包括1、金属清洁剂；2、电池补充液；3、轴承润滑脂；4、各种密封胶圈；5、胶管；6、油水分离器油杯；7、螺丝；8、油污清洗液；9、油管及辅件）</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snapToGrid w:val="0"/>
                <w:sz w:val="21"/>
                <w:szCs w:val="21"/>
                <w:lang w:val="en-US" w:eastAsia="zh-CN"/>
              </w:rPr>
            </w:pPr>
            <w:r>
              <w:rPr>
                <w:rFonts w:hint="eastAsia" w:ascii="宋体" w:hAnsi="宋体" w:cs="宋体"/>
                <w:b w:val="0"/>
                <w:snapToGrid w:val="0"/>
                <w:sz w:val="21"/>
                <w:szCs w:val="21"/>
                <w:lang w:val="en-US" w:eastAsia="zh-CN"/>
              </w:rPr>
              <w:t>5</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特殊展会值班</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高</w:t>
            </w:r>
            <w:r>
              <w:rPr>
                <w:rFonts w:hint="eastAsia" w:ascii="宋体" w:hAnsi="宋体" w:eastAsia="宋体" w:cs="宋体"/>
                <w:sz w:val="21"/>
                <w:szCs w:val="21"/>
              </w:rPr>
              <w:t>交会</w:t>
            </w:r>
            <w:r>
              <w:rPr>
                <w:rFonts w:hint="eastAsia" w:ascii="宋体" w:hAnsi="宋体" w:eastAsia="宋体" w:cs="宋体"/>
                <w:sz w:val="21"/>
                <w:szCs w:val="21"/>
                <w:lang w:eastAsia="zh-CN"/>
              </w:rPr>
              <w:t>及</w:t>
            </w:r>
            <w:r>
              <w:rPr>
                <w:rFonts w:hint="eastAsia" w:ascii="宋体" w:hAnsi="宋体" w:eastAsia="宋体" w:cs="宋体"/>
                <w:sz w:val="21"/>
                <w:szCs w:val="21"/>
              </w:rPr>
              <w:t>重大特殊展会期间</w:t>
            </w:r>
            <w:r>
              <w:rPr>
                <w:rFonts w:hint="eastAsia" w:ascii="宋体" w:hAnsi="宋体" w:cs="宋体"/>
                <w:sz w:val="21"/>
                <w:szCs w:val="21"/>
                <w:lang w:eastAsia="zh-CN"/>
              </w:rPr>
              <w:t>至少</w:t>
            </w:r>
            <w:r>
              <w:rPr>
                <w:rFonts w:hint="eastAsia" w:ascii="宋体" w:hAnsi="宋体" w:eastAsia="宋体" w:cs="宋体"/>
                <w:sz w:val="21"/>
                <w:szCs w:val="21"/>
              </w:rPr>
              <w:t>安排</w:t>
            </w:r>
            <w:r>
              <w:rPr>
                <w:rFonts w:hint="eastAsia" w:ascii="宋体" w:hAnsi="宋体" w:cs="宋体"/>
                <w:sz w:val="21"/>
                <w:szCs w:val="21"/>
                <w:lang w:val="en-US" w:eastAsia="zh-CN"/>
              </w:rPr>
              <w:t>2名</w:t>
            </w:r>
            <w:r>
              <w:rPr>
                <w:rFonts w:hint="eastAsia" w:ascii="宋体" w:hAnsi="宋体" w:eastAsia="宋体" w:cs="宋体"/>
                <w:sz w:val="21"/>
                <w:szCs w:val="21"/>
              </w:rPr>
              <w:t>人员值班，保障发电机组安全运行。</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FF0000"/>
                <w:kern w:val="2"/>
                <w:sz w:val="21"/>
                <w:szCs w:val="24"/>
                <w:highlight w:val="yellow"/>
                <w:lang w:val="en-US" w:eastAsia="zh-CN" w:bidi="ar-SA"/>
              </w:rPr>
            </w:pPr>
            <w:r>
              <w:rPr>
                <w:rFonts w:hint="eastAsia"/>
              </w:rPr>
              <w:t>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right="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（1）参加单位每次保养时至少安排3名及以上人员，均须具备低压电工作业资格证书，且团队成员中有至少有1人具备康明斯公司培训资格证书。参加单位须提交人员清单，及相关人员资格证书复印件（加盖公章）</w:t>
            </w:r>
            <w:r>
              <w:rPr>
                <w:rFonts w:hint="eastAsia" w:ascii="宋体" w:hAnsi="宋体" w:eastAsia="宋体" w:cs="宋体"/>
                <w:color w:val="auto"/>
                <w:szCs w:val="21"/>
                <w:highlight w:val="none"/>
              </w:rPr>
              <w:t>。</w:t>
            </w:r>
          </w:p>
          <w:p>
            <w:pPr>
              <w:pStyle w:val="36"/>
              <w:widowControl/>
              <w:numPr>
                <w:ilvl w:val="-1"/>
                <w:numId w:val="0"/>
              </w:numPr>
              <w:tabs>
                <w:tab w:val="left" w:pos="606"/>
              </w:tabs>
              <w:spacing w:line="400" w:lineRule="exact"/>
              <w:ind w:right="3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参加单位需提供</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参加单位为上述人员</w:t>
            </w:r>
            <w:r>
              <w:rPr>
                <w:rFonts w:hint="eastAsia" w:ascii="宋体" w:hAnsi="宋体" w:eastAsia="宋体" w:cs="宋体"/>
                <w:color w:val="auto"/>
                <w:highlight w:val="none"/>
              </w:rPr>
              <w:t>所购买的近三个月社保清单证明（</w:t>
            </w:r>
            <w:r>
              <w:rPr>
                <w:rFonts w:hint="eastAsia" w:ascii="宋体" w:hAnsi="宋体" w:eastAsia="宋体" w:cs="宋体"/>
                <w:color w:val="auto"/>
                <w:highlight w:val="none"/>
                <w:lang w:val="en-US" w:eastAsia="zh-CN"/>
              </w:rPr>
              <w:t>保留验真码，</w:t>
            </w:r>
            <w:r>
              <w:rPr>
                <w:rFonts w:hint="eastAsia" w:ascii="宋体" w:hAnsi="宋体" w:eastAsia="宋体" w:cs="宋体"/>
                <w:color w:val="auto"/>
                <w:highlight w:val="none"/>
              </w:rPr>
              <w:t>如在招标公告日上一个月的社保材料因社保部门原因暂时无法取得，则可以往前顺推一个月）。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0"/>
        </w:numPr>
        <w:spacing w:line="300" w:lineRule="auto"/>
        <w:ind w:left="420" w:leftChars="0"/>
        <w:outlineLvl w:val="0"/>
        <w:rPr>
          <w:rFonts w:ascii="宋体" w:hAnsi="宋体" w:cs="宋体"/>
          <w:b/>
          <w:sz w:val="24"/>
        </w:rPr>
      </w:pPr>
      <w:bookmarkStart w:id="12" w:name="_Toc128989097"/>
    </w:p>
    <w:p>
      <w:pPr>
        <w:numPr>
          <w:ilvl w:val="0"/>
          <w:numId w:val="1"/>
        </w:numPr>
        <w:spacing w:line="300" w:lineRule="auto"/>
        <w:outlineLvl w:val="0"/>
        <w:rPr>
          <w:rFonts w:ascii="宋体" w:hAnsi="宋体" w:cs="宋体"/>
          <w:b/>
          <w:sz w:val="24"/>
        </w:rPr>
      </w:pPr>
      <w:r>
        <w:rPr>
          <w:rFonts w:hint="eastAsia" w:ascii="宋体" w:hAnsi="宋体" w:cs="宋体"/>
          <w:b/>
          <w:sz w:val="24"/>
        </w:rPr>
        <w:t>其他项目说明资料</w:t>
      </w:r>
      <w:bookmarkEnd w:id="12"/>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服务机构履约评价表</w:t>
      </w:r>
    </w:p>
    <w:p>
      <w:pPr>
        <w:spacing w:line="560" w:lineRule="exact"/>
        <w:jc w:val="center"/>
        <w:rPr>
          <w:rFonts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cs="宋体"/>
          <w:b/>
          <w:kern w:val="0"/>
          <w:sz w:val="15"/>
          <w:szCs w:val="32"/>
        </w:rPr>
      </w:pPr>
    </w:p>
    <w:tbl>
      <w:tblPr>
        <w:tblStyle w:val="15"/>
        <w:tblW w:w="10065" w:type="dxa"/>
        <w:jc w:val="center"/>
        <w:tblLayout w:type="fixed"/>
        <w:tblCellMar>
          <w:top w:w="0" w:type="dxa"/>
          <w:left w:w="108" w:type="dxa"/>
          <w:bottom w:w="0" w:type="dxa"/>
          <w:right w:w="108" w:type="dxa"/>
        </w:tblCellMar>
      </w:tblPr>
      <w:tblGrid>
        <w:gridCol w:w="707"/>
        <w:gridCol w:w="817"/>
        <w:gridCol w:w="40"/>
        <w:gridCol w:w="222"/>
        <w:gridCol w:w="128"/>
        <w:gridCol w:w="350"/>
        <w:gridCol w:w="1620"/>
        <w:gridCol w:w="2320"/>
        <w:gridCol w:w="593"/>
        <w:gridCol w:w="850"/>
        <w:gridCol w:w="11"/>
        <w:gridCol w:w="105"/>
        <w:gridCol w:w="178"/>
        <w:gridCol w:w="414"/>
        <w:gridCol w:w="222"/>
        <w:gridCol w:w="629"/>
        <w:gridCol w:w="859"/>
      </w:tblGrid>
      <w:tr>
        <w:tblPrEx>
          <w:tblCellMar>
            <w:top w:w="0" w:type="dxa"/>
            <w:left w:w="108" w:type="dxa"/>
            <w:bottom w:w="0" w:type="dxa"/>
            <w:right w:w="108" w:type="dxa"/>
          </w:tblCellMar>
        </w:tblPrEx>
        <w:trPr>
          <w:trHeight w:val="336"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rPr>
                <w:rFonts w:ascii="宋体" w:hAnsi="宋体"/>
                <w:b/>
                <w:szCs w:val="21"/>
              </w:rPr>
            </w:pPr>
            <w:r>
              <w:rPr>
                <w:rFonts w:hint="eastAsia" w:ascii="宋体" w:hAnsi="宋体"/>
                <w:b/>
                <w:szCs w:val="21"/>
              </w:rPr>
              <w:t>基本信息</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服务机构名称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中标时间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ascii="宋体" w:hAnsi="宋体"/>
                <w:szCs w:val="21"/>
              </w:rPr>
              <w:t>合同名称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合同签订时间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黑体" w:hAnsi="宋体" w:eastAsia="黑体" w:cs="宋体"/>
                <w:sz w:val="24"/>
              </w:rPr>
            </w:pPr>
            <w:r>
              <w:rPr>
                <w:rFonts w:hint="eastAsia" w:ascii="宋体" w:hAnsi="宋体"/>
                <w:szCs w:val="21"/>
              </w:rPr>
              <w:t>合同范围内容概要</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服务机构项目组成员构成</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合同金额</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结算金额</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合同服务期</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验收时间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hint="eastAsia" w:ascii="宋体" w:hAnsi="宋体"/>
                <w:szCs w:val="21"/>
              </w:rPr>
              <w:t>_____年____月___日</w:t>
            </w:r>
          </w:p>
        </w:tc>
      </w:tr>
      <w:tr>
        <w:tblPrEx>
          <w:tblCellMar>
            <w:top w:w="0" w:type="dxa"/>
            <w:left w:w="108" w:type="dxa"/>
            <w:bottom w:w="0" w:type="dxa"/>
            <w:right w:w="108" w:type="dxa"/>
          </w:tblCellMar>
        </w:tblPrEx>
        <w:trPr>
          <w:trHeight w:val="379"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评价标准</w:t>
            </w:r>
          </w:p>
        </w:tc>
      </w:tr>
      <w:tr>
        <w:tblPrEx>
          <w:tblCellMar>
            <w:top w:w="0" w:type="dxa"/>
            <w:left w:w="108" w:type="dxa"/>
            <w:bottom w:w="0" w:type="dxa"/>
            <w:right w:w="108" w:type="dxa"/>
          </w:tblCellMar>
        </w:tblPrEx>
        <w:trPr>
          <w:trHeight w:val="572" w:hRule="atLeast"/>
          <w:jc w:val="center"/>
        </w:trPr>
        <w:tc>
          <w:tcPr>
            <w:tcW w:w="2264" w:type="dxa"/>
            <w:gridSpan w:val="6"/>
            <w:tcBorders>
              <w:top w:val="single" w:color="auto" w:sz="8" w:space="0"/>
              <w:left w:val="single" w:color="auto" w:sz="8" w:space="0"/>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4533" w:type="dxa"/>
            <w:gridSpan w:val="3"/>
            <w:tcBorders>
              <w:top w:val="single" w:color="auto" w:sz="8"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850" w:type="dxa"/>
            <w:tcBorders>
              <w:top w:val="nil"/>
              <w:left w:val="nil"/>
              <w:bottom w:val="single" w:color="auto" w:sz="4" w:space="0"/>
              <w:right w:val="single" w:color="auto" w:sz="4" w:space="0"/>
            </w:tcBorders>
            <w:vAlign w:val="center"/>
          </w:tcPr>
          <w:p>
            <w:pPr>
              <w:spacing w:line="260" w:lineRule="exact"/>
              <w:rPr>
                <w:rFonts w:ascii="宋体" w:hAnsi="宋体" w:cs="宋体"/>
                <w:szCs w:val="21"/>
              </w:rPr>
            </w:pPr>
            <w:r>
              <w:rPr>
                <w:rFonts w:hint="eastAsia" w:ascii="宋体" w:hAnsi="宋体" w:cs="宋体"/>
                <w:szCs w:val="21"/>
              </w:rPr>
              <w:t>分值</w:t>
            </w:r>
          </w:p>
        </w:tc>
        <w:tc>
          <w:tcPr>
            <w:tcW w:w="1559" w:type="dxa"/>
            <w:gridSpan w:val="6"/>
            <w:tcBorders>
              <w:top w:val="single" w:color="auto" w:sz="8" w:space="0"/>
              <w:left w:val="nil"/>
              <w:bottom w:val="single" w:color="auto" w:sz="4" w:space="0"/>
              <w:right w:val="single" w:color="000000" w:sz="4" w:space="0"/>
            </w:tcBorders>
            <w:vAlign w:val="center"/>
          </w:tcPr>
          <w:p>
            <w:pPr>
              <w:spacing w:line="260" w:lineRule="exact"/>
              <w:rPr>
                <w:rFonts w:ascii="宋体" w:hAnsi="宋体" w:cs="宋体"/>
                <w:szCs w:val="21"/>
              </w:rPr>
            </w:pPr>
            <w:r>
              <w:rPr>
                <w:rFonts w:hint="eastAsia" w:ascii="宋体" w:hAnsi="宋体" w:cs="宋体"/>
                <w:szCs w:val="21"/>
              </w:rPr>
              <w:t>扣分</w:t>
            </w:r>
            <w:r>
              <w:rPr>
                <w:rFonts w:hint="eastAsia" w:ascii="宋体" w:hAnsi="宋体" w:cs="宋体"/>
                <w:sz w:val="16"/>
                <w:szCs w:val="16"/>
              </w:rPr>
              <w:t>（最小扣分单位为0.5分，最多不超过该项分值）</w:t>
            </w:r>
          </w:p>
        </w:tc>
        <w:tc>
          <w:tcPr>
            <w:tcW w:w="859" w:type="dxa"/>
            <w:tcBorders>
              <w:top w:val="single" w:color="auto" w:sz="8" w:space="0"/>
              <w:left w:val="nil"/>
              <w:bottom w:val="single" w:color="auto" w:sz="4" w:space="0"/>
              <w:right w:val="single" w:color="000000" w:sz="8" w:space="0"/>
            </w:tcBorders>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37" w:hRule="atLeast"/>
          <w:jc w:val="center"/>
        </w:trPr>
        <w:tc>
          <w:tcPr>
            <w:tcW w:w="707" w:type="dxa"/>
            <w:vMerge w:val="restart"/>
            <w:tcBorders>
              <w:top w:val="nil"/>
              <w:left w:val="single" w:color="auto" w:sz="8" w:space="0"/>
              <w:right w:val="single" w:color="auto" w:sz="4" w:space="0"/>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能力</w:t>
            </w:r>
          </w:p>
        </w:tc>
        <w:tc>
          <w:tcPr>
            <w:tcW w:w="740" w:type="dxa"/>
            <w:gridSpan w:val="4"/>
            <w:vMerge w:val="restart"/>
            <w:tcBorders>
              <w:top w:val="nil"/>
              <w:left w:val="single" w:color="auto" w:sz="4" w:space="0"/>
              <w:bottom w:val="single" w:color="000000"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效率</w:t>
            </w:r>
          </w:p>
        </w:tc>
        <w:tc>
          <w:tcPr>
            <w:tcW w:w="4533" w:type="dxa"/>
            <w:gridSpan w:val="3"/>
            <w:tcBorders>
              <w:top w:val="single" w:color="auto" w:sz="4" w:space="0"/>
              <w:left w:val="nil"/>
              <w:bottom w:val="single" w:color="auto" w:sz="4" w:space="0"/>
              <w:right w:val="single" w:color="auto" w:sz="4" w:space="0"/>
            </w:tcBorders>
            <w:vAlign w:val="center"/>
          </w:tcPr>
          <w:p>
            <w:pPr>
              <w:spacing w:line="300" w:lineRule="exact"/>
              <w:ind w:firstLine="357"/>
              <w:jc w:val="left"/>
              <w:rPr>
                <w:rFonts w:ascii="宋体" w:hAnsi="宋体" w:cs="宋体"/>
                <w:szCs w:val="21"/>
              </w:rPr>
            </w:pPr>
            <w:r>
              <w:rPr>
                <w:rFonts w:hint="eastAsia" w:ascii="宋体" w:hAnsi="宋体" w:cs="宋体"/>
                <w:szCs w:val="21"/>
              </w:rPr>
              <w:t>1.是否按时完成各项工作任务</w:t>
            </w:r>
          </w:p>
        </w:tc>
        <w:tc>
          <w:tcPr>
            <w:tcW w:w="850" w:type="dxa"/>
            <w:tcBorders>
              <w:top w:val="nil"/>
              <w:left w:val="nil"/>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spacing w:line="300" w:lineRule="exact"/>
              <w:ind w:firstLine="360"/>
              <w:jc w:val="center"/>
              <w:rPr>
                <w:rFonts w:ascii="宋体" w:hAnsi="宋体" w:cs="宋体"/>
                <w:sz w:val="20"/>
              </w:rPr>
            </w:pPr>
          </w:p>
        </w:tc>
      </w:tr>
      <w:tr>
        <w:tblPrEx>
          <w:tblCellMar>
            <w:top w:w="0" w:type="dxa"/>
            <w:left w:w="108" w:type="dxa"/>
            <w:bottom w:w="0" w:type="dxa"/>
            <w:right w:w="108" w:type="dxa"/>
          </w:tblCellMar>
        </w:tblPrEx>
        <w:trPr>
          <w:trHeight w:val="41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2.能否按照计划进度开展工作</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42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rPr>
            </w:pPr>
            <w:r>
              <w:rPr>
                <w:rFonts w:hint="eastAsia" w:ascii="宋体" w:hAnsi="宋体" w:cs="宋体"/>
                <w:sz w:val="20"/>
              </w:rPr>
              <w:t>胜任</w:t>
            </w:r>
          </w:p>
          <w:p>
            <w:pPr>
              <w:jc w:val="center"/>
              <w:rPr>
                <w:rFonts w:ascii="宋体" w:hAnsi="宋体" w:cs="宋体"/>
                <w:sz w:val="20"/>
              </w:rPr>
            </w:pPr>
            <w:r>
              <w:rPr>
                <w:rFonts w:hint="eastAsia" w:ascii="宋体" w:hAnsi="宋体" w:cs="宋体"/>
                <w:sz w:val="20"/>
              </w:rPr>
              <w:t>能力</w:t>
            </w: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3.现场工作期间，工作人数、人员资质等是否达到委托要求</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444"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4.每位工作人员是否具备与中介项目相匹配的专业知识</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126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配合</w:t>
            </w:r>
          </w:p>
          <w:p>
            <w:pPr>
              <w:jc w:val="center"/>
              <w:rPr>
                <w:rFonts w:ascii="宋体" w:hAnsi="宋体" w:cs="宋体"/>
                <w:sz w:val="20"/>
              </w:rPr>
            </w:pPr>
            <w:r>
              <w:rPr>
                <w:rFonts w:hint="eastAsia" w:ascii="宋体" w:hAnsi="宋体" w:cs="宋体"/>
                <w:sz w:val="20"/>
              </w:rPr>
              <w:t>程度</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沟通</w:t>
            </w:r>
          </w:p>
          <w:p>
            <w:pPr>
              <w:jc w:val="center"/>
              <w:rPr>
                <w:rFonts w:ascii="宋体" w:hAnsi="宋体" w:cs="宋体"/>
                <w:sz w:val="20"/>
              </w:rPr>
            </w:pPr>
            <w:r>
              <w:rPr>
                <w:rFonts w:hint="eastAsia" w:ascii="宋体" w:hAnsi="宋体" w:cs="宋体"/>
                <w:sz w:val="20"/>
              </w:rPr>
              <w:t>主动</w:t>
            </w:r>
          </w:p>
          <w:p>
            <w:pPr>
              <w:jc w:val="center"/>
              <w:rPr>
                <w:rFonts w:ascii="宋体" w:hAnsi="宋体" w:cs="宋体"/>
                <w:sz w:val="20"/>
              </w:rPr>
            </w:pPr>
            <w:r>
              <w:rPr>
                <w:rFonts w:hint="eastAsia" w:ascii="宋体" w:hAnsi="宋体" w:cs="宋体"/>
                <w:sz w:val="20"/>
              </w:rPr>
              <w:t>性</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6.是否及时就项目开展进度、情况进行沟通</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7.是否及时回馈委托方提出的意见、问题等，并主动提供有关建议等</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8.在对重大事项得出结论前是否与有关方面进行了充分的沟通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沟通能力</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9.服务机构工作人员能否准确理解委托方的意图</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895"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10.服务机构工作人员表达或表述是否清晰无误，善于沟通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718"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职业</w:t>
            </w:r>
          </w:p>
          <w:p>
            <w:pPr>
              <w:jc w:val="center"/>
              <w:rPr>
                <w:rFonts w:ascii="宋体" w:hAnsi="宋体" w:cs="宋体"/>
                <w:sz w:val="20"/>
              </w:rPr>
            </w:pPr>
            <w:r>
              <w:rPr>
                <w:rFonts w:hint="eastAsia" w:ascii="宋体" w:hAnsi="宋体" w:cs="宋体"/>
                <w:sz w:val="20"/>
              </w:rPr>
              <w:t>操守</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工作态度</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11.服务机构工作团队对事项的描述、问题的定性和数据的确定等是否合理谨慎</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12.服务机构工作团队对事项的描述、问题的定性和数据的确定等是否客观真实</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r>
              <w:rPr>
                <w:rFonts w:hint="eastAsia" w:ascii="宋体" w:hAnsi="宋体" w:cs="宋体"/>
                <w:sz w:val="20"/>
              </w:rPr>
              <w:t>职业道德</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13.服务机构工作人员能否对执业过程中获得的信息保密</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1165" w:hRule="atLeast"/>
          <w:jc w:val="center"/>
        </w:trPr>
        <w:tc>
          <w:tcPr>
            <w:tcW w:w="707" w:type="dxa"/>
            <w:vMerge w:val="continue"/>
            <w:tcBorders>
              <w:left w:val="single" w:color="auto" w:sz="8" w:space="0"/>
              <w:bottom w:val="single" w:color="auto" w:sz="4" w:space="0"/>
              <w:right w:val="single" w:color="auto" w:sz="4" w:space="0"/>
            </w:tcBorders>
            <w:vAlign w:val="center"/>
          </w:tcPr>
          <w:p>
            <w:pPr>
              <w:widowControl/>
              <w:jc w:val="left"/>
              <w:rPr>
                <w:rFonts w:ascii="黑体" w:hAnsi="宋体" w:eastAsia="黑体" w:cs="宋体"/>
                <w:sz w:val="24"/>
              </w:rPr>
            </w:pPr>
          </w:p>
        </w:tc>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14.服务机构工作人员能否坚持独立、客观、公正的立场</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99" w:hRule="atLeast"/>
          <w:jc w:val="center"/>
        </w:trPr>
        <w:tc>
          <w:tcPr>
            <w:tcW w:w="707" w:type="dxa"/>
            <w:vMerge w:val="restart"/>
            <w:tcBorders>
              <w:top w:val="single" w:color="auto" w:sz="4" w:space="0"/>
              <w:left w:val="single" w:color="auto" w:sz="8" w:space="0"/>
              <w:bottom w:val="double" w:color="000000" w:sz="6" w:space="0"/>
              <w:right w:val="single" w:color="auto" w:sz="4" w:space="0"/>
            </w:tcBorders>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817" w:type="dxa"/>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规范性</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格式     与      文字</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15.报告或相关材料的格式是否符合委托要求</w:t>
            </w:r>
          </w:p>
        </w:tc>
        <w:tc>
          <w:tcPr>
            <w:tcW w:w="86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73"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16.报告或相关材料表内表间数据的勾稽关系是否正确</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5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17.文字表述是否清晰，易产生歧义的内容是否不多于3处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18.报告或相关材料中的错别字、笔误等是否不多于5处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2"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19.报告或相关材料中是否存在一个或多个表格不符合委托要求</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完整性</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     与      成果</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20.是否完成协议规定的具体服务内容</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09"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21.是否按要求提交相关的工作成果或达到预期目标</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nil"/>
              <w:right w:val="single" w:color="000000" w:sz="4" w:space="0"/>
            </w:tcBorders>
            <w:vAlign w:val="center"/>
          </w:tcPr>
          <w:p>
            <w:pPr>
              <w:jc w:val="center"/>
              <w:rPr>
                <w:rFonts w:ascii="宋体" w:hAnsi="宋体" w:cs="宋体"/>
                <w:szCs w:val="21"/>
              </w:rPr>
            </w:pPr>
            <w:r>
              <w:rPr>
                <w:rFonts w:hint="eastAsia" w:ascii="宋体" w:hAnsi="宋体" w:cs="宋体"/>
                <w:szCs w:val="21"/>
              </w:rPr>
              <w:t>建设性</w:t>
            </w:r>
          </w:p>
        </w:tc>
        <w:tc>
          <w:tcPr>
            <w:tcW w:w="740" w:type="dxa"/>
            <w:gridSpan w:val="4"/>
            <w:vMerge w:val="restart"/>
            <w:tcBorders>
              <w:top w:val="nil"/>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分析      与      建议</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22.工作成果是否具有较深入的情况分析和较高的质量</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8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23.是否存在对问题定性或有关表述等含糊不清或不客观真实等情况</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doub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24.是否存在无充分依据或数据进行情况分析、原因剖析、判断预测等情况</w:t>
            </w:r>
          </w:p>
        </w:tc>
        <w:tc>
          <w:tcPr>
            <w:tcW w:w="861" w:type="dxa"/>
            <w:gridSpan w:val="2"/>
            <w:tcBorders>
              <w:top w:val="single" w:color="auto" w:sz="4" w:space="0"/>
              <w:left w:val="nil"/>
              <w:bottom w:val="doub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doub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double" w:color="auto" w:sz="6"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8" w:hRule="atLeast"/>
          <w:jc w:val="center"/>
        </w:trPr>
        <w:tc>
          <w:tcPr>
            <w:tcW w:w="707" w:type="dxa"/>
            <w:vMerge w:val="restart"/>
            <w:tcBorders>
              <w:top w:val="nil"/>
              <w:left w:val="single" w:color="auto" w:sz="8" w:space="0"/>
              <w:bottom w:val="single" w:color="000000" w:sz="4" w:space="0"/>
              <w:right w:val="single" w:color="auto" w:sz="4" w:space="0"/>
            </w:tcBorders>
            <w:textDirection w:val="tbRlV"/>
            <w:vAlign w:val="center"/>
          </w:tcPr>
          <w:p>
            <w:pPr>
              <w:spacing w:line="260" w:lineRule="exact"/>
              <w:ind w:firstLine="360"/>
              <w:jc w:val="center"/>
              <w:rPr>
                <w:rFonts w:ascii="黑体" w:hAnsi="宋体" w:eastAsia="黑体" w:cs="宋体"/>
                <w:sz w:val="24"/>
              </w:rPr>
            </w:pPr>
            <w:r>
              <w:rPr>
                <w:rFonts w:hint="eastAsia" w:ascii="黑体" w:hAnsi="宋体" w:eastAsia="黑体" w:cs="宋体"/>
                <w:sz w:val="24"/>
              </w:rPr>
              <w:t>附加</w:t>
            </w:r>
          </w:p>
        </w:tc>
        <w:tc>
          <w:tcPr>
            <w:tcW w:w="1557" w:type="dxa"/>
            <w:gridSpan w:val="5"/>
            <w:tcBorders>
              <w:top w:val="double" w:color="auto" w:sz="6"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附加分</w:t>
            </w:r>
          </w:p>
        </w:tc>
        <w:tc>
          <w:tcPr>
            <w:tcW w:w="4533" w:type="dxa"/>
            <w:gridSpan w:val="3"/>
            <w:tcBorders>
              <w:top w:val="doub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25.具有针对性、较高参考价值的意见或建议有几条（每条5分，得分=条数×5）</w:t>
            </w:r>
          </w:p>
        </w:tc>
        <w:tc>
          <w:tcPr>
            <w:tcW w:w="861" w:type="dxa"/>
            <w:gridSpan w:val="2"/>
            <w:tcBorders>
              <w:top w:val="doub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得分</w:t>
            </w:r>
          </w:p>
        </w:tc>
        <w:tc>
          <w:tcPr>
            <w:tcW w:w="1548" w:type="dxa"/>
            <w:gridSpan w:val="5"/>
            <w:tcBorders>
              <w:top w:val="double" w:color="auto" w:sz="4" w:space="0"/>
              <w:left w:val="nil"/>
              <w:bottom w:val="single" w:color="auto" w:sz="4" w:space="0"/>
              <w:right w:val="single" w:color="000000"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条数</w:t>
            </w: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968"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857"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60"/>
              <w:rPr>
                <w:rFonts w:ascii="宋体" w:hAnsi="宋体" w:cs="宋体"/>
                <w:szCs w:val="21"/>
              </w:rPr>
            </w:pPr>
            <w:r>
              <w:rPr>
                <w:rFonts w:hint="eastAsia" w:ascii="宋体" w:hAnsi="宋体" w:cs="宋体"/>
                <w:szCs w:val="21"/>
              </w:rPr>
              <w:t>26.报告或相关材料得到公司领导(或同级别其他领导)批示好评（每条批示20分，得分=条数×20）</w:t>
            </w:r>
          </w:p>
        </w:tc>
        <w:tc>
          <w:tcPr>
            <w:tcW w:w="86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919" w:type="dxa"/>
            <w:gridSpan w:val="4"/>
            <w:tcBorders>
              <w:top w:val="nil"/>
              <w:left w:val="nil"/>
              <w:bottom w:val="single" w:color="auto" w:sz="4" w:space="0"/>
              <w:right w:val="nil"/>
            </w:tcBorders>
            <w:vAlign w:val="center"/>
          </w:tcPr>
          <w:p>
            <w:pPr>
              <w:spacing w:line="260" w:lineRule="exact"/>
              <w:ind w:firstLine="360"/>
              <w:jc w:val="center"/>
              <w:rPr>
                <w:rFonts w:ascii="宋体" w:hAnsi="宋体" w:cs="宋体"/>
                <w:color w:val="000000"/>
                <w:szCs w:val="21"/>
              </w:rPr>
            </w:pPr>
            <w:r>
              <w:rPr>
                <w:rFonts w:hint="eastAsia" w:ascii="宋体" w:hAnsi="宋体" w:cs="宋体"/>
                <w:color w:val="000000"/>
                <w:szCs w:val="21"/>
              </w:rPr>
              <w:t>　</w:t>
            </w:r>
          </w:p>
        </w:tc>
        <w:tc>
          <w:tcPr>
            <w:tcW w:w="62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663"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1557" w:type="dxa"/>
            <w:gridSpan w:val="5"/>
            <w:tcBorders>
              <w:top w:val="single" w:color="auto" w:sz="4"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一票否决项</w:t>
            </w:r>
          </w:p>
        </w:tc>
        <w:tc>
          <w:tcPr>
            <w:tcW w:w="5394" w:type="dxa"/>
            <w:gridSpan w:val="5"/>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27.服务机构工作人员存在违反办法中明确禁止事项的行为</w:t>
            </w:r>
          </w:p>
        </w:tc>
        <w:tc>
          <w:tcPr>
            <w:tcW w:w="697" w:type="dxa"/>
            <w:gridSpan w:val="3"/>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是</w:t>
            </w:r>
          </w:p>
        </w:tc>
        <w:tc>
          <w:tcPr>
            <w:tcW w:w="85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否</w:t>
            </w:r>
          </w:p>
        </w:tc>
        <w:tc>
          <w:tcPr>
            <w:tcW w:w="859" w:type="dxa"/>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707" w:type="dxa"/>
            <w:tcBorders>
              <w:top w:val="nil"/>
              <w:left w:val="single" w:color="auto" w:sz="8" w:space="0"/>
              <w:bottom w:val="single" w:color="000000" w:sz="4" w:space="0"/>
              <w:right w:val="single" w:color="auto" w:sz="4" w:space="0"/>
            </w:tcBorders>
            <w:vAlign w:val="center"/>
          </w:tcPr>
          <w:p>
            <w:pPr>
              <w:spacing w:line="260" w:lineRule="exact"/>
              <w:ind w:firstLine="360"/>
              <w:rPr>
                <w:rFonts w:ascii="黑体" w:hAnsi="宋体" w:eastAsia="黑体" w:cs="宋体"/>
                <w:sz w:val="24"/>
              </w:rPr>
            </w:pPr>
          </w:p>
        </w:tc>
        <w:tc>
          <w:tcPr>
            <w:tcW w:w="9358" w:type="dxa"/>
            <w:gridSpan w:val="16"/>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4"/>
              </w:rPr>
            </w:pPr>
            <w:r>
              <w:rPr>
                <w:rFonts w:hint="eastAsia" w:ascii="宋体" w:hAnsi="宋体" w:cs="宋体"/>
                <w:sz w:val="24"/>
              </w:rPr>
              <w:t>合计得分：</w:t>
            </w:r>
          </w:p>
        </w:tc>
      </w:tr>
      <w:tr>
        <w:tblPrEx>
          <w:tblCellMar>
            <w:top w:w="0" w:type="dxa"/>
            <w:left w:w="108" w:type="dxa"/>
            <w:bottom w:w="0" w:type="dxa"/>
            <w:right w:w="108" w:type="dxa"/>
          </w:tblCellMar>
        </w:tblPrEx>
        <w:trPr>
          <w:trHeight w:val="530" w:hRule="atLeast"/>
          <w:jc w:val="center"/>
        </w:trPr>
        <w:tc>
          <w:tcPr>
            <w:tcW w:w="1786" w:type="dxa"/>
            <w:gridSpan w:val="4"/>
            <w:vMerge w:val="restart"/>
            <w:tcBorders>
              <w:top w:val="single" w:color="auto" w:sz="8" w:space="0"/>
              <w:left w:val="single" w:color="auto" w:sz="8" w:space="0"/>
              <w:bottom w:val="single" w:color="000000" w:sz="8" w:space="0"/>
              <w:right w:val="single" w:color="000000" w:sz="8" w:space="0"/>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2098" w:type="dxa"/>
            <w:gridSpan w:val="3"/>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优秀（</w:t>
            </w:r>
            <w:r>
              <w:rPr>
                <w:rFonts w:ascii="宋体" w:hAnsi="宋体"/>
                <w:color w:val="767171"/>
                <w:szCs w:val="21"/>
              </w:rPr>
              <w:t>≥</w:t>
            </w:r>
            <w:r>
              <w:rPr>
                <w:rFonts w:hint="eastAsia" w:ascii="宋体" w:hAnsi="宋体" w:cs="宋体"/>
                <w:szCs w:val="21"/>
              </w:rPr>
              <w:t>90分）</w:t>
            </w:r>
          </w:p>
        </w:tc>
        <w:tc>
          <w:tcPr>
            <w:tcW w:w="2320" w:type="dxa"/>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color w:val="767171"/>
                <w:szCs w:val="21"/>
              </w:rPr>
              <w:t>90&gt;X</w:t>
            </w:r>
            <w:r>
              <w:rPr>
                <w:rFonts w:ascii="宋体" w:hAnsi="宋体"/>
                <w:color w:val="767171"/>
                <w:szCs w:val="21"/>
              </w:rPr>
              <w:t>≥80</w:t>
            </w:r>
            <w:r>
              <w:rPr>
                <w:rFonts w:hint="eastAsia" w:ascii="宋体" w:hAnsi="宋体" w:cs="宋体"/>
                <w:szCs w:val="21"/>
              </w:rPr>
              <w:t>）</w:t>
            </w:r>
          </w:p>
        </w:tc>
        <w:tc>
          <w:tcPr>
            <w:tcW w:w="1737" w:type="dxa"/>
            <w:gridSpan w:val="5"/>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合格（</w:t>
            </w:r>
            <w:r>
              <w:rPr>
                <w:rFonts w:hint="eastAsia" w:ascii="宋体" w:hAnsi="宋体"/>
                <w:color w:val="767171"/>
                <w:szCs w:val="21"/>
              </w:rPr>
              <w:t>80&gt;</w:t>
            </w:r>
            <w:r>
              <w:rPr>
                <w:rFonts w:ascii="宋体" w:hAnsi="宋体"/>
                <w:color w:val="767171"/>
                <w:szCs w:val="21"/>
              </w:rPr>
              <w:t>X≥6</w:t>
            </w:r>
            <w:r>
              <w:rPr>
                <w:rFonts w:hint="eastAsia" w:ascii="宋体" w:hAnsi="宋体"/>
                <w:color w:val="767171"/>
                <w:szCs w:val="21"/>
              </w:rPr>
              <w:t>0</w:t>
            </w:r>
            <w:r>
              <w:rPr>
                <w:rFonts w:hint="eastAsia" w:ascii="宋体" w:hAnsi="宋体" w:cs="宋体"/>
                <w:szCs w:val="21"/>
              </w:rPr>
              <w:t>）</w:t>
            </w:r>
          </w:p>
        </w:tc>
        <w:tc>
          <w:tcPr>
            <w:tcW w:w="2124" w:type="dxa"/>
            <w:gridSpan w:val="4"/>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CellMar>
            <w:top w:w="0" w:type="dxa"/>
            <w:left w:w="108" w:type="dxa"/>
            <w:bottom w:w="0" w:type="dxa"/>
            <w:right w:w="108" w:type="dxa"/>
          </w:tblCellMar>
        </w:tblPrEx>
        <w:trPr>
          <w:trHeight w:val="566" w:hRule="atLeast"/>
          <w:jc w:val="center"/>
        </w:trPr>
        <w:tc>
          <w:tcPr>
            <w:tcW w:w="1786" w:type="dxa"/>
            <w:gridSpan w:val="4"/>
            <w:vMerge w:val="continue"/>
            <w:tcBorders>
              <w:top w:val="single" w:color="auto" w:sz="8" w:space="0"/>
              <w:left w:val="single" w:color="auto" w:sz="8" w:space="0"/>
              <w:bottom w:val="single" w:color="auto" w:sz="12" w:space="0"/>
              <w:right w:val="single" w:color="000000" w:sz="8" w:space="0"/>
            </w:tcBorders>
            <w:vAlign w:val="center"/>
          </w:tcPr>
          <w:p>
            <w:pPr>
              <w:widowControl/>
              <w:jc w:val="left"/>
              <w:rPr>
                <w:rFonts w:ascii="黑体" w:hAnsi="宋体" w:eastAsia="黑体" w:cs="宋体"/>
                <w:sz w:val="24"/>
              </w:rPr>
            </w:pPr>
          </w:p>
        </w:tc>
        <w:tc>
          <w:tcPr>
            <w:tcW w:w="2098" w:type="dxa"/>
            <w:gridSpan w:val="3"/>
            <w:tcBorders>
              <w:top w:val="nil"/>
              <w:left w:val="nil"/>
              <w:bottom w:val="single" w:color="auto" w:sz="12" w:space="0"/>
              <w:right w:val="single" w:color="000000" w:sz="8" w:space="0"/>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2320" w:type="dxa"/>
            <w:tcBorders>
              <w:top w:val="single" w:color="auto" w:sz="8" w:space="0"/>
              <w:left w:val="nil"/>
              <w:bottom w:val="single" w:color="auto" w:sz="12" w:space="0"/>
              <w:right w:val="single" w:color="000000" w:sz="8" w:space="0"/>
            </w:tcBorders>
            <w:vAlign w:val="center"/>
          </w:tcPr>
          <w:p>
            <w:pPr>
              <w:ind w:firstLine="360"/>
              <w:jc w:val="center"/>
              <w:rPr>
                <w:szCs w:val="21"/>
              </w:rPr>
            </w:pPr>
          </w:p>
        </w:tc>
        <w:tc>
          <w:tcPr>
            <w:tcW w:w="1737" w:type="dxa"/>
            <w:gridSpan w:val="5"/>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c>
          <w:tcPr>
            <w:tcW w:w="2124" w:type="dxa"/>
            <w:gridSpan w:val="4"/>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ascii="宋体" w:hAnsi="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1524" w:type="dxa"/>
            <w:gridSpan w:val="2"/>
            <w:tcBorders>
              <w:top w:val="single" w:color="auto" w:sz="12" w:space="0"/>
              <w:bottom w:val="single" w:color="auto" w:sz="12" w:space="0"/>
            </w:tcBorders>
            <w:vAlign w:val="center"/>
          </w:tcPr>
          <w:p>
            <w:pPr>
              <w:spacing w:line="240" w:lineRule="atLeast"/>
              <w:rPr>
                <w:rFonts w:ascii="宋体" w:hAnsi="宋体"/>
                <w:szCs w:val="21"/>
              </w:rPr>
            </w:pPr>
            <w:r>
              <w:rPr>
                <w:rFonts w:hint="eastAsia" w:ascii="宋体" w:hAnsi="宋体"/>
                <w:szCs w:val="21"/>
              </w:rPr>
              <w:t>其他补充评价</w:t>
            </w:r>
          </w:p>
        </w:tc>
        <w:tc>
          <w:tcPr>
            <w:tcW w:w="8541" w:type="dxa"/>
            <w:gridSpan w:val="15"/>
            <w:tcBorders>
              <w:top w:val="single" w:color="auto" w:sz="12" w:space="0"/>
              <w:bottom w:val="single" w:color="auto" w:sz="12" w:space="0"/>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1524" w:type="dxa"/>
            <w:gridSpan w:val="2"/>
            <w:tcBorders>
              <w:top w:val="single" w:color="auto" w:sz="12" w:space="0"/>
              <w:bottom w:val="double" w:color="auto" w:sz="4" w:space="0"/>
            </w:tcBorders>
            <w:vAlign w:val="center"/>
          </w:tcPr>
          <w:p>
            <w:pPr>
              <w:spacing w:line="240" w:lineRule="atLeast"/>
              <w:rPr>
                <w:rFonts w:ascii="宋体" w:hAnsi="宋体"/>
                <w:szCs w:val="21"/>
              </w:rPr>
            </w:pPr>
            <w:r>
              <w:rPr>
                <w:rFonts w:hint="eastAsia" w:ascii="宋体" w:hAnsi="宋体"/>
                <w:szCs w:val="21"/>
              </w:rPr>
              <w:t>评价结论</w:t>
            </w:r>
          </w:p>
        </w:tc>
        <w:tc>
          <w:tcPr>
            <w:tcW w:w="8541" w:type="dxa"/>
            <w:gridSpan w:val="15"/>
            <w:tcBorders>
              <w:top w:val="single" w:color="auto" w:sz="12" w:space="0"/>
              <w:bottom w:val="double" w:color="auto" w:sz="4" w:space="0"/>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bCs/>
                <w:szCs w:val="21"/>
              </w:rPr>
            </w:pPr>
            <w:r>
              <w:rPr>
                <w:rFonts w:hint="eastAsia" w:ascii="宋体" w:hAnsi="宋体"/>
                <w:bCs/>
                <w:szCs w:val="21"/>
              </w:rPr>
              <w:t>评估成为本单位：□ 推荐</w:t>
            </w:r>
            <w:r>
              <w:rPr>
                <w:rFonts w:ascii="宋体" w:hAnsi="宋体"/>
                <w:bCs/>
                <w:szCs w:val="21"/>
              </w:rPr>
              <w:t>服务机构</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不合格服务机构</w:t>
            </w:r>
          </w:p>
          <w:p>
            <w:pPr>
              <w:spacing w:line="240" w:lineRule="atLeast"/>
              <w:jc w:val="left"/>
              <w:rPr>
                <w:rFonts w:ascii="宋体" w:hAnsi="宋体"/>
                <w:szCs w:val="21"/>
                <w:u w:val="single"/>
              </w:rPr>
            </w:pPr>
            <w:r>
              <w:rPr>
                <w:rFonts w:hint="eastAsia" w:ascii="宋体" w:hAnsi="宋体"/>
                <w:bCs/>
                <w:szCs w:val="21"/>
              </w:rPr>
              <w:t>项目负责人签字（单位签章</w:t>
            </w:r>
            <w:r>
              <w:rPr>
                <w:rFonts w:ascii="宋体" w:hAnsi="宋体"/>
                <w:bCs/>
                <w:szCs w:val="21"/>
              </w:rPr>
              <w:t>）</w:t>
            </w:r>
            <w:r>
              <w:rPr>
                <w:rFonts w:hint="eastAsia" w:ascii="宋体" w:hAnsi="宋体"/>
                <w:bCs/>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
      <w:pPr>
        <w:pStyle w:val="11"/>
        <w:ind w:firstLine="1050" w:firstLineChars="500"/>
        <w:rPr>
          <w:rFonts w:hint="eastAsia" w:ascii="宋体" w:eastAsia="宋体" w:cs="宋体"/>
          <w:color w:val="auto"/>
          <w:highlight w:val="none"/>
          <w:lang w:val="en-US" w:eastAsia="zh-CN"/>
        </w:rPr>
      </w:pPr>
    </w:p>
    <w:p>
      <w:pPr>
        <w:numPr>
          <w:ilvl w:val="0"/>
          <w:numId w:val="1"/>
        </w:numPr>
        <w:spacing w:line="300" w:lineRule="auto"/>
        <w:outlineLvl w:val="0"/>
        <w:rPr>
          <w:rFonts w:ascii="宋体" w:hAnsi="宋体" w:cs="宋体"/>
          <w:b/>
          <w:sz w:val="24"/>
        </w:rPr>
      </w:pPr>
      <w:bookmarkStart w:id="13" w:name="_Toc128989098"/>
      <w:r>
        <w:rPr>
          <w:rFonts w:hint="eastAsia" w:ascii="宋体" w:hAnsi="宋体" w:cs="宋体"/>
          <w:b/>
          <w:sz w:val="24"/>
        </w:rPr>
        <w:t>开标评标流程</w:t>
      </w:r>
      <w:bookmarkEnd w:id="13"/>
    </w:p>
    <w:p>
      <w:pPr>
        <w:numPr>
          <w:ilvl w:val="0"/>
          <w:numId w:val="11"/>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1"/>
        </w:numPr>
        <w:ind w:hanging="5"/>
        <w:rPr>
          <w:rFonts w:ascii="宋体" w:hAnsi="宋体" w:cs="宋体"/>
          <w:szCs w:val="21"/>
        </w:rPr>
      </w:pPr>
      <w:r>
        <w:rPr>
          <w:rFonts w:hint="eastAsia" w:ascii="宋体" w:hAnsi="宋体"/>
          <w:szCs w:val="21"/>
        </w:rPr>
        <w:t>宣读开标注意事项、流程；</w:t>
      </w:r>
    </w:p>
    <w:p>
      <w:pPr>
        <w:numPr>
          <w:ilvl w:val="0"/>
          <w:numId w:val="11"/>
        </w:numPr>
        <w:ind w:hanging="5"/>
        <w:rPr>
          <w:rFonts w:ascii="宋体" w:hAnsi="宋体" w:cs="宋体"/>
          <w:szCs w:val="21"/>
        </w:rPr>
      </w:pPr>
      <w:r>
        <w:rPr>
          <w:rFonts w:hint="eastAsia" w:ascii="宋体" w:hAnsi="宋体" w:cs="宋体"/>
          <w:szCs w:val="21"/>
        </w:rPr>
        <w:t>评标小组推选组长；</w:t>
      </w:r>
    </w:p>
    <w:p>
      <w:pPr>
        <w:numPr>
          <w:ilvl w:val="0"/>
          <w:numId w:val="11"/>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1"/>
        </w:numPr>
        <w:ind w:hanging="5"/>
        <w:rPr>
          <w:rFonts w:ascii="宋体" w:hAnsi="宋体" w:cs="宋体"/>
          <w:szCs w:val="21"/>
        </w:rPr>
      </w:pPr>
      <w:r>
        <w:rPr>
          <w:rFonts w:hint="eastAsia" w:ascii="宋体" w:hAnsi="宋体" w:cs="宋体"/>
          <w:szCs w:val="21"/>
        </w:rPr>
        <w:t>商务及技术/服务需求响应性评定；</w:t>
      </w:r>
    </w:p>
    <w:p>
      <w:pPr>
        <w:numPr>
          <w:ilvl w:val="0"/>
          <w:numId w:val="11"/>
        </w:numPr>
        <w:ind w:hanging="5"/>
        <w:rPr>
          <w:rFonts w:ascii="宋体" w:hAnsi="宋体" w:cs="宋体"/>
          <w:szCs w:val="21"/>
        </w:rPr>
      </w:pPr>
      <w:r>
        <w:rPr>
          <w:rFonts w:hint="eastAsia" w:ascii="宋体" w:hAnsi="宋体" w:cs="宋体"/>
          <w:szCs w:val="21"/>
        </w:rPr>
        <w:t>确定中标候选供应商及评标报告的出具。</w:t>
      </w:r>
    </w:p>
    <w:p>
      <w:pPr>
        <w:pStyle w:val="11"/>
        <w:numPr>
          <w:ilvl w:val="-1"/>
          <w:numId w:val="0"/>
        </w:numPr>
        <w:ind w:left="0" w:firstLine="0"/>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szCs w:val="21"/>
        </w:rPr>
        <w:t>采</w:t>
      </w:r>
      <w:r>
        <w:rPr>
          <w:rFonts w:hint="eastAsia" w:ascii="宋体" w:hAnsi="宋体"/>
          <w:color w:val="auto"/>
          <w:szCs w:val="21"/>
          <w:highlight w:val="none"/>
        </w:rPr>
        <w:t>用</w:t>
      </w:r>
      <w:r>
        <w:rPr>
          <w:rFonts w:hint="eastAsia" w:ascii="宋体" w:hAnsi="宋体"/>
          <w:b/>
          <w:color w:val="auto"/>
          <w:szCs w:val="21"/>
          <w:highlight w:val="none"/>
          <w:lang w:eastAsia="zh-CN"/>
        </w:rPr>
        <w:t>最低价</w:t>
      </w:r>
      <w:r>
        <w:rPr>
          <w:rFonts w:hint="eastAsia" w:ascii="宋体" w:hAnsi="宋体"/>
          <w:b/>
          <w:color w:val="auto"/>
          <w:szCs w:val="21"/>
          <w:highlight w:val="none"/>
        </w:rPr>
        <w:t>法</w:t>
      </w:r>
      <w:r>
        <w:rPr>
          <w:rFonts w:hint="eastAsia" w:ascii="宋体" w:hAnsi="宋体"/>
          <w:color w:val="auto"/>
          <w:szCs w:val="21"/>
          <w:highlight w:val="none"/>
        </w:rPr>
        <w:t>进行评分</w:t>
      </w:r>
      <w:r>
        <w:rPr>
          <w:rFonts w:hint="eastAsia" w:ascii="宋体" w:hAnsi="宋体" w:cs="宋体"/>
          <w:szCs w:val="21"/>
        </w:rPr>
        <w:t>。</w:t>
      </w:r>
    </w:p>
    <w:p>
      <w:pPr>
        <w:numPr>
          <w:ilvl w:val="-1"/>
          <w:numId w:val="0"/>
        </w:numPr>
        <w:spacing w:line="300" w:lineRule="auto"/>
        <w:ind w:left="0" w:firstLine="0"/>
        <w:jc w:val="both"/>
        <w:outlineLvl w:val="1"/>
        <w:rPr>
          <w:rFonts w:ascii="宋体" w:hAnsi="宋体" w:cs="宋体"/>
          <w:sz w:val="24"/>
        </w:rPr>
      </w:pPr>
      <w:bookmarkStart w:id="15" w:name="_Toc128989100"/>
    </w:p>
    <w:p>
      <w:pPr>
        <w:numPr>
          <w:ilvl w:val="0"/>
          <w:numId w:val="12"/>
        </w:numPr>
        <w:spacing w:line="300" w:lineRule="auto"/>
        <w:jc w:val="both"/>
        <w:outlineLvl w:val="1"/>
        <w:rPr>
          <w:rFonts w:ascii="宋体" w:hAnsi="宋体" w:cs="宋体"/>
          <w:sz w:val="24"/>
        </w:rPr>
      </w:pPr>
      <w:r>
        <w:rPr>
          <w:rStyle w:val="27"/>
          <w:rFonts w:hint="eastAsia" w:ascii="宋体" w:hAnsi="宋体" w:cs="宋体"/>
          <w:b/>
          <w:bCs/>
          <w:sz w:val="24"/>
        </w:rPr>
        <w:t>符合性检查</w:t>
      </w:r>
      <w:bookmarkEnd w:id="15"/>
    </w:p>
    <w:tbl>
      <w:tblPr>
        <w:tblStyle w:val="15"/>
        <w:tblW w:w="9324"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596"/>
        <w:gridCol w:w="7728"/>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596" w:type="dxa"/>
            <w:tcBorders>
              <w:top w:val="single" w:color="auto" w:sz="4" w:space="0"/>
              <w:left w:val="single" w:color="DDDDDD" w:sz="6" w:space="0"/>
              <w:bottom w:val="single" w:color="auto" w:sz="4" w:space="0"/>
              <w:right w:val="single" w:color="auto" w:sz="4"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7728" w:type="dxa"/>
            <w:tcBorders>
              <w:top w:val="single" w:color="auto" w:sz="4" w:space="0"/>
              <w:left w:val="single" w:color="auto" w:sz="4" w:space="0"/>
              <w:bottom w:val="single" w:color="auto" w:sz="4" w:space="0"/>
              <w:right w:val="single" w:color="auto" w:sz="4"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PrEx>
        <w:trPr>
          <w:trHeight w:val="1267" w:hRule="atLeast"/>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7728"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s="宋体"/>
                <w:szCs w:val="21"/>
              </w:rPr>
            </w:pPr>
            <w:r>
              <w:rPr>
                <w:rFonts w:hint="eastAsia" w:ascii="宋体" w:hAnsi="宋体" w:cs="宋体"/>
                <w:color w:val="auto"/>
                <w:szCs w:val="21"/>
                <w:highlight w:val="none"/>
              </w:rPr>
              <w:t>参加单位提交的响应文件是否按要求编制目录、密封/加密。</w:t>
            </w:r>
            <w:r>
              <w:rPr>
                <w:rFonts w:hint="eastAsia" w:ascii="宋体" w:hAnsi="宋体" w:cs="宋体"/>
                <w:bCs w:val="0"/>
                <w:color w:val="auto"/>
                <w:szCs w:val="21"/>
                <w:highlight w:val="none"/>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auto"/>
                <w:szCs w:val="21"/>
                <w:highlight w:val="none"/>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772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参加单位是</w:t>
            </w:r>
            <w:r>
              <w:rPr>
                <w:rFonts w:hint="eastAsia" w:ascii="宋体" w:hAnsi="宋体" w:eastAsia="宋体" w:cs="宋体"/>
                <w:color w:val="auto"/>
                <w:szCs w:val="21"/>
                <w:highlight w:val="none"/>
                <w:lang w:val="en-US" w:eastAsia="zh-CN"/>
              </w:rPr>
              <w:t>否</w:t>
            </w:r>
            <w:r>
              <w:rPr>
                <w:rFonts w:hint="eastAsia" w:ascii="宋体" w:hAnsi="宋体" w:eastAsia="宋体" w:cs="宋体"/>
                <w:color w:val="auto"/>
                <w:szCs w:val="21"/>
                <w:highlight w:val="none"/>
              </w:rPr>
              <w:t>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公章。被列入失信主体、经营异常的，将被拒绝参与本项目的采购活动。）</w:t>
            </w:r>
          </w:p>
          <w:p>
            <w:pPr>
              <w:pStyle w:val="36"/>
              <w:widowControl/>
              <w:numPr>
                <w:ilvl w:val="0"/>
                <w:numId w:val="0"/>
              </w:numPr>
              <w:tabs>
                <w:tab w:val="left" w:pos="606"/>
              </w:tabs>
              <w:snapToGrid w:val="0"/>
              <w:spacing w:line="400" w:lineRule="exact"/>
              <w:ind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参加单位的代表，是</w:t>
            </w:r>
            <w:r>
              <w:rPr>
                <w:rFonts w:hint="eastAsia" w:ascii="宋体" w:hAnsi="宋体" w:eastAsia="宋体" w:cs="宋体"/>
                <w:color w:val="auto"/>
                <w:szCs w:val="21"/>
                <w:highlight w:val="none"/>
                <w:lang w:val="en-US" w:eastAsia="zh-CN"/>
              </w:rPr>
              <w:t>否是</w:t>
            </w:r>
            <w:r>
              <w:rPr>
                <w:rFonts w:hint="eastAsia" w:ascii="宋体" w:hAnsi="宋体" w:eastAsia="宋体" w:cs="宋体"/>
                <w:color w:val="auto"/>
                <w:szCs w:val="21"/>
                <w:highlight w:val="none"/>
              </w:rPr>
              <w:t>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公章；如单位法定代表人为本项目授权代表，则仅需提供法定代表人证明书及身份证复印件，各证明书须加盖公章，身份证原件备查）。</w:t>
            </w:r>
          </w:p>
          <w:p>
            <w:pPr>
              <w:numPr>
                <w:ilvl w:val="0"/>
                <w:numId w:val="0"/>
              </w:numPr>
              <w:spacing w:line="360" w:lineRule="auto"/>
              <w:ind w:leftChars="0" w:firstLine="420" w:firstLineChars="200"/>
              <w:rPr>
                <w:rFonts w:hint="eastAsia" w:ascii="宋体" w:hAnsi="宋体" w:eastAsia="宋体" w:cs="仿宋"/>
                <w:szCs w:val="21"/>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highlight w:val="none"/>
                <w:lang w:val="en-US" w:eastAsia="zh-CN"/>
              </w:rPr>
              <w:t>参加单位</w:t>
            </w:r>
            <w:r>
              <w:rPr>
                <w:rFonts w:hint="eastAsia" w:ascii="宋体" w:hAnsi="宋体" w:cs="宋体"/>
                <w:color w:val="auto"/>
                <w:szCs w:val="21"/>
                <w:highlight w:val="none"/>
                <w:lang w:val="en-US" w:eastAsia="zh-CN"/>
              </w:rPr>
              <w:t>是否</w:t>
            </w:r>
            <w:r>
              <w:rPr>
                <w:rFonts w:hint="eastAsia" w:ascii="宋体" w:hAnsi="宋体" w:eastAsia="宋体" w:cs="仿宋"/>
                <w:szCs w:val="21"/>
                <w:lang w:val="en-US" w:eastAsia="zh-CN"/>
              </w:rPr>
              <w:t>具备康明斯经销商（发电机组服务）</w:t>
            </w:r>
            <w:r>
              <w:rPr>
                <w:rFonts w:hint="eastAsia" w:ascii="宋体" w:hAnsi="宋体" w:cs="仿宋"/>
                <w:szCs w:val="21"/>
                <w:lang w:val="en-US" w:eastAsia="zh-CN"/>
              </w:rPr>
              <w:t>证明文件</w:t>
            </w:r>
            <w:r>
              <w:rPr>
                <w:rFonts w:hint="eastAsia" w:ascii="宋体" w:hAnsi="宋体" w:eastAsia="宋体" w:cs="仿宋"/>
                <w:szCs w:val="21"/>
                <w:lang w:val="en-US" w:eastAsia="zh-CN"/>
              </w:rPr>
              <w:t>或团队成员中持有康明斯服务培训结业证书资格。（提供各证明书须加盖公章</w:t>
            </w:r>
            <w:r>
              <w:rPr>
                <w:rFonts w:hint="eastAsia"/>
                <w:color w:val="auto"/>
                <w:highlight w:val="none"/>
                <w:lang w:eastAsia="zh-CN"/>
              </w:rPr>
              <w:t>，原件备查</w:t>
            </w:r>
            <w:r>
              <w:rPr>
                <w:rFonts w:hint="eastAsia" w:ascii="宋体" w:hAnsi="宋体" w:eastAsia="宋体" w:cs="仿宋"/>
                <w:szCs w:val="21"/>
                <w:lang w:val="en-US" w:eastAsia="zh-CN"/>
              </w:rPr>
              <w:t>）。</w:t>
            </w:r>
          </w:p>
          <w:p>
            <w:pPr>
              <w:numPr>
                <w:ilvl w:val="0"/>
                <w:numId w:val="0"/>
              </w:numPr>
              <w:spacing w:line="360" w:lineRule="auto"/>
              <w:ind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仿宋"/>
                <w:szCs w:val="21"/>
                <w:lang w:val="en-US" w:eastAsia="zh-CN"/>
              </w:rPr>
              <w:t>（4）</w:t>
            </w:r>
            <w:r>
              <w:rPr>
                <w:rFonts w:hint="eastAsia" w:ascii="宋体" w:hAnsi="宋体" w:eastAsia="宋体" w:cs="宋体"/>
                <w:color w:val="auto"/>
                <w:kern w:val="2"/>
                <w:sz w:val="21"/>
                <w:szCs w:val="21"/>
                <w:highlight w:val="none"/>
              </w:rPr>
              <w:t>参</w:t>
            </w:r>
            <w:r>
              <w:rPr>
                <w:rFonts w:hint="eastAsia" w:ascii="宋体" w:hAnsi="宋体" w:cs="宋体"/>
                <w:color w:val="auto"/>
                <w:kern w:val="2"/>
                <w:sz w:val="21"/>
                <w:szCs w:val="21"/>
                <w:highlight w:val="none"/>
                <w:lang w:val="en-US" w:eastAsia="zh-CN"/>
              </w:rPr>
              <w:t>加</w:t>
            </w:r>
            <w:r>
              <w:rPr>
                <w:rFonts w:hint="eastAsia" w:ascii="宋体" w:hAnsi="宋体" w:eastAsia="宋体" w:cs="宋体"/>
                <w:color w:val="auto"/>
                <w:kern w:val="2"/>
                <w:sz w:val="21"/>
                <w:szCs w:val="21"/>
                <w:highlight w:val="none"/>
              </w:rPr>
              <w:t>单位</w:t>
            </w:r>
            <w:r>
              <w:rPr>
                <w:rFonts w:hint="eastAsia" w:ascii="宋体" w:hAnsi="宋体" w:cs="宋体"/>
                <w:color w:val="auto"/>
                <w:kern w:val="2"/>
                <w:sz w:val="21"/>
                <w:szCs w:val="21"/>
                <w:highlight w:val="none"/>
                <w:lang w:val="en-US" w:eastAsia="zh-CN"/>
              </w:rPr>
              <w:t>是否</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2份时间自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w:t>
            </w:r>
            <w:r>
              <w:rPr>
                <w:rFonts w:hint="eastAsia" w:ascii="宋体" w:hAnsi="宋体" w:eastAsia="宋体" w:cs="宋体"/>
                <w:color w:val="auto"/>
                <w:szCs w:val="21"/>
                <w:highlight w:val="none"/>
                <w:lang w:eastAsia="zh-CN"/>
              </w:rPr>
              <w:t>发电机组保养、</w:t>
            </w:r>
            <w:r>
              <w:rPr>
                <w:rFonts w:hint="eastAsia" w:ascii="宋体" w:hAnsi="宋体" w:eastAsia="宋体" w:cs="宋体"/>
                <w:color w:val="auto"/>
                <w:szCs w:val="21"/>
                <w:highlight w:val="none"/>
              </w:rPr>
              <w:t>维修类相关项目</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或同类的合同业绩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合同关键页复印件并加盖参加单位公章。合同关键页包含但不限于项目名称、业主方名称、合同金额、合同主要内容、签订时间、履约地点、甲乙双方盖章等信息。</w:t>
            </w:r>
          </w:p>
          <w:p>
            <w:pPr>
              <w:pStyle w:val="36"/>
              <w:widowControl/>
              <w:numPr>
                <w:ilvl w:val="0"/>
                <w:numId w:val="0"/>
              </w:numPr>
              <w:tabs>
                <w:tab w:val="left" w:pos="606"/>
              </w:tabs>
              <w:snapToGrid w:val="0"/>
              <w:spacing w:line="400" w:lineRule="exact"/>
              <w:ind w:leftChars="0" w:right="30" w:firstLine="420" w:firstLineChars="200"/>
              <w:jc w:val="left"/>
              <w:rPr>
                <w:rFonts w:ascii="宋体" w:hAnsi="宋体" w:cs="宋体"/>
                <w:szCs w:val="21"/>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是否是</w:t>
            </w:r>
            <w:r>
              <w:rPr>
                <w:rFonts w:hint="eastAsia" w:ascii="宋体" w:hAnsi="宋体" w:eastAsia="宋体" w:cs="宋体"/>
                <w:color w:val="auto"/>
                <w:szCs w:val="21"/>
                <w:highlight w:val="none"/>
              </w:rPr>
              <w:t>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949" w:hRule="atLeast"/>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7728"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s="宋体"/>
                <w:szCs w:val="21"/>
              </w:rPr>
            </w:pPr>
            <w:r>
              <w:rPr>
                <w:rFonts w:hint="eastAsia" w:ascii="宋体" w:hAnsi="宋体" w:eastAsia="宋体" w:cs="宋体"/>
                <w:color w:val="auto"/>
                <w:szCs w:val="21"/>
                <w:highlight w:val="none"/>
              </w:rPr>
              <w:t>本项目控制金额为人民币</w:t>
            </w:r>
            <w:r>
              <w:rPr>
                <w:rFonts w:hint="eastAsia" w:ascii="宋体" w:hAnsi="宋体" w:cs="宋体"/>
                <w:color w:val="auto"/>
                <w:szCs w:val="21"/>
                <w:highlight w:val="none"/>
                <w:lang w:val="en-US" w:eastAsia="zh-CN"/>
              </w:rPr>
              <w:t>25.44</w:t>
            </w:r>
            <w:r>
              <w:rPr>
                <w:rFonts w:hint="eastAsia" w:ascii="宋体" w:hAnsi="宋体" w:eastAsia="宋体" w:cs="宋体"/>
                <w:color w:val="auto"/>
                <w:szCs w:val="21"/>
                <w:highlight w:val="none"/>
              </w:rPr>
              <w:t>万元（含</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税），报价高于上述控制金额的，参加单位的响应文件视同无效。</w:t>
            </w:r>
          </w:p>
        </w:tc>
      </w:tr>
    </w:tbl>
    <w:p>
      <w:pPr>
        <w:numPr>
          <w:ilvl w:val="-1"/>
          <w:numId w:val="0"/>
        </w:numPr>
        <w:spacing w:before="0" w:beforeLines="-2147483648" w:line="300" w:lineRule="auto"/>
        <w:ind w:left="0" w:firstLine="0"/>
        <w:jc w:val="both"/>
        <w:outlineLvl w:val="1"/>
        <w:rPr>
          <w:rStyle w:val="27"/>
          <w:rFonts w:hint="eastAsia" w:ascii="宋体" w:hAnsi="宋体" w:eastAsia="宋体" w:cs="宋体"/>
          <w:b/>
          <w:bCs/>
          <w:sz w:val="24"/>
          <w:szCs w:val="24"/>
        </w:rPr>
      </w:pPr>
      <w:bookmarkStart w:id="16" w:name="_Toc128989101"/>
      <w:bookmarkStart w:id="17" w:name="_Toc114675512"/>
      <w:bookmarkStart w:id="18" w:name="_Toc116550356"/>
    </w:p>
    <w:p>
      <w:pPr>
        <w:numPr>
          <w:ilvl w:val="0"/>
          <w:numId w:val="12"/>
        </w:numPr>
        <w:spacing w:beforeLines="50" w:line="300" w:lineRule="auto"/>
        <w:jc w:val="center"/>
        <w:outlineLvl w:val="1"/>
        <w:rPr>
          <w:rStyle w:val="27"/>
          <w:rFonts w:ascii="宋体" w:hAnsi="宋体" w:cs="宋体"/>
          <w:b/>
          <w:bCs/>
          <w:sz w:val="24"/>
        </w:rPr>
      </w:pPr>
      <w:bookmarkStart w:id="19" w:name="_Toc116550240"/>
      <w:r>
        <w:rPr>
          <w:rStyle w:val="27"/>
          <w:rFonts w:hint="eastAsia" w:ascii="宋体" w:hAnsi="宋体" w:cs="宋体"/>
          <w:b/>
          <w:bCs/>
          <w:sz w:val="24"/>
        </w:rPr>
        <w:t>价格评议</w:t>
      </w:r>
      <w:bookmarkEnd w:id="19"/>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szCs w:val="21"/>
              </w:rPr>
            </w:pPr>
            <w:r>
              <w:rPr>
                <w:rFonts w:hint="eastAsia" w:ascii="宋体" w:hAnsi="宋体" w:cs="宋体"/>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通过符合性检查的</w:t>
            </w:r>
            <w:r>
              <w:rPr>
                <w:rFonts w:hint="eastAsia" w:ascii="宋体" w:hAnsi="宋体" w:eastAsia="宋体" w:cs="宋体"/>
                <w:szCs w:val="21"/>
              </w:rPr>
              <w:t>各</w:t>
            </w:r>
            <w:r>
              <w:rPr>
                <w:rFonts w:hint="eastAsia" w:ascii="宋体" w:hAnsi="宋体" w:eastAsia="宋体" w:cs="宋体"/>
                <w:szCs w:val="21"/>
                <w:lang w:eastAsia="zh-CN"/>
              </w:rPr>
              <w:t>参</w:t>
            </w:r>
            <w:r>
              <w:rPr>
                <w:rFonts w:hint="eastAsia" w:ascii="宋体" w:hAnsi="宋体" w:eastAsia="宋体" w:cs="宋体"/>
                <w:szCs w:val="21"/>
                <w:lang w:val="en-US" w:eastAsia="zh-CN"/>
              </w:rPr>
              <w:t>加</w:t>
            </w:r>
            <w:r>
              <w:rPr>
                <w:rFonts w:hint="eastAsia" w:ascii="宋体" w:hAnsi="宋体" w:eastAsia="宋体" w:cs="宋体"/>
                <w:szCs w:val="21"/>
                <w:lang w:eastAsia="zh-CN"/>
              </w:rPr>
              <w:t>单位</w:t>
            </w:r>
            <w:r>
              <w:rPr>
                <w:rFonts w:hint="eastAsia" w:ascii="宋体" w:hAnsi="宋体" w:eastAsia="宋体" w:cs="宋体"/>
                <w:szCs w:val="21"/>
              </w:rPr>
              <w:t>的</w:t>
            </w:r>
            <w:r>
              <w:rPr>
                <w:rFonts w:hint="eastAsia" w:ascii="宋体" w:hAnsi="宋体" w:eastAsia="宋体" w:cs="宋体"/>
                <w:szCs w:val="21"/>
                <w:lang w:val="en-US" w:eastAsia="zh-CN"/>
              </w:rPr>
              <w:t>报价进行</w:t>
            </w:r>
            <w:r>
              <w:rPr>
                <w:rFonts w:hint="eastAsia" w:ascii="宋体" w:hAnsi="宋体" w:eastAsia="宋体" w:cs="宋体"/>
                <w:szCs w:val="21"/>
              </w:rPr>
              <w:t>比较，</w:t>
            </w:r>
            <w:r>
              <w:rPr>
                <w:rFonts w:hint="eastAsia" w:ascii="宋体" w:hAnsi="宋体" w:cs="宋体"/>
                <w:szCs w:val="21"/>
                <w:lang w:val="en-US" w:eastAsia="zh-CN"/>
              </w:rPr>
              <w:t>未税总报价</w:t>
            </w:r>
            <w:r>
              <w:rPr>
                <w:rFonts w:hint="eastAsia" w:ascii="宋体" w:hAnsi="宋体" w:eastAsia="宋体" w:cs="宋体"/>
                <w:szCs w:val="21"/>
              </w:rPr>
              <w:t>最</w:t>
            </w:r>
            <w:r>
              <w:rPr>
                <w:rFonts w:hint="eastAsia" w:ascii="宋体" w:hAnsi="宋体" w:eastAsia="宋体" w:cs="宋体"/>
                <w:szCs w:val="21"/>
                <w:lang w:val="en-US" w:eastAsia="zh-CN"/>
              </w:rPr>
              <w:t>低</w:t>
            </w:r>
            <w:r>
              <w:rPr>
                <w:rFonts w:hint="eastAsia" w:ascii="宋体" w:hAnsi="宋体" w:cs="宋体"/>
                <w:szCs w:val="21"/>
                <w:lang w:val="en-US" w:eastAsia="zh-CN"/>
              </w:rPr>
              <w:t>者中标。</w:t>
            </w:r>
          </w:p>
        </w:tc>
      </w:tr>
      <w:bookmarkEnd w:id="16"/>
      <w:bookmarkEnd w:id="17"/>
      <w:bookmarkEnd w:id="18"/>
    </w:tbl>
    <w:p>
      <w:pPr>
        <w:numPr>
          <w:ilvl w:val="0"/>
          <w:numId w:val="0"/>
        </w:numPr>
        <w:spacing w:line="300" w:lineRule="auto"/>
        <w:ind w:left="0" w:leftChars="0"/>
        <w:outlineLvl w:val="0"/>
        <w:rPr>
          <w:rFonts w:ascii="宋体" w:hAnsi="宋体" w:cs="宋体"/>
          <w:b/>
          <w:sz w:val="24"/>
        </w:rPr>
      </w:pPr>
      <w:bookmarkStart w:id="20" w:name="_Toc128989102"/>
    </w:p>
    <w:p>
      <w:pPr>
        <w:numPr>
          <w:ilvl w:val="0"/>
          <w:numId w:val="1"/>
        </w:numPr>
        <w:spacing w:line="300" w:lineRule="auto"/>
        <w:outlineLvl w:val="0"/>
        <w:rPr>
          <w:rFonts w:ascii="宋体" w:hAnsi="宋体" w:cs="宋体"/>
          <w:b/>
          <w:sz w:val="24"/>
        </w:rPr>
      </w:pPr>
      <w:r>
        <w:rPr>
          <w:rFonts w:hint="eastAsia" w:ascii="宋体" w:hAnsi="宋体" w:cs="宋体"/>
          <w:b/>
          <w:sz w:val="24"/>
        </w:rPr>
        <w:t>采购结果</w:t>
      </w:r>
      <w:bookmarkEnd w:id="20"/>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0"/>
        </w:numPr>
        <w:spacing w:line="300" w:lineRule="auto"/>
        <w:ind w:left="420" w:leftChars="0"/>
        <w:outlineLvl w:val="0"/>
        <w:rPr>
          <w:rFonts w:ascii="宋体" w:hAnsi="宋体" w:cs="宋体"/>
          <w:b/>
          <w:sz w:val="24"/>
        </w:rPr>
      </w:pPr>
      <w:bookmarkStart w:id="21" w:name="_Toc128989103"/>
    </w:p>
    <w:p>
      <w:pPr>
        <w:numPr>
          <w:ilvl w:val="0"/>
          <w:numId w:val="1"/>
        </w:numPr>
        <w:spacing w:line="300" w:lineRule="auto"/>
        <w:outlineLvl w:val="0"/>
        <w:rPr>
          <w:rFonts w:ascii="宋体" w:hAnsi="宋体" w:cs="宋体"/>
          <w:b/>
          <w:sz w:val="24"/>
        </w:rPr>
      </w:pPr>
      <w:r>
        <w:rPr>
          <w:rFonts w:hint="eastAsia" w:ascii="宋体" w:hAnsi="宋体" w:cs="宋体"/>
          <w:b/>
          <w:sz w:val="24"/>
        </w:rPr>
        <w:t>合同条款及格式</w:t>
      </w:r>
      <w:bookmarkEnd w:id="21"/>
    </w:p>
    <w:p>
      <w:pPr>
        <w:pStyle w:val="2"/>
        <w:ind w:left="0" w:firstLine="840" w:firstLineChars="400"/>
        <w:rPr>
          <w:rFonts w:hint="eastAsia" w:ascii="宋体" w:hAnsi="宋体" w:eastAsia="宋体" w:cs="宋体"/>
          <w:spacing w:val="0"/>
          <w:kern w:val="2"/>
          <w:sz w:val="21"/>
          <w:szCs w:val="21"/>
        </w:rPr>
      </w:pPr>
      <w:r>
        <w:rPr>
          <w:rFonts w:hint="eastAsia" w:ascii="宋体" w:hAnsi="宋体" w:cs="宋体"/>
          <w:spacing w:val="0"/>
          <w:kern w:val="2"/>
          <w:sz w:val="21"/>
          <w:szCs w:val="21"/>
          <w:lang w:val="en-US" w:eastAsia="zh-CN"/>
        </w:rPr>
        <w:t>（详见下页）</w:t>
      </w:r>
    </w:p>
    <w:p>
      <w:pPr>
        <w:spacing w:line="700" w:lineRule="exact"/>
        <w:jc w:val="center"/>
        <w:rPr>
          <w:rFonts w:eastAsia="黑体"/>
          <w:b/>
          <w:bCs/>
          <w:sz w:val="52"/>
          <w:szCs w:val="52"/>
        </w:rPr>
      </w:pPr>
    </w:p>
    <w:p>
      <w:pPr>
        <w:tabs>
          <w:tab w:val="left" w:pos="180"/>
        </w:tabs>
        <w:adjustRightInd w:val="0"/>
        <w:snapToGrid w:val="0"/>
        <w:spacing w:line="300" w:lineRule="auto"/>
        <w:jc w:val="left"/>
        <w:rPr>
          <w:rFonts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4" name="图片 4"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0-08-13 上午2.10.25"/>
                    <pic:cNvPicPr>
                      <a:picLocks noChangeAspect="1"/>
                    </pic:cNvPicPr>
                  </pic:nvPicPr>
                  <pic:blipFill>
                    <a:blip r:embed="rId6"/>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jc w:val="center"/>
        <w:rPr>
          <w:rFonts w:hint="eastAsia" w:ascii="宋体" w:hAnsi="宋体" w:cs="宋体"/>
          <w:b/>
          <w:sz w:val="44"/>
          <w:szCs w:val="44"/>
        </w:rPr>
      </w:pPr>
      <w:r>
        <w:rPr>
          <w:rFonts w:hint="eastAsia" w:ascii="宋体" w:hAnsi="宋体" w:cs="宋体"/>
          <w:b/>
          <w:sz w:val="44"/>
          <w:szCs w:val="44"/>
        </w:rPr>
        <w:t>深圳会展中心应急发电机组维护保养合同</w:t>
      </w:r>
    </w:p>
    <w:p>
      <w:pPr>
        <w:pStyle w:val="11"/>
        <w:rPr>
          <w:rFonts w:hint="default" w:eastAsia="仿宋_GB2312"/>
          <w:lang w:val="en-US" w:eastAsia="zh-CN"/>
        </w:rPr>
      </w:pPr>
      <w:r>
        <w:rPr>
          <w:rFonts w:hint="eastAsia" w:ascii="宋体" w:hAnsi="宋体" w:cs="宋体"/>
          <w:b/>
          <w:sz w:val="44"/>
          <w:szCs w:val="44"/>
          <w:lang w:val="en-US" w:eastAsia="zh-CN"/>
        </w:rPr>
        <w:t xml:space="preserve">              （参考样本）</w:t>
      </w:r>
    </w:p>
    <w:p>
      <w:pPr>
        <w:pStyle w:val="11"/>
      </w:pPr>
    </w:p>
    <w:p>
      <w:pPr>
        <w:ind w:firstLine="422"/>
        <w:rPr>
          <w:rFonts w:ascii="宋体" w:hAnsi="宋体"/>
          <w:b/>
          <w:kern w:val="0"/>
          <w:sz w:val="28"/>
          <w:szCs w:val="28"/>
        </w:rPr>
      </w:pPr>
    </w:p>
    <w:p>
      <w:pPr>
        <w:ind w:firstLine="422"/>
        <w:rPr>
          <w:rFonts w:ascii="宋体" w:hAnsi="宋体"/>
          <w:b/>
          <w:kern w:val="0"/>
          <w:sz w:val="28"/>
          <w:szCs w:val="28"/>
        </w:rPr>
      </w:pPr>
    </w:p>
    <w:p>
      <w:pPr>
        <w:tabs>
          <w:tab w:val="left" w:pos="180"/>
        </w:tabs>
        <w:spacing w:line="6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甲方（委托方）：深圳会展中心管理有限责任公司</w:t>
      </w:r>
    </w:p>
    <w:p>
      <w:pPr>
        <w:tabs>
          <w:tab w:val="left" w:pos="180"/>
        </w:tabs>
        <w:spacing w:line="6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乙方（受托方）：                         </w:t>
      </w:r>
    </w:p>
    <w:p>
      <w:pPr>
        <w:tabs>
          <w:tab w:val="left" w:pos="180"/>
        </w:tabs>
        <w:spacing w:line="6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签订日期：</w:t>
      </w:r>
      <w:r>
        <w:rPr>
          <w:rFonts w:hint="eastAsia" w:ascii="宋体" w:hAnsi="宋体" w:eastAsia="宋体" w:cs="宋体"/>
          <w:sz w:val="21"/>
          <w:szCs w:val="21"/>
          <w:u w:val="single"/>
        </w:rPr>
        <w:t xml:space="preserve"> 202</w:t>
      </w:r>
      <w:r>
        <w:rPr>
          <w:rFonts w:hint="eastAsia" w:ascii="宋体" w:hAnsi="宋体" w:eastAsia="宋体" w:cs="宋体"/>
          <w:sz w:val="21"/>
          <w:szCs w:val="21"/>
          <w:u w:val="single"/>
          <w:lang w:val="en-US" w:eastAsia="zh-CN"/>
        </w:rPr>
        <w:t>3</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adjustRightInd w:val="0"/>
        <w:snapToGrid w:val="0"/>
        <w:spacing w:line="360" w:lineRule="auto"/>
        <w:jc w:val="left"/>
        <w:rPr>
          <w:rFonts w:hint="eastAsia" w:ascii="宋体" w:hAnsi="宋体" w:eastAsia="宋体" w:cs="宋体"/>
          <w:sz w:val="21"/>
          <w:szCs w:val="21"/>
        </w:rPr>
      </w:pPr>
    </w:p>
    <w:p>
      <w:pPr>
        <w:adjustRightInd w:val="0"/>
        <w:snapToGrid w:val="0"/>
        <w:spacing w:line="360" w:lineRule="auto"/>
        <w:jc w:val="left"/>
        <w:rPr>
          <w:rFonts w:hint="eastAsia" w:ascii="宋体" w:hAnsi="宋体" w:eastAsia="宋体" w:cs="宋体"/>
          <w:sz w:val="21"/>
          <w:szCs w:val="21"/>
        </w:rPr>
      </w:pPr>
    </w:p>
    <w:p>
      <w:pPr>
        <w:spacing w:after="124" w:afterLines="40"/>
        <w:ind w:firstLine="105"/>
        <w:rPr>
          <w:rFonts w:hint="eastAsia" w:ascii="宋体" w:hAnsi="宋体" w:eastAsia="宋体" w:cs="宋体"/>
          <w:sz w:val="21"/>
          <w:szCs w:val="21"/>
        </w:rPr>
      </w:pPr>
    </w:p>
    <w:p>
      <w:pPr>
        <w:widowControl/>
        <w:snapToGrid w:val="0"/>
        <w:spacing w:line="520" w:lineRule="exact"/>
        <w:jc w:val="left"/>
        <w:rPr>
          <w:rFonts w:hint="eastAsia" w:ascii="宋体" w:hAnsi="宋体" w:eastAsia="宋体" w:cs="宋体"/>
          <w:b/>
          <w:kern w:val="0"/>
          <w:sz w:val="21"/>
          <w:szCs w:val="21"/>
        </w:rPr>
      </w:pPr>
      <w:r>
        <w:rPr>
          <w:rFonts w:hint="eastAsia" w:ascii="宋体" w:hAnsi="宋体" w:eastAsia="宋体" w:cs="宋体"/>
          <w:b/>
          <w:kern w:val="0"/>
          <w:sz w:val="21"/>
          <w:szCs w:val="21"/>
        </w:rPr>
        <w:t>甲方（委托方）：深圳会展中心管理有限责任公司</w:t>
      </w:r>
    </w:p>
    <w:p>
      <w:pPr>
        <w:widowControl/>
        <w:snapToGrid w:val="0"/>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法定代表人：</w:t>
      </w:r>
      <w:r>
        <w:rPr>
          <w:rFonts w:hint="eastAsia" w:ascii="宋体" w:hAnsi="宋体" w:eastAsia="宋体" w:cs="宋体"/>
          <w:kern w:val="0"/>
          <w:sz w:val="21"/>
          <w:szCs w:val="21"/>
          <w:lang w:val="en-US" w:eastAsia="zh-CN"/>
        </w:rPr>
        <w:t xml:space="preserve"> </w:t>
      </w:r>
    </w:p>
    <w:p>
      <w:pPr>
        <w:widowControl/>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地址：深圳市福田区福华三路深圳会展中心</w:t>
      </w:r>
    </w:p>
    <w:p>
      <w:pPr>
        <w:widowControl/>
        <w:snapToGrid w:val="0"/>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联系人：</w:t>
      </w:r>
    </w:p>
    <w:p>
      <w:pPr>
        <w:autoSpaceDE w:val="0"/>
        <w:autoSpaceDN w:val="0"/>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电话：</w:t>
      </w:r>
    </w:p>
    <w:p>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w:t>
      </w:r>
    </w:p>
    <w:p>
      <w:pPr>
        <w:widowControl/>
        <w:snapToGrid w:val="0"/>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乙方（受托方）：</w:t>
      </w:r>
    </w:p>
    <w:p>
      <w:pPr>
        <w:widowControl/>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法定代表人：*</w:t>
      </w:r>
    </w:p>
    <w:p>
      <w:pPr>
        <w:widowControl/>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地址：*</w:t>
      </w:r>
    </w:p>
    <w:p>
      <w:pPr>
        <w:widowControl/>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联系人：*   </w:t>
      </w:r>
    </w:p>
    <w:p>
      <w:pPr>
        <w:widowControl/>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电话：*</w:t>
      </w:r>
    </w:p>
    <w:p>
      <w:pPr>
        <w:spacing w:after="124" w:afterLines="40"/>
        <w:rPr>
          <w:rFonts w:hint="eastAsia" w:ascii="宋体" w:hAnsi="宋体" w:eastAsia="宋体" w:cs="宋体"/>
          <w:sz w:val="21"/>
          <w:szCs w:val="21"/>
        </w:rPr>
      </w:pPr>
      <w:r>
        <w:rPr>
          <w:rFonts w:hint="eastAsia" w:ascii="宋体" w:hAnsi="宋体" w:eastAsia="宋体" w:cs="宋体"/>
          <w:sz w:val="21"/>
          <w:szCs w:val="21"/>
        </w:rPr>
        <w:t xml:space="preserve">     根据《中华人民共和国</w:t>
      </w:r>
      <w:r>
        <w:rPr>
          <w:rFonts w:hint="eastAsia" w:ascii="宋体" w:hAnsi="宋体" w:eastAsia="宋体" w:cs="宋体"/>
          <w:sz w:val="21"/>
          <w:szCs w:val="21"/>
          <w:lang w:eastAsia="zh-CN"/>
        </w:rPr>
        <w:t>民法典</w:t>
      </w:r>
      <w:r>
        <w:rPr>
          <w:rFonts w:hint="eastAsia" w:ascii="宋体" w:hAnsi="宋体" w:eastAsia="宋体" w:cs="宋体"/>
          <w:sz w:val="21"/>
          <w:szCs w:val="21"/>
        </w:rPr>
        <w:t>》</w:t>
      </w:r>
      <w:r>
        <w:rPr>
          <w:rFonts w:hint="eastAsia" w:ascii="宋体" w:hAnsi="宋体" w:eastAsia="宋体" w:cs="宋体"/>
          <w:sz w:val="21"/>
          <w:szCs w:val="21"/>
          <w:lang w:val="en-US" w:eastAsia="zh-CN"/>
        </w:rPr>
        <w:t>及相</w:t>
      </w:r>
      <w:r>
        <w:rPr>
          <w:rFonts w:hint="eastAsia" w:ascii="宋体" w:hAnsi="宋体" w:eastAsia="宋体" w:cs="宋体"/>
          <w:sz w:val="21"/>
          <w:szCs w:val="21"/>
        </w:rPr>
        <w:t>关</w:t>
      </w:r>
      <w:r>
        <w:rPr>
          <w:rFonts w:hint="eastAsia" w:ascii="宋体" w:hAnsi="宋体" w:eastAsia="宋体" w:cs="宋体"/>
          <w:sz w:val="21"/>
          <w:szCs w:val="21"/>
          <w:lang w:val="en-US" w:eastAsia="zh-CN"/>
        </w:rPr>
        <w:t>法律、法规的</w:t>
      </w:r>
      <w:r>
        <w:rPr>
          <w:rFonts w:hint="eastAsia" w:ascii="宋体" w:hAnsi="宋体" w:eastAsia="宋体" w:cs="宋体"/>
          <w:sz w:val="21"/>
          <w:szCs w:val="21"/>
        </w:rPr>
        <w:t>规定，按照平等互利的原则，经双方协商一致，甲方委托乙方对甲方的</w:t>
      </w:r>
      <w:r>
        <w:rPr>
          <w:rFonts w:hint="eastAsia" w:ascii="宋体" w:hAnsi="宋体" w:eastAsia="宋体" w:cs="宋体"/>
          <w:sz w:val="21"/>
          <w:szCs w:val="21"/>
          <w:lang w:val="en-US" w:eastAsia="zh-CN"/>
        </w:rPr>
        <w:t>4台</w:t>
      </w:r>
      <w:r>
        <w:rPr>
          <w:rFonts w:hint="eastAsia" w:ascii="宋体" w:hAnsi="宋体" w:eastAsia="宋体" w:cs="宋体"/>
          <w:sz w:val="21"/>
          <w:szCs w:val="21"/>
        </w:rPr>
        <w:t>康明斯佩特波发电机组（以下称机组）和</w:t>
      </w:r>
      <w:r>
        <w:rPr>
          <w:rFonts w:hint="eastAsia" w:ascii="宋体" w:hAnsi="宋体" w:eastAsia="宋体" w:cs="宋体"/>
          <w:sz w:val="21"/>
          <w:szCs w:val="21"/>
          <w:lang w:val="en-US" w:eastAsia="zh-CN"/>
        </w:rPr>
        <w:t>2个</w:t>
      </w:r>
      <w:r>
        <w:rPr>
          <w:rFonts w:hint="eastAsia" w:ascii="宋体" w:hAnsi="宋体" w:eastAsia="宋体" w:cs="宋体"/>
          <w:sz w:val="21"/>
          <w:szCs w:val="21"/>
        </w:rPr>
        <w:t>机房设施进行定期的维护保养，乙方在合同期内按康明斯佩特波发电机技术标准进行保养工作，确保机组运行良好和机房设施正常完好。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一、维护保养范围</w:t>
      </w:r>
    </w:p>
    <w:tbl>
      <w:tblPr>
        <w:tblStyle w:val="15"/>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90"/>
        <w:gridCol w:w="737"/>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保养内容</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发电机组型号KTA50-G8</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环保水处理系统</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机房环保隔音</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发电机并网柜</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发电机后台监控系统</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机房设施（250m</w:t>
            </w:r>
            <w:r>
              <w:rPr>
                <w:rFonts w:hint="eastAsia" w:ascii="宋体" w:hAnsi="宋体" w:eastAsia="宋体" w:cs="宋体"/>
                <w:sz w:val="21"/>
                <w:szCs w:val="21"/>
                <w:vertAlign w:val="superscript"/>
              </w:rPr>
              <w:t>2</w:t>
            </w:r>
            <w:r>
              <w:rPr>
                <w:rFonts w:hint="eastAsia" w:ascii="宋体" w:hAnsi="宋体" w:eastAsia="宋体" w:cs="宋体"/>
                <w:sz w:val="21"/>
                <w:szCs w:val="21"/>
              </w:rPr>
              <w:t>地面、240米排烟管道）</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发电机的油箱及附属设备设施</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190" w:type="dxa"/>
            <w:noWrap w:val="0"/>
            <w:vAlign w:val="top"/>
          </w:tcPr>
          <w:p>
            <w:pPr>
              <w:pStyle w:val="29"/>
              <w:numPr>
                <w:ilvl w:val="0"/>
                <w:numId w:val="0"/>
              </w:numPr>
              <w:spacing w:line="264" w:lineRule="auto"/>
              <w:ind w:leftChars="0"/>
              <w:jc w:val="left"/>
              <w:rPr>
                <w:rFonts w:hint="eastAsia" w:ascii="宋体" w:hAnsi="宋体" w:eastAsia="宋体" w:cs="宋体"/>
                <w:sz w:val="21"/>
                <w:szCs w:val="21"/>
              </w:rPr>
            </w:pPr>
            <w:r>
              <w:rPr>
                <w:rFonts w:hint="eastAsia" w:ascii="宋体" w:hAnsi="宋体" w:eastAsia="宋体" w:cs="宋体"/>
                <w:b w:val="0"/>
                <w:bCs/>
                <w:sz w:val="21"/>
                <w:szCs w:val="21"/>
                <w:lang w:val="en-US" w:eastAsia="zh-CN"/>
              </w:rPr>
              <w:t>喷油器检测调校（包括垫片、喷油嘴油头、胶圈、滤网等）</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燃油泵检测调校（包括垫片、轴承、滤网等）</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增压器检测调校（包括油封、轴承、垫片等）</w:t>
            </w: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eastAsia="zh-CN"/>
              </w:rPr>
              <w:t>度</w:t>
            </w:r>
            <w:r>
              <w:rPr>
                <w:rFonts w:hint="eastAsia" w:ascii="宋体" w:hAnsi="宋体" w:eastAsia="宋体" w:cs="宋体"/>
                <w:sz w:val="21"/>
                <w:szCs w:val="21"/>
              </w:rPr>
              <w:t>定期更换耗材</w:t>
            </w:r>
          </w:p>
          <w:tbl>
            <w:tblPr>
              <w:tblStyle w:val="15"/>
              <w:tblW w:w="6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103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耗材名称</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空气过滤器（AF25278 ）</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8个</w:t>
                  </w:r>
                </w:p>
              </w:tc>
              <w:tc>
                <w:tcPr>
                  <w:tcW w:w="11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康明斯原装，质保期</w:t>
                  </w:r>
                  <w:r>
                    <w:rPr>
                      <w:rFonts w:hint="eastAsia" w:ascii="宋体" w:hAnsi="宋体" w:eastAsia="宋体" w:cs="宋体"/>
                      <w:sz w:val="21"/>
                      <w:szCs w:val="21"/>
                      <w:lang w:val="en-US" w:eastAsia="zh-CN"/>
                    </w:rPr>
                    <w:t>1</w:t>
                  </w:r>
                  <w:r>
                    <w:rPr>
                      <w:rFonts w:hint="eastAsia" w:ascii="宋体" w:hAnsi="宋体" w:eastAsia="宋体" w:cs="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机油过滤器（LF3325）</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20个</w:t>
                  </w:r>
                </w:p>
              </w:tc>
              <w:tc>
                <w:tcPr>
                  <w:tcW w:w="11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机油旁路过滤器（LF777）</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8个</w:t>
                  </w:r>
                </w:p>
              </w:tc>
              <w:tc>
                <w:tcPr>
                  <w:tcW w:w="11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柴油过滤器（FF202）</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8个</w:t>
                  </w:r>
                </w:p>
              </w:tc>
              <w:tc>
                <w:tcPr>
                  <w:tcW w:w="11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水过滤器（WF2076）</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8个</w:t>
                  </w:r>
                </w:p>
              </w:tc>
              <w:tc>
                <w:tcPr>
                  <w:tcW w:w="11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防锈水（DCA65L）</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24瓶</w:t>
                  </w:r>
                </w:p>
              </w:tc>
              <w:tc>
                <w:tcPr>
                  <w:tcW w:w="11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油水分离器芯（2020PM）</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8个</w:t>
                  </w:r>
                </w:p>
              </w:tc>
              <w:tc>
                <w:tcPr>
                  <w:tcW w:w="11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润滑油CALTEX（DEL15W-40 API CH-4金德乐）</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40桶</w:t>
                  </w:r>
                </w:p>
              </w:tc>
              <w:tc>
                <w:tcPr>
                  <w:tcW w:w="116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批</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619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根据设备运行情况酌定需要免费更换低值易损件</w:t>
            </w:r>
            <w:r>
              <w:rPr>
                <w:rFonts w:hint="eastAsia" w:ascii="宋体" w:hAnsi="宋体" w:eastAsia="宋体" w:cs="宋体"/>
                <w:sz w:val="21"/>
                <w:szCs w:val="21"/>
                <w:lang w:eastAsia="zh-CN"/>
              </w:rPr>
              <w:t>，</w:t>
            </w:r>
            <w:r>
              <w:rPr>
                <w:rFonts w:hint="eastAsia" w:ascii="宋体" w:hAnsi="宋体" w:eastAsia="宋体" w:cs="宋体"/>
                <w:sz w:val="21"/>
                <w:szCs w:val="21"/>
              </w:rPr>
              <w:t>包括</w:t>
            </w:r>
            <w:r>
              <w:rPr>
                <w:rFonts w:hint="eastAsia" w:ascii="宋体" w:hAnsi="宋体" w:eastAsia="宋体" w:cs="宋体"/>
                <w:sz w:val="21"/>
                <w:szCs w:val="21"/>
                <w:lang w:eastAsia="zh-CN"/>
              </w:rPr>
              <w:t>但不限于：</w:t>
            </w:r>
            <w:r>
              <w:rPr>
                <w:rFonts w:hint="eastAsia" w:ascii="宋体" w:hAnsi="宋体" w:eastAsia="宋体" w:cs="宋体"/>
                <w:sz w:val="21"/>
                <w:szCs w:val="21"/>
              </w:rPr>
              <w:t>1、金属清洁剂；2、电池补充液；3、轴承润滑脂；4、密封胶圈；5、胶管；6、油水分离器油杯；7、螺丝；8、油污清洗液</w:t>
            </w:r>
            <w:r>
              <w:rPr>
                <w:rFonts w:hint="eastAsia" w:ascii="宋体" w:hAnsi="宋体" w:eastAsia="宋体" w:cs="宋体"/>
                <w:sz w:val="21"/>
                <w:szCs w:val="21"/>
                <w:lang w:eastAsia="zh-CN"/>
              </w:rPr>
              <w:t>。</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批</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二、甲方责任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为乙方提供发电机机组维护保养范围内的柴油、冷却水</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为乙方技术人员维护保养工作提供</w:t>
      </w:r>
      <w:r>
        <w:rPr>
          <w:rFonts w:hint="eastAsia" w:ascii="宋体" w:hAnsi="宋体" w:eastAsia="宋体" w:cs="宋体"/>
          <w:sz w:val="21"/>
          <w:szCs w:val="21"/>
          <w:lang w:val="en-US" w:eastAsia="zh-CN"/>
        </w:rPr>
        <w:t>必要的</w:t>
      </w:r>
      <w:r>
        <w:rPr>
          <w:rFonts w:hint="eastAsia" w:ascii="宋体" w:hAnsi="宋体" w:eastAsia="宋体" w:cs="宋体"/>
          <w:sz w:val="21"/>
          <w:szCs w:val="21"/>
        </w:rPr>
        <w:t>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三、乙方维护保养工作的内容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1.定期保养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按照本合同附件的工作内容，合同期内乙方每月1次安排工程师对甲方的机组及机房设施进行巡检、维护保养，提交每次巡检、维护相应的机组状态报告，每6个月做1次全面保养，</w:t>
      </w:r>
      <w:r>
        <w:rPr>
          <w:rFonts w:hint="eastAsia" w:ascii="宋体" w:hAnsi="宋体" w:eastAsia="宋体" w:cs="宋体"/>
          <w:sz w:val="21"/>
          <w:szCs w:val="21"/>
          <w:lang w:eastAsia="zh-CN"/>
        </w:rPr>
        <w:t>每年</w:t>
      </w:r>
      <w:r>
        <w:rPr>
          <w:rFonts w:hint="eastAsia" w:ascii="宋体" w:hAnsi="宋体" w:eastAsia="宋体" w:cs="宋体"/>
          <w:sz w:val="21"/>
          <w:szCs w:val="21"/>
        </w:rPr>
        <w:t>内做2次全面保养。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X</w:t>
      </w:r>
      <w:r>
        <w:rPr>
          <w:rFonts w:hint="eastAsia" w:ascii="宋体" w:hAnsi="宋体" w:eastAsia="宋体" w:cs="宋体"/>
          <w:sz w:val="21"/>
          <w:szCs w:val="21"/>
        </w:rPr>
        <w:t>年</w:t>
      </w:r>
      <w:r>
        <w:rPr>
          <w:rFonts w:hint="eastAsia" w:ascii="宋体" w:hAnsi="宋体" w:eastAsia="宋体" w:cs="宋体"/>
          <w:sz w:val="21"/>
          <w:szCs w:val="21"/>
          <w:lang w:val="en-US" w:eastAsia="zh-CN"/>
        </w:rPr>
        <w:t>XX</w:t>
      </w:r>
      <w:r>
        <w:rPr>
          <w:rFonts w:hint="eastAsia" w:ascii="宋体" w:hAnsi="宋体" w:eastAsia="宋体" w:cs="宋体"/>
          <w:sz w:val="21"/>
          <w:szCs w:val="21"/>
        </w:rPr>
        <w:t>月份按照维护保养范围序号8的要求乙方无偿更换各种过滤器及润滑油等耗材1批，更换耗材和低值易损配件须经甲方确认。合同到期后提交年</w:t>
      </w:r>
      <w:r>
        <w:rPr>
          <w:rFonts w:hint="eastAsia" w:ascii="宋体" w:hAnsi="宋体" w:eastAsia="宋体" w:cs="宋体"/>
          <w:sz w:val="21"/>
          <w:szCs w:val="21"/>
          <w:lang w:eastAsia="zh-CN"/>
        </w:rPr>
        <w:t>度</w:t>
      </w:r>
      <w:r>
        <w:rPr>
          <w:rFonts w:hint="eastAsia" w:ascii="宋体" w:hAnsi="宋体" w:eastAsia="宋体" w:cs="宋体"/>
          <w:sz w:val="21"/>
          <w:szCs w:val="21"/>
        </w:rPr>
        <w:t>维护保养报告。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2.应急服务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期内，甲方发电机组在紧急情况需要启动向负载送电时，乙方在接到甲方通知（电话通知或书面传真通知）后，1小时内到达现场（因交通原因延误除外），进行发电机组的运行保障工作，直至发电机组停止运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当机组在带负载情况下发生故障时，乙方在获得甲方同意并确认零配件的价格后，有义务及时更换零件，为甲方修复机组，所更换之零件必须是全新康明斯原厂同型号零件。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3.特殊展会期间值班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合同期内，在甲方场地举办的高交会</w:t>
      </w:r>
      <w:r>
        <w:rPr>
          <w:rFonts w:hint="eastAsia" w:ascii="宋体" w:hAnsi="宋体" w:eastAsia="宋体" w:cs="宋体"/>
          <w:sz w:val="21"/>
          <w:szCs w:val="21"/>
          <w:lang w:eastAsia="zh-CN"/>
        </w:rPr>
        <w:t>等</w:t>
      </w:r>
      <w:r>
        <w:rPr>
          <w:rFonts w:hint="eastAsia" w:ascii="宋体" w:hAnsi="宋体" w:eastAsia="宋体" w:cs="宋体"/>
          <w:sz w:val="21"/>
          <w:szCs w:val="21"/>
        </w:rPr>
        <w:t>重大特殊展会期间</w:t>
      </w:r>
      <w:r>
        <w:rPr>
          <w:rFonts w:hint="eastAsia" w:ascii="宋体" w:hAnsi="宋体" w:eastAsia="宋体" w:cs="宋体"/>
          <w:sz w:val="21"/>
          <w:szCs w:val="21"/>
          <w:lang w:eastAsia="zh-CN"/>
        </w:rPr>
        <w:t>，</w:t>
      </w:r>
      <w:r>
        <w:rPr>
          <w:rFonts w:hint="eastAsia" w:ascii="宋体" w:hAnsi="宋体" w:eastAsia="宋体" w:cs="宋体"/>
          <w:sz w:val="21"/>
          <w:szCs w:val="21"/>
        </w:rPr>
        <w:t>乙方</w:t>
      </w:r>
      <w:r>
        <w:rPr>
          <w:rFonts w:hint="eastAsia" w:ascii="宋体" w:hAnsi="宋体" w:eastAsia="宋体" w:cs="宋体"/>
          <w:sz w:val="21"/>
          <w:szCs w:val="21"/>
          <w:lang w:eastAsia="zh-CN"/>
        </w:rPr>
        <w:t>免费</w:t>
      </w:r>
      <w:r>
        <w:rPr>
          <w:rFonts w:hint="eastAsia" w:ascii="宋体" w:hAnsi="宋体" w:eastAsia="宋体" w:cs="宋体"/>
          <w:sz w:val="21"/>
          <w:szCs w:val="21"/>
        </w:rPr>
        <w:t>安排</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名工程师</w:t>
      </w:r>
      <w:r>
        <w:rPr>
          <w:rFonts w:hint="eastAsia" w:ascii="宋体" w:hAnsi="宋体" w:eastAsia="宋体" w:cs="宋体"/>
          <w:sz w:val="21"/>
          <w:szCs w:val="21"/>
          <w:lang w:val="en-US" w:eastAsia="zh-CN"/>
        </w:rPr>
        <w:t>到</w:t>
      </w:r>
      <w:r>
        <w:rPr>
          <w:rFonts w:hint="eastAsia" w:ascii="宋体" w:hAnsi="宋体" w:eastAsia="宋体" w:cs="宋体"/>
          <w:sz w:val="21"/>
          <w:szCs w:val="21"/>
        </w:rPr>
        <w:t>现场值班，并签到。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四、乙方对机组零备件和耗材供应及保质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1.应配备康明斯佩特波发电机相关易损器件以备在紧急情况下使用，并以优惠于市场价向甲方提供优质原装康明斯佩特波机组零备件，</w:t>
      </w:r>
      <w:r>
        <w:rPr>
          <w:rFonts w:hint="eastAsia" w:ascii="宋体" w:hAnsi="宋体" w:eastAsia="宋体" w:cs="宋体"/>
          <w:sz w:val="21"/>
          <w:szCs w:val="21"/>
          <w:lang w:eastAsia="zh-CN"/>
        </w:rPr>
        <w:t>提供</w:t>
      </w:r>
      <w:r>
        <w:rPr>
          <w:rFonts w:hint="eastAsia" w:ascii="宋体" w:hAnsi="宋体" w:eastAsia="宋体" w:cs="宋体"/>
          <w:sz w:val="21"/>
          <w:szCs w:val="21"/>
        </w:rPr>
        <w:t>增值税发票。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乙方免费更换低值易损件，质量保障期不少于</w:t>
      </w:r>
      <w:r>
        <w:rPr>
          <w:rFonts w:hint="eastAsia" w:ascii="宋体" w:hAnsi="宋体" w:eastAsia="宋体" w:cs="宋体"/>
          <w:sz w:val="21"/>
          <w:szCs w:val="21"/>
          <w:lang w:val="en-US" w:eastAsia="zh-CN"/>
        </w:rPr>
        <w:t>90</w:t>
      </w:r>
      <w:r>
        <w:rPr>
          <w:rFonts w:hint="eastAsia" w:ascii="宋体" w:hAnsi="宋体" w:eastAsia="宋体" w:cs="宋体"/>
          <w:sz w:val="21"/>
          <w:szCs w:val="21"/>
        </w:rPr>
        <w:t>天，定期更换的耗材</w:t>
      </w:r>
      <w:r>
        <w:rPr>
          <w:rFonts w:hint="eastAsia" w:ascii="宋体" w:hAnsi="宋体" w:eastAsia="宋体" w:cs="宋体"/>
          <w:sz w:val="21"/>
          <w:szCs w:val="21"/>
          <w:lang w:eastAsia="zh-CN"/>
        </w:rPr>
        <w:t>以及乙方提供的零配件</w:t>
      </w:r>
      <w:r>
        <w:rPr>
          <w:rFonts w:hint="eastAsia" w:ascii="宋体" w:hAnsi="宋体" w:eastAsia="宋体" w:cs="宋体"/>
          <w:sz w:val="21"/>
          <w:szCs w:val="21"/>
        </w:rPr>
        <w:t>质量保障期为</w:t>
      </w:r>
      <w:r>
        <w:rPr>
          <w:rFonts w:hint="eastAsia" w:ascii="宋体" w:hAnsi="宋体" w:eastAsia="宋体" w:cs="宋体"/>
          <w:sz w:val="21"/>
          <w:szCs w:val="21"/>
          <w:lang w:val="en-US" w:eastAsia="zh-CN"/>
        </w:rPr>
        <w:t>1年</w:t>
      </w:r>
      <w:r>
        <w:rPr>
          <w:rFonts w:hint="eastAsia" w:ascii="宋体" w:hAnsi="宋体" w:eastAsia="宋体" w:cs="宋体"/>
          <w:sz w:val="21"/>
          <w:szCs w:val="21"/>
        </w:rPr>
        <w:t>，从更换之日起算。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五、合同期限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本合同期限为</w:t>
      </w:r>
      <w:r>
        <w:rPr>
          <w:rFonts w:hint="eastAsia" w:ascii="宋体" w:hAnsi="宋体" w:eastAsia="宋体" w:cs="宋体"/>
          <w:sz w:val="21"/>
          <w:szCs w:val="21"/>
          <w:lang w:val="en-US" w:eastAsia="zh-CN"/>
        </w:rPr>
        <w:t>3年</w:t>
      </w:r>
      <w:r>
        <w:rPr>
          <w:rFonts w:hint="eastAsia" w:ascii="宋体" w:hAnsi="宋体" w:eastAsia="宋体" w:cs="宋体"/>
          <w:sz w:val="21"/>
          <w:szCs w:val="21"/>
        </w:rPr>
        <w:t>，即从202</w:t>
      </w:r>
      <w:r>
        <w:rPr>
          <w:rFonts w:hint="eastAsia" w:ascii="宋体" w:hAnsi="宋体" w:eastAsia="宋体" w:cs="宋体"/>
          <w:sz w:val="21"/>
          <w:szCs w:val="21"/>
          <w:lang w:val="en-US" w:eastAsia="zh-CN"/>
        </w:rPr>
        <w:t>X</w:t>
      </w:r>
      <w:r>
        <w:rPr>
          <w:rFonts w:hint="eastAsia" w:ascii="宋体" w:hAnsi="宋体" w:eastAsia="宋体" w:cs="宋体"/>
          <w:sz w:val="21"/>
          <w:szCs w:val="21"/>
        </w:rPr>
        <w:t>年</w:t>
      </w:r>
      <w:r>
        <w:rPr>
          <w:rFonts w:hint="eastAsia" w:ascii="宋体" w:hAnsi="宋体" w:eastAsia="宋体" w:cs="宋体"/>
          <w:sz w:val="21"/>
          <w:szCs w:val="21"/>
          <w:lang w:val="en-US" w:eastAsia="zh-CN"/>
        </w:rPr>
        <w:t>XX</w:t>
      </w:r>
      <w:r>
        <w:rPr>
          <w:rFonts w:hint="eastAsia" w:ascii="宋体" w:hAnsi="宋体" w:eastAsia="宋体" w:cs="宋体"/>
          <w:sz w:val="21"/>
          <w:szCs w:val="21"/>
        </w:rPr>
        <w:t>月</w:t>
      </w:r>
      <w:r>
        <w:rPr>
          <w:rFonts w:hint="eastAsia" w:ascii="宋体" w:hAnsi="宋体" w:eastAsia="宋体" w:cs="宋体"/>
          <w:sz w:val="21"/>
          <w:szCs w:val="21"/>
          <w:lang w:val="en-US" w:eastAsia="zh-CN"/>
        </w:rPr>
        <w:t>XX</w:t>
      </w:r>
      <w:r>
        <w:rPr>
          <w:rFonts w:hint="eastAsia" w:ascii="宋体" w:hAnsi="宋体" w:eastAsia="宋体" w:cs="宋体"/>
          <w:sz w:val="21"/>
          <w:szCs w:val="21"/>
        </w:rPr>
        <w:t>日至 202</w:t>
      </w:r>
      <w:r>
        <w:rPr>
          <w:rFonts w:hint="eastAsia" w:ascii="宋体" w:hAnsi="宋体" w:eastAsia="宋体" w:cs="宋体"/>
          <w:sz w:val="21"/>
          <w:szCs w:val="21"/>
          <w:lang w:val="en-US" w:eastAsia="zh-CN"/>
        </w:rPr>
        <w:t>X</w:t>
      </w:r>
      <w:r>
        <w:rPr>
          <w:rFonts w:hint="eastAsia" w:ascii="宋体" w:hAnsi="宋体" w:eastAsia="宋体" w:cs="宋体"/>
          <w:sz w:val="21"/>
          <w:szCs w:val="21"/>
        </w:rPr>
        <w:t>年</w:t>
      </w:r>
      <w:r>
        <w:rPr>
          <w:rFonts w:hint="eastAsia" w:ascii="宋体" w:hAnsi="宋体" w:eastAsia="宋体" w:cs="宋体"/>
          <w:sz w:val="21"/>
          <w:szCs w:val="21"/>
          <w:lang w:val="en-US" w:eastAsia="zh-CN"/>
        </w:rPr>
        <w:t>XX</w:t>
      </w:r>
      <w:r>
        <w:rPr>
          <w:rFonts w:hint="eastAsia" w:ascii="宋体" w:hAnsi="宋体" w:eastAsia="宋体" w:cs="宋体"/>
          <w:sz w:val="21"/>
          <w:szCs w:val="21"/>
        </w:rPr>
        <w:t>月</w:t>
      </w:r>
      <w:r>
        <w:rPr>
          <w:rFonts w:hint="eastAsia" w:ascii="宋体" w:hAnsi="宋体" w:eastAsia="宋体" w:cs="宋体"/>
          <w:sz w:val="21"/>
          <w:szCs w:val="21"/>
          <w:lang w:val="en-US" w:eastAsia="zh-CN"/>
        </w:rPr>
        <w:t>XX</w:t>
      </w:r>
      <w:r>
        <w:rPr>
          <w:rFonts w:hint="eastAsia" w:ascii="宋体" w:hAnsi="宋体" w:eastAsia="宋体" w:cs="宋体"/>
          <w:sz w:val="21"/>
          <w:szCs w:val="21"/>
        </w:rPr>
        <w:t>日止。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六、保养费用及付款方式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1．合同总金额为人民币：</w:t>
      </w:r>
      <w:r>
        <w:rPr>
          <w:rFonts w:hint="eastAsia" w:ascii="宋体" w:hAnsi="宋体" w:eastAsia="宋体" w:cs="宋体"/>
          <w:sz w:val="21"/>
          <w:szCs w:val="21"/>
          <w:u w:val="single"/>
          <w:lang w:val="en-US" w:eastAsia="zh-CN"/>
        </w:rPr>
        <w:t>XXXX</w:t>
      </w:r>
      <w:r>
        <w:rPr>
          <w:rFonts w:hint="eastAsia" w:ascii="宋体" w:hAnsi="宋体" w:eastAsia="宋体" w:cs="宋体"/>
          <w:sz w:val="21"/>
          <w:szCs w:val="21"/>
        </w:rPr>
        <w:t>元整(￥</w:t>
      </w:r>
      <w:r>
        <w:rPr>
          <w:rFonts w:hint="eastAsia" w:ascii="宋体" w:hAnsi="宋体" w:eastAsia="宋体" w:cs="宋体"/>
          <w:sz w:val="21"/>
          <w:szCs w:val="21"/>
          <w:lang w:val="en-US" w:eastAsia="zh-CN"/>
        </w:rPr>
        <w:t>XX</w:t>
      </w:r>
      <w:r>
        <w:rPr>
          <w:rFonts w:hint="eastAsia" w:ascii="宋体" w:hAnsi="宋体" w:eastAsia="宋体" w:cs="宋体"/>
          <w:sz w:val="21"/>
          <w:szCs w:val="21"/>
        </w:rPr>
        <w:t>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仿宋_GB2312"/>
          <w:color w:val="auto"/>
          <w:szCs w:val="21"/>
          <w:highlight w:val="none"/>
          <w:lang w:val="en-US" w:eastAsia="zh-CN"/>
        </w:rPr>
        <w:t>合同签订后每半年支付一次保养费，乙方应提供经甲方确认发电机组维护保养总结报告、每次巡检、维护相应的发电机组状态报告，甲方向乙方支付年度保养费50%</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仿宋_GB2312"/>
          <w:color w:val="auto"/>
          <w:szCs w:val="21"/>
          <w:highlight w:val="none"/>
          <w:lang w:val="en-US" w:eastAsia="zh-CN"/>
        </w:rPr>
        <w:t>合同期满后一个月内，乙方应提供经甲方确认发电机组维护保养总结报告、每次巡检、维护相应的发电机组状态报告，甲方向乙方支付年保养费50%</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、甲方在付款前乙方需提供等额的增值税发票，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七、 乙方责任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在合同期内，乙方如在机组设备或机房设施的维护过程中，由于乙方人员工作失误，导致</w:t>
      </w:r>
      <w:r>
        <w:rPr>
          <w:rFonts w:hint="eastAsia" w:ascii="宋体" w:hAnsi="宋体" w:eastAsia="宋体" w:cs="宋体"/>
          <w:sz w:val="21"/>
          <w:szCs w:val="21"/>
          <w:lang w:eastAsia="zh-CN"/>
        </w:rPr>
        <w:t>发电机组或</w:t>
      </w:r>
      <w:r>
        <w:rPr>
          <w:rFonts w:hint="eastAsia" w:ascii="宋体" w:hAnsi="宋体" w:eastAsia="宋体" w:cs="宋体"/>
          <w:sz w:val="21"/>
          <w:szCs w:val="21"/>
        </w:rPr>
        <w:t>设备配件损坏的，所需修复或更换的所有费用由乙方负责承担。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1．甲方如未能按照合同约定时间支付合同款，乙方有权停止对机组设备的保养工作直至收到合同约定款项，并不负机组设备因此形成延误保养的责任。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2．乙方未能履行合同条款内容，甲方提出书面警告无效后，甲方有权结清进度款并解除本合同。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3．乙方违反本合同任何一条条款约定的义务，构成违约。甲方有权每次扣减乙方全年保养费的1%；因乙方违约对甲方造成损失或甲方对第三人承担赔偿责任的，甲方有权向乙方追偿。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九、 合同纠纷及解决方式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1．本合同签订后，任何一方未经对方同意，不得单方变更、解除合同，本合同有约定的除外。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2．合同在执行过程中若双方发生争议，首先双方应该本着友好态度协商解决，如无法解决，</w:t>
      </w:r>
      <w:r>
        <w:rPr>
          <w:rFonts w:hint="eastAsia" w:ascii="宋体" w:hAnsi="宋体" w:eastAsia="宋体" w:cs="宋体"/>
          <w:sz w:val="21"/>
          <w:szCs w:val="21"/>
          <w:lang w:val="en-US" w:eastAsia="zh-CN"/>
        </w:rPr>
        <w:t>双方均</w:t>
      </w:r>
      <w:r>
        <w:rPr>
          <w:rFonts w:hint="eastAsia" w:ascii="宋体" w:hAnsi="宋体" w:eastAsia="宋体" w:cs="宋体"/>
          <w:sz w:val="21"/>
          <w:szCs w:val="21"/>
        </w:rPr>
        <w:t>可向甲方所在地人民法院</w:t>
      </w:r>
      <w:r>
        <w:rPr>
          <w:rFonts w:hint="eastAsia" w:ascii="宋体" w:hAnsi="宋体" w:eastAsia="宋体" w:cs="宋体"/>
          <w:sz w:val="21"/>
          <w:szCs w:val="21"/>
          <w:lang w:val="en-US" w:eastAsia="zh-CN"/>
        </w:rPr>
        <w:t>提</w:t>
      </w:r>
      <w:r>
        <w:rPr>
          <w:rFonts w:hint="eastAsia" w:ascii="宋体" w:hAnsi="宋体" w:eastAsia="宋体" w:cs="宋体"/>
          <w:sz w:val="21"/>
          <w:szCs w:val="21"/>
        </w:rPr>
        <w:t>起诉</w:t>
      </w:r>
      <w:r>
        <w:rPr>
          <w:rFonts w:hint="eastAsia" w:ascii="宋体" w:hAnsi="宋体" w:eastAsia="宋体" w:cs="宋体"/>
          <w:sz w:val="21"/>
          <w:szCs w:val="21"/>
          <w:lang w:val="en-US" w:eastAsia="zh-CN"/>
        </w:rPr>
        <w:t>讼</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合同双方任何一方，不能全程履行合同条款，或无正当理由而单方提出终止合同，均属违约，本合同有约定的除外。违约所造成的经济损失，概由违约方承担赔偿，违约方除承担违约造成对方的全部经济损失外，还必须向对方支付合同价款5％的违约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十、安全责任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1．乙方按照国家相关的安全法律规定，采取严格、科学的安全防护措施，确保操作者安全和第三者的安全，承担由于自身安全措施不力，造成事故的责任和所发生的全部费用。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 双方签订《深圳会展中心合作单位安全协议书》。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十一、其它条款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1.本合同一式陆份，甲方持肆份，乙方贰份，具有同等法律效力，自签订之日起生效，本合同未尽事宜，由双方友好协商解决。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2.本合同附件经双方盖章确认后，为本合同的组成部分。</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本合同载明的联系方式（包括地址、联系人、电话）为双方约定的联系方式，若有变动，应提前书面告知对方，否则该联系方式为双方法定的送达和联系方式，一经发送至上述地址即视为送达。</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（以下无正文，为合同签章页）</w:t>
      </w:r>
    </w:p>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p>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甲方（公章）：深圳会展中心管理有限责任公司</w:t>
            </w:r>
          </w:p>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甲方代表：</w:t>
            </w:r>
            <w:r>
              <w:rPr>
                <w:rFonts w:hint="eastAsia" w:ascii="宋体" w:hAnsi="宋体" w:eastAsia="宋体" w:cs="宋体"/>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p>
        </w:tc>
        <w:tc>
          <w:tcPr>
            <w:tcW w:w="4964"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乙方（公章）：</w:t>
            </w:r>
            <w:r>
              <w:rPr>
                <w:rFonts w:hint="eastAsia" w:ascii="宋体" w:hAnsi="宋体" w:eastAsia="宋体" w:cs="宋体"/>
                <w:sz w:val="21"/>
                <w:szCs w:val="21"/>
                <w:u w:val="single"/>
              </w:rPr>
              <w:t>深圳市佩特波机电设备有限公司</w:t>
            </w:r>
          </w:p>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乙方代表：</w:t>
            </w:r>
            <w:r>
              <w:rPr>
                <w:rFonts w:hint="eastAsia" w:ascii="宋体" w:hAnsi="宋体" w:eastAsia="宋体" w:cs="宋体"/>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1"/>
                <w:szCs w:val="21"/>
              </w:rPr>
            </w:pPr>
          </w:p>
        </w:tc>
      </w:tr>
    </w:tbl>
    <w:p>
      <w:pPr>
        <w:pStyle w:val="11"/>
      </w:pPr>
    </w:p>
    <w:p/>
    <w:p>
      <w:pPr>
        <w:pStyle w:val="2"/>
      </w:pPr>
    </w:p>
    <w:p/>
    <w:p>
      <w:pPr>
        <w:pStyle w:val="2"/>
      </w:pPr>
    </w:p>
    <w:p/>
    <w:p>
      <w:pPr>
        <w:pStyle w:val="2"/>
      </w:pPr>
    </w:p>
    <w:p/>
    <w:p>
      <w:pPr>
        <w:pStyle w:val="2"/>
      </w:pPr>
    </w:p>
    <w:p/>
    <w:p>
      <w:pPr>
        <w:pStyle w:val="2"/>
      </w:pPr>
    </w:p>
    <w:p>
      <w:pPr>
        <w:numPr>
          <w:ilvl w:val="0"/>
          <w:numId w:val="1"/>
        </w:numPr>
        <w:spacing w:line="300" w:lineRule="auto"/>
        <w:outlineLvl w:val="0"/>
        <w:rPr>
          <w:rFonts w:ascii="宋体" w:hAnsi="宋体" w:cs="宋体"/>
          <w:b/>
          <w:sz w:val="24"/>
        </w:rPr>
      </w:pPr>
      <w:bookmarkStart w:id="22" w:name="_Toc128989104"/>
      <w:r>
        <w:rPr>
          <w:rFonts w:hint="eastAsia" w:ascii="宋体" w:hAnsi="宋体" w:cs="宋体"/>
          <w:b/>
          <w:sz w:val="24"/>
        </w:rPr>
        <w:t>附件</w:t>
      </w:r>
      <w:bookmarkEnd w:id="22"/>
    </w:p>
    <w:p>
      <w:pPr>
        <w:pStyle w:val="11"/>
        <w:rPr>
          <w:rFonts w:ascii="仿宋" w:hAnsi="仿宋" w:eastAsia="仿宋" w:cs="仿宋"/>
          <w:sz w:val="28"/>
          <w:szCs w:val="28"/>
        </w:rPr>
      </w:pPr>
      <w:bookmarkStart w:id="23" w:name="_Toc478387760"/>
    </w:p>
    <w:p>
      <w:pPr>
        <w:spacing w:line="0" w:lineRule="atLeast"/>
        <w:outlineLvl w:val="0"/>
        <w:rPr>
          <w:rFonts w:ascii="宋体" w:hAnsi="宋体"/>
        </w:rPr>
      </w:pPr>
      <w:bookmarkStart w:id="24" w:name="_Toc128989105"/>
      <w:r>
        <w:rPr>
          <w:rFonts w:hint="eastAsia" w:ascii="仿宋" w:hAnsi="仿宋" w:eastAsia="仿宋" w:cs="仿宋"/>
          <w:sz w:val="28"/>
          <w:szCs w:val="28"/>
        </w:rPr>
        <w:t>附件1：报名回函</w:t>
      </w:r>
      <w:bookmarkEnd w:id="24"/>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5" w:name="_Toc128989106"/>
      <w:r>
        <w:rPr>
          <w:rFonts w:hint="eastAsia" w:ascii="仿宋" w:hAnsi="仿宋" w:eastAsia="仿宋" w:cs="仿宋"/>
          <w:sz w:val="28"/>
          <w:szCs w:val="28"/>
        </w:rPr>
        <w:t>附件2：考察证明</w:t>
      </w:r>
      <w:bookmarkEnd w:id="23"/>
      <w:bookmarkEnd w:id="25"/>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highlight w:val="none"/>
        </w:rPr>
      </w:pPr>
      <w:r>
        <w:rPr>
          <w:rFonts w:hint="eastAsia" w:ascii="仿宋" w:hAnsi="仿宋" w:eastAsia="仿宋"/>
          <w:sz w:val="28"/>
          <w:szCs w:val="28"/>
        </w:rPr>
        <w:t xml:space="preserve">参加单位（   </w:t>
      </w:r>
      <w:r>
        <w:rPr>
          <w:rFonts w:hint="eastAsia" w:ascii="仿宋" w:hAnsi="仿宋" w:eastAsia="仿宋"/>
          <w:sz w:val="28"/>
          <w:szCs w:val="28"/>
          <w:highlight w:val="none"/>
        </w:rPr>
        <w:t xml:space="preserve">                         ）：</w:t>
      </w:r>
    </w:p>
    <w:p>
      <w:pPr>
        <w:spacing w:line="360" w:lineRule="auto"/>
        <w:ind w:firstLine="560" w:firstLineChars="200"/>
        <w:jc w:val="left"/>
        <w:rPr>
          <w:rFonts w:ascii="仿宋" w:hAnsi="仿宋" w:eastAsia="仿宋"/>
          <w:sz w:val="28"/>
          <w:szCs w:val="28"/>
        </w:rPr>
      </w:pPr>
      <w:bookmarkStart w:id="26" w:name="_Hlk116548155"/>
      <w:r>
        <w:rPr>
          <w:rFonts w:hint="eastAsia" w:ascii="仿宋" w:hAnsi="仿宋" w:eastAsia="仿宋"/>
          <w:sz w:val="28"/>
          <w:szCs w:val="28"/>
          <w:highlight w:val="none"/>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参加了采购人（深圳会展中心管理有限责任公司）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w:t>
      </w:r>
      <w:r>
        <w:rPr>
          <w:rFonts w:hint="eastAsia" w:ascii="仿宋" w:hAnsi="仿宋" w:eastAsia="仿宋"/>
          <w:sz w:val="28"/>
          <w:szCs w:val="28"/>
        </w:rPr>
        <w:t>详细听取了采购人的讲解和要求，已经知晓招标人本次项目的所有内容以及技术要求等。</w:t>
      </w:r>
    </w:p>
    <w:bookmarkEnd w:id="2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360" w:lineRule="auto"/>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7" w:name="_Toc128989107"/>
      <w:r>
        <w:rPr>
          <w:rFonts w:hint="eastAsia" w:ascii="仿宋" w:hAnsi="仿宋" w:eastAsia="仿宋" w:cs="仿宋"/>
          <w:sz w:val="28"/>
          <w:szCs w:val="28"/>
        </w:rPr>
        <w:t>附件3：报价一览表（货物）</w:t>
      </w:r>
      <w:r>
        <w:rPr>
          <w:rFonts w:hint="eastAsia" w:ascii="仿宋" w:hAnsi="仿宋" w:eastAsia="仿宋" w:cs="仿宋"/>
          <w:color w:val="auto"/>
          <w:sz w:val="28"/>
          <w:szCs w:val="28"/>
        </w:rPr>
        <w:t>（本项目不适用）</w:t>
      </w:r>
      <w:bookmarkEnd w:id="27"/>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13"/>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8" w:name="_Toc25356"/>
      <w:r>
        <w:rPr>
          <w:rFonts w:hint="eastAsia" w:ascii="仿宋" w:hAnsi="仿宋" w:eastAsia="仿宋" w:cs="仿宋"/>
          <w:sz w:val="28"/>
          <w:szCs w:val="28"/>
        </w:rPr>
        <w:t>日期：_________年____月____日</w:t>
      </w:r>
      <w:bookmarkEnd w:id="28"/>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hint="eastAsia" w:ascii="仿宋" w:hAnsi="仿宋" w:eastAsia="仿宋" w:cs="仿宋"/>
          <w:sz w:val="28"/>
          <w:szCs w:val="28"/>
        </w:rPr>
      </w:pPr>
      <w:bookmarkStart w:id="29" w:name="_Toc128989108"/>
      <w:r>
        <w:rPr>
          <w:rFonts w:hint="eastAsia" w:ascii="仿宋" w:hAnsi="仿宋" w:eastAsia="仿宋" w:cs="仿宋"/>
          <w:sz w:val="28"/>
          <w:szCs w:val="28"/>
        </w:rPr>
        <w:t>附件4：报价一览表（服务）</w:t>
      </w:r>
      <w:bookmarkEnd w:id="29"/>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10125" w:type="dxa"/>
        <w:tblInd w:w="-470" w:type="dxa"/>
        <w:tblLayout w:type="fixed"/>
        <w:tblCellMar>
          <w:top w:w="0" w:type="dxa"/>
          <w:left w:w="42" w:type="dxa"/>
          <w:bottom w:w="0" w:type="dxa"/>
          <w:right w:w="42" w:type="dxa"/>
        </w:tblCellMar>
      </w:tblPr>
      <w:tblGrid>
        <w:gridCol w:w="485"/>
        <w:gridCol w:w="996"/>
        <w:gridCol w:w="2229"/>
        <w:gridCol w:w="510"/>
        <w:gridCol w:w="600"/>
        <w:gridCol w:w="937"/>
        <w:gridCol w:w="810"/>
        <w:gridCol w:w="1007"/>
        <w:gridCol w:w="1417"/>
        <w:gridCol w:w="1134"/>
      </w:tblGrid>
      <w:tr>
        <w:tblPrEx>
          <w:tblCellMar>
            <w:top w:w="0" w:type="dxa"/>
            <w:left w:w="42" w:type="dxa"/>
            <w:bottom w:w="0" w:type="dxa"/>
            <w:right w:w="42" w:type="dxa"/>
          </w:tblCellMar>
        </w:tblPrEx>
        <w:trPr>
          <w:cantSplit/>
          <w:trHeight w:val="509" w:hRule="atLeast"/>
        </w:trPr>
        <w:tc>
          <w:tcPr>
            <w:tcW w:w="48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99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222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1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60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93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税前</w:t>
            </w:r>
          </w:p>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1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税额</w:t>
            </w:r>
          </w:p>
        </w:tc>
        <w:tc>
          <w:tcPr>
            <w:tcW w:w="100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p>
          <w:p>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r>
              <w:rPr>
                <w:rFonts w:hint="eastAsia" w:ascii="仿宋" w:hAnsi="仿宋" w:eastAsia="仿宋" w:cs="仿宋"/>
                <w:sz w:val="28"/>
                <w:szCs w:val="28"/>
              </w:rPr>
              <w:t>金额</w:t>
            </w:r>
            <w:r>
              <w:rPr>
                <w:rFonts w:hint="eastAsia" w:ascii="仿宋" w:hAnsi="仿宋" w:eastAsia="仿宋" w:cs="仿宋"/>
                <w:sz w:val="28"/>
                <w:szCs w:val="28"/>
                <w:lang w:val="en-US" w:eastAsia="zh-CN"/>
              </w:rPr>
              <w:t>小计</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48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9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22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574" w:type="dxa"/>
            <w:gridSpan w:val="8"/>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lang w:val="en-US" w:eastAsia="zh-CN"/>
              </w:rPr>
              <w:t>税前</w:t>
            </w:r>
            <w:r>
              <w:rPr>
                <w:rFonts w:hint="eastAsia" w:ascii="仿宋" w:hAnsi="仿宋" w:eastAsia="仿宋" w:cs="仿宋"/>
                <w:sz w:val="28"/>
                <w:szCs w:val="28"/>
              </w:rPr>
              <w:t>金额合计：</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574" w:type="dxa"/>
            <w:gridSpan w:val="8"/>
            <w:tcBorders>
              <w:top w:val="single" w:color="auto" w:sz="6" w:space="0"/>
              <w:left w:val="single" w:color="auto" w:sz="6" w:space="0"/>
              <w:bottom w:val="single" w:color="auto" w:sz="6" w:space="0"/>
              <w:right w:val="single" w:color="auto" w:sz="6" w:space="0"/>
            </w:tcBorders>
          </w:tcPr>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r>
              <w:rPr>
                <w:rFonts w:hint="eastAsia" w:ascii="仿宋" w:hAnsi="仿宋" w:eastAsia="仿宋" w:cs="仿宋"/>
                <w:sz w:val="28"/>
                <w:szCs w:val="28"/>
              </w:rPr>
              <w:t>金额合计：</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30" w:name="_Toc211248412"/>
      <w:r>
        <w:rPr>
          <w:rFonts w:hint="eastAsia" w:ascii="仿宋" w:hAnsi="仿宋" w:eastAsia="仿宋" w:cs="仿宋"/>
          <w:sz w:val="28"/>
          <w:szCs w:val="28"/>
        </w:rPr>
        <w:br w:type="page"/>
      </w:r>
      <w:bookmarkEnd w:id="30"/>
      <w:bookmarkStart w:id="31" w:name="_Toc128989109"/>
      <w:bookmarkStart w:id="32" w:name="_Toc54773233"/>
      <w:r>
        <w:rPr>
          <w:rFonts w:hint="eastAsia" w:ascii="仿宋" w:hAnsi="仿宋" w:eastAsia="仿宋" w:cs="仿宋"/>
          <w:sz w:val="28"/>
          <w:szCs w:val="28"/>
        </w:rPr>
        <w:t>附件5：报价一览表（工程</w:t>
      </w:r>
      <w:r>
        <w:rPr>
          <w:rFonts w:hint="eastAsia" w:ascii="仿宋" w:hAnsi="仿宋" w:eastAsia="仿宋" w:cs="仿宋"/>
          <w:color w:val="auto"/>
          <w:sz w:val="28"/>
          <w:szCs w:val="28"/>
        </w:rPr>
        <w:t>）（本项目不适用）</w:t>
      </w:r>
      <w:bookmarkEnd w:id="31"/>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15"/>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3" w:name="_Toc128989110"/>
      <w:r>
        <w:rPr>
          <w:rFonts w:hint="eastAsia" w:ascii="仿宋" w:hAnsi="仿宋" w:eastAsia="仿宋" w:cs="仿宋"/>
          <w:color w:val="000000"/>
          <w:sz w:val="28"/>
          <w:szCs w:val="28"/>
        </w:rPr>
        <w:t>附件6：商务条款响应/偏离表</w:t>
      </w:r>
      <w:bookmarkEnd w:id="33"/>
    </w:p>
    <w:p>
      <w:pPr>
        <w:adjustRightInd w:val="0"/>
        <w:snapToGrid w:val="0"/>
        <w:spacing w:before="240" w:after="240" w:line="400" w:lineRule="exact"/>
        <w:jc w:val="center"/>
        <w:rPr>
          <w:rFonts w:ascii="仿宋" w:hAnsi="仿宋" w:eastAsia="仿宋" w:cs="仿宋"/>
          <w:color w:val="000000"/>
          <w:sz w:val="28"/>
          <w:szCs w:val="28"/>
        </w:rPr>
      </w:pPr>
      <w:bookmarkStart w:id="34"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4"/>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5" w:name="_Toc236803114"/>
      <w:bookmarkStart w:id="36" w:name="_Toc85808702"/>
      <w:bookmarkStart w:id="37" w:name="_Toc128989111"/>
      <w:r>
        <w:rPr>
          <w:rFonts w:hint="eastAsia" w:ascii="仿宋" w:hAnsi="仿宋" w:eastAsia="仿宋" w:cs="仿宋"/>
          <w:color w:val="000000"/>
          <w:sz w:val="28"/>
          <w:szCs w:val="28"/>
        </w:rPr>
        <w:t>附件7： 技术（服务）响应/偏离表</w:t>
      </w:r>
      <w:bookmarkEnd w:id="35"/>
      <w:bookmarkEnd w:id="36"/>
      <w:bookmarkEnd w:id="37"/>
    </w:p>
    <w:p>
      <w:pPr>
        <w:adjustRightInd w:val="0"/>
        <w:snapToGrid w:val="0"/>
        <w:spacing w:before="240" w:after="240" w:line="400" w:lineRule="exact"/>
        <w:jc w:val="center"/>
        <w:rPr>
          <w:rFonts w:ascii="仿宋" w:hAnsi="仿宋" w:eastAsia="仿宋" w:cs="仿宋"/>
          <w:color w:val="000000"/>
          <w:sz w:val="28"/>
          <w:szCs w:val="28"/>
        </w:rPr>
      </w:pPr>
      <w:bookmarkStart w:id="38"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8"/>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9" w:name="_Toc128989112"/>
      <w:r>
        <w:rPr>
          <w:rFonts w:hint="eastAsia" w:ascii="仿宋" w:hAnsi="仿宋" w:eastAsia="仿宋" w:cs="仿宋"/>
          <w:sz w:val="28"/>
          <w:szCs w:val="28"/>
        </w:rPr>
        <w:t>附件8：法定代表人证明书</w:t>
      </w:r>
      <w:bookmarkEnd w:id="32"/>
      <w:bookmarkEnd w:id="39"/>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0"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1" w:name="_Toc128989113"/>
      <w:r>
        <w:rPr>
          <w:rFonts w:hint="eastAsia" w:ascii="仿宋" w:hAnsi="仿宋" w:eastAsia="仿宋" w:cs="仿宋"/>
          <w:sz w:val="28"/>
          <w:szCs w:val="28"/>
        </w:rPr>
        <w:t>附件9：法人授权委托证明书</w:t>
      </w:r>
      <w:bookmarkEnd w:id="40"/>
      <w:bookmarkEnd w:id="4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2" w:name="_Toc128989114"/>
      <w:bookmarkStart w:id="43" w:name="_Toc54773235"/>
      <w:r>
        <w:rPr>
          <w:rFonts w:hint="eastAsia" w:ascii="仿宋" w:hAnsi="仿宋" w:eastAsia="仿宋" w:cs="仿宋"/>
          <w:sz w:val="28"/>
          <w:szCs w:val="28"/>
        </w:rPr>
        <w:t>附件10：经营业绩一览表</w:t>
      </w:r>
      <w:bookmarkEnd w:id="42"/>
      <w:bookmarkEnd w:id="43"/>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4" w:name="_Toc54773236"/>
      <w:bookmarkStart w:id="45" w:name="_Toc128989115"/>
      <w:r>
        <w:rPr>
          <w:rFonts w:hint="eastAsia" w:ascii="仿宋" w:hAnsi="仿宋" w:eastAsia="仿宋" w:cs="仿宋"/>
          <w:sz w:val="28"/>
          <w:szCs w:val="28"/>
        </w:rPr>
        <w:t>附件11：售后服务承诺书</w:t>
      </w:r>
      <w:bookmarkEnd w:id="44"/>
      <w:r>
        <w:rPr>
          <w:rFonts w:ascii="仿宋" w:hAnsi="仿宋" w:eastAsia="仿宋" w:cs="仿宋"/>
          <w:sz w:val="28"/>
          <w:szCs w:val="28"/>
        </w:rPr>
        <w:t>/质量保修服务承诺书（根据项目类型选择）</w:t>
      </w:r>
      <w:bookmarkEnd w:id="45"/>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6" w:name="_Toc32341"/>
      <w:r>
        <w:rPr>
          <w:rFonts w:hint="eastAsia" w:ascii="仿宋" w:hAnsi="仿宋" w:eastAsia="仿宋" w:cs="仿宋"/>
          <w:sz w:val="28"/>
          <w:szCs w:val="28"/>
        </w:rPr>
        <w:br w:type="page"/>
      </w:r>
      <w:bookmarkStart w:id="47" w:name="_Toc128989116"/>
      <w:bookmarkStart w:id="48" w:name="_Toc54773237"/>
      <w:r>
        <w:rPr>
          <w:rFonts w:hint="eastAsia" w:ascii="仿宋" w:hAnsi="仿宋" w:eastAsia="仿宋" w:cs="仿宋"/>
          <w:sz w:val="28"/>
          <w:szCs w:val="28"/>
        </w:rPr>
        <w:t>附件12：履约情况及社会信誉承诺书</w:t>
      </w:r>
      <w:bookmarkEnd w:id="46"/>
      <w:bookmarkEnd w:id="47"/>
      <w:bookmarkEnd w:id="48"/>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9"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9"/>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0" w:name="_Toc128989117"/>
      <w:r>
        <w:rPr>
          <w:rFonts w:hint="eastAsia" w:ascii="仿宋" w:hAnsi="仿宋" w:eastAsia="仿宋" w:cs="仿宋"/>
          <w:sz w:val="28"/>
          <w:szCs w:val="28"/>
        </w:rPr>
        <w:t>附件13：投标文件密码</w:t>
      </w:r>
      <w:bookmarkEnd w:id="50"/>
    </w:p>
    <w:p>
      <w:pPr>
        <w:spacing w:line="360" w:lineRule="auto"/>
        <w:jc w:val="center"/>
        <w:rPr>
          <w:rFonts w:ascii="宋体" w:hAnsi="宋体"/>
          <w:b/>
          <w:sz w:val="44"/>
          <w:szCs w:val="44"/>
        </w:rPr>
      </w:pPr>
    </w:p>
    <w:p>
      <w:pPr>
        <w:jc w:val="center"/>
        <w:rPr>
          <w:rFonts w:ascii="宋体" w:hAnsi="宋体"/>
          <w:b/>
          <w:color w:val="000000"/>
          <w:sz w:val="32"/>
          <w:szCs w:val="32"/>
        </w:rPr>
      </w:pPr>
      <w:bookmarkStart w:id="51"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1"/>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4"/>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4"/>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japaneseCounting"/>
      <w:lvlText w:val="（%1）"/>
      <w:lvlJc w:val="left"/>
      <w:pPr>
        <w:tabs>
          <w:tab w:val="left" w:pos="720"/>
        </w:tabs>
        <w:ind w:left="387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00777ED3"/>
    <w:multiLevelType w:val="multilevel"/>
    <w:tmpl w:val="00777ED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146EEF"/>
    <w:multiLevelType w:val="multilevel"/>
    <w:tmpl w:val="35146E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2D6470"/>
    <w:multiLevelType w:val="singleLevel"/>
    <w:tmpl w:val="472D6470"/>
    <w:lvl w:ilvl="0" w:tentative="0">
      <w:start w:val="1"/>
      <w:numFmt w:val="decimal"/>
      <w:lvlText w:val="%1."/>
      <w:lvlJc w:val="left"/>
      <w:pPr>
        <w:ind w:left="425" w:hanging="425"/>
      </w:pPr>
      <w:rPr>
        <w:rFonts w:hint="default"/>
      </w:rPr>
    </w:lvl>
  </w:abstractNum>
  <w:abstractNum w:abstractNumId="16">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2">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21"/>
  </w:num>
  <w:num w:numId="3">
    <w:abstractNumId w:val="12"/>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7"/>
  </w:num>
  <w:num w:numId="9">
    <w:abstractNumId w:val="11"/>
  </w:num>
  <w:num w:numId="10">
    <w:abstractNumId w:val="5"/>
  </w:num>
  <w:num w:numId="11">
    <w:abstractNumId w:val="15"/>
  </w:num>
  <w:num w:numId="12">
    <w:abstractNumId w:val="3"/>
  </w:num>
  <w:num w:numId="13">
    <w:abstractNumId w:val="20"/>
  </w:num>
  <w:num w:numId="14">
    <w:abstractNumId w:val="13"/>
  </w:num>
  <w:num w:numId="15">
    <w:abstractNumId w:val="10"/>
  </w:num>
  <w:num w:numId="16">
    <w:abstractNumId w:val="1"/>
  </w:num>
  <w:num w:numId="17">
    <w:abstractNumId w:val="6"/>
  </w:num>
  <w:num w:numId="18">
    <w:abstractNumId w:val="2"/>
  </w:num>
  <w:num w:numId="19">
    <w:abstractNumId w:val="22"/>
  </w:num>
  <w:num w:numId="20">
    <w:abstractNumId w:val="14"/>
  </w:num>
  <w:num w:numId="21">
    <w:abstractNumId w:val="19"/>
  </w:num>
  <w:num w:numId="22">
    <w:abstractNumId w:val="4"/>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646CA3"/>
    <w:rsid w:val="016918A2"/>
    <w:rsid w:val="0287517D"/>
    <w:rsid w:val="030E435A"/>
    <w:rsid w:val="038B1947"/>
    <w:rsid w:val="03914474"/>
    <w:rsid w:val="047B57B9"/>
    <w:rsid w:val="04C87066"/>
    <w:rsid w:val="05623C89"/>
    <w:rsid w:val="06D05917"/>
    <w:rsid w:val="072A0594"/>
    <w:rsid w:val="08B7605C"/>
    <w:rsid w:val="09135DCA"/>
    <w:rsid w:val="0927318E"/>
    <w:rsid w:val="09550008"/>
    <w:rsid w:val="098125AB"/>
    <w:rsid w:val="0AA07DA9"/>
    <w:rsid w:val="0B150F41"/>
    <w:rsid w:val="0BB540F7"/>
    <w:rsid w:val="0BBA6414"/>
    <w:rsid w:val="0CBF3E0A"/>
    <w:rsid w:val="0D6C68DD"/>
    <w:rsid w:val="0DE325EB"/>
    <w:rsid w:val="0E4B7C02"/>
    <w:rsid w:val="0FE67E91"/>
    <w:rsid w:val="0FF1753D"/>
    <w:rsid w:val="0FF30054"/>
    <w:rsid w:val="114C469F"/>
    <w:rsid w:val="115941AA"/>
    <w:rsid w:val="11672EFE"/>
    <w:rsid w:val="12233FCD"/>
    <w:rsid w:val="12843799"/>
    <w:rsid w:val="17190385"/>
    <w:rsid w:val="1793571F"/>
    <w:rsid w:val="17DF0A39"/>
    <w:rsid w:val="17F6273C"/>
    <w:rsid w:val="1828123D"/>
    <w:rsid w:val="18A624A5"/>
    <w:rsid w:val="191A16BA"/>
    <w:rsid w:val="19C9440F"/>
    <w:rsid w:val="1B393F6A"/>
    <w:rsid w:val="1B5A546C"/>
    <w:rsid w:val="1B764D9C"/>
    <w:rsid w:val="1B9A1A18"/>
    <w:rsid w:val="1C7B074C"/>
    <w:rsid w:val="1C8178BE"/>
    <w:rsid w:val="1CCD79EE"/>
    <w:rsid w:val="1D012599"/>
    <w:rsid w:val="1D9D4BEE"/>
    <w:rsid w:val="1E020668"/>
    <w:rsid w:val="1E1C321D"/>
    <w:rsid w:val="1E6A5405"/>
    <w:rsid w:val="1E7F2796"/>
    <w:rsid w:val="22C64C6F"/>
    <w:rsid w:val="22C90A12"/>
    <w:rsid w:val="252941C0"/>
    <w:rsid w:val="27AF7262"/>
    <w:rsid w:val="28333845"/>
    <w:rsid w:val="28413D6F"/>
    <w:rsid w:val="28C21443"/>
    <w:rsid w:val="29034B8F"/>
    <w:rsid w:val="298D33FE"/>
    <w:rsid w:val="2A19787B"/>
    <w:rsid w:val="2A694883"/>
    <w:rsid w:val="2A7E691D"/>
    <w:rsid w:val="2B2075FC"/>
    <w:rsid w:val="2B733A0B"/>
    <w:rsid w:val="2C473337"/>
    <w:rsid w:val="2C510F76"/>
    <w:rsid w:val="2D341708"/>
    <w:rsid w:val="2DD81582"/>
    <w:rsid w:val="2DE06B0E"/>
    <w:rsid w:val="2F7934AE"/>
    <w:rsid w:val="2FA92955"/>
    <w:rsid w:val="2FAD3F9D"/>
    <w:rsid w:val="2FB81CD2"/>
    <w:rsid w:val="308A6504"/>
    <w:rsid w:val="321006D0"/>
    <w:rsid w:val="32A82BA2"/>
    <w:rsid w:val="335A720C"/>
    <w:rsid w:val="3368410F"/>
    <w:rsid w:val="33984304"/>
    <w:rsid w:val="347E0722"/>
    <w:rsid w:val="3486272E"/>
    <w:rsid w:val="360109F6"/>
    <w:rsid w:val="36F03147"/>
    <w:rsid w:val="37310B23"/>
    <w:rsid w:val="376406E3"/>
    <w:rsid w:val="376E2FF2"/>
    <w:rsid w:val="37876B51"/>
    <w:rsid w:val="37C91299"/>
    <w:rsid w:val="37CB1E7C"/>
    <w:rsid w:val="37E94C59"/>
    <w:rsid w:val="38322BBF"/>
    <w:rsid w:val="38C86E00"/>
    <w:rsid w:val="39922AE4"/>
    <w:rsid w:val="39F53AE5"/>
    <w:rsid w:val="3A111A8F"/>
    <w:rsid w:val="3A9A4056"/>
    <w:rsid w:val="3AD75885"/>
    <w:rsid w:val="3B40215F"/>
    <w:rsid w:val="3BCF39AC"/>
    <w:rsid w:val="3BEA21CB"/>
    <w:rsid w:val="3C681CBB"/>
    <w:rsid w:val="3C974E78"/>
    <w:rsid w:val="3CC2241B"/>
    <w:rsid w:val="3D0C7562"/>
    <w:rsid w:val="3E857452"/>
    <w:rsid w:val="3F501CFE"/>
    <w:rsid w:val="3F5E1222"/>
    <w:rsid w:val="41AE46E3"/>
    <w:rsid w:val="43192BBD"/>
    <w:rsid w:val="43334C92"/>
    <w:rsid w:val="443F325B"/>
    <w:rsid w:val="44663420"/>
    <w:rsid w:val="4479539E"/>
    <w:rsid w:val="44D742D8"/>
    <w:rsid w:val="452E5288"/>
    <w:rsid w:val="4612476D"/>
    <w:rsid w:val="47195C31"/>
    <w:rsid w:val="47292BEC"/>
    <w:rsid w:val="472C0120"/>
    <w:rsid w:val="481C5C5C"/>
    <w:rsid w:val="482360E6"/>
    <w:rsid w:val="488815AF"/>
    <w:rsid w:val="48D32A87"/>
    <w:rsid w:val="4A1D4FA7"/>
    <w:rsid w:val="4B0C6E2E"/>
    <w:rsid w:val="4B825D97"/>
    <w:rsid w:val="4C314B4E"/>
    <w:rsid w:val="4C844900"/>
    <w:rsid w:val="4D2C3378"/>
    <w:rsid w:val="4E3426DD"/>
    <w:rsid w:val="4E976357"/>
    <w:rsid w:val="4F447498"/>
    <w:rsid w:val="4FA802CA"/>
    <w:rsid w:val="50764612"/>
    <w:rsid w:val="50BE0CEF"/>
    <w:rsid w:val="51CB596B"/>
    <w:rsid w:val="52DD6190"/>
    <w:rsid w:val="52EE0307"/>
    <w:rsid w:val="52F57C70"/>
    <w:rsid w:val="532F3286"/>
    <w:rsid w:val="53FE2BDF"/>
    <w:rsid w:val="54A93EEA"/>
    <w:rsid w:val="55B07AA1"/>
    <w:rsid w:val="55C74643"/>
    <w:rsid w:val="561332A1"/>
    <w:rsid w:val="568B18C2"/>
    <w:rsid w:val="571925E0"/>
    <w:rsid w:val="57CC741D"/>
    <w:rsid w:val="5991464D"/>
    <w:rsid w:val="59A448F2"/>
    <w:rsid w:val="5A350036"/>
    <w:rsid w:val="5B6C034E"/>
    <w:rsid w:val="5C4C7BC9"/>
    <w:rsid w:val="5C692729"/>
    <w:rsid w:val="5C9546B7"/>
    <w:rsid w:val="5CA52C31"/>
    <w:rsid w:val="5DE55498"/>
    <w:rsid w:val="5EB66460"/>
    <w:rsid w:val="5F4B6B81"/>
    <w:rsid w:val="5F7C7776"/>
    <w:rsid w:val="60C13881"/>
    <w:rsid w:val="615E224C"/>
    <w:rsid w:val="619B20E5"/>
    <w:rsid w:val="62F50D91"/>
    <w:rsid w:val="63141A74"/>
    <w:rsid w:val="63AB66B8"/>
    <w:rsid w:val="65297D03"/>
    <w:rsid w:val="65D954A8"/>
    <w:rsid w:val="66C479A4"/>
    <w:rsid w:val="67027BAA"/>
    <w:rsid w:val="679D0A8D"/>
    <w:rsid w:val="67DD1DA1"/>
    <w:rsid w:val="688D584D"/>
    <w:rsid w:val="68D4038F"/>
    <w:rsid w:val="693F5DDD"/>
    <w:rsid w:val="69A30E21"/>
    <w:rsid w:val="6AD21273"/>
    <w:rsid w:val="6B223A33"/>
    <w:rsid w:val="6C67312A"/>
    <w:rsid w:val="6D066C34"/>
    <w:rsid w:val="6D9018A4"/>
    <w:rsid w:val="6E1B6D8D"/>
    <w:rsid w:val="6E597A7A"/>
    <w:rsid w:val="6F4A172C"/>
    <w:rsid w:val="6FBE3414"/>
    <w:rsid w:val="70157E72"/>
    <w:rsid w:val="70D04C01"/>
    <w:rsid w:val="716D0C34"/>
    <w:rsid w:val="721F0F5F"/>
    <w:rsid w:val="74701065"/>
    <w:rsid w:val="75106734"/>
    <w:rsid w:val="751975AF"/>
    <w:rsid w:val="755A63B4"/>
    <w:rsid w:val="75864917"/>
    <w:rsid w:val="764269C5"/>
    <w:rsid w:val="76906484"/>
    <w:rsid w:val="772E3E17"/>
    <w:rsid w:val="778B51DA"/>
    <w:rsid w:val="77963D58"/>
    <w:rsid w:val="77AE63C2"/>
    <w:rsid w:val="78D435AA"/>
    <w:rsid w:val="791E7045"/>
    <w:rsid w:val="7A734913"/>
    <w:rsid w:val="7AAD518C"/>
    <w:rsid w:val="7C57508E"/>
    <w:rsid w:val="7CC844A3"/>
    <w:rsid w:val="7CDC1ADA"/>
    <w:rsid w:val="7D910439"/>
    <w:rsid w:val="7DBE67E3"/>
    <w:rsid w:val="7DDD49A3"/>
    <w:rsid w:val="7E111751"/>
    <w:rsid w:val="7E116F68"/>
    <w:rsid w:val="7F5635B1"/>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15868</Words>
  <Characters>17498</Characters>
  <Lines>95</Lines>
  <Paragraphs>27</Paragraphs>
  <TotalTime>14</TotalTime>
  <ScaleCrop>false</ScaleCrop>
  <LinksUpToDate>false</LinksUpToDate>
  <CharactersWithSpaces>20397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2023-08-21T08:07:00Z</cp:lastPrinted>
  <dcterms:modified xsi:type="dcterms:W3CDTF">2023-08-24T03:14:41Z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9901C2843E27488F89F15E8E12AC4A5F</vt:lpwstr>
  </property>
</Properties>
</file>