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eastAsia="宋体"/>
          <w:b w:val="0"/>
          <w:sz w:val="21"/>
          <w:szCs w:val="24"/>
          <w:lang w:eastAsia="zh-CN"/>
        </w:rPr>
      </w:pPr>
      <w:r>
        <w:rPr>
          <w:rFonts w:hint="default" w:ascii="Times New Roman" w:eastAsia="宋体"/>
          <w:b w:val="0"/>
          <w:sz w:val="21"/>
          <w:szCs w:val="24"/>
          <w:lang w:eastAsia="zh-CN"/>
        </w:rPr>
        <w:tab/>
      </w: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color w:val="auto"/>
          <w:sz w:val="32"/>
          <w:szCs w:val="32"/>
          <w:highlight w:val="none"/>
        </w:rPr>
        <w:t>深圳会展中心照明控制系统维护保养项目</w:t>
      </w:r>
      <w:bookmarkEnd w:id="0"/>
      <w:r>
        <w:rPr>
          <w:rFonts w:hint="eastAsia" w:ascii="方正小标宋简体" w:hAnsi="方正小标宋_GBK" w:eastAsia="方正小标宋简体" w:cs="方正小标宋_GBK"/>
          <w:b/>
          <w:color w:val="auto"/>
          <w:sz w:val="32"/>
          <w:szCs w:val="32"/>
          <w:highlight w:val="none"/>
          <w:lang w:eastAsia="zh-CN"/>
        </w:rPr>
        <w:t>（</w:t>
      </w:r>
      <w:r>
        <w:rPr>
          <w:rFonts w:hint="eastAsia" w:ascii="方正小标宋简体" w:hAnsi="方正小标宋_GBK" w:eastAsia="方正小标宋简体" w:cs="方正小标宋_GBK"/>
          <w:b/>
          <w:color w:val="auto"/>
          <w:sz w:val="32"/>
          <w:szCs w:val="32"/>
          <w:highlight w:val="none"/>
          <w:lang w:val="en-US" w:eastAsia="zh-CN"/>
        </w:rPr>
        <w:t>二次启动</w:t>
      </w:r>
      <w:r>
        <w:rPr>
          <w:rFonts w:hint="eastAsia" w:ascii="方正小标宋简体" w:hAnsi="方正小标宋_GBK" w:eastAsia="方正小标宋简体" w:cs="方正小标宋_GBK"/>
          <w:b/>
          <w:color w:val="auto"/>
          <w:sz w:val="32"/>
          <w:szCs w:val="32"/>
          <w:highlight w:val="none"/>
          <w:lang w:eastAsia="zh-CN"/>
        </w:rPr>
        <w:t>）</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08</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_Toc32663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_Toc32663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_Toc10781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_Toc10781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_Toc14377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highlight w:val="none"/>
        </w:rPr>
        <w:t>特别说明</w:t>
      </w:r>
      <w:r>
        <w:tab/>
      </w:r>
      <w:r>
        <w:fldChar w:fldCharType="begin"/>
      </w:r>
      <w:r>
        <w:instrText xml:space="preserve"> PAGEREF _Toc14377 \h </w:instrText>
      </w:r>
      <w:r>
        <w:fldChar w:fldCharType="separate"/>
      </w:r>
      <w:r>
        <w:t>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_Toc1759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_Toc1759 \h </w:instrText>
      </w:r>
      <w:r>
        <w:fldChar w:fldCharType="separate"/>
      </w:r>
      <w:r>
        <w:t>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_Toc2847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_Toc2847 \h </w:instrText>
      </w:r>
      <w:r>
        <w:fldChar w:fldCharType="separate"/>
      </w:r>
      <w:r>
        <w:t>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_Toc23655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cs="宋体"/>
          <w:bCs/>
          <w:szCs w:val="21"/>
          <w:lang w:eastAsia="zh-CN"/>
        </w:rPr>
        <w:t>其他</w:t>
      </w:r>
      <w:r>
        <w:rPr>
          <w:rFonts w:hint="eastAsia" w:ascii="宋体" w:hAnsi="宋体" w:cs="宋体"/>
          <w:bCs/>
          <w:szCs w:val="21"/>
        </w:rPr>
        <w:t>要求</w:t>
      </w:r>
      <w:r>
        <w:tab/>
      </w:r>
      <w:r>
        <w:fldChar w:fldCharType="begin"/>
      </w:r>
      <w:r>
        <w:instrText xml:space="preserve"> PAGEREF _Toc23655 \h </w:instrText>
      </w:r>
      <w:r>
        <w:fldChar w:fldCharType="separate"/>
      </w:r>
      <w:r>
        <w:t>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_Toc227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_Toc227 \h </w:instrText>
      </w:r>
      <w:r>
        <w:fldChar w:fldCharType="separate"/>
      </w:r>
      <w:r>
        <w:t>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_Toc29478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_Toc29478 \h </w:instrText>
      </w:r>
      <w:r>
        <w:fldChar w:fldCharType="separate"/>
      </w:r>
      <w:r>
        <w:t>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_Toc17188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_Toc17188 \h </w:instrText>
      </w:r>
      <w:r>
        <w:fldChar w:fldCharType="separate"/>
      </w:r>
      <w:r>
        <w:t>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_Toc19720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_Toc19720 \h </w:instrText>
      </w:r>
      <w:r>
        <w:fldChar w:fldCharType="separate"/>
      </w:r>
      <w:r>
        <w:t>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_Toc14129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_Toc14129 \h </w:instrText>
      </w:r>
      <w:r>
        <w:fldChar w:fldCharType="separate"/>
      </w:r>
      <w:r>
        <w:t>9</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_Toc16617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_Toc16617 \h </w:instrText>
      </w:r>
      <w:r>
        <w:fldChar w:fldCharType="separate"/>
      </w:r>
      <w:r>
        <w:t>9</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_Toc27670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_Toc27670 \h </w:instrText>
      </w:r>
      <w:r>
        <w:fldChar w:fldCharType="separate"/>
      </w:r>
      <w:r>
        <w:t>9</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_Toc28350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_Toc28350 \h </w:instrText>
      </w:r>
      <w:r>
        <w:fldChar w:fldCharType="separate"/>
      </w:r>
      <w:r>
        <w:t>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_Toc681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_Toc681 \h </w:instrText>
      </w:r>
      <w:r>
        <w:fldChar w:fldCharType="separate"/>
      </w:r>
      <w:r>
        <w:t>12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_Toc14836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_Toc14836 \h </w:instrText>
      </w:r>
      <w:r>
        <w:fldChar w:fldCharType="separate"/>
      </w:r>
      <w:r>
        <w:t>22</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_Toc9956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_Toc9956 \h </w:instrText>
      </w:r>
      <w:r>
        <w:fldChar w:fldCharType="separate"/>
      </w:r>
      <w:r>
        <w:t>22</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_Toc9167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_Toc9167 \h </w:instrText>
      </w:r>
      <w:r>
        <w:fldChar w:fldCharType="separate"/>
      </w:r>
      <w:r>
        <w:t>23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_Toc11592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_Toc11592 \h </w:instrText>
      </w:r>
      <w:r>
        <w:fldChar w:fldCharType="separate"/>
      </w:r>
      <w:r>
        <w:t>24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_Toc28123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_Toc28123 \h </w:instrText>
      </w:r>
      <w:r>
        <w:fldChar w:fldCharType="separate"/>
      </w:r>
      <w:r>
        <w:t>25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_Toc15388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_Toc15388 \h </w:instrText>
      </w:r>
      <w:r>
        <w:fldChar w:fldCharType="separate"/>
      </w:r>
      <w:r>
        <w:t>26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_Toc27806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_Toc27806 \h </w:instrText>
      </w:r>
      <w:r>
        <w:fldChar w:fldCharType="separate"/>
      </w:r>
      <w:r>
        <w:t>27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_Toc26553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_Toc26553 \h </w:instrText>
      </w:r>
      <w:r>
        <w:fldChar w:fldCharType="separate"/>
      </w:r>
      <w:r>
        <w:t>28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_Toc30003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_Toc30003 \h </w:instrText>
      </w:r>
      <w:r>
        <w:fldChar w:fldCharType="separate"/>
      </w:r>
      <w:r>
        <w:t>29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_Toc8787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_Toc8787 \h </w:instrText>
      </w:r>
      <w:r>
        <w:fldChar w:fldCharType="separate"/>
      </w:r>
      <w:r>
        <w:t>30</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_Toc25724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_Toc25724 \h </w:instrText>
      </w:r>
      <w:r>
        <w:fldChar w:fldCharType="separate"/>
      </w:r>
      <w:r>
        <w:t>31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_Toc8916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_Toc8916 \h </w:instrText>
      </w:r>
      <w:r>
        <w:fldChar w:fldCharType="separate"/>
      </w:r>
      <w:r>
        <w:t>32</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_Toc29953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_Toc29953 \h </w:instrText>
      </w:r>
      <w:r>
        <w:fldChar w:fldCharType="separate"/>
      </w:r>
      <w:r>
        <w:t>33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_Toc17351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_Toc17351 \h </w:instrText>
      </w:r>
      <w:r>
        <w:fldChar w:fldCharType="separate"/>
      </w:r>
      <w:r>
        <w:t>34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_Toc192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_Toc192 \h </w:instrText>
      </w:r>
      <w:r>
        <w:fldChar w:fldCharType="separate"/>
      </w:r>
      <w:r>
        <w:t>35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_Toc8806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_Toc8806 \h </w:instrText>
      </w:r>
      <w:r>
        <w:fldChar w:fldCharType="separate"/>
      </w:r>
      <w:r>
        <w:t>36</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32663"/>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0781"/>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color w:val="auto"/>
                <w:szCs w:val="21"/>
              </w:rPr>
            </w:pPr>
            <w:r>
              <w:rPr>
                <w:rFonts w:hint="eastAsia" w:ascii="宋体" w:hAnsi="宋体"/>
                <w:bCs/>
                <w:color w:val="auto"/>
                <w:szCs w:val="21"/>
              </w:rPr>
              <w:t>招标人</w:t>
            </w:r>
          </w:p>
        </w:tc>
        <w:tc>
          <w:tcPr>
            <w:tcW w:w="7029" w:type="dxa"/>
            <w:vAlign w:val="center"/>
          </w:tcPr>
          <w:p>
            <w:pPr>
              <w:wordWrap w:val="0"/>
              <w:autoSpaceDE w:val="0"/>
              <w:autoSpaceDN w:val="0"/>
              <w:adjustRightInd w:val="0"/>
              <w:snapToGrid w:val="0"/>
              <w:rPr>
                <w:rFonts w:ascii="宋体" w:hAnsi="宋体"/>
                <w:color w:val="auto"/>
                <w:szCs w:val="21"/>
              </w:rPr>
            </w:pPr>
            <w:r>
              <w:rPr>
                <w:rFonts w:hint="eastAsia" w:ascii="宋体" w:hAnsi="宋体"/>
                <w:color w:val="auto"/>
                <w:szCs w:val="21"/>
              </w:rPr>
              <w:t>名称：深圳会展中心管理有限责任公司</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联系地址：深圳市福田区福华三路深圳会展中心</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联系人：刘女士</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电话：0755-82848826</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传真：0755-8284</w:t>
            </w:r>
            <w:r>
              <w:rPr>
                <w:rFonts w:hint="eastAsia" w:ascii="宋体" w:hAnsi="宋体"/>
                <w:color w:val="auto"/>
                <w:szCs w:val="21"/>
                <w:lang w:val="en-US" w:eastAsia="zh-CN"/>
              </w:rPr>
              <w:t>8</w:t>
            </w:r>
            <w:r>
              <w:rPr>
                <w:rFonts w:hint="eastAsia" w:ascii="宋体" w:hAnsi="宋体"/>
                <w:color w:val="auto"/>
                <w:szCs w:val="21"/>
              </w:rPr>
              <w:t>694</w:t>
            </w:r>
          </w:p>
          <w:p>
            <w:pPr>
              <w:wordWrap w:val="0"/>
              <w:autoSpaceDE w:val="0"/>
              <w:autoSpaceDN w:val="0"/>
              <w:adjustRightInd w:val="0"/>
              <w:snapToGrid w:val="0"/>
              <w:rPr>
                <w:rFonts w:ascii="宋体" w:hAnsi="宋体"/>
                <w:color w:val="auto"/>
                <w:kern w:val="0"/>
                <w:szCs w:val="21"/>
                <w:u w:val="single"/>
              </w:rPr>
            </w:pPr>
            <w:r>
              <w:rPr>
                <w:rFonts w:hint="eastAsia" w:ascii="宋体" w:hAnsi="宋体"/>
                <w:color w:val="auto"/>
                <w:szCs w:val="21"/>
              </w:rPr>
              <w:t>邮箱：</w:t>
            </w:r>
            <w:r>
              <w:rPr>
                <w:color w:val="auto"/>
              </w:rPr>
              <w:fldChar w:fldCharType="begin"/>
            </w:r>
            <w:r>
              <w:rPr>
                <w:color w:val="auto"/>
              </w:rPr>
              <w:instrText xml:space="preserve"> HYPERLINK "mailto:*@qq.com" </w:instrText>
            </w:r>
            <w:r>
              <w:rPr>
                <w:color w:val="auto"/>
              </w:rPr>
              <w:fldChar w:fldCharType="separate"/>
            </w:r>
            <w:r>
              <w:rPr>
                <w:rFonts w:hint="eastAsia" w:ascii="宋体" w:hAnsi="宋体"/>
                <w:color w:val="auto"/>
                <w:szCs w:val="21"/>
              </w:rPr>
              <w:t>liuxh@c</w:t>
            </w:r>
            <w:r>
              <w:rPr>
                <w:rFonts w:hint="eastAsia" w:ascii="宋体" w:hAnsi="宋体"/>
                <w:color w:val="auto"/>
                <w:szCs w:val="21"/>
              </w:rPr>
              <w:fldChar w:fldCharType="end"/>
            </w:r>
            <w:r>
              <w:rPr>
                <w:rFonts w:hint="eastAsia" w:ascii="宋体" w:hAnsi="宋体"/>
                <w:color w:val="auto"/>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深圳会展中心照明控制系统维护保养项目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二次启动</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为保障深圳会展中心照明控制系统安全稳定运行，拟通过公开招标方式，委托一家具有照明控制系统专业维修能力的公司进行维护保养。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深圳</w:t>
            </w:r>
            <w:r>
              <w:rPr>
                <w:rFonts w:hint="eastAsia" w:ascii="宋体" w:hAnsi="宋体"/>
                <w:color w:val="auto"/>
                <w:szCs w:val="21"/>
                <w:highlight w:val="none"/>
              </w:rPr>
              <w:t>会展中心</w:t>
            </w:r>
            <w:r>
              <w:rPr>
                <w:rFonts w:hint="eastAsia" w:ascii="宋体" w:hAnsi="宋体" w:cs="宋体"/>
                <w:b w:val="0"/>
                <w:bCs/>
                <w:color w:val="auto"/>
                <w:szCs w:val="21"/>
                <w:highlight w:val="none"/>
                <w:lang w:val="en-US" w:eastAsia="zh-CN"/>
              </w:rPr>
              <w:t>1-9号馆及公共区域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1095天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28</w:t>
            </w:r>
            <w:r>
              <w:rPr>
                <w:rFonts w:ascii="宋体" w:hAnsi="宋体"/>
                <w:szCs w:val="21"/>
              </w:rPr>
              <w:t xml:space="preserve"> </w:t>
            </w:r>
            <w:r>
              <w:rPr>
                <w:rFonts w:hint="eastAsia" w:ascii="宋体" w:hAnsi="宋体"/>
                <w:szCs w:val="21"/>
                <w:lang w:val="en-US" w:eastAsia="zh-CN"/>
              </w:rPr>
              <w:t>10</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lang w:val="en-US" w:eastAsia="zh-CN"/>
              </w:rPr>
              <w:t>https://cg.szcec.com/sharing/dTmP4dAKS</w:t>
            </w:r>
            <w:r>
              <w:rPr>
                <w:rFonts w:hint="eastAsia" w:ascii="宋体" w:hAnsi="宋体"/>
                <w:bCs/>
                <w:color w:val="FF0000"/>
                <w:highlight w:val="yellow"/>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5 17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lang w:val="en-US" w:eastAsia="zh-CN"/>
              </w:rPr>
              <w:t>https://cg.szcec.com/sharing/d8XEbfHQh</w:t>
            </w:r>
            <w:r>
              <w:rPr>
                <w:rFonts w:hint="eastAsia" w:ascii="宋体" w:hAnsi="宋体"/>
                <w:bCs/>
                <w:color w:val="FF0000"/>
                <w:highlight w:val="yellow"/>
              </w:rPr>
              <w:t>，</w:t>
            </w:r>
            <w:r>
              <w:rPr>
                <w:rFonts w:hint="eastAsia" w:ascii="宋体" w:hAnsi="宋体"/>
                <w:szCs w:val="21"/>
              </w:rPr>
              <w:t>并致电确认</w:t>
            </w:r>
            <w:bookmarkStart w:id="3" w:name="_Toc478110532"/>
            <w:bookmarkStart w:id="4" w:name="_Toc478392822"/>
            <w:bookmarkStart w:id="5" w:name="_Toc478393187"/>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lang w:val="en-US" w:eastAsia="zh-CN"/>
              </w:rPr>
              <w:t>200782314</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lang w:val="en-US" w:eastAsia="zh-CN"/>
              </w:rPr>
              <w:t>https://cg.szcec.com/sharing/2FV5gyEkq</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color w:val="auto"/>
                <w:kern w:val="0"/>
                <w:szCs w:val="21"/>
              </w:rPr>
            </w:pPr>
            <w:r>
              <w:rPr>
                <w:rFonts w:hint="eastAsia" w:ascii="宋体" w:hAnsi="宋体" w:cstheme="minorBidi"/>
                <w:color w:val="auto"/>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color w:val="auto"/>
                <w:kern w:val="0"/>
                <w:szCs w:val="21"/>
              </w:rPr>
            </w:pPr>
            <w:r>
              <w:rPr>
                <w:rFonts w:hint="eastAsia" w:ascii="宋体" w:hAnsi="宋体" w:cs="Segoe UI Symbol"/>
                <w:color w:val="auto"/>
                <w:kern w:val="0"/>
                <w:szCs w:val="21"/>
              </w:rPr>
              <w:sym w:font="Wingdings 2" w:char="00A3"/>
            </w:r>
            <w:r>
              <w:rPr>
                <w:rFonts w:hint="eastAsia" w:ascii="宋体" w:hAnsi="宋体" w:cstheme="minorBidi"/>
                <w:color w:val="auto"/>
                <w:kern w:val="0"/>
                <w:szCs w:val="21"/>
              </w:rPr>
              <w:t>不组织。可在本项目招标公告发布后至报名（文件获取）时间截止前自行踏勘。</w:t>
            </w:r>
          </w:p>
          <w:p>
            <w:pPr>
              <w:numPr>
                <w:ilvl w:val="0"/>
                <w:numId w:val="4"/>
              </w:numPr>
              <w:tabs>
                <w:tab w:val="left" w:pos="281"/>
                <w:tab w:val="left" w:pos="541"/>
              </w:tabs>
              <w:snapToGrid w:val="0"/>
              <w:spacing w:after="156" w:afterLines="50"/>
              <w:rPr>
                <w:rFonts w:ascii="宋体" w:hAnsi="宋体" w:cstheme="minorBidi"/>
                <w:color w:val="auto"/>
                <w:kern w:val="0"/>
                <w:szCs w:val="21"/>
              </w:rPr>
            </w:pPr>
            <w:r>
              <w:rPr>
                <w:rFonts w:hint="eastAsia" w:ascii="宋体" w:hAnsi="宋体" w:cstheme="minorBidi"/>
                <w:color w:val="auto"/>
                <w:kern w:val="0"/>
                <w:szCs w:val="21"/>
              </w:rPr>
              <w:sym w:font="Wingdings 2" w:char="0052"/>
            </w:r>
            <w:r>
              <w:rPr>
                <w:rFonts w:hint="eastAsia" w:ascii="宋体" w:hAnsi="宋体" w:cstheme="minorBidi"/>
                <w:color w:val="auto"/>
                <w:kern w:val="0"/>
                <w:szCs w:val="21"/>
              </w:rPr>
              <w:t>组织，踏勘要求：</w:t>
            </w:r>
          </w:p>
          <w:p>
            <w:pPr>
              <w:pStyle w:val="24"/>
              <w:numPr>
                <w:ilvl w:val="0"/>
                <w:numId w:val="5"/>
              </w:numPr>
              <w:tabs>
                <w:tab w:val="left" w:pos="541"/>
              </w:tabs>
              <w:snapToGrid w:val="0"/>
              <w:ind w:left="805" w:hanging="227" w:firstLineChars="0"/>
              <w:rPr>
                <w:rFonts w:ascii="宋体" w:hAnsi="宋体" w:eastAsia="宋体"/>
                <w:color w:val="auto"/>
                <w:kern w:val="0"/>
                <w:szCs w:val="21"/>
              </w:rPr>
            </w:pPr>
            <w:r>
              <w:rPr>
                <w:rFonts w:hint="eastAsia" w:ascii="宋体" w:hAnsi="宋体" w:eastAsia="宋体"/>
                <w:color w:val="auto"/>
                <w:kern w:val="0"/>
                <w:szCs w:val="21"/>
              </w:rPr>
              <w:t>投标人是否必须参加：</w:t>
            </w:r>
          </w:p>
          <w:p>
            <w:pPr>
              <w:pStyle w:val="24"/>
              <w:tabs>
                <w:tab w:val="left" w:pos="541"/>
              </w:tabs>
              <w:snapToGrid w:val="0"/>
              <w:ind w:left="805" w:firstLine="8" w:firstLineChars="4"/>
              <w:rPr>
                <w:rFonts w:ascii="宋体" w:hAnsi="宋体" w:eastAsia="宋体"/>
                <w:color w:val="auto"/>
                <w:kern w:val="0"/>
                <w:szCs w:val="21"/>
              </w:rPr>
            </w:pPr>
            <w:r>
              <w:rPr>
                <w:rFonts w:hint="eastAsia" w:ascii="宋体" w:hAnsi="宋体" w:eastAsia="宋体"/>
                <w:color w:val="auto"/>
                <w:kern w:val="0"/>
                <w:szCs w:val="21"/>
              </w:rPr>
              <w:sym w:font="Wingdings 2" w:char="0052"/>
            </w:r>
            <w:r>
              <w:rPr>
                <w:rFonts w:hint="eastAsia" w:ascii="宋体" w:hAnsi="宋体" w:eastAsia="宋体"/>
                <w:color w:val="auto"/>
                <w:kern w:val="0"/>
                <w:szCs w:val="21"/>
              </w:rPr>
              <w:t>是（若不参加，将因投标文件不完整导致失去本项目投标资格）</w:t>
            </w:r>
          </w:p>
          <w:p>
            <w:pPr>
              <w:pStyle w:val="24"/>
              <w:tabs>
                <w:tab w:val="left" w:pos="541"/>
              </w:tabs>
              <w:snapToGrid w:val="0"/>
              <w:spacing w:after="156" w:afterLines="50"/>
              <w:ind w:left="805" w:firstLine="8" w:firstLineChars="4"/>
              <w:rPr>
                <w:rFonts w:ascii="宋体" w:hAnsi="宋体" w:eastAsia="宋体"/>
                <w:color w:val="auto"/>
                <w:kern w:val="0"/>
                <w:szCs w:val="21"/>
              </w:rPr>
            </w:pPr>
            <w:r>
              <w:rPr>
                <w:rFonts w:hint="eastAsia" w:ascii="宋体" w:hAnsi="宋体" w:eastAsia="宋体"/>
                <w:color w:val="auto"/>
                <w:kern w:val="0"/>
                <w:szCs w:val="21"/>
              </w:rPr>
              <w:t>□否（可选择不参加，不影响投标资格但可能会产生不利后果）</w:t>
            </w:r>
          </w:p>
          <w:p>
            <w:pPr>
              <w:pStyle w:val="24"/>
              <w:numPr>
                <w:ilvl w:val="0"/>
                <w:numId w:val="6"/>
              </w:numPr>
              <w:tabs>
                <w:tab w:val="left" w:pos="541"/>
              </w:tabs>
              <w:snapToGrid w:val="0"/>
              <w:spacing w:after="156" w:afterLines="50"/>
              <w:ind w:left="805" w:hanging="224" w:firstLineChars="0"/>
              <w:rPr>
                <w:rFonts w:ascii="宋体" w:hAnsi="宋体" w:eastAsia="宋体"/>
                <w:color w:val="auto"/>
                <w:kern w:val="0"/>
                <w:szCs w:val="21"/>
              </w:rPr>
            </w:pPr>
            <w:r>
              <w:rPr>
                <w:rFonts w:hint="eastAsia" w:ascii="宋体" w:hAnsi="宋体" w:eastAsia="宋体"/>
                <w:color w:val="auto"/>
                <w:kern w:val="0"/>
                <w:szCs w:val="21"/>
              </w:rPr>
              <w:t>招标人定于202</w:t>
            </w:r>
            <w:r>
              <w:rPr>
                <w:rFonts w:hint="eastAsia" w:ascii="宋体" w:hAnsi="宋体" w:eastAsia="宋体"/>
                <w:color w:val="auto"/>
                <w:kern w:val="0"/>
                <w:szCs w:val="21"/>
                <w:lang w:val="en-US" w:eastAsia="zh-CN"/>
              </w:rPr>
              <w:t>3</w:t>
            </w:r>
            <w:r>
              <w:rPr>
                <w:rFonts w:hint="eastAsia" w:ascii="宋体" w:hAnsi="宋体" w:eastAsia="宋体"/>
                <w:color w:val="auto"/>
                <w:kern w:val="0"/>
                <w:szCs w:val="21"/>
              </w:rPr>
              <w:t>-</w:t>
            </w:r>
            <w:r>
              <w:rPr>
                <w:rFonts w:hint="eastAsia" w:ascii="宋体" w:hAnsi="宋体" w:eastAsia="宋体"/>
                <w:color w:val="auto"/>
                <w:kern w:val="0"/>
                <w:szCs w:val="21"/>
                <w:lang w:val="en-US" w:eastAsia="zh-CN"/>
              </w:rPr>
              <w:t>9</w:t>
            </w:r>
            <w:r>
              <w:rPr>
                <w:rFonts w:hint="eastAsia" w:ascii="宋体" w:hAnsi="宋体" w:eastAsia="宋体"/>
                <w:color w:val="auto"/>
                <w:kern w:val="0"/>
                <w:szCs w:val="21"/>
              </w:rPr>
              <w:t>-</w:t>
            </w:r>
            <w:r>
              <w:rPr>
                <w:rFonts w:hint="eastAsia" w:ascii="宋体" w:hAnsi="宋体" w:eastAsia="宋体"/>
                <w:color w:val="auto"/>
                <w:kern w:val="0"/>
                <w:szCs w:val="21"/>
                <w:lang w:val="en-US" w:eastAsia="zh-CN"/>
              </w:rPr>
              <w:t>1</w:t>
            </w:r>
            <w:r>
              <w:rPr>
                <w:rFonts w:hint="eastAsia" w:ascii="宋体" w:hAnsi="宋体" w:eastAsia="宋体"/>
                <w:color w:val="auto"/>
                <w:kern w:val="0"/>
                <w:szCs w:val="21"/>
              </w:rPr>
              <w:t xml:space="preserve"> </w:t>
            </w:r>
            <w:r>
              <w:rPr>
                <w:rFonts w:hint="eastAsia" w:ascii="宋体" w:hAnsi="宋体" w:eastAsia="宋体"/>
                <w:color w:val="auto"/>
                <w:kern w:val="0"/>
                <w:szCs w:val="21"/>
                <w:lang w:val="en-US" w:eastAsia="zh-CN"/>
              </w:rPr>
              <w:t>10</w:t>
            </w:r>
            <w:r>
              <w:rPr>
                <w:rFonts w:hint="eastAsia" w:ascii="宋体" w:hAnsi="宋体" w:eastAsia="宋体"/>
                <w:color w:val="auto"/>
                <w:kern w:val="0"/>
                <w:szCs w:val="21"/>
              </w:rPr>
              <w:t xml:space="preserve">: </w:t>
            </w:r>
            <w:r>
              <w:rPr>
                <w:rFonts w:hint="eastAsia" w:ascii="宋体" w:hAnsi="宋体" w:eastAsia="宋体"/>
                <w:color w:val="auto"/>
                <w:kern w:val="0"/>
                <w:szCs w:val="21"/>
                <w:lang w:val="en-US" w:eastAsia="zh-CN"/>
              </w:rPr>
              <w:t>00</w:t>
            </w:r>
            <w:r>
              <w:rPr>
                <w:rFonts w:hint="eastAsia" w:ascii="宋体" w:hAnsi="宋体" w:eastAsia="宋体"/>
                <w:color w:val="auto"/>
                <w:kern w:val="0"/>
                <w:szCs w:val="21"/>
              </w:rPr>
              <w:t>邀请投标人人员察看现场并讲解项目需求；投标人应指派完全符合疫情防控要求的人员参加本项目的现场踏勘。</w:t>
            </w:r>
          </w:p>
          <w:p>
            <w:pPr>
              <w:pStyle w:val="24"/>
              <w:numPr>
                <w:ilvl w:val="0"/>
                <w:numId w:val="6"/>
              </w:numPr>
              <w:tabs>
                <w:tab w:val="left" w:pos="541"/>
              </w:tabs>
              <w:snapToGrid w:val="0"/>
              <w:spacing w:after="156" w:afterLines="50"/>
              <w:ind w:left="805" w:hanging="224" w:firstLineChars="0"/>
              <w:rPr>
                <w:rFonts w:ascii="宋体" w:hAnsi="宋体" w:eastAsia="宋体"/>
                <w:color w:val="auto"/>
                <w:kern w:val="0"/>
                <w:szCs w:val="21"/>
              </w:rPr>
            </w:pPr>
            <w:r>
              <w:rPr>
                <w:rFonts w:hint="eastAsia" w:ascii="宋体" w:hAnsi="宋体" w:eastAsia="宋体"/>
                <w:color w:val="auto"/>
                <w:kern w:val="0"/>
                <w:szCs w:val="21"/>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spacing w:after="156" w:afterLines="50"/>
              <w:ind w:left="805" w:hanging="224" w:firstLineChars="0"/>
              <w:rPr>
                <w:rFonts w:ascii="宋体" w:hAnsi="宋体" w:eastAsia="宋体"/>
                <w:color w:val="auto"/>
                <w:kern w:val="0"/>
                <w:szCs w:val="21"/>
              </w:rPr>
            </w:pPr>
            <w:r>
              <w:rPr>
                <w:rFonts w:hint="eastAsia" w:ascii="宋体" w:hAnsi="宋体" w:eastAsia="宋体"/>
                <w:color w:val="auto"/>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color w:val="auto"/>
                <w:kern w:val="0"/>
                <w:szCs w:val="21"/>
              </w:rPr>
            </w:pPr>
            <w:r>
              <w:rPr>
                <w:rFonts w:hint="eastAsia" w:ascii="宋体" w:hAnsi="宋体" w:eastAsia="宋体"/>
                <w:color w:val="auto"/>
                <w:kern w:val="0"/>
                <w:szCs w:val="21"/>
              </w:rPr>
              <w:t>踏勘联系人：</w:t>
            </w:r>
            <w:r>
              <w:rPr>
                <w:rFonts w:hint="eastAsia" w:ascii="宋体" w:hAnsi="宋体" w:eastAsia="宋体"/>
                <w:color w:val="auto"/>
                <w:kern w:val="0"/>
                <w:szCs w:val="21"/>
                <w:lang w:val="en-US" w:eastAsia="zh-CN"/>
              </w:rPr>
              <w:t>周</w:t>
            </w:r>
            <w:r>
              <w:rPr>
                <w:rFonts w:hint="eastAsia" w:ascii="宋体" w:hAnsi="宋体" w:eastAsia="宋体"/>
                <w:color w:val="auto"/>
                <w:kern w:val="0"/>
                <w:szCs w:val="21"/>
                <w:lang w:eastAsia="zh-CN"/>
              </w:rPr>
              <w:t>工</w:t>
            </w:r>
          </w:p>
          <w:p>
            <w:pPr>
              <w:pStyle w:val="24"/>
              <w:tabs>
                <w:tab w:val="left" w:pos="541"/>
              </w:tabs>
              <w:snapToGrid w:val="0"/>
              <w:ind w:left="805" w:firstLine="0" w:firstLineChars="0"/>
              <w:rPr>
                <w:rFonts w:hint="default" w:ascii="宋体" w:hAnsi="宋体" w:eastAsia="宋体"/>
                <w:color w:val="auto"/>
                <w:kern w:val="0"/>
                <w:szCs w:val="21"/>
                <w:lang w:val="en-US" w:eastAsia="zh-CN"/>
              </w:rPr>
            </w:pPr>
            <w:r>
              <w:rPr>
                <w:rFonts w:hint="eastAsia" w:ascii="宋体" w:hAnsi="宋体" w:eastAsia="宋体"/>
                <w:color w:val="auto"/>
                <w:kern w:val="0"/>
                <w:szCs w:val="21"/>
              </w:rPr>
              <w:t>电话：0755-8284</w:t>
            </w:r>
            <w:r>
              <w:rPr>
                <w:rFonts w:hint="eastAsia" w:ascii="宋体" w:hAnsi="宋体" w:eastAsia="宋体"/>
                <w:color w:val="auto"/>
                <w:kern w:val="0"/>
                <w:szCs w:val="21"/>
                <w:lang w:val="en-US" w:eastAsia="zh-CN"/>
              </w:rPr>
              <w:t>8819</w:t>
            </w:r>
            <w:r>
              <w:rPr>
                <w:rFonts w:hint="eastAsia" w:ascii="宋体" w:hAnsi="宋体" w:eastAsia="宋体"/>
                <w:color w:val="auto"/>
                <w:kern w:val="0"/>
                <w:szCs w:val="21"/>
              </w:rPr>
              <w:t>，手机</w:t>
            </w:r>
            <w:r>
              <w:rPr>
                <w:rFonts w:hint="eastAsia" w:ascii="宋体" w:hAnsi="宋体" w:eastAsia="宋体"/>
                <w:color w:val="auto"/>
                <w:kern w:val="0"/>
                <w:szCs w:val="21"/>
                <w:lang w:val="en-US" w:eastAsia="zh-CN"/>
              </w:rPr>
              <w:t>：18998919684</w:t>
            </w:r>
          </w:p>
          <w:p>
            <w:pPr>
              <w:pStyle w:val="24"/>
              <w:tabs>
                <w:tab w:val="left" w:pos="541"/>
              </w:tabs>
              <w:snapToGrid w:val="0"/>
              <w:ind w:left="805" w:firstLine="0" w:firstLineChars="0"/>
              <w:rPr>
                <w:rFonts w:hint="eastAsia" w:ascii="宋体" w:hAnsi="宋体" w:eastAsia="宋体"/>
                <w:color w:val="auto"/>
                <w:kern w:val="0"/>
                <w:szCs w:val="21"/>
                <w:lang w:eastAsia="zh-CN"/>
              </w:rPr>
            </w:pPr>
            <w:r>
              <w:rPr>
                <w:rFonts w:hint="eastAsia" w:ascii="宋体" w:hAnsi="宋体" w:eastAsia="宋体"/>
                <w:color w:val="auto"/>
                <w:kern w:val="0"/>
                <w:szCs w:val="21"/>
                <w:lang w:val="en-US" w:eastAsia="zh-CN"/>
              </w:rPr>
              <w:t>集合地点：</w:t>
            </w:r>
            <w:r>
              <w:rPr>
                <w:rFonts w:hint="eastAsia" w:ascii="宋体" w:hAnsi="宋体" w:eastAsia="宋体"/>
                <w:color w:val="auto"/>
                <w:kern w:val="0"/>
                <w:szCs w:val="21"/>
                <w:lang w:eastAsia="zh-CN"/>
              </w:rPr>
              <w:t>会展中心北二门</w:t>
            </w:r>
          </w:p>
          <w:p>
            <w:pPr>
              <w:pStyle w:val="24"/>
              <w:numPr>
                <w:ilvl w:val="0"/>
                <w:numId w:val="6"/>
              </w:numPr>
              <w:tabs>
                <w:tab w:val="left" w:pos="541"/>
              </w:tabs>
              <w:snapToGrid w:val="0"/>
              <w:ind w:left="805" w:hanging="224" w:firstLineChars="0"/>
              <w:rPr>
                <w:rFonts w:ascii="宋体" w:hAnsi="宋体" w:eastAsia="宋体"/>
                <w:color w:val="auto"/>
                <w:kern w:val="0"/>
                <w:szCs w:val="21"/>
              </w:rPr>
            </w:pPr>
            <w:r>
              <w:rPr>
                <w:rFonts w:hint="eastAsia" w:ascii="宋体" w:hAnsi="宋体" w:eastAsia="宋体"/>
                <w:color w:val="auto"/>
                <w:kern w:val="0"/>
                <w:szCs w:val="21"/>
              </w:rPr>
              <w:t>特别说明：若现场考察与本项目招标（采购）文件载明的要求不一致时，以本项目招标（采购）文件中的</w:t>
            </w:r>
            <w:bookmarkStart w:id="93" w:name="_GoBack"/>
            <w:bookmarkEnd w:id="93"/>
            <w:r>
              <w:rPr>
                <w:rFonts w:hint="eastAsia" w:ascii="宋体" w:hAnsi="宋体" w:eastAsia="宋体"/>
                <w:color w:val="auto"/>
                <w:kern w:val="0"/>
                <w:szCs w:val="21"/>
              </w:rPr>
              <w:t>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color w:val="auto"/>
          <w:szCs w:val="21"/>
          <w:highlight w:val="none"/>
        </w:rPr>
      </w:pPr>
      <w:bookmarkStart w:id="7" w:name="_Toc82684590"/>
      <w:bookmarkEnd w:id="7"/>
      <w:bookmarkStart w:id="8" w:name="_Toc82684588"/>
      <w:bookmarkEnd w:id="8"/>
      <w:bookmarkStart w:id="9" w:name="_Toc82685542"/>
      <w:bookmarkEnd w:id="9"/>
      <w:bookmarkStart w:id="10" w:name="_Toc82591928"/>
      <w:bookmarkEnd w:id="10"/>
      <w:bookmarkStart w:id="11" w:name="_Toc82684704"/>
      <w:bookmarkEnd w:id="11"/>
      <w:bookmarkStart w:id="12" w:name="_Toc82684703"/>
      <w:bookmarkEnd w:id="12"/>
      <w:bookmarkStart w:id="13" w:name="_Toc82685541"/>
      <w:bookmarkEnd w:id="13"/>
      <w:bookmarkStart w:id="14" w:name="_Toc82591926"/>
      <w:bookmarkEnd w:id="14"/>
      <w:bookmarkStart w:id="15" w:name="_Toc82685543"/>
      <w:bookmarkEnd w:id="15"/>
      <w:bookmarkStart w:id="16" w:name="_Toc82591925"/>
      <w:bookmarkEnd w:id="16"/>
      <w:bookmarkStart w:id="17" w:name="_Toc82684706"/>
      <w:bookmarkEnd w:id="17"/>
      <w:bookmarkStart w:id="18" w:name="_Toc82591927"/>
      <w:bookmarkEnd w:id="18"/>
      <w:bookmarkStart w:id="19" w:name="_Toc82684589"/>
      <w:bookmarkEnd w:id="19"/>
      <w:bookmarkStart w:id="20" w:name="_Toc82684591"/>
      <w:bookmarkEnd w:id="20"/>
      <w:bookmarkStart w:id="21" w:name="_Toc82685540"/>
      <w:bookmarkEnd w:id="21"/>
      <w:bookmarkStart w:id="22" w:name="_Toc82684705"/>
      <w:bookmarkEnd w:id="22"/>
      <w:bookmarkStart w:id="23" w:name="_Toc14377"/>
      <w:r>
        <w:rPr>
          <w:rFonts w:hint="eastAsia" w:ascii="宋体" w:hAnsi="宋体"/>
          <w:b/>
          <w:color w:val="auto"/>
          <w:szCs w:val="21"/>
          <w:highlight w:val="none"/>
        </w:rPr>
        <w:t>特别说明</w:t>
      </w:r>
      <w:bookmarkEnd w:id="23"/>
    </w:p>
    <w:p>
      <w:pPr>
        <w:pStyle w:val="24"/>
        <w:numPr>
          <w:ilvl w:val="0"/>
          <w:numId w:val="9"/>
        </w:numPr>
        <w:spacing w:line="360" w:lineRule="auto"/>
        <w:ind w:left="0" w:firstLine="420" w:firstLineChars="0"/>
        <w:rPr>
          <w:rFonts w:ascii="宋体" w:hAnsi="宋体" w:eastAsia="宋体" w:cs="宋体"/>
          <w:szCs w:val="21"/>
        </w:rPr>
      </w:pPr>
      <w:bookmarkStart w:id="24" w:name="_Toc478387747"/>
      <w:bookmarkStart w:id="25" w:name="_Toc45028463"/>
      <w:bookmarkStart w:id="26" w:name="_Toc517278751"/>
      <w:r>
        <w:rPr>
          <w:rFonts w:hint="eastAsia" w:ascii="宋体" w:hAnsi="宋体" w:eastAsia="宋体" w:cs="宋体"/>
          <w:color w:val="auto"/>
          <w:szCs w:val="21"/>
          <w:highlight w:val="none"/>
        </w:rPr>
        <w:t>投标人必须具备开展视频会议所需的基本网络设备及网络环境，</w:t>
      </w:r>
      <w:r>
        <w:rPr>
          <w:rFonts w:hint="eastAsia" w:ascii="宋体" w:hAnsi="宋体" w:eastAsia="宋体" w:cs="宋体"/>
          <w:b/>
          <w:bCs/>
          <w:color w:val="auto"/>
          <w:szCs w:val="21"/>
          <w:highlight w:val="none"/>
        </w:rPr>
        <w:t>视频会议期间禁止</w:t>
      </w:r>
      <w:r>
        <w:rPr>
          <w:rFonts w:hint="eastAsia" w:ascii="宋体" w:hAnsi="宋体" w:eastAsia="宋体" w:cs="宋体"/>
          <w:b/>
          <w:bCs/>
          <w:color w:val="FF0000"/>
          <w:szCs w:val="21"/>
        </w:rPr>
        <w:t>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6"/>
      <w:bookmarkEnd w:id="27"/>
      <w:bookmarkStart w:id="28" w:name="_Toc82591985"/>
      <w:bookmarkEnd w:id="28"/>
      <w:bookmarkStart w:id="29" w:name="_Toc82591988"/>
      <w:bookmarkEnd w:id="29"/>
      <w:bookmarkStart w:id="30" w:name="_Toc82591989"/>
      <w:bookmarkEnd w:id="30"/>
      <w:bookmarkStart w:id="31" w:name="_Toc82591987"/>
      <w:bookmarkEnd w:id="31"/>
      <w:bookmarkStart w:id="32" w:name="_Toc82591930"/>
      <w:bookmarkEnd w:id="32"/>
      <w:bookmarkStart w:id="33" w:name="_Toc82685545"/>
      <w:bookmarkEnd w:id="33"/>
      <w:bookmarkStart w:id="34" w:name="_Toc82684708"/>
      <w:bookmarkEnd w:id="34"/>
      <w:bookmarkStart w:id="35" w:name="_Toc82684593"/>
      <w:bookmarkEnd w:id="35"/>
      <w:bookmarkStart w:id="36" w:name="_Toc1759"/>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2847"/>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color w:val="auto"/>
                <w:highlight w:val="none"/>
              </w:rPr>
            </w:pPr>
            <w:r>
              <w:rPr>
                <w:rFonts w:hint="eastAsia"/>
                <w:color w:val="auto"/>
                <w:highlight w:val="none"/>
              </w:rPr>
              <w:t>投标人代表必须是</w:t>
            </w:r>
            <w:r>
              <w:rPr>
                <w:rFonts w:hint="eastAsia"/>
                <w:color w:val="auto"/>
                <w:highlight w:val="none"/>
                <w:lang w:eastAsia="zh-CN"/>
              </w:rPr>
              <w:t>投标人</w:t>
            </w:r>
            <w:r>
              <w:rPr>
                <w:rFonts w:hint="eastAsia"/>
                <w:color w:val="auto"/>
                <w:highlight w:val="none"/>
              </w:rPr>
              <w:t>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10"/>
              </w:numPr>
              <w:tabs>
                <w:tab w:val="left" w:pos="0"/>
              </w:tabs>
              <w:snapToGrid w:val="0"/>
              <w:ind w:left="15" w:leftChars="0" w:hanging="15" w:firstLineChars="0"/>
              <w:rPr>
                <w:rFonts w:ascii="宋体" w:hAnsi="宋体" w:cs="宋体"/>
                <w:color w:val="auto"/>
                <w:szCs w:val="21"/>
                <w:highlight w:val="none"/>
              </w:rPr>
            </w:pPr>
            <w:bookmarkStart w:id="38" w:name="OLE_LINK4"/>
            <w:bookmarkStart w:id="39" w:name="OLE_LINK3"/>
            <w:r>
              <w:rPr>
                <w:rFonts w:hint="eastAsia" w:ascii="宋体" w:hAnsi="宋体"/>
                <w:color w:val="auto"/>
                <w:szCs w:val="21"/>
                <w:highlight w:val="none"/>
              </w:rPr>
              <w:t>投标人必须具有有效的电子与智能化工程专业承包二级</w:t>
            </w:r>
            <w:r>
              <w:rPr>
                <w:rFonts w:hint="eastAsia" w:ascii="宋体" w:hAnsi="宋体"/>
                <w:color w:val="auto"/>
                <w:szCs w:val="21"/>
                <w:highlight w:val="none"/>
                <w:lang w:val="en-US" w:eastAsia="zh-CN"/>
              </w:rPr>
              <w:t>或以</w:t>
            </w:r>
            <w:r>
              <w:rPr>
                <w:rFonts w:hint="eastAsia" w:ascii="宋体" w:hAnsi="宋体"/>
                <w:color w:val="auto"/>
                <w:szCs w:val="21"/>
                <w:highlight w:val="none"/>
              </w:rPr>
              <w:t>上资质”。（提供相应证明文件</w:t>
            </w:r>
            <w:r>
              <w:rPr>
                <w:rFonts w:hint="eastAsia" w:ascii="宋体" w:hAnsi="宋体" w:eastAsia="宋体" w:cs="宋体"/>
                <w:color w:val="auto"/>
                <w:szCs w:val="21"/>
                <w:highlight w:val="none"/>
              </w:rPr>
              <w:t>复印件</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rPr>
              <w:t>扫描件并加盖投标人公章）</w:t>
            </w:r>
            <w:bookmarkEnd w:id="38"/>
            <w:bookmarkEnd w:id="39"/>
          </w:p>
          <w:p>
            <w:pPr>
              <w:numPr>
                <w:ilvl w:val="0"/>
                <w:numId w:val="10"/>
              </w:numPr>
              <w:tabs>
                <w:tab w:val="left" w:pos="531"/>
              </w:tabs>
              <w:snapToGrid w:val="0"/>
              <w:rPr>
                <w:rFonts w:ascii="宋体" w:hAnsi="宋体" w:cs="宋体"/>
                <w:color w:val="auto"/>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pPr>
            <w:r>
              <w:rPr>
                <w:rFonts w:hint="eastAsia"/>
              </w:rPr>
              <w:t>报价以人民币为结算币种，《投标一览表》应包含税率、税额、税前及税后总金额。</w:t>
            </w:r>
          </w:p>
          <w:p>
            <w:pPr>
              <w:numPr>
                <w:ilvl w:val="0"/>
                <w:numId w:val="11"/>
              </w:numPr>
              <w:tabs>
                <w:tab w:val="left" w:pos="531"/>
              </w:tabs>
              <w:snapToGrid w:val="0"/>
              <w:ind w:left="0" w:leftChars="0" w:firstLine="0"/>
              <w:rPr>
                <w:rFonts w:hint="eastAsia"/>
              </w:rPr>
            </w:pPr>
            <w:r>
              <w:rPr>
                <w:rFonts w:hint="eastAsia"/>
              </w:rPr>
              <w:t>投标报价不得出现可选择性的报价,含有备选方案的报价将导致废标。</w:t>
            </w:r>
          </w:p>
          <w:p>
            <w:pPr>
              <w:numPr>
                <w:ilvl w:val="0"/>
                <w:numId w:val="11"/>
              </w:numPr>
              <w:tabs>
                <w:tab w:val="left" w:pos="531"/>
              </w:tabs>
              <w:snapToGrid w:val="0"/>
              <w:ind w:leftChars="0"/>
              <w:rPr>
                <w:rFonts w:hint="eastAsia"/>
                <w:lang w:eastAsia="zh-CN"/>
              </w:rPr>
            </w:pPr>
            <w:r>
              <w:rPr>
                <w:rFonts w:hint="eastAsia"/>
              </w:rPr>
              <w:t>投标报价应包含按照项目要求完成本项目所需的全部费用（包括但不限于合理成本、</w:t>
            </w:r>
            <w:r>
              <w:rPr>
                <w:rFonts w:hint="eastAsia"/>
                <w:lang w:val="en-US" w:eastAsia="zh-CN"/>
              </w:rPr>
              <w:t>增值</w:t>
            </w:r>
            <w:r>
              <w:rPr>
                <w:rFonts w:hint="eastAsia"/>
              </w:rPr>
              <w:t>税金及利润等）</w:t>
            </w:r>
            <w:r>
              <w:rPr>
                <w:rFonts w:hint="eastAsia"/>
                <w:lang w:eastAsia="zh-CN"/>
              </w:rPr>
              <w:t>，</w:t>
            </w:r>
            <w:r>
              <w:rPr>
                <w:rFonts w:hint="eastAsia"/>
                <w:lang w:val="en-US" w:eastAsia="zh-CN"/>
              </w:rPr>
              <w:t>招标人不再支付其他任何费用。</w:t>
            </w:r>
          </w:p>
          <w:p>
            <w:pPr>
              <w:numPr>
                <w:ilvl w:val="0"/>
                <w:numId w:val="11"/>
              </w:numPr>
              <w:tabs>
                <w:tab w:val="left" w:pos="531"/>
              </w:tabs>
              <w:snapToGrid w:val="0"/>
              <w:ind w:leftChars="0"/>
              <w:rPr>
                <w:rFonts w:hint="eastAsia"/>
                <w:lang w:eastAsia="zh-CN"/>
              </w:rPr>
            </w:pPr>
            <w:r>
              <w:rPr>
                <w:rFonts w:hint="eastAsia"/>
              </w:rPr>
              <w:t>单件价值在200元内</w:t>
            </w:r>
            <w:r>
              <w:rPr>
                <w:rFonts w:hint="eastAsia"/>
                <w:lang w:val="en-US" w:eastAsia="zh-CN"/>
              </w:rPr>
              <w:t>(含200元）</w:t>
            </w:r>
            <w:r>
              <w:rPr>
                <w:rFonts w:hint="eastAsia"/>
                <w:lang w:eastAsia="zh-CN"/>
              </w:rPr>
              <w:t>零配件</w:t>
            </w:r>
            <w:r>
              <w:rPr>
                <w:rFonts w:hint="eastAsia"/>
              </w:rPr>
              <w:t>由投标人负责采买并承担相应费用，(包括</w:t>
            </w:r>
            <w:r>
              <w:rPr>
                <w:rFonts w:hint="eastAsia"/>
                <w:lang w:eastAsia="zh-CN"/>
              </w:rPr>
              <w:t>但不限于</w:t>
            </w:r>
            <w:r>
              <w:rPr>
                <w:rFonts w:hint="eastAsia"/>
              </w:rPr>
              <w:t>扎带、端子、 螺丝垫片、 五金门锁和叶、12V直流电源，光电转换器、12-24V继电器、 保险管、2.5平方以下100米BVV线材等)</w:t>
            </w:r>
            <w:r>
              <w:rPr>
                <w:rFonts w:hint="eastAsia"/>
                <w:lang w:eastAsia="zh-CN"/>
              </w:rPr>
              <w:t>。</w:t>
            </w:r>
          </w:p>
          <w:p>
            <w:pPr>
              <w:numPr>
                <w:ilvl w:val="0"/>
                <w:numId w:val="11"/>
              </w:numPr>
              <w:tabs>
                <w:tab w:val="left" w:pos="531"/>
              </w:tabs>
              <w:snapToGrid w:val="0"/>
              <w:ind w:leftChars="0"/>
              <w:rPr>
                <w:rFonts w:hint="eastAsia"/>
                <w:lang w:eastAsia="zh-CN"/>
              </w:rPr>
            </w:pPr>
            <w:r>
              <w:rPr>
                <w:rFonts w:hint="eastAsia"/>
                <w:lang w:val="en-US" w:eastAsia="zh-CN"/>
              </w:rPr>
              <w:t>提供</w:t>
            </w:r>
            <w:r>
              <w:rPr>
                <w:rFonts w:hint="eastAsia"/>
              </w:rPr>
              <w:t>单件价值在200元内</w:t>
            </w:r>
            <w:r>
              <w:rPr>
                <w:rFonts w:hint="eastAsia"/>
                <w:lang w:val="en-US" w:eastAsia="zh-CN"/>
              </w:rPr>
              <w:t>上零</w:t>
            </w:r>
            <w:r>
              <w:rPr>
                <w:rFonts w:hint="eastAsia"/>
                <w:lang w:eastAsia="zh-CN"/>
              </w:rPr>
              <w:t>配件</w:t>
            </w:r>
            <w:r>
              <w:rPr>
                <w:rFonts w:hint="eastAsia"/>
                <w:lang w:val="en-US" w:eastAsia="zh-CN"/>
              </w:rPr>
              <w:t>清单及未税单价、税率、含税单价，该部分报价仅作为后续购买配件的价格参考。</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ind w:left="425" w:right="28" w:hanging="425"/>
              <w:jc w:val="left"/>
            </w:pPr>
            <w:r>
              <w:rPr>
                <w:rFonts w:hint="eastAsia"/>
              </w:rPr>
              <w:t>本项目采购控制金额为人民币</w:t>
            </w:r>
            <w:r>
              <w:rPr>
                <w:rFonts w:hint="eastAsia"/>
                <w:lang w:val="en-US" w:eastAsia="zh-CN"/>
              </w:rPr>
              <w:t>55.56</w:t>
            </w:r>
            <w:r>
              <w:t>万元（含税）</w:t>
            </w:r>
            <w:r>
              <w:rPr>
                <w:rFonts w:hint="eastAsia"/>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color w:val="auto"/>
                <w:highlight w:val="none"/>
              </w:rPr>
            </w:pPr>
            <w:r>
              <w:rPr>
                <w:rFonts w:hint="eastAsia" w:ascii="宋体" w:hAnsi="宋体" w:cs="宋体"/>
                <w:color w:val="auto"/>
                <w:highlight w:val="none"/>
              </w:rPr>
              <w:t>按照维保工作进度每年分四次付款，即每三个月付一次。投标人须按照维保年度工作计划，按时、保质的完成计划工作（每次支付保养费时，投标人须提交3个月内的</w:t>
            </w:r>
            <w:r>
              <w:rPr>
                <w:rFonts w:hint="eastAsia" w:ascii="宋体" w:hAnsi="宋体" w:cs="宋体"/>
                <w:color w:val="auto"/>
                <w:highlight w:val="none"/>
                <w:lang w:val="en-US" w:eastAsia="zh-CN"/>
              </w:rPr>
              <w:t>经甲方确认的</w:t>
            </w:r>
            <w:r>
              <w:rPr>
                <w:rFonts w:hint="eastAsia" w:ascii="宋体" w:hAnsi="宋体" w:cs="宋体"/>
                <w:color w:val="auto"/>
                <w:highlight w:val="none"/>
              </w:rPr>
              <w:t>维保记录、总结报告</w:t>
            </w:r>
            <w:r>
              <w:rPr>
                <w:rFonts w:hint="eastAsia" w:ascii="宋体" w:hAnsi="宋体" w:cs="宋体"/>
                <w:color w:val="auto"/>
                <w:highlight w:val="none"/>
                <w:lang w:val="en-US" w:eastAsia="zh-CN"/>
              </w:rPr>
              <w:t>等</w:t>
            </w:r>
            <w:r>
              <w:rPr>
                <w:rFonts w:hint="eastAsia" w:ascii="宋体" w:hAnsi="宋体" w:cs="宋体"/>
                <w:color w:val="auto"/>
                <w:highlight w:val="none"/>
              </w:rPr>
              <w:t>）。如未能按合同要求完成对应内容，则会根据合同条款进行相应处罚。</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eastAsia="宋体" w:cs="宋体"/>
                <w:color w:val="auto"/>
                <w:highlight w:val="none"/>
              </w:rPr>
              <w:t>合同期限及模式</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ascii="宋体" w:eastAsia="宋体" w:cs="宋体"/>
                <w:color w:val="auto"/>
                <w:highlight w:val="none"/>
              </w:rPr>
            </w:pPr>
            <w:r>
              <w:rPr>
                <w:rFonts w:hint="eastAsia" w:ascii="宋体" w:eastAsia="宋体" w:cs="宋体"/>
                <w:color w:val="auto"/>
                <w:highlight w:val="none"/>
              </w:rPr>
              <w:t>合同有效期为3年，采用1+1+1合同模式。每一年合同到期前，采购人根据中标人的服务质量、各项承诺兑现情况等因素进行考核评估，如考核达到80分（含）以上，则继续履行合同，如考核未达到80分，年度期满时</w:t>
            </w:r>
            <w:r>
              <w:rPr>
                <w:rFonts w:hint="eastAsia" w:ascii="宋体" w:cs="宋体"/>
                <w:color w:val="auto"/>
                <w:highlight w:val="none"/>
                <w:lang w:val="en-US" w:eastAsia="zh-CN"/>
              </w:rPr>
              <w:t>将</w:t>
            </w:r>
            <w:r>
              <w:rPr>
                <w:rFonts w:hint="eastAsia" w:ascii="宋体" w:eastAsia="宋体" w:cs="宋体"/>
                <w:color w:val="auto"/>
                <w:highlight w:val="none"/>
              </w:rPr>
              <w:t>自动终止合同。具体考核办法详见附件2《深圳会展中心照明控制系统维护保养考核评价表》。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培训要求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宋体" w:hAnsi="宋体" w:eastAsia="宋体" w:cs="宋体"/>
                <w:snapToGrid/>
                <w:spacing w:val="0"/>
                <w:kern w:val="2"/>
                <w:sz w:val="21"/>
                <w:szCs w:val="21"/>
              </w:rPr>
            </w:pPr>
            <w:r>
              <w:rPr>
                <w:rFonts w:hint="eastAsia" w:ascii="宋体" w:hAnsi="宋体" w:eastAsia="宋体" w:cs="宋体"/>
                <w:szCs w:val="21"/>
              </w:rPr>
              <w:t>在照明控制系统有新技术时，</w:t>
            </w:r>
            <w:r>
              <w:rPr>
                <w:rFonts w:hint="eastAsia" w:ascii="宋体" w:hAnsi="宋体" w:cs="宋体"/>
                <w:szCs w:val="21"/>
                <w:lang w:val="en-US" w:eastAsia="zh-CN"/>
              </w:rPr>
              <w:t>中标人</w:t>
            </w:r>
            <w:r>
              <w:rPr>
                <w:rFonts w:hint="eastAsia" w:ascii="宋体" w:hAnsi="宋体" w:eastAsia="宋体" w:cs="宋体"/>
                <w:szCs w:val="21"/>
              </w:rPr>
              <w:t>需对</w:t>
            </w:r>
            <w:r>
              <w:rPr>
                <w:rFonts w:hint="eastAsia" w:ascii="宋体" w:hAnsi="宋体" w:cs="宋体"/>
                <w:szCs w:val="21"/>
                <w:lang w:val="en-US" w:eastAsia="zh-CN"/>
              </w:rPr>
              <w:t>招标</w:t>
            </w:r>
            <w:r>
              <w:rPr>
                <w:rFonts w:hint="eastAsia" w:ascii="宋体" w:hAnsi="宋体" w:eastAsia="宋体" w:cs="宋体"/>
                <w:szCs w:val="21"/>
              </w:rPr>
              <w:t>人的操作人员开展技术培训工作，并做好相关培训记录。</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spacing w:val="0"/>
                <w:kern w:val="2"/>
                <w:sz w:val="21"/>
                <w:szCs w:val="21"/>
              </w:rPr>
            </w:pPr>
            <w:r>
              <w:rPr>
                <w:rFonts w:hint="eastAsia" w:ascii="宋体" w:hAnsi="宋体" w:eastAsia="宋体" w:cs="宋体"/>
                <w:szCs w:val="21"/>
              </w:rPr>
              <w:t>项目人</w:t>
            </w:r>
            <w:r>
              <w:rPr>
                <w:rFonts w:hint="eastAsia" w:ascii="宋体" w:hAnsi="宋体" w:eastAsia="宋体" w:cs="宋体"/>
              </w:rPr>
              <w:t>员安排</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ind w:left="425" w:leftChars="0" w:hanging="425" w:firstLineChars="0"/>
              <w:rPr>
                <w:rFonts w:hint="eastAsia" w:ascii="宋体" w:hAnsi="宋体" w:eastAsia="宋体" w:cs="宋体"/>
                <w:color w:val="FF0000"/>
                <w:szCs w:val="21"/>
              </w:rPr>
            </w:pPr>
            <w:r>
              <w:rPr>
                <w:rFonts w:hint="eastAsia" w:ascii="宋体" w:hAnsi="宋体" w:eastAsia="宋体" w:cs="宋体"/>
                <w:color w:val="FF0000"/>
                <w:szCs w:val="21"/>
              </w:rPr>
              <w:t>项目负责人具有弱电</w:t>
            </w:r>
            <w:r>
              <w:rPr>
                <w:rFonts w:hint="eastAsia" w:ascii="宋体" w:hAnsi="宋体" w:cs="宋体"/>
                <w:color w:val="FF0000"/>
                <w:szCs w:val="21"/>
                <w:lang w:val="en-US" w:eastAsia="zh-CN"/>
              </w:rPr>
              <w:t>类</w:t>
            </w:r>
            <w:r>
              <w:rPr>
                <w:rFonts w:hint="eastAsia" w:ascii="宋体" w:hAnsi="宋体" w:eastAsia="宋体" w:cs="宋体"/>
                <w:color w:val="FF0000"/>
                <w:szCs w:val="21"/>
              </w:rPr>
              <w:t>工程师</w:t>
            </w:r>
            <w:r>
              <w:rPr>
                <w:rFonts w:hint="eastAsia" w:ascii="宋体" w:hAnsi="宋体" w:cs="宋体"/>
                <w:color w:val="FF0000"/>
                <w:szCs w:val="21"/>
                <w:lang w:eastAsia="zh-CN"/>
              </w:rPr>
              <w:t>或机电类工程师或电气类工程师</w:t>
            </w:r>
            <w:r>
              <w:rPr>
                <w:rFonts w:hint="eastAsia" w:ascii="宋体" w:hAnsi="宋体" w:cs="宋体"/>
                <w:color w:val="FF0000"/>
                <w:szCs w:val="21"/>
                <w:lang w:val="en-US" w:eastAsia="zh-CN"/>
              </w:rPr>
              <w:t>职称或执业资格</w:t>
            </w:r>
            <w:r>
              <w:rPr>
                <w:rFonts w:hint="eastAsia" w:ascii="宋体" w:hAnsi="宋体" w:eastAsia="宋体" w:cs="宋体"/>
                <w:color w:val="FF0000"/>
                <w:szCs w:val="21"/>
              </w:rPr>
              <w:t>，提供该负责人的职称或执业资格</w:t>
            </w:r>
            <w:r>
              <w:rPr>
                <w:rFonts w:hint="eastAsia" w:ascii="宋体" w:hAnsi="宋体" w:cs="宋体"/>
                <w:color w:val="FF0000"/>
                <w:szCs w:val="21"/>
                <w:lang w:val="en-US" w:eastAsia="zh-CN"/>
              </w:rPr>
              <w:t>证书复印件或扫描件</w:t>
            </w:r>
            <w:r>
              <w:rPr>
                <w:rFonts w:hint="eastAsia" w:ascii="宋体" w:hAnsi="宋体" w:eastAsia="宋体" w:cs="宋体"/>
                <w:color w:val="FF0000"/>
                <w:szCs w:val="21"/>
              </w:rPr>
              <w:t>，负责联络协调及跟进该项目具体实施。</w:t>
            </w:r>
          </w:p>
          <w:p>
            <w:pPr>
              <w:numPr>
                <w:ilvl w:val="0"/>
                <w:numId w:val="13"/>
              </w:numPr>
              <w:tabs>
                <w:tab w:val="left" w:pos="531"/>
              </w:tabs>
              <w:snapToGrid w:val="0"/>
              <w:ind w:left="425" w:leftChars="0" w:hanging="425" w:firstLineChars="0"/>
              <w:rPr>
                <w:rFonts w:hint="eastAsia" w:ascii="宋体" w:hAnsi="宋体" w:eastAsia="宋体" w:cs="宋体"/>
                <w:szCs w:val="21"/>
                <w:highlight w:val="none"/>
              </w:rPr>
            </w:pPr>
            <w:r>
              <w:rPr>
                <w:rFonts w:hint="eastAsia" w:ascii="宋体" w:hAnsi="宋体" w:eastAsia="宋体" w:cs="宋体"/>
                <w:szCs w:val="21"/>
                <w:highlight w:val="none"/>
              </w:rPr>
              <w:t>拟派本项目技术人员</w:t>
            </w:r>
            <w:r>
              <w:rPr>
                <w:rFonts w:hint="eastAsia" w:ascii="宋体" w:hAnsi="宋体" w:cs="宋体"/>
                <w:szCs w:val="21"/>
                <w:highlight w:val="none"/>
                <w:lang w:val="en-US" w:eastAsia="zh-CN"/>
              </w:rPr>
              <w:t>中至少有2名</w:t>
            </w:r>
            <w:r>
              <w:rPr>
                <w:rFonts w:hint="eastAsia" w:ascii="宋体" w:hAnsi="宋体" w:eastAsia="宋体" w:cs="宋体"/>
                <w:szCs w:val="21"/>
                <w:highlight w:val="none"/>
              </w:rPr>
              <w:t>经过Dynalite系统产品培训</w:t>
            </w:r>
            <w:r>
              <w:rPr>
                <w:rFonts w:hint="eastAsia" w:ascii="宋体" w:hAnsi="宋体" w:cs="宋体"/>
                <w:szCs w:val="21"/>
                <w:highlight w:val="none"/>
                <w:lang w:val="en-US" w:eastAsia="zh-CN"/>
              </w:rPr>
              <w:t>的人员</w:t>
            </w:r>
            <w:r>
              <w:rPr>
                <w:rFonts w:hint="eastAsia" w:ascii="宋体" w:hAnsi="宋体" w:eastAsia="宋体" w:cs="宋体"/>
                <w:szCs w:val="21"/>
                <w:highlight w:val="none"/>
              </w:rPr>
              <w:t>，</w:t>
            </w:r>
            <w:r>
              <w:rPr>
                <w:rFonts w:hint="eastAsia" w:ascii="宋体" w:hAnsi="宋体" w:cs="宋体"/>
                <w:szCs w:val="21"/>
                <w:highlight w:val="none"/>
                <w:lang w:val="en-US" w:eastAsia="zh-CN"/>
              </w:rPr>
              <w:t>提供相关培训证明。进场人员须验证培训证明材料后方可开展维保工作。</w:t>
            </w:r>
          </w:p>
          <w:p>
            <w:pPr>
              <w:numPr>
                <w:ilvl w:val="0"/>
                <w:numId w:val="13"/>
              </w:numPr>
              <w:tabs>
                <w:tab w:val="left" w:pos="531"/>
              </w:tabs>
              <w:snapToGrid w:val="0"/>
              <w:ind w:left="425" w:leftChars="0" w:hanging="425" w:firstLineChars="0"/>
              <w:rPr>
                <w:rFonts w:hint="eastAsia" w:ascii="宋体" w:hAnsi="宋体" w:eastAsia="宋体" w:cs="宋体"/>
                <w:szCs w:val="21"/>
              </w:rPr>
            </w:pPr>
            <w:r>
              <w:rPr>
                <w:rFonts w:hint="eastAsia" w:ascii="宋体" w:hAnsi="宋体" w:eastAsia="宋体" w:cs="宋体"/>
                <w:szCs w:val="21"/>
                <w:highlight w:val="none"/>
              </w:rPr>
              <w:t>提供拟派本项目人员资质证明材料以及对应人员（含项目负责人）在采购公告发布当日之前连续缴费3个月的有效证明材</w:t>
            </w:r>
            <w:r>
              <w:rPr>
                <w:rFonts w:hint="eastAsia" w:ascii="宋体" w:hAnsi="宋体" w:eastAsia="宋体" w:cs="宋体"/>
                <w:szCs w:val="21"/>
              </w:rPr>
              <w:t>料（如公告日上一个月的社保材料因社保部门原因暂时无法取得，则可以往前顺延一个月，并加盖社保机构单位章）。以上资料均需加盖投标人公章。</w:t>
            </w:r>
          </w:p>
          <w:p>
            <w:pPr>
              <w:numPr>
                <w:ilvl w:val="0"/>
                <w:numId w:val="13"/>
              </w:numPr>
              <w:tabs>
                <w:tab w:val="left" w:pos="531"/>
              </w:tabs>
              <w:snapToGrid w:val="0"/>
              <w:ind w:left="425" w:leftChars="0" w:hanging="425" w:firstLineChars="0"/>
              <w:rPr>
                <w:rFonts w:hint="eastAsia" w:ascii="宋体" w:hAnsi="宋体" w:eastAsia="宋体" w:cs="宋体"/>
                <w:szCs w:val="21"/>
              </w:rPr>
            </w:pPr>
            <w:r>
              <w:rPr>
                <w:rFonts w:hint="eastAsia" w:ascii="宋体" w:hAnsi="宋体" w:eastAsia="宋体" w:cs="宋体"/>
                <w:szCs w:val="21"/>
              </w:rPr>
              <w:t>拟派本项目人员在合同期内均不得随意更换，如确需更换应提前1个月征求招标人同意后方可更换</w:t>
            </w:r>
            <w:r>
              <w:rPr>
                <w:rFonts w:hint="eastAsia" w:ascii="宋体" w:hAnsi="宋体" w:cs="宋体"/>
                <w:szCs w:val="21"/>
                <w:lang w:eastAsia="zh-CN"/>
              </w:rPr>
              <w:t>。</w:t>
            </w:r>
            <w:r>
              <w:rPr>
                <w:rFonts w:hint="eastAsia" w:ascii="宋体" w:hAnsi="宋体" w:cs="宋体"/>
                <w:b/>
                <w:bCs/>
                <w:szCs w:val="21"/>
                <w:lang w:val="en-US" w:eastAsia="zh-CN"/>
              </w:rPr>
              <w:t>进场开展维保工作时投入的技术人员必须与投标时承诺的拟派技术人员保持一致。</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szCs w:val="21"/>
                <w:lang w:val="en-US" w:eastAsia="zh-CN"/>
              </w:rPr>
            </w:pPr>
            <w:r>
              <w:rPr>
                <w:rFonts w:hint="eastAsia" w:ascii="宋体" w:hAnsi="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验收标准</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ind w:left="425" w:leftChars="0" w:hanging="425" w:firstLineChars="0"/>
              <w:rPr>
                <w:rFonts w:hint="eastAsia" w:ascii="宋体" w:hAnsi="宋体" w:cs="宋体"/>
                <w:szCs w:val="21"/>
                <w:lang w:eastAsia="zh-CN"/>
              </w:rPr>
            </w:pPr>
            <w:r>
              <w:rPr>
                <w:rFonts w:hint="eastAsia" w:ascii="宋体" w:hAnsi="宋体" w:cs="宋体"/>
                <w:szCs w:val="21"/>
                <w:lang w:eastAsia="zh-CN"/>
              </w:rPr>
              <w:t>保证合同期内照明控制系统运行正常，如照明控制系统硬件损坏，投标人应及时通知招标人购买，投标人免费更换调试。</w:t>
            </w:r>
          </w:p>
          <w:p>
            <w:pPr>
              <w:numPr>
                <w:ilvl w:val="0"/>
                <w:numId w:val="14"/>
              </w:numPr>
              <w:tabs>
                <w:tab w:val="left" w:pos="531"/>
              </w:tabs>
              <w:snapToGrid w:val="0"/>
              <w:ind w:left="425" w:leftChars="0" w:hanging="425" w:firstLineChars="0"/>
              <w:rPr>
                <w:rFonts w:hint="eastAsia" w:ascii="宋体" w:hAnsi="宋体" w:cs="宋体"/>
                <w:szCs w:val="21"/>
                <w:lang w:eastAsia="zh-CN"/>
              </w:rPr>
            </w:pPr>
            <w:r>
              <w:rPr>
                <w:rFonts w:hint="eastAsia" w:ascii="宋体" w:hAnsi="宋体" w:cs="宋体"/>
                <w:szCs w:val="21"/>
                <w:lang w:eastAsia="zh-CN"/>
              </w:rPr>
              <w:t>负责照明控制系统软件更新及升级，确保照明控制系统软件运行正常。</w:t>
            </w:r>
          </w:p>
          <w:p>
            <w:pPr>
              <w:numPr>
                <w:ilvl w:val="0"/>
                <w:numId w:val="14"/>
              </w:numPr>
              <w:tabs>
                <w:tab w:val="left" w:pos="531"/>
              </w:tabs>
              <w:snapToGrid w:val="0"/>
              <w:ind w:left="425" w:leftChars="0" w:hanging="425" w:firstLineChars="0"/>
              <w:rPr>
                <w:rFonts w:hint="eastAsia" w:ascii="宋体" w:hAnsi="宋体" w:cs="宋体"/>
                <w:szCs w:val="21"/>
                <w:lang w:eastAsia="zh-CN"/>
              </w:rPr>
            </w:pPr>
            <w:r>
              <w:rPr>
                <w:rFonts w:hint="eastAsia" w:ascii="宋体" w:hAnsi="宋体" w:cs="宋体"/>
                <w:szCs w:val="21"/>
                <w:lang w:eastAsia="zh-CN"/>
              </w:rPr>
              <w:t>每季度需提交维保总结报告，报告内容包含维护保养和维修记录（含影像资料）</w:t>
            </w:r>
            <w:r>
              <w:rPr>
                <w:rFonts w:hint="eastAsia" w:ascii="宋体" w:hAnsi="宋体" w:cs="宋体"/>
                <w:szCs w:val="21"/>
                <w:lang w:val="en-US" w:eastAsia="zh-CN"/>
              </w:rPr>
              <w:t>及招标人现场负责人签字</w:t>
            </w:r>
            <w:r>
              <w:rPr>
                <w:rFonts w:hint="eastAsia" w:ascii="宋体" w:hAnsi="宋体" w:cs="宋体"/>
                <w:szCs w:val="21"/>
                <w:lang w:eastAsia="zh-CN"/>
              </w:rPr>
              <w:t>、</w:t>
            </w:r>
            <w:r>
              <w:rPr>
                <w:rFonts w:hint="eastAsia" w:ascii="宋体" w:hAnsi="宋体" w:cs="宋体"/>
                <w:szCs w:val="21"/>
                <w:lang w:val="en-US" w:eastAsia="zh-CN"/>
              </w:rPr>
              <w:t>维保记录汇总表、结算清单（需招标人签字确认）</w:t>
            </w:r>
            <w:r>
              <w:rPr>
                <w:rFonts w:hint="eastAsia" w:ascii="宋体" w:hAnsi="宋体" w:cs="宋体"/>
                <w:szCs w:val="21"/>
                <w:lang w:eastAsia="zh-CN"/>
              </w:rPr>
              <w:t>维保建议。</w:t>
            </w:r>
          </w:p>
          <w:p>
            <w:pPr>
              <w:numPr>
                <w:ilvl w:val="-1"/>
                <w:numId w:val="0"/>
              </w:numPr>
              <w:tabs>
                <w:tab w:val="left" w:pos="531"/>
              </w:tabs>
              <w:snapToGrid w:val="0"/>
              <w:ind w:left="0" w:leftChars="0" w:firstLine="0" w:firstLineChars="0"/>
              <w:rPr>
                <w:rFonts w:hint="eastAsia" w:ascii="宋体" w:hAnsi="宋体" w:eastAsia="宋体" w:cs="宋体"/>
                <w:szCs w:val="21"/>
                <w:lang w:eastAsia="zh-CN"/>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szCs w:val="21"/>
                <w:lang w:val="en-US" w:eastAsia="zh-CN"/>
              </w:rPr>
            </w:pPr>
            <w:r>
              <w:rPr>
                <w:rFonts w:hint="eastAsia" w:ascii="宋体" w:hAnsi="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lang w:val="en-US" w:eastAsia="zh-CN"/>
              </w:rPr>
            </w:pPr>
            <w:r>
              <w:rPr>
                <w:rFonts w:hint="eastAsia" w:ascii="宋体" w:hAnsi="宋体" w:cs="宋体"/>
                <w:b w:val="0"/>
                <w:bCs/>
                <w:color w:val="auto"/>
                <w:szCs w:val="21"/>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lang w:eastAsia="zh-CN"/>
              </w:rPr>
            </w:pPr>
            <w:r>
              <w:rPr>
                <w:rFonts w:hint="eastAsia" w:ascii="宋体" w:hAnsi="宋体" w:cs="宋体"/>
                <w:b w:val="0"/>
                <w:bCs/>
                <w:color w:val="auto"/>
                <w:szCs w:val="21"/>
                <w:lang w:eastAsia="zh-CN"/>
              </w:rPr>
              <w:t>项目地点</w:t>
            </w:r>
          </w:p>
        </w:tc>
        <w:tc>
          <w:tcPr>
            <w:tcW w:w="743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default" w:ascii="宋体" w:hAnsi="宋体" w:eastAsia="宋体" w:cs="宋体"/>
                <w:b/>
                <w:color w:val="auto"/>
                <w:szCs w:val="21"/>
                <w:lang w:val="en-US" w:eastAsia="zh-CN"/>
              </w:rPr>
            </w:pPr>
            <w:r>
              <w:rPr>
                <w:rFonts w:hint="eastAsia" w:ascii="宋体" w:hAnsi="宋体" w:cs="宋体"/>
                <w:b w:val="0"/>
                <w:bCs/>
                <w:color w:val="auto"/>
                <w:szCs w:val="21"/>
                <w:lang w:eastAsia="zh-CN"/>
              </w:rPr>
              <w:t>深圳会展中心</w:t>
            </w:r>
            <w:r>
              <w:rPr>
                <w:rFonts w:hint="eastAsia" w:ascii="宋体" w:hAnsi="宋体" w:cs="宋体"/>
                <w:b w:val="0"/>
                <w:bCs/>
                <w:color w:val="auto"/>
                <w:szCs w:val="21"/>
                <w:lang w:val="en-US" w:eastAsia="zh-CN"/>
              </w:rPr>
              <w:t>1-9号馆及公共区域。</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lang w:eastAsia="zh-CN"/>
              </w:rPr>
            </w:pPr>
            <w:r>
              <w:rPr>
                <w:rFonts w:hint="eastAsia" w:ascii="宋体" w:hAnsi="宋体" w:cs="宋体"/>
                <w:snapToGrid/>
                <w:color w:val="auto"/>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lang w:eastAsia="zh-CN"/>
              </w:rPr>
              <w:t>维保设备数量</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auto"/>
              </w:rPr>
            </w:pPr>
            <w:r>
              <w:rPr>
                <w:rFonts w:hint="eastAsia" w:ascii="宋体" w:hAnsi="宋体"/>
                <w:color w:val="auto"/>
              </w:rPr>
              <w:t>Dynalite系统产品有DDRC620/ DDRC820/ DDRC1220/调光模块共</w:t>
            </w:r>
            <w:r>
              <w:rPr>
                <w:rFonts w:hint="eastAsia" w:ascii="宋体" w:hAnsi="宋体"/>
                <w:color w:val="auto"/>
                <w:lang w:val="en-US" w:eastAsia="zh-CN"/>
              </w:rPr>
              <w:t>39</w:t>
            </w:r>
            <w:r>
              <w:rPr>
                <w:rFonts w:hint="eastAsia" w:ascii="宋体" w:hAnsi="宋体"/>
                <w:color w:val="auto"/>
              </w:rPr>
              <w:t>0个, 控制面板（DLP5100、DLP9100）</w:t>
            </w:r>
            <w:r>
              <w:rPr>
                <w:rFonts w:hint="eastAsia" w:ascii="宋体" w:hAnsi="宋体"/>
                <w:color w:val="auto"/>
                <w:lang w:val="en-US" w:eastAsia="zh-CN"/>
              </w:rPr>
              <w:t>106</w:t>
            </w:r>
            <w:r>
              <w:rPr>
                <w:rFonts w:hint="eastAsia" w:ascii="宋体" w:hAnsi="宋体"/>
                <w:color w:val="auto"/>
              </w:rPr>
              <w:t>个, 网桥12个，光模转换器12个，12V直流电源12个，服务器网关1个，服务器电脑1台，控制线路:约</w:t>
            </w:r>
            <w:r>
              <w:rPr>
                <w:rFonts w:hint="eastAsia" w:ascii="宋体" w:hAnsi="宋体"/>
                <w:color w:val="auto"/>
                <w:lang w:val="en-US" w:eastAsia="zh-CN"/>
              </w:rPr>
              <w:t>2</w:t>
            </w:r>
            <w:r>
              <w:rPr>
                <w:rFonts w:hint="eastAsia" w:ascii="宋体" w:hAnsi="宋体"/>
                <w:color w:val="auto"/>
              </w:rPr>
              <w:t>万米，网络终端设备服务器1台，包括主机、显示器、键盘、</w:t>
            </w:r>
            <w:r>
              <w:rPr>
                <w:rFonts w:hint="eastAsia" w:ascii="宋体" w:hAnsi="宋体"/>
                <w:color w:val="auto"/>
                <w:lang w:val="en-US" w:eastAsia="zh-CN"/>
              </w:rPr>
              <w:t>EM</w:t>
            </w:r>
            <w:r>
              <w:rPr>
                <w:rFonts w:hint="eastAsia" w:ascii="宋体" w:hAnsi="宋体"/>
                <w:color w:val="auto"/>
              </w:rPr>
              <w:t>控制软件1套</w:t>
            </w:r>
            <w:r>
              <w:rPr>
                <w:rFonts w:hint="eastAsia" w:ascii="宋体" w:hAnsi="宋体"/>
                <w:color w:val="auto"/>
                <w:lang w:val="en-US" w:eastAsia="zh-CN"/>
              </w:rPr>
              <w:t>,EP</w:t>
            </w:r>
            <w:r>
              <w:rPr>
                <w:rFonts w:hint="eastAsia" w:ascii="宋体" w:hAnsi="宋体"/>
                <w:color w:val="auto"/>
              </w:rPr>
              <w:t>控制软件1套等。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b w:val="0"/>
                <w:bCs w:val="0"/>
                <w:snapToGrid/>
                <w:color w:val="auto"/>
                <w:spacing w:val="0"/>
                <w:kern w:val="2"/>
                <w:sz w:val="21"/>
                <w:szCs w:val="21"/>
                <w:lang w:eastAsia="zh-CN"/>
              </w:rPr>
            </w:pPr>
            <w:r>
              <w:rPr>
                <w:rFonts w:hint="eastAsia" w:ascii="宋体" w:hAnsi="宋体" w:eastAsia="宋体" w:cs="宋体"/>
                <w:b w:val="0"/>
                <w:bCs w:val="0"/>
                <w:snapToGrid/>
                <w:color w:val="auto"/>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Cs w:val="21"/>
              </w:rPr>
            </w:pPr>
            <w:r>
              <w:rPr>
                <w:rFonts w:hint="eastAsia" w:ascii="宋体" w:hAnsi="宋体" w:eastAsia="宋体" w:cs="宋体"/>
                <w:b w:val="0"/>
                <w:bCs w:val="0"/>
                <w:color w:val="auto"/>
              </w:rPr>
              <w:t>网络终端设备（服务器、</w:t>
            </w:r>
            <w:r>
              <w:rPr>
                <w:rFonts w:hint="eastAsia" w:ascii="宋体" w:hAnsi="宋体" w:eastAsia="宋体" w:cs="宋体"/>
                <w:b w:val="0"/>
                <w:bCs w:val="0"/>
                <w:color w:val="auto"/>
                <w:lang w:val="en-US" w:eastAsia="zh-CN"/>
              </w:rPr>
              <w:t>EM.EP</w:t>
            </w:r>
            <w:r>
              <w:rPr>
                <w:rFonts w:hint="eastAsia" w:ascii="宋体" w:hAnsi="宋体" w:eastAsia="宋体" w:cs="宋体"/>
                <w:b w:val="0"/>
                <w:bCs w:val="0"/>
                <w:color w:val="auto"/>
              </w:rPr>
              <w:t>控制软件）</w:t>
            </w:r>
          </w:p>
        </w:tc>
        <w:tc>
          <w:tcPr>
            <w:tcW w:w="7438" w:type="dxa"/>
            <w:tcBorders>
              <w:top w:val="single" w:color="auto" w:sz="4" w:space="0"/>
              <w:left w:val="single" w:color="auto" w:sz="4" w:space="0"/>
              <w:bottom w:val="single" w:color="auto" w:sz="4" w:space="0"/>
              <w:right w:val="single" w:color="auto" w:sz="4" w:space="0"/>
            </w:tcBorders>
            <w:vAlign w:val="center"/>
          </w:tcPr>
          <w:p>
            <w:pPr>
              <w:pStyle w:val="24"/>
              <w:numPr>
                <w:ilvl w:val="0"/>
                <w:numId w:val="15"/>
              </w:numPr>
              <w:spacing w:line="240" w:lineRule="atLeast"/>
              <w:ind w:left="425" w:leftChars="0" w:hanging="425" w:firstLineChars="0"/>
              <w:jc w:val="left"/>
              <w:rPr>
                <w:rFonts w:hint="eastAsia" w:ascii="宋体" w:hAnsi="宋体" w:eastAsia="宋体" w:cs="宋体"/>
                <w:b w:val="0"/>
                <w:bCs w:val="0"/>
                <w:color w:val="auto"/>
              </w:rPr>
            </w:pPr>
            <w:r>
              <w:rPr>
                <w:rFonts w:hint="eastAsia" w:ascii="宋体" w:hAnsi="宋体" w:eastAsia="宋体" w:cs="宋体"/>
                <w:b w:val="0"/>
                <w:bCs w:val="0"/>
                <w:color w:val="auto"/>
              </w:rPr>
              <w:t>主机、显示器、键盘接口部件供电状态、运行状态检查、维护，通讯状态检查维护。</w:t>
            </w:r>
          </w:p>
          <w:p>
            <w:pPr>
              <w:pStyle w:val="24"/>
              <w:numPr>
                <w:ilvl w:val="0"/>
                <w:numId w:val="15"/>
              </w:numPr>
              <w:spacing w:line="240" w:lineRule="atLeast"/>
              <w:ind w:left="425" w:leftChars="0" w:hanging="425" w:firstLineChars="0"/>
              <w:jc w:val="left"/>
              <w:rPr>
                <w:rFonts w:hint="eastAsia" w:ascii="宋体" w:hAnsi="宋体" w:eastAsia="宋体" w:cs="宋体"/>
                <w:b w:val="0"/>
                <w:bCs w:val="0"/>
                <w:color w:val="auto"/>
              </w:rPr>
            </w:pPr>
            <w:r>
              <w:rPr>
                <w:rFonts w:hint="eastAsia" w:ascii="宋体" w:hAnsi="宋体" w:eastAsia="宋体" w:cs="宋体"/>
                <w:b w:val="0"/>
                <w:bCs w:val="0"/>
                <w:color w:val="auto"/>
              </w:rPr>
              <w:t>系统软件和控制软件、文件检查维护。</w:t>
            </w:r>
          </w:p>
          <w:p>
            <w:pPr>
              <w:pStyle w:val="24"/>
              <w:numPr>
                <w:ilvl w:val="0"/>
                <w:numId w:val="15"/>
              </w:numPr>
              <w:spacing w:line="240" w:lineRule="atLeast"/>
              <w:ind w:left="425" w:leftChars="0" w:hanging="425" w:firstLineChars="0"/>
              <w:jc w:val="left"/>
              <w:rPr>
                <w:rFonts w:hint="eastAsia" w:ascii="宋体" w:hAnsi="宋体" w:eastAsia="宋体" w:cs="宋体"/>
                <w:b w:val="0"/>
                <w:bCs w:val="0"/>
                <w:color w:val="auto"/>
              </w:rPr>
            </w:pPr>
            <w:r>
              <w:rPr>
                <w:rFonts w:hint="eastAsia" w:ascii="宋体" w:hAnsi="宋体" w:eastAsia="宋体" w:cs="宋体"/>
                <w:b w:val="0"/>
                <w:bCs w:val="0"/>
                <w:color w:val="auto"/>
              </w:rPr>
              <w:t>实时报警功能检查维护, 历史记录功能检查，数据备份, 控制指令, 控制功能测试故障处理。</w:t>
            </w:r>
          </w:p>
          <w:p>
            <w:pPr>
              <w:pStyle w:val="24"/>
              <w:numPr>
                <w:ilvl w:val="0"/>
                <w:numId w:val="15"/>
              </w:numPr>
              <w:spacing w:line="240" w:lineRule="atLeast"/>
              <w:ind w:left="425" w:leftChars="0" w:hanging="425" w:firstLineChars="0"/>
              <w:jc w:val="left"/>
              <w:rPr>
                <w:rFonts w:hint="eastAsia" w:ascii="宋体" w:hAnsi="宋体" w:eastAsia="宋体" w:cs="宋体"/>
                <w:b w:val="0"/>
                <w:bCs w:val="0"/>
                <w:color w:val="auto"/>
              </w:rPr>
            </w:pPr>
            <w:r>
              <w:rPr>
                <w:rFonts w:hint="eastAsia" w:ascii="宋体" w:hAnsi="宋体" w:eastAsia="宋体" w:cs="宋体"/>
                <w:b w:val="0"/>
                <w:bCs w:val="0"/>
                <w:color w:val="auto"/>
              </w:rPr>
              <w:t>通讯情况检查，输入/输出信号检查，程序、状态检查。</w:t>
            </w:r>
          </w:p>
          <w:p>
            <w:pPr>
              <w:numPr>
                <w:ilvl w:val="0"/>
                <w:numId w:val="15"/>
              </w:numPr>
              <w:tabs>
                <w:tab w:val="left" w:pos="531"/>
              </w:tabs>
              <w:snapToGrid w:val="0"/>
              <w:ind w:left="425" w:leftChars="0" w:hanging="425" w:firstLineChars="0"/>
              <w:rPr>
                <w:rFonts w:hint="eastAsia" w:ascii="宋体" w:hAnsi="宋体" w:eastAsia="宋体" w:cs="宋体"/>
                <w:b w:val="0"/>
                <w:bCs w:val="0"/>
                <w:color w:val="auto"/>
              </w:rPr>
            </w:pPr>
            <w:r>
              <w:rPr>
                <w:rFonts w:hint="eastAsia" w:ascii="宋体" w:hAnsi="宋体" w:eastAsia="宋体" w:cs="宋体"/>
                <w:b w:val="0"/>
                <w:bCs w:val="0"/>
                <w:color w:val="auto"/>
              </w:rPr>
              <w:t>通过软件实时监控各设备运行状态及开关等，保证智能照明监控系统的正常工作。</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eastAsia="zh-CN"/>
              </w:rPr>
            </w:pPr>
            <w:r>
              <w:rPr>
                <w:rFonts w:hint="eastAsia" w:ascii="宋体" w:hAnsi="宋体" w:eastAsia="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智能开关模块</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531"/>
              </w:tabs>
              <w:snapToGrid w:val="0"/>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检查模块输入电源。</w:t>
            </w:r>
          </w:p>
          <w:p>
            <w:pPr>
              <w:numPr>
                <w:ilvl w:val="0"/>
                <w:numId w:val="16"/>
              </w:numPr>
              <w:tabs>
                <w:tab w:val="left" w:pos="531"/>
              </w:tabs>
              <w:snapToGrid w:val="0"/>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检测设备运行状态（在线/离线）。</w:t>
            </w:r>
          </w:p>
          <w:p>
            <w:pPr>
              <w:numPr>
                <w:ilvl w:val="0"/>
                <w:numId w:val="16"/>
              </w:numPr>
              <w:tabs>
                <w:tab w:val="left" w:pos="531"/>
              </w:tabs>
              <w:snapToGrid w:val="0"/>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检查内部是否有松脱的现象，各插卡是否有歪斜而接触不良的现象。</w:t>
            </w:r>
          </w:p>
          <w:p>
            <w:pPr>
              <w:numPr>
                <w:ilvl w:val="0"/>
                <w:numId w:val="16"/>
              </w:numPr>
              <w:tabs>
                <w:tab w:val="left" w:pos="531"/>
              </w:tabs>
              <w:snapToGrid w:val="0"/>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测试每通道继电器的开/关及手动旁路开/关。</w:t>
            </w:r>
          </w:p>
          <w:p>
            <w:pPr>
              <w:numPr>
                <w:ilvl w:val="0"/>
                <w:numId w:val="16"/>
              </w:numPr>
              <w:tabs>
                <w:tab w:val="left" w:pos="531"/>
              </w:tabs>
              <w:snapToGrid w:val="0"/>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检测RS485 Dynalite串行口的通信，输入/输出信号检查。</w:t>
            </w:r>
          </w:p>
          <w:p>
            <w:pPr>
              <w:numPr>
                <w:ilvl w:val="0"/>
                <w:numId w:val="16"/>
              </w:numPr>
              <w:tabs>
                <w:tab w:val="left" w:pos="531"/>
              </w:tabs>
              <w:snapToGrid w:val="0"/>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测量Dynalite DC电源是否正常。</w:t>
            </w:r>
          </w:p>
          <w:p>
            <w:pPr>
              <w:numPr>
                <w:ilvl w:val="0"/>
                <w:numId w:val="16"/>
              </w:numPr>
              <w:tabs>
                <w:tab w:val="left" w:pos="531"/>
              </w:tabs>
              <w:snapToGrid w:val="0"/>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检测AUX可编程干簧触点输入、远程可编程全部功能。</w:t>
            </w:r>
          </w:p>
          <w:p>
            <w:pPr>
              <w:numPr>
                <w:ilvl w:val="0"/>
                <w:numId w:val="16"/>
              </w:numPr>
              <w:tabs>
                <w:tab w:val="left" w:pos="531"/>
              </w:tabs>
              <w:snapToGrid w:val="0"/>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分析设备诊断数据，对异常情况，进行核查，并进行相关的处理。</w:t>
            </w:r>
          </w:p>
          <w:p>
            <w:pPr>
              <w:numPr>
                <w:ilvl w:val="0"/>
                <w:numId w:val="16"/>
              </w:numPr>
              <w:tabs>
                <w:tab w:val="left" w:pos="531"/>
              </w:tabs>
              <w:snapToGrid w:val="0"/>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检查模块的软件版本，必要时进行升级更新。</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控制面板</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7"/>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检所有按键是否有效，灵活。</w:t>
            </w:r>
          </w:p>
          <w:p>
            <w:pPr>
              <w:numPr>
                <w:ilvl w:val="0"/>
                <w:numId w:val="17"/>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检测设备运行状态（在线/离线）。</w:t>
            </w:r>
          </w:p>
          <w:p>
            <w:pPr>
              <w:numPr>
                <w:ilvl w:val="0"/>
                <w:numId w:val="17"/>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测试每按键触发场景是否正确。</w:t>
            </w:r>
          </w:p>
          <w:p>
            <w:pPr>
              <w:numPr>
                <w:ilvl w:val="0"/>
                <w:numId w:val="17"/>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检测RS485 Dynalite串行口的通信，输入/输出信号检查。</w:t>
            </w:r>
          </w:p>
          <w:p>
            <w:pPr>
              <w:numPr>
                <w:ilvl w:val="0"/>
                <w:numId w:val="17"/>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测量Dynalite DC电源是否正常。</w:t>
            </w:r>
          </w:p>
          <w:p>
            <w:pPr>
              <w:numPr>
                <w:ilvl w:val="0"/>
                <w:numId w:val="17"/>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检测远程可编程全部功能。</w:t>
            </w:r>
          </w:p>
          <w:p>
            <w:pPr>
              <w:numPr>
                <w:ilvl w:val="0"/>
                <w:numId w:val="17"/>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分析设备诊断数据，对异常情况，进行核查，并进行相关的处理。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智能系统Dynalite网络</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8"/>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Dynalite是一个分布式智能化的计算机网络，所有控制部件包括各种规格的智能开关模块，各种规格的面板、智能探测器等都互连在Dynalite网的通信线上，控制部件中都存有如下一些信息数据：</w:t>
            </w:r>
          </w:p>
          <w:p>
            <w:pPr>
              <w:numPr>
                <w:ilvl w:val="0"/>
                <w:numId w:val="18"/>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控制部件本身的地址、每个通道的名称、每个通道所在的位置或区域编号、每个预调协场景相对应的输出亮度、其它安装和配置数据。</w:t>
            </w:r>
          </w:p>
          <w:p>
            <w:pPr>
              <w:numPr>
                <w:ilvl w:val="0"/>
                <w:numId w:val="18"/>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检查网络内每个接点是否良好可靠传输信号，确保传输线路质量，处理故障隐患。</w:t>
            </w:r>
          </w:p>
          <w:p>
            <w:pPr>
              <w:numPr>
                <w:ilvl w:val="0"/>
                <w:numId w:val="18"/>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对系统所有数据信息进行分析诊断，对异常情况，进行核查，并进行相关的处理。</w:t>
            </w:r>
          </w:p>
          <w:p>
            <w:pPr>
              <w:numPr>
                <w:ilvl w:val="0"/>
                <w:numId w:val="18"/>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系统网络性能检测，包括网络的连通性及稳定性等，并根据用户需要进行监控网络的规划、优化。</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零配件</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9"/>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主要零配件要求原厂家生产。</w:t>
            </w:r>
          </w:p>
          <w:p>
            <w:pPr>
              <w:numPr>
                <w:ilvl w:val="0"/>
                <w:numId w:val="19"/>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维修保养辅材要符合维保设备正常运行的要求。</w:t>
            </w:r>
          </w:p>
          <w:p>
            <w:pPr>
              <w:numPr>
                <w:ilvl w:val="0"/>
                <w:numId w:val="19"/>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投标人提供的替换零配件兼容性必须要满足设备正常运行要求，零配件质保期应满足国家标准。</w:t>
            </w:r>
          </w:p>
          <w:p>
            <w:pPr>
              <w:numPr>
                <w:ilvl w:val="0"/>
                <w:numId w:val="19"/>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年度维修零配件单件价值在200元内由投标人负责采买并承担相应费用，(包括</w:t>
            </w:r>
            <w:r>
              <w:rPr>
                <w:rFonts w:hint="eastAsia" w:ascii="宋体" w:hAnsi="宋体" w:cs="宋体"/>
                <w:lang w:eastAsia="zh-CN"/>
              </w:rPr>
              <w:t>但不限于</w:t>
            </w:r>
            <w:r>
              <w:rPr>
                <w:rFonts w:hint="eastAsia" w:ascii="宋体" w:hAnsi="宋体" w:eastAsia="宋体" w:cs="宋体"/>
              </w:rPr>
              <w:t>扎带、端子、 螺丝垫片、 五金门锁和叶、12V直流电源，光电转换器、12-24V继电器、 保险管、2.5平方以下100米BVV线材等)。</w:t>
            </w:r>
          </w:p>
          <w:p>
            <w:pPr>
              <w:numPr>
                <w:ilvl w:val="0"/>
                <w:numId w:val="19"/>
              </w:numPr>
              <w:tabs>
                <w:tab w:val="left" w:pos="669"/>
              </w:tabs>
              <w:snapToGrid w:val="0"/>
              <w:ind w:left="425" w:leftChars="0" w:hanging="425" w:firstLineChars="0"/>
              <w:rPr>
                <w:rFonts w:hint="eastAsia" w:ascii="宋体" w:hAnsi="宋体" w:eastAsia="宋体" w:cs="宋体"/>
              </w:rPr>
            </w:pPr>
            <w:r>
              <w:rPr>
                <w:rFonts w:hint="eastAsia" w:ascii="宋体" w:hAnsi="宋体" w:eastAsia="宋体" w:cs="宋体"/>
              </w:rPr>
              <w:t>投标人自行配备维修、保养系统所需的各种工器具。</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eastAsia="宋体" w:cs="宋体"/>
                <w:snapToGrid/>
                <w:color w:val="auto"/>
                <w:spacing w:val="0"/>
                <w:kern w:val="2"/>
                <w:sz w:val="21"/>
                <w:szCs w:val="21"/>
                <w:lang w:val="en-US" w:eastAsia="zh-CN"/>
              </w:rPr>
            </w:pPr>
            <w:r>
              <w:rPr>
                <w:rFonts w:hint="eastAsia" w:ascii="宋体" w:hAnsi="宋体" w:cs="宋体"/>
                <w:snapToGrid/>
                <w:color w:val="auto"/>
                <w:spacing w:val="0"/>
                <w:kern w:val="2"/>
                <w:sz w:val="21"/>
                <w:szCs w:val="21"/>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rPr>
            </w:pPr>
            <w:r>
              <w:rPr>
                <w:rFonts w:hint="eastAsia" w:ascii="宋体" w:hAnsi="宋体" w:eastAsia="宋体" w:cs="宋体"/>
                <w:color w:val="auto"/>
              </w:rPr>
              <w:t>项目服务要求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20"/>
              </w:numPr>
              <w:tabs>
                <w:tab w:val="left" w:pos="669"/>
              </w:tabs>
              <w:snapToGrid w:val="0"/>
              <w:ind w:left="425" w:leftChars="0" w:hanging="425" w:firstLineChars="0"/>
              <w:rPr>
                <w:rFonts w:hint="eastAsia"/>
                <w:color w:val="auto"/>
              </w:rPr>
            </w:pPr>
            <w:r>
              <w:rPr>
                <w:rFonts w:hint="eastAsia"/>
                <w:color w:val="auto"/>
              </w:rPr>
              <w:t>高交会等大型展会要求派两名工程师现场值班保障服务。</w:t>
            </w:r>
          </w:p>
          <w:p>
            <w:pPr>
              <w:numPr>
                <w:ilvl w:val="0"/>
                <w:numId w:val="20"/>
              </w:numPr>
              <w:tabs>
                <w:tab w:val="left" w:pos="669"/>
              </w:tabs>
              <w:snapToGrid w:val="0"/>
              <w:ind w:left="425" w:leftChars="0" w:hanging="425" w:firstLineChars="0"/>
              <w:rPr>
                <w:rFonts w:hint="eastAsia"/>
                <w:color w:val="auto"/>
              </w:rPr>
            </w:pPr>
            <w:r>
              <w:rPr>
                <w:rFonts w:hint="eastAsia"/>
                <w:color w:val="auto"/>
              </w:rPr>
              <w:t>合同期内无安全责任事故，无人员伤亡；</w:t>
            </w:r>
          </w:p>
          <w:p>
            <w:pPr>
              <w:numPr>
                <w:ilvl w:val="0"/>
                <w:numId w:val="20"/>
              </w:numPr>
              <w:tabs>
                <w:tab w:val="left" w:pos="669"/>
              </w:tabs>
              <w:snapToGrid w:val="0"/>
              <w:ind w:left="425" w:leftChars="0" w:hanging="425" w:firstLineChars="0"/>
              <w:rPr>
                <w:rFonts w:hint="eastAsia"/>
                <w:color w:val="auto"/>
              </w:rPr>
            </w:pPr>
            <w:r>
              <w:rPr>
                <w:rFonts w:hint="eastAsia"/>
                <w:color w:val="auto"/>
              </w:rPr>
              <w:t>合同期内系统设备安全运行，无设备安全事故；</w:t>
            </w:r>
          </w:p>
          <w:p>
            <w:pPr>
              <w:numPr>
                <w:ilvl w:val="0"/>
                <w:numId w:val="20"/>
              </w:numPr>
              <w:tabs>
                <w:tab w:val="left" w:pos="669"/>
              </w:tabs>
              <w:snapToGrid w:val="0"/>
              <w:ind w:left="425" w:leftChars="0" w:hanging="425" w:firstLineChars="0"/>
              <w:rPr>
                <w:rFonts w:hint="eastAsia"/>
                <w:color w:val="auto"/>
              </w:rPr>
            </w:pPr>
            <w:r>
              <w:rPr>
                <w:rFonts w:hint="eastAsia"/>
                <w:color w:val="auto"/>
              </w:rPr>
              <w:t>按照计划完成本年度照明系统维护保养工作；</w:t>
            </w:r>
          </w:p>
          <w:p>
            <w:pPr>
              <w:numPr>
                <w:ilvl w:val="0"/>
                <w:numId w:val="20"/>
              </w:numPr>
              <w:tabs>
                <w:tab w:val="left" w:pos="669"/>
              </w:tabs>
              <w:snapToGrid w:val="0"/>
              <w:ind w:left="425" w:leftChars="0" w:hanging="425" w:firstLineChars="0"/>
              <w:rPr>
                <w:rFonts w:hint="eastAsia"/>
                <w:color w:val="auto"/>
              </w:rPr>
            </w:pPr>
            <w:r>
              <w:rPr>
                <w:rFonts w:hint="eastAsia"/>
                <w:color w:val="auto"/>
              </w:rPr>
              <w:t>每3月完成一次全部照明设备巡检工作并做好相应记录；</w:t>
            </w:r>
          </w:p>
          <w:p>
            <w:pPr>
              <w:numPr>
                <w:ilvl w:val="0"/>
                <w:numId w:val="20"/>
              </w:numPr>
              <w:tabs>
                <w:tab w:val="left" w:pos="669"/>
              </w:tabs>
              <w:snapToGrid w:val="0"/>
              <w:ind w:left="425" w:leftChars="0" w:hanging="425" w:firstLineChars="0"/>
              <w:rPr>
                <w:rFonts w:hint="eastAsia"/>
                <w:color w:val="auto"/>
              </w:rPr>
            </w:pPr>
            <w:r>
              <w:rPr>
                <w:rFonts w:hint="eastAsia"/>
                <w:color w:val="auto"/>
              </w:rPr>
              <w:t>每次完成系统保养工作后需填写详细的工作记录，并经招标人指定管理人员签字确认。</w:t>
            </w:r>
          </w:p>
          <w:p>
            <w:pPr>
              <w:numPr>
                <w:ilvl w:val="0"/>
                <w:numId w:val="20"/>
              </w:numPr>
              <w:tabs>
                <w:tab w:val="left" w:pos="669"/>
              </w:tabs>
              <w:snapToGrid w:val="0"/>
              <w:ind w:left="425" w:leftChars="0" w:hanging="425" w:firstLineChars="0"/>
              <w:rPr>
                <w:rFonts w:hint="eastAsia"/>
                <w:color w:val="auto"/>
              </w:rPr>
            </w:pPr>
            <w:r>
              <w:rPr>
                <w:rFonts w:hint="eastAsia"/>
                <w:color w:val="auto"/>
              </w:rPr>
              <w:t>出现设备故障时，接到招标人的通知后，正常工作时间内2小时响应，4小时内赶到现场处理；</w:t>
            </w:r>
          </w:p>
          <w:p>
            <w:pPr>
              <w:numPr>
                <w:ilvl w:val="0"/>
                <w:numId w:val="20"/>
              </w:numPr>
              <w:tabs>
                <w:tab w:val="left" w:pos="669"/>
              </w:tabs>
              <w:snapToGrid w:val="0"/>
              <w:ind w:left="425" w:leftChars="0" w:hanging="425" w:firstLineChars="0"/>
              <w:rPr>
                <w:rFonts w:hint="eastAsia"/>
                <w:color w:val="auto"/>
              </w:rPr>
            </w:pPr>
            <w:r>
              <w:rPr>
                <w:rFonts w:hint="eastAsia"/>
                <w:color w:val="auto"/>
              </w:rPr>
              <w:t>无法及时修复或维修单个配件价值超过200元以上</w:t>
            </w:r>
            <w:r>
              <w:rPr>
                <w:rFonts w:hint="eastAsia"/>
                <w:color w:val="auto"/>
                <w:lang w:eastAsia="zh-CN"/>
              </w:rPr>
              <w:t>（控制模块、面板、控制线路、</w:t>
            </w:r>
            <w:r>
              <w:rPr>
                <w:rFonts w:hint="eastAsia"/>
                <w:color w:val="auto"/>
              </w:rPr>
              <w:t>网桥</w:t>
            </w:r>
            <w:r>
              <w:rPr>
                <w:rFonts w:hint="eastAsia"/>
                <w:color w:val="auto"/>
                <w:lang w:eastAsia="zh-CN"/>
              </w:rPr>
              <w:t>、交换机、</w:t>
            </w:r>
            <w:r>
              <w:rPr>
                <w:rFonts w:hint="eastAsia"/>
                <w:color w:val="auto"/>
              </w:rPr>
              <w:t>服务器网关</w:t>
            </w:r>
            <w:r>
              <w:rPr>
                <w:rFonts w:hint="eastAsia"/>
                <w:color w:val="auto"/>
                <w:lang w:eastAsia="zh-CN"/>
              </w:rPr>
              <w:t>、</w:t>
            </w:r>
            <w:r>
              <w:rPr>
                <w:rFonts w:hint="eastAsia"/>
                <w:color w:val="auto"/>
              </w:rPr>
              <w:t>网络终端设备服务器</w:t>
            </w:r>
            <w:r>
              <w:rPr>
                <w:rFonts w:hint="eastAsia"/>
                <w:color w:val="auto"/>
                <w:lang w:eastAsia="zh-CN"/>
              </w:rPr>
              <w:t>）</w:t>
            </w:r>
            <w:r>
              <w:rPr>
                <w:rFonts w:hint="eastAsia"/>
                <w:color w:val="auto"/>
              </w:rPr>
              <w:t>，及时通知招标人，由招标人采购配件并安排维修时间；</w:t>
            </w:r>
          </w:p>
          <w:p>
            <w:pPr>
              <w:numPr>
                <w:ilvl w:val="0"/>
                <w:numId w:val="20"/>
              </w:numPr>
              <w:tabs>
                <w:tab w:val="left" w:pos="669"/>
              </w:tabs>
              <w:snapToGrid w:val="0"/>
              <w:ind w:left="425" w:hanging="425"/>
              <w:rPr>
                <w:rFonts w:hint="eastAsia"/>
                <w:color w:val="auto"/>
                <w:lang w:eastAsia="zh-CN"/>
              </w:rPr>
            </w:pPr>
            <w:r>
              <w:rPr>
                <w:rFonts w:hint="eastAsia"/>
                <w:color w:val="auto"/>
              </w:rPr>
              <w:t>每次完成设备故障维修后，需分析设备故障原因，填写详细的维修记录</w:t>
            </w:r>
            <w:r>
              <w:rPr>
                <w:rFonts w:hint="eastAsia"/>
                <w:color w:val="auto"/>
                <w:lang w:eastAsia="zh-CN"/>
              </w:rPr>
              <w:t>。</w:t>
            </w:r>
          </w:p>
          <w:p>
            <w:pPr>
              <w:numPr>
                <w:ilvl w:val="0"/>
                <w:numId w:val="20"/>
              </w:numPr>
              <w:tabs>
                <w:tab w:val="left" w:pos="669"/>
              </w:tabs>
              <w:snapToGrid w:val="0"/>
              <w:ind w:left="425" w:hanging="425"/>
              <w:rPr>
                <w:rFonts w:hint="eastAsia"/>
                <w:color w:val="auto"/>
                <w:lang w:eastAsia="zh-CN"/>
              </w:rPr>
            </w:pPr>
            <w:r>
              <w:rPr>
                <w:rFonts w:hint="eastAsia"/>
                <w:color w:val="auto"/>
              </w:rPr>
              <w:t>合同期内</w:t>
            </w:r>
            <w:r>
              <w:rPr>
                <w:rFonts w:hint="eastAsia"/>
                <w:color w:val="auto"/>
                <w:lang w:eastAsia="zh-CN"/>
              </w:rPr>
              <w:t>投标人每年</w:t>
            </w:r>
            <w:r>
              <w:rPr>
                <w:rFonts w:hint="eastAsia"/>
                <w:color w:val="auto"/>
              </w:rPr>
              <w:t>免费对</w:t>
            </w:r>
            <w:r>
              <w:rPr>
                <w:rFonts w:hint="eastAsia"/>
                <w:color w:val="auto"/>
                <w:lang w:eastAsia="zh-CN"/>
              </w:rPr>
              <w:t>招标人的</w:t>
            </w:r>
            <w:r>
              <w:rPr>
                <w:rFonts w:hint="eastAsia"/>
                <w:color w:val="auto"/>
              </w:rPr>
              <w:t>相关操作人员进行技术培训1次</w:t>
            </w:r>
            <w:r>
              <w:rPr>
                <w:rFonts w:hint="eastAsia"/>
                <w:color w:val="auto"/>
                <w:spacing w:val="0"/>
                <w:kern w:val="2"/>
                <w:sz w:val="21"/>
                <w:lang w:eastAsia="zh-CN"/>
              </w:rPr>
              <w:t>。</w:t>
            </w:r>
          </w:p>
          <w:p>
            <w:pPr>
              <w:numPr>
                <w:ilvl w:val="0"/>
                <w:numId w:val="20"/>
              </w:numPr>
              <w:tabs>
                <w:tab w:val="left" w:pos="669"/>
              </w:tabs>
              <w:snapToGrid w:val="0"/>
              <w:ind w:left="425" w:hanging="425"/>
              <w:rPr>
                <w:rFonts w:hint="eastAsia"/>
                <w:color w:val="auto"/>
                <w:lang w:eastAsia="zh-CN"/>
              </w:rPr>
            </w:pPr>
            <w:r>
              <w:rPr>
                <w:rFonts w:hint="eastAsia"/>
                <w:color w:val="auto"/>
                <w:lang w:eastAsia="zh-CN"/>
              </w:rPr>
              <w:t>招标人</w:t>
            </w:r>
            <w:r>
              <w:rPr>
                <w:rFonts w:hint="eastAsia"/>
                <w:color w:val="auto"/>
              </w:rPr>
              <w:t>现有照明操作电脑设备变更或损坏导致原来操作软件注册码不能继</w:t>
            </w:r>
            <w:r>
              <w:rPr>
                <w:rFonts w:hint="eastAsia" w:ascii="Times New Roman" w:hAnsi="Times New Roman"/>
                <w:color w:val="auto"/>
                <w:spacing w:val="0"/>
                <w:kern w:val="2"/>
                <w:sz w:val="21"/>
              </w:rPr>
              <w:t>续使用时，</w:t>
            </w:r>
            <w:r>
              <w:rPr>
                <w:rFonts w:hint="eastAsia" w:ascii="Times New Roman" w:hAnsi="Times New Roman"/>
                <w:color w:val="auto"/>
                <w:spacing w:val="0"/>
                <w:kern w:val="2"/>
                <w:sz w:val="21"/>
                <w:lang w:eastAsia="zh-CN"/>
              </w:rPr>
              <w:t>投标人</w:t>
            </w:r>
            <w:r>
              <w:rPr>
                <w:rFonts w:hint="eastAsia" w:ascii="Times New Roman" w:hAnsi="Times New Roman"/>
                <w:color w:val="auto"/>
                <w:spacing w:val="0"/>
                <w:kern w:val="2"/>
                <w:sz w:val="21"/>
              </w:rPr>
              <w:t>在合同期内免费提供新的操作软件注册码供</w:t>
            </w:r>
            <w:r>
              <w:rPr>
                <w:rFonts w:hint="eastAsia" w:ascii="Times New Roman" w:hAnsi="Times New Roman"/>
                <w:color w:val="auto"/>
                <w:spacing w:val="0"/>
                <w:kern w:val="2"/>
                <w:sz w:val="21"/>
                <w:lang w:eastAsia="zh-CN"/>
              </w:rPr>
              <w:t>招标人</w:t>
            </w:r>
            <w:r>
              <w:rPr>
                <w:rFonts w:hint="eastAsia" w:ascii="Times New Roman" w:hAnsi="Times New Roman"/>
                <w:color w:val="auto"/>
                <w:spacing w:val="0"/>
                <w:kern w:val="2"/>
                <w:sz w:val="21"/>
              </w:rPr>
              <w:t>使用</w:t>
            </w:r>
            <w:r>
              <w:rPr>
                <w:rFonts w:hint="eastAsia"/>
                <w:color w:val="auto"/>
                <w:spacing w:val="0"/>
                <w:kern w:val="2"/>
                <w:sz w:val="21"/>
                <w:lang w:eastAsia="zh-CN"/>
              </w:rPr>
              <w:t>。</w:t>
            </w:r>
          </w:p>
          <w:p>
            <w:pPr>
              <w:numPr>
                <w:ilvl w:val="0"/>
                <w:numId w:val="20"/>
              </w:numPr>
              <w:tabs>
                <w:tab w:val="left" w:pos="669"/>
              </w:tabs>
              <w:snapToGrid w:val="0"/>
              <w:ind w:left="425" w:hanging="425"/>
              <w:rPr>
                <w:rFonts w:hint="eastAsia"/>
                <w:color w:val="auto"/>
                <w:lang w:eastAsia="zh-CN"/>
              </w:rPr>
            </w:pPr>
            <w:r>
              <w:rPr>
                <w:rFonts w:hint="eastAsia"/>
                <w:color w:val="auto"/>
                <w:lang w:eastAsia="zh-CN"/>
              </w:rPr>
              <w:t>合同期内出现照明控制系统不受控现象时，投标人每天安排专职人员根据招标人现场需求开、关灯，直致系统恢复正常控制</w:t>
            </w:r>
          </w:p>
          <w:p>
            <w:pPr>
              <w:numPr>
                <w:ilvl w:val="0"/>
                <w:numId w:val="20"/>
              </w:numPr>
              <w:tabs>
                <w:tab w:val="left" w:pos="669"/>
              </w:tabs>
              <w:snapToGrid w:val="0"/>
              <w:ind w:left="425" w:hanging="425"/>
              <w:rPr>
                <w:rFonts w:hint="eastAsia"/>
                <w:color w:val="auto"/>
                <w:lang w:eastAsia="zh-CN"/>
              </w:rPr>
            </w:pPr>
            <w:r>
              <w:rPr>
                <w:rFonts w:hint="eastAsia"/>
                <w:color w:val="auto"/>
                <w:lang w:eastAsia="zh-CN"/>
              </w:rPr>
              <w:t>投标人投标文件中技术人员必须与安排现场服务人员一致。</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color w:val="auto"/>
                <w:spacing w:val="0"/>
                <w:kern w:val="2"/>
                <w:sz w:val="21"/>
                <w:szCs w:val="21"/>
                <w:lang w:val="en-US" w:eastAsia="zh-CN"/>
              </w:rPr>
            </w:pPr>
            <w:r>
              <w:rPr>
                <w:rFonts w:hint="eastAsia" w:ascii="宋体" w:hAnsi="宋体" w:cs="宋体"/>
                <w:snapToGrid/>
                <w:color w:val="auto"/>
                <w:spacing w:val="0"/>
                <w:kern w:val="2"/>
                <w:sz w:val="21"/>
                <w:szCs w:val="21"/>
                <w:lang w:val="en-US" w:eastAsia="zh-CN"/>
              </w:rPr>
              <w:t>9</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21"/>
              </w:numPr>
              <w:tabs>
                <w:tab w:val="left" w:pos="531"/>
              </w:tabs>
              <w:snapToGrid w:val="0"/>
              <w:ind w:left="425" w:hanging="425"/>
              <w:rPr>
                <w:rFonts w:hint="eastAsia" w:ascii="宋体" w:hAnsi="宋体" w:cs="宋体"/>
                <w:color w:val="auto"/>
                <w:szCs w:val="21"/>
                <w:highlight w:val="none"/>
              </w:rPr>
            </w:pP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须建立安全责任制，进入现场的工作人员须遵守国家、所属地政府及深圳会展中心的相关规章制度，采取有效的措施保障现场的安全、维护现场的正常工作秩序，在服务过程中要做好人员、成品、半成品及设备设施的保护。</w:t>
            </w:r>
          </w:p>
          <w:p>
            <w:pPr>
              <w:numPr>
                <w:ilvl w:val="0"/>
                <w:numId w:val="21"/>
              </w:numPr>
              <w:tabs>
                <w:tab w:val="left" w:pos="531"/>
              </w:tabs>
              <w:snapToGrid w:val="0"/>
              <w:ind w:left="425" w:hanging="425"/>
              <w:rPr>
                <w:rFonts w:hint="eastAsia" w:ascii="宋体" w:hAnsi="宋体" w:cs="宋体"/>
                <w:color w:val="auto"/>
                <w:szCs w:val="21"/>
                <w:highlight w:val="none"/>
              </w:rPr>
            </w:pPr>
            <w:r>
              <w:rPr>
                <w:rFonts w:hint="eastAsia" w:ascii="宋体" w:hAnsi="宋体" w:cs="宋体"/>
                <w:color w:val="auto"/>
                <w:szCs w:val="21"/>
                <w:highlight w:val="none"/>
              </w:rPr>
              <w:t>中标单位应对现场作业人员的安全负全部责任。确保服务过程中不出现任何人身安全事故、火灾事故和财产损失等重大安全事故。</w:t>
            </w:r>
          </w:p>
          <w:p>
            <w:pPr>
              <w:numPr>
                <w:ilvl w:val="0"/>
                <w:numId w:val="21"/>
              </w:numPr>
              <w:tabs>
                <w:tab w:val="left" w:pos="531"/>
              </w:tabs>
              <w:snapToGrid w:val="0"/>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如因</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管理不善、组织不力或监管缺失等造成安全责任事故及财产损失的由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负全部责任。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不可偏离</w:t>
            </w:r>
          </w:p>
        </w:tc>
      </w:tr>
    </w:tbl>
    <w:p>
      <w:pPr>
        <w:numPr>
          <w:ilvl w:val="0"/>
          <w:numId w:val="1"/>
        </w:numPr>
        <w:jc w:val="left"/>
        <w:outlineLvl w:val="1"/>
        <w:rPr>
          <w:rFonts w:ascii="宋体" w:hAnsi="宋体"/>
          <w:b/>
          <w:color w:val="auto"/>
          <w:szCs w:val="21"/>
          <w:highlight w:val="none"/>
        </w:rPr>
      </w:pPr>
      <w:bookmarkStart w:id="40" w:name="_Toc82591996"/>
      <w:bookmarkEnd w:id="40"/>
      <w:bookmarkStart w:id="41" w:name="_Toc82684600"/>
      <w:bookmarkEnd w:id="41"/>
      <w:bookmarkStart w:id="42" w:name="_Toc82684715"/>
      <w:bookmarkEnd w:id="42"/>
      <w:bookmarkStart w:id="43" w:name="_Toc82685552"/>
      <w:bookmarkEnd w:id="43"/>
      <w:bookmarkStart w:id="44" w:name="_Toc23655"/>
      <w:r>
        <w:rPr>
          <w:rFonts w:hint="eastAsia" w:ascii="宋体" w:hAnsi="宋体" w:cs="宋体"/>
          <w:b/>
          <w:bCs/>
          <w:color w:val="auto"/>
          <w:szCs w:val="21"/>
          <w:highlight w:val="none"/>
          <w:lang w:eastAsia="zh-CN"/>
        </w:rPr>
        <w:t>其他</w:t>
      </w:r>
      <w:r>
        <w:rPr>
          <w:rFonts w:hint="eastAsia" w:ascii="宋体" w:hAnsi="宋体" w:cs="宋体"/>
          <w:b/>
          <w:bCs/>
          <w:color w:val="auto"/>
          <w:szCs w:val="21"/>
          <w:highlight w:val="none"/>
        </w:rPr>
        <w:t>要求</w:t>
      </w:r>
      <w:bookmarkEnd w:id="44"/>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rFonts w:hint="eastAsia" w:eastAsia="宋体"/>
          <w:color w:val="auto"/>
          <w:highlight w:val="none"/>
          <w:lang w:eastAsia="zh-CN"/>
        </w:rPr>
      </w:pPr>
      <w:r>
        <w:rPr>
          <w:rFonts w:hint="eastAsia"/>
          <w:color w:val="auto"/>
          <w:highlight w:val="none"/>
          <w:lang w:eastAsia="zh-CN"/>
        </w:rPr>
        <w:t>无</w:t>
      </w: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5" w:name="_Toc227"/>
      <w:r>
        <w:rPr>
          <w:rFonts w:hint="eastAsia" w:ascii="宋体" w:hAnsi="宋体"/>
          <w:b/>
          <w:sz w:val="32"/>
          <w:szCs w:val="32"/>
        </w:rPr>
        <w:t>第二部分：开标评标流程</w:t>
      </w:r>
      <w:bookmarkEnd w:id="45"/>
    </w:p>
    <w:p>
      <w:pPr>
        <w:numPr>
          <w:ilvl w:val="0"/>
          <w:numId w:val="1"/>
        </w:numPr>
        <w:spacing w:line="360" w:lineRule="auto"/>
        <w:outlineLvl w:val="1"/>
        <w:rPr>
          <w:b/>
        </w:rPr>
      </w:pPr>
      <w:bookmarkStart w:id="46" w:name="_Toc29478"/>
      <w:bookmarkStart w:id="47" w:name="_Toc104994641"/>
      <w:bookmarkStart w:id="48" w:name="_Hlk104908581"/>
      <w:bookmarkStart w:id="49" w:name="_Hlk104908397"/>
      <w:r>
        <w:rPr>
          <w:rFonts w:hint="eastAsia"/>
          <w:b/>
        </w:rPr>
        <w:t>开标阶段</w:t>
      </w:r>
      <w:bookmarkEnd w:id="46"/>
      <w:bookmarkEnd w:id="47"/>
    </w:p>
    <w:bookmarkEnd w:id="48"/>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50" w:name="_Toc104994642"/>
      <w:bookmarkStart w:id="51" w:name="_Toc17188"/>
      <w:r>
        <w:rPr>
          <w:rFonts w:hint="eastAsia"/>
          <w:b/>
        </w:rPr>
        <w:t>评标阶段</w:t>
      </w:r>
      <w:bookmarkEnd w:id="50"/>
      <w:bookmarkEnd w:id="51"/>
    </w:p>
    <w:p>
      <w:pPr>
        <w:pStyle w:val="24"/>
        <w:numPr>
          <w:ilvl w:val="0"/>
          <w:numId w:val="23"/>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9"/>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52" w:name="_Toc19720"/>
      <w:r>
        <w:rPr>
          <w:rFonts w:hint="eastAsia" w:ascii="宋体" w:hAnsi="宋体"/>
          <w:b/>
          <w:sz w:val="32"/>
          <w:szCs w:val="32"/>
        </w:rPr>
        <w:t>第三部分：评审办法</w:t>
      </w:r>
      <w:bookmarkEnd w:id="52"/>
    </w:p>
    <w:p>
      <w:pPr>
        <w:numPr>
          <w:ilvl w:val="0"/>
          <w:numId w:val="1"/>
        </w:numPr>
        <w:spacing w:line="360" w:lineRule="auto"/>
        <w:outlineLvl w:val="1"/>
        <w:rPr>
          <w:rFonts w:ascii="宋体" w:hAnsi="宋体"/>
          <w:szCs w:val="21"/>
        </w:rPr>
      </w:pPr>
      <w:bookmarkStart w:id="53" w:name="_Toc14129"/>
      <w:r>
        <w:rPr>
          <w:rFonts w:hint="eastAsia" w:ascii="宋体" w:hAnsi="宋体"/>
          <w:b/>
          <w:bCs/>
          <w:szCs w:val="21"/>
        </w:rPr>
        <w:t>评审办法</w:t>
      </w:r>
      <w:bookmarkEnd w:id="53"/>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w:t>
      </w:r>
      <w:r>
        <w:rPr>
          <w:rFonts w:hint="eastAsia" w:ascii="宋体" w:hAnsi="宋体"/>
          <w:color w:val="auto"/>
          <w:szCs w:val="21"/>
          <w:highlight w:val="none"/>
        </w:rPr>
        <w:t>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5"/>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5"/>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5"/>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24"/>
        </w:numPr>
        <w:spacing w:before="156" w:beforeLines="50"/>
        <w:jc w:val="left"/>
        <w:outlineLvl w:val="2"/>
        <w:rPr>
          <w:rStyle w:val="31"/>
          <w:rFonts w:ascii="宋体" w:hAnsi="宋体"/>
          <w:b/>
          <w:szCs w:val="21"/>
        </w:rPr>
      </w:pPr>
      <w:bookmarkStart w:id="54" w:name="_Toc16617"/>
      <w:r>
        <w:rPr>
          <w:rStyle w:val="31"/>
          <w:rFonts w:hint="eastAsia" w:ascii="宋体" w:hAnsi="宋体"/>
          <w:b/>
          <w:bCs/>
          <w:szCs w:val="21"/>
        </w:rPr>
        <w:t>符合性检查</w:t>
      </w:r>
      <w:bookmarkEnd w:id="54"/>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numPr>
                <w:ilvl w:val="0"/>
                <w:numId w:val="25"/>
              </w:numPr>
              <w:tabs>
                <w:tab w:val="left" w:pos="531"/>
              </w:tabs>
              <w:snapToGrid w:val="0"/>
              <w:ind w:left="420" w:hanging="420"/>
              <w:rPr>
                <w:rFonts w:ascii="宋体" w:hAnsi="宋体"/>
                <w:szCs w:val="21"/>
              </w:rPr>
            </w:pPr>
            <w:r>
              <w:rPr>
                <w:rFonts w:hint="eastAsia" w:ascii="宋体" w:hAnsi="宋体"/>
                <w:szCs w:val="21"/>
              </w:rPr>
              <w:t>投标人</w:t>
            </w:r>
            <w:r>
              <w:rPr>
                <w:rFonts w:hint="eastAsia" w:ascii="宋体" w:hAnsi="宋体"/>
                <w:szCs w:val="21"/>
                <w:lang w:eastAsia="zh-CN"/>
              </w:rPr>
              <w:t>应为</w:t>
            </w:r>
            <w:r>
              <w:rPr>
                <w:rFonts w:hint="eastAsia" w:ascii="宋体" w:hAnsi="宋体"/>
                <w:szCs w:val="21"/>
              </w:rPr>
              <w:t>中华人民共和国境内注册且合法运作的企业，在法律和财务上独立。（提供企业营业执照扫描件，并加盖投标人公章。）</w:t>
            </w:r>
          </w:p>
          <w:p>
            <w:pPr>
              <w:numPr>
                <w:ilvl w:val="0"/>
                <w:numId w:val="25"/>
              </w:numPr>
              <w:tabs>
                <w:tab w:val="left" w:pos="531"/>
              </w:tabs>
              <w:snapToGrid w:val="0"/>
              <w:ind w:left="420" w:hanging="420"/>
              <w:rPr>
                <w:rFonts w:ascii="宋体" w:hAnsi="宋体"/>
                <w:szCs w:val="21"/>
              </w:rPr>
            </w:pPr>
            <w:r>
              <w:rPr>
                <w:rFonts w:hint="eastAsia" w:ascii="宋体" w:hAnsi="宋体"/>
                <w:szCs w:val="21"/>
              </w:rPr>
              <w:t>投标人必须无未改正的经营异常信息、无严重违法失信记录。</w:t>
            </w:r>
            <w:r>
              <w:rPr>
                <w:rFonts w:ascii="宋体" w:hAnsi="宋体"/>
                <w:szCs w:val="21"/>
              </w:rPr>
              <w:t>(</w:t>
            </w:r>
            <w:r>
              <w:rPr>
                <w:rFonts w:hint="eastAsia" w:ascii="宋体" w:hAnsi="宋体"/>
                <w:szCs w:val="21"/>
              </w:rPr>
              <w:t>提供国家企业信用信息公示系统（www.gsxt.gov.cn)公示的企业基础信息、经营异常信息、严重违法失信记录等信息查询页面打印件，并加盖投标人公章。）</w:t>
            </w:r>
          </w:p>
          <w:p>
            <w:pPr>
              <w:numPr>
                <w:ilvl w:val="0"/>
                <w:numId w:val="25"/>
              </w:numPr>
              <w:tabs>
                <w:tab w:val="left" w:pos="531"/>
              </w:tabs>
              <w:snapToGrid w:val="0"/>
              <w:ind w:left="420" w:hanging="420"/>
              <w:rPr>
                <w:rFonts w:ascii="宋体" w:hAnsi="宋体" w:cs="宋体"/>
                <w:szCs w:val="21"/>
              </w:rPr>
            </w:pPr>
            <w:r>
              <w:rPr>
                <w:rFonts w:hint="eastAsia" w:ascii="宋体" w:hAnsi="宋体"/>
                <w:szCs w:val="21"/>
              </w:rPr>
              <w:t>投标人是否具有有效的电子与智能化工程专业承包二级</w:t>
            </w:r>
            <w:r>
              <w:rPr>
                <w:rFonts w:hint="eastAsia" w:ascii="宋体" w:hAnsi="宋体"/>
                <w:szCs w:val="21"/>
                <w:lang w:val="en-US" w:eastAsia="zh-CN"/>
              </w:rPr>
              <w:t>或以</w:t>
            </w:r>
            <w:r>
              <w:rPr>
                <w:rFonts w:hint="eastAsia" w:ascii="宋体" w:hAnsi="宋体"/>
                <w:szCs w:val="21"/>
              </w:rPr>
              <w:t>上资质。（提供相应证明文件复印件或扫描件并加盖投标人公章）</w:t>
            </w:r>
          </w:p>
          <w:p>
            <w:pPr>
              <w:numPr>
                <w:ilvl w:val="0"/>
                <w:numId w:val="25"/>
              </w:numPr>
              <w:tabs>
                <w:tab w:val="left" w:pos="531"/>
              </w:tabs>
              <w:snapToGrid w:val="0"/>
              <w:spacing w:line="360" w:lineRule="auto"/>
            </w:pPr>
            <w:r>
              <w:rPr>
                <w:rFonts w:hint="eastAsia"/>
              </w:rPr>
              <w:t>是否联合体投标，是否转包或非法分包。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highlight w:val="none"/>
              </w:rPr>
              <w:t>于</w:t>
            </w:r>
            <w:r>
              <w:rPr>
                <w:rFonts w:hint="eastAsia" w:ascii="宋体" w:hAnsi="宋体"/>
                <w:color w:val="auto"/>
                <w:szCs w:val="21"/>
                <w:highlight w:val="none"/>
                <w:lang w:val="en-US" w:eastAsia="zh-CN"/>
              </w:rPr>
              <w:t>55.56</w:t>
            </w:r>
            <w:r>
              <w:rPr>
                <w:rFonts w:ascii="宋体" w:hAnsi="宋体" w:cs="仿宋"/>
                <w:color w:val="auto"/>
                <w:szCs w:val="21"/>
                <w:highlight w:val="none"/>
              </w:rPr>
              <w:t>万元（含税）</w:t>
            </w:r>
            <w:r>
              <w:rPr>
                <w:rFonts w:hint="eastAsia" w:ascii="宋体" w:hAnsi="宋体" w:cs="仿宋"/>
                <w:szCs w:val="21"/>
              </w:rPr>
              <w:t>，超过上述控制金额的视为无效报价。</w:t>
            </w:r>
          </w:p>
        </w:tc>
      </w:tr>
    </w:tbl>
    <w:p>
      <w:pPr>
        <w:numPr>
          <w:ilvl w:val="0"/>
          <w:numId w:val="24"/>
        </w:numPr>
        <w:spacing w:before="156" w:beforeLines="50"/>
        <w:jc w:val="left"/>
        <w:outlineLvl w:val="2"/>
        <w:rPr>
          <w:rStyle w:val="31"/>
          <w:rFonts w:ascii="宋体" w:hAnsi="宋体"/>
          <w:b/>
          <w:bCs/>
          <w:szCs w:val="21"/>
        </w:rPr>
      </w:pPr>
      <w:bookmarkStart w:id="55" w:name="_Toc114675512"/>
      <w:bookmarkStart w:id="56" w:name="_Toc27670"/>
      <w:r>
        <w:rPr>
          <w:rStyle w:val="31"/>
          <w:rFonts w:hint="eastAsia" w:ascii="宋体" w:hAnsi="宋体"/>
          <w:b/>
          <w:bCs/>
          <w:szCs w:val="21"/>
        </w:rPr>
        <w:t>不可偏离项检查</w:t>
      </w:r>
      <w:bookmarkEnd w:id="55"/>
      <w:bookmarkEnd w:id="56"/>
    </w:p>
    <w:p>
      <w:pPr>
        <w:pStyle w:val="5"/>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4"/>
        </w:numPr>
        <w:spacing w:before="156" w:beforeLines="50"/>
        <w:jc w:val="left"/>
        <w:outlineLvl w:val="2"/>
        <w:rPr>
          <w:rFonts w:ascii="宋体" w:hAnsi="宋体"/>
          <w:b/>
          <w:bCs/>
          <w:szCs w:val="21"/>
        </w:rPr>
      </w:pPr>
      <w:bookmarkStart w:id="57" w:name="_Toc28350"/>
      <w:bookmarkStart w:id="58" w:name="_Toc114675513"/>
      <w:r>
        <w:rPr>
          <w:rStyle w:val="31"/>
          <w:rFonts w:hint="eastAsia" w:ascii="宋体" w:hAnsi="宋体"/>
          <w:b/>
          <w:bCs/>
          <w:szCs w:val="21"/>
        </w:rPr>
        <w:t>综合评议指标表</w:t>
      </w:r>
      <w:bookmarkEnd w:id="57"/>
      <w:bookmarkEnd w:id="58"/>
    </w:p>
    <w:p>
      <w:pPr>
        <w:pStyle w:val="5"/>
      </w:pPr>
    </w:p>
    <w:tbl>
      <w:tblPr>
        <w:tblStyle w:val="16"/>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highlight w:val="none"/>
              </w:rPr>
              <w:t>商</w:t>
            </w:r>
            <w:r>
              <w:rPr>
                <w:rFonts w:hint="eastAsia" w:ascii="宋体" w:hAnsi="宋体"/>
                <w:b/>
                <w:color w:val="auto"/>
                <w:szCs w:val="21"/>
                <w:highlight w:val="none"/>
              </w:rPr>
              <w:t>务评议项（</w:t>
            </w:r>
            <w:r>
              <w:rPr>
                <w:rFonts w:hint="eastAsia" w:ascii="宋体" w:hAnsi="宋体"/>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8" w:hRule="atLeast"/>
          <w:tblCellSpacing w:w="0" w:type="dxa"/>
        </w:trPr>
        <w:tc>
          <w:tcPr>
            <w:tcW w:w="704" w:type="dxa"/>
            <w:tcBorders>
              <w:bottom w:val="single" w:color="auto" w:sz="4" w:space="0"/>
              <w:tl2br w:val="nil"/>
              <w:tr2bl w:val="nil"/>
            </w:tcBorders>
            <w:vAlign w:val="center"/>
          </w:tcPr>
          <w:p>
            <w:pPr>
              <w:pStyle w:val="24"/>
              <w:numPr>
                <w:ilvl w:val="0"/>
                <w:numId w:val="26"/>
              </w:numPr>
              <w:spacing w:line="360" w:lineRule="auto"/>
              <w:ind w:firstLineChars="0"/>
              <w:jc w:val="center"/>
              <w:rPr>
                <w:rFonts w:ascii="宋体" w:hAnsi="宋体" w:eastAsia="宋体"/>
                <w:szCs w:val="21"/>
              </w:rPr>
            </w:pPr>
          </w:p>
        </w:tc>
        <w:tc>
          <w:tcPr>
            <w:tcW w:w="1134" w:type="dxa"/>
            <w:tcBorders>
              <w:bottom w:val="single" w:color="auto" w:sz="4" w:space="0"/>
              <w:tl2br w:val="nil"/>
              <w:tr2bl w:val="nil"/>
            </w:tcBorders>
            <w:tcMar>
              <w:top w:w="15" w:type="dxa"/>
              <w:left w:w="15" w:type="dxa"/>
              <w:bottom w:w="15" w:type="dxa"/>
              <w:right w:w="15" w:type="dxa"/>
            </w:tcMar>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公司资质</w:t>
            </w:r>
          </w:p>
        </w:tc>
        <w:tc>
          <w:tcPr>
            <w:tcW w:w="709" w:type="dxa"/>
            <w:tcBorders>
              <w:bottom w:val="single" w:color="auto" w:sz="4" w:space="0"/>
              <w:tl2br w:val="nil"/>
              <w:tr2bl w:val="nil"/>
            </w:tcBorders>
            <w:tcMar>
              <w:top w:w="15" w:type="dxa"/>
              <w:left w:w="15" w:type="dxa"/>
              <w:bottom w:w="15" w:type="dxa"/>
              <w:right w:w="15" w:type="dxa"/>
            </w:tcMar>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8</w:t>
            </w:r>
          </w:p>
        </w:tc>
        <w:tc>
          <w:tcPr>
            <w:tcW w:w="6804" w:type="dxa"/>
            <w:gridSpan w:val="2"/>
            <w:tcBorders>
              <w:bottom w:val="single" w:color="auto" w:sz="4" w:space="0"/>
              <w:tl2br w:val="nil"/>
              <w:tr2bl w:val="nil"/>
            </w:tcBorders>
            <w:tcMar>
              <w:top w:w="15" w:type="dxa"/>
              <w:left w:w="15" w:type="dxa"/>
              <w:bottom w:w="15" w:type="dxa"/>
              <w:right w:w="15" w:type="dxa"/>
            </w:tcMar>
            <w:vAlign w:val="center"/>
          </w:tcPr>
          <w:p>
            <w:pPr>
              <w:numPr>
                <w:ilvl w:val="0"/>
                <w:numId w:val="27"/>
              </w:numPr>
              <w:ind w:left="425" w:hanging="425"/>
              <w:rPr>
                <w:rFonts w:hint="eastAsia" w:ascii="宋体" w:hAnsi="宋体"/>
                <w:szCs w:val="21"/>
                <w:lang w:eastAsia="zh-CN"/>
              </w:rPr>
            </w:pPr>
            <w:r>
              <w:rPr>
                <w:rFonts w:hint="eastAsia" w:ascii="宋体" w:hAnsi="宋体"/>
                <w:szCs w:val="21"/>
                <w:lang w:eastAsia="zh-CN"/>
              </w:rPr>
              <w:t>投标人具有</w:t>
            </w:r>
            <w:r>
              <w:rPr>
                <w:rFonts w:hint="eastAsia" w:ascii="宋体" w:hAnsi="宋体"/>
                <w:szCs w:val="21"/>
                <w:lang w:val="en-US" w:eastAsia="zh-CN"/>
              </w:rPr>
              <w:t>有效</w:t>
            </w:r>
            <w:r>
              <w:rPr>
                <w:rFonts w:hint="eastAsia" w:ascii="宋体" w:hAnsi="宋体"/>
                <w:szCs w:val="21"/>
                <w:lang w:eastAsia="zh-CN"/>
              </w:rPr>
              <w:t>电子与智能化工程专业承包一级</w:t>
            </w:r>
            <w:r>
              <w:rPr>
                <w:rFonts w:hint="eastAsia" w:ascii="宋体" w:hAnsi="宋体"/>
                <w:szCs w:val="21"/>
                <w:lang w:val="en-US" w:eastAsia="zh-CN"/>
              </w:rPr>
              <w:t>资质</w:t>
            </w:r>
            <w:r>
              <w:rPr>
                <w:rFonts w:hint="eastAsia" w:ascii="宋体" w:hAnsi="宋体"/>
                <w:szCs w:val="21"/>
                <w:lang w:eastAsia="zh-CN"/>
              </w:rPr>
              <w:t>得</w:t>
            </w:r>
            <w:r>
              <w:rPr>
                <w:rFonts w:hint="eastAsia" w:ascii="宋体" w:hAnsi="宋体"/>
                <w:szCs w:val="21"/>
                <w:lang w:val="en-US" w:eastAsia="zh-CN"/>
              </w:rPr>
              <w:t>5</w:t>
            </w:r>
            <w:r>
              <w:rPr>
                <w:rFonts w:hint="eastAsia" w:ascii="宋体" w:hAnsi="宋体"/>
                <w:szCs w:val="21"/>
                <w:lang w:eastAsia="zh-CN"/>
              </w:rPr>
              <w:t>分。</w:t>
            </w:r>
          </w:p>
          <w:p>
            <w:pPr>
              <w:numPr>
                <w:ilvl w:val="0"/>
                <w:numId w:val="27"/>
              </w:numPr>
              <w:ind w:left="425" w:hanging="425"/>
              <w:rPr>
                <w:rFonts w:hint="default" w:ascii="宋体" w:hAnsi="宋体"/>
                <w:szCs w:val="21"/>
                <w:lang w:val="en-US" w:eastAsia="zh-CN"/>
              </w:rPr>
            </w:pPr>
            <w:r>
              <w:rPr>
                <w:rFonts w:hint="eastAsia" w:ascii="宋体" w:hAnsi="宋体"/>
                <w:szCs w:val="21"/>
                <w:lang w:eastAsia="zh-CN"/>
              </w:rPr>
              <w:t>投标人具有</w:t>
            </w:r>
            <w:r>
              <w:rPr>
                <w:rFonts w:hint="eastAsia" w:ascii="宋体" w:hAnsi="宋体"/>
                <w:szCs w:val="21"/>
                <w:lang w:val="en-US" w:eastAsia="zh-CN"/>
              </w:rPr>
              <w:t>有效</w:t>
            </w:r>
            <w:r>
              <w:rPr>
                <w:rFonts w:hint="eastAsia" w:ascii="宋体" w:hAnsi="宋体"/>
                <w:szCs w:val="21"/>
                <w:lang w:eastAsia="zh-CN"/>
              </w:rPr>
              <w:t>质量管理体系认证证书得</w:t>
            </w:r>
            <w:r>
              <w:rPr>
                <w:rFonts w:hint="eastAsia" w:ascii="宋体" w:hAnsi="宋体"/>
                <w:szCs w:val="21"/>
                <w:lang w:val="en-US" w:eastAsia="zh-CN"/>
              </w:rPr>
              <w:t>3分。</w:t>
            </w:r>
          </w:p>
          <w:p>
            <w:pPr>
              <w:numPr>
                <w:ilvl w:val="-1"/>
                <w:numId w:val="0"/>
              </w:numPr>
              <w:ind w:left="0" w:firstLine="0"/>
              <w:rPr>
                <w:rFonts w:hint="eastAsia" w:ascii="宋体" w:hAnsi="宋体"/>
                <w:szCs w:val="21"/>
                <w:lang w:eastAsia="zh-CN"/>
              </w:rPr>
            </w:pPr>
            <w:r>
              <w:rPr>
                <w:rFonts w:hint="eastAsia" w:ascii="宋体" w:hAnsi="宋体"/>
                <w:szCs w:val="21"/>
                <w:lang w:eastAsia="zh-CN"/>
              </w:rPr>
              <w:t>证明文件：</w:t>
            </w:r>
          </w:p>
          <w:p>
            <w:pPr>
              <w:numPr>
                <w:ilvl w:val="-1"/>
                <w:numId w:val="0"/>
              </w:numPr>
              <w:ind w:left="0" w:leftChars="0" w:firstLine="0" w:firstLineChars="0"/>
              <w:rPr>
                <w:rFonts w:ascii="宋体" w:hAnsi="宋体" w:eastAsia="宋体" w:cs="宋体"/>
                <w:kern w:val="2"/>
                <w:sz w:val="21"/>
                <w:szCs w:val="24"/>
                <w:lang w:val="en-US" w:eastAsia="zh-CN" w:bidi="ar-SA"/>
              </w:rPr>
            </w:pPr>
            <w:r>
              <w:rPr>
                <w:rFonts w:hint="eastAsia" w:ascii="宋体" w:hAnsi="宋体"/>
                <w:spacing w:val="-5"/>
                <w:kern w:val="0"/>
                <w:szCs w:val="21"/>
                <w:lang w:eastAsia="zh-CN"/>
              </w:rPr>
              <w:t>投标人</w:t>
            </w:r>
            <w:r>
              <w:rPr>
                <w:rFonts w:hint="eastAsia" w:ascii="宋体" w:hAnsi="宋体"/>
                <w:spacing w:val="-5"/>
                <w:kern w:val="0"/>
                <w:szCs w:val="21"/>
              </w:rPr>
              <w:t>提供相应</w:t>
            </w:r>
            <w:r>
              <w:rPr>
                <w:rFonts w:hint="eastAsia" w:ascii="宋体" w:hAnsi="宋体"/>
                <w:spacing w:val="-5"/>
                <w:kern w:val="0"/>
                <w:szCs w:val="21"/>
                <w:lang w:val="en-US" w:eastAsia="zh-CN"/>
              </w:rPr>
              <w:t>资质证书复印件或扫描件</w:t>
            </w:r>
            <w:r>
              <w:rPr>
                <w:rFonts w:hint="eastAsia" w:ascii="宋体" w:hAnsi="宋体"/>
                <w:spacing w:val="-5"/>
                <w:kern w:val="0"/>
                <w:szCs w:val="21"/>
              </w:rPr>
              <w:t>并</w:t>
            </w:r>
            <w:r>
              <w:rPr>
                <w:rFonts w:hint="eastAsia" w:ascii="宋体" w:hAnsi="宋体"/>
                <w:spacing w:val="-5"/>
                <w:kern w:val="0"/>
                <w:szCs w:val="21"/>
                <w:lang w:eastAsia="zh-CN"/>
              </w:rPr>
              <w:t>加盖</w:t>
            </w:r>
            <w:r>
              <w:rPr>
                <w:rFonts w:hint="eastAsia" w:ascii="宋体" w:hAnsi="宋体"/>
                <w:spacing w:val="-5"/>
                <w:kern w:val="0"/>
                <w:szCs w:val="21"/>
              </w:rPr>
              <w:t>投标人公章</w:t>
            </w:r>
            <w:r>
              <w:rPr>
                <w:rFonts w:hint="eastAsia" w:ascii="宋体" w:hAnsi="宋体"/>
                <w:spacing w:val="-5"/>
                <w:kern w:val="0"/>
                <w:szCs w:val="21"/>
                <w:lang w:eastAsia="zh-CN"/>
              </w:rPr>
              <w:t>，</w:t>
            </w:r>
            <w:r>
              <w:rPr>
                <w:rFonts w:hint="eastAsia" w:ascii="宋体" w:hAnsi="宋体"/>
                <w:szCs w:val="21"/>
                <w:lang w:eastAsia="zh-CN"/>
              </w:rPr>
              <w:t>原件备查</w:t>
            </w:r>
            <w:r>
              <w:rPr>
                <w:rFonts w:hint="eastAsia" w:ascii="宋体" w:hAnsi="宋体"/>
                <w:spacing w:val="-5"/>
                <w:kern w:val="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tblCellSpacing w:w="0" w:type="dxa"/>
        </w:trPr>
        <w:tc>
          <w:tcPr>
            <w:tcW w:w="704" w:type="dxa"/>
            <w:tcBorders>
              <w:top w:val="single" w:color="auto" w:sz="4" w:space="0"/>
              <w:tl2br w:val="nil"/>
              <w:tr2bl w:val="nil"/>
            </w:tcBorders>
            <w:vAlign w:val="center"/>
          </w:tcPr>
          <w:p>
            <w:pPr>
              <w:pStyle w:val="24"/>
              <w:numPr>
                <w:ilvl w:val="0"/>
                <w:numId w:val="26"/>
              </w:numPr>
              <w:spacing w:line="360" w:lineRule="auto"/>
              <w:ind w:firstLineChars="0"/>
              <w:jc w:val="center"/>
              <w:rPr>
                <w:rFonts w:ascii="宋体" w:hAnsi="宋体" w:eastAsia="宋体"/>
                <w:szCs w:val="21"/>
              </w:rPr>
            </w:pPr>
          </w:p>
        </w:tc>
        <w:tc>
          <w:tcPr>
            <w:tcW w:w="1134" w:type="dxa"/>
            <w:tcBorders>
              <w:top w:val="single" w:color="auto" w:sz="4" w:space="0"/>
              <w:tl2br w:val="nil"/>
              <w:tr2bl w:val="nil"/>
            </w:tcBorders>
            <w:tcMar>
              <w:top w:w="15" w:type="dxa"/>
              <w:left w:w="15" w:type="dxa"/>
              <w:bottom w:w="15" w:type="dxa"/>
              <w:right w:w="15" w:type="dxa"/>
            </w:tcMar>
            <w:vAlign w:val="center"/>
          </w:tcPr>
          <w:p>
            <w:pPr>
              <w:jc w:val="center"/>
              <w:rPr>
                <w:rFonts w:hint="eastAsia" w:ascii="宋体" w:hAnsi="宋体"/>
                <w:szCs w:val="21"/>
              </w:rPr>
            </w:pPr>
            <w:r>
              <w:rPr>
                <w:rFonts w:hint="eastAsia" w:ascii="宋体" w:hAnsi="宋体"/>
                <w:szCs w:val="21"/>
              </w:rPr>
              <w:t>综合实力</w:t>
            </w:r>
          </w:p>
        </w:tc>
        <w:tc>
          <w:tcPr>
            <w:tcW w:w="709" w:type="dxa"/>
            <w:tcBorders>
              <w:top w:val="single" w:color="auto" w:sz="4" w:space="0"/>
              <w:tl2br w:val="nil"/>
              <w:tr2bl w:val="nil"/>
            </w:tcBorders>
            <w:tcMar>
              <w:top w:w="15" w:type="dxa"/>
              <w:left w:w="15" w:type="dxa"/>
              <w:bottom w:w="15" w:type="dxa"/>
              <w:right w:w="15" w:type="dxa"/>
            </w:tcMar>
            <w:vAlign w:val="center"/>
          </w:tcPr>
          <w:p>
            <w:pPr>
              <w:jc w:val="cente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10</w:t>
            </w:r>
          </w:p>
        </w:tc>
        <w:tc>
          <w:tcPr>
            <w:tcW w:w="6804" w:type="dxa"/>
            <w:gridSpan w:val="2"/>
            <w:tcBorders>
              <w:top w:val="single" w:color="auto" w:sz="4" w:space="0"/>
              <w:tl2br w:val="nil"/>
              <w:tr2bl w:val="nil"/>
            </w:tcBorders>
            <w:tcMar>
              <w:top w:w="15" w:type="dxa"/>
              <w:left w:w="15" w:type="dxa"/>
              <w:bottom w:w="15" w:type="dxa"/>
              <w:right w:w="15" w:type="dxa"/>
            </w:tcMar>
            <w:vAlign w:val="center"/>
          </w:tcPr>
          <w:p>
            <w:pPr>
              <w:numPr>
                <w:ilvl w:val="0"/>
                <w:numId w:val="28"/>
              </w:numPr>
              <w:spacing w:line="240" w:lineRule="auto"/>
              <w:ind w:left="425" w:hanging="425"/>
              <w:jc w:val="left"/>
              <w:rPr>
                <w:rFonts w:hint="eastAsia" w:ascii="宋体" w:hAnsi="宋体"/>
                <w:spacing w:val="0"/>
                <w:kern w:val="2"/>
                <w:szCs w:val="21"/>
              </w:rPr>
            </w:pPr>
            <w:r>
              <w:rPr>
                <w:rFonts w:hint="eastAsia" w:ascii="宋体" w:hAnsi="宋体"/>
                <w:spacing w:val="0"/>
                <w:kern w:val="2"/>
                <w:szCs w:val="21"/>
              </w:rPr>
              <w:t>评议各投标人企业人数。按排名得分，最高得</w:t>
            </w:r>
            <w:r>
              <w:rPr>
                <w:rFonts w:hint="eastAsia" w:ascii="宋体" w:hAnsi="宋体"/>
                <w:spacing w:val="0"/>
                <w:kern w:val="2"/>
                <w:szCs w:val="21"/>
                <w:lang w:val="en-US" w:eastAsia="zh-CN"/>
              </w:rPr>
              <w:t>5</w:t>
            </w:r>
            <w:r>
              <w:rPr>
                <w:rFonts w:hint="eastAsia" w:ascii="宋体" w:hAnsi="宋体"/>
                <w:spacing w:val="0"/>
                <w:kern w:val="2"/>
                <w:szCs w:val="21"/>
              </w:rPr>
              <w:t>分、排名每降一名减</w:t>
            </w:r>
            <w:r>
              <w:rPr>
                <w:rFonts w:hint="eastAsia" w:ascii="宋体" w:hAnsi="宋体"/>
                <w:spacing w:val="0"/>
                <w:kern w:val="2"/>
                <w:szCs w:val="21"/>
                <w:lang w:val="en-US" w:eastAsia="zh-CN"/>
              </w:rPr>
              <w:t>1</w:t>
            </w:r>
            <w:r>
              <w:rPr>
                <w:rFonts w:hint="eastAsia" w:ascii="宋体" w:hAnsi="宋体"/>
                <w:spacing w:val="0"/>
                <w:kern w:val="2"/>
                <w:szCs w:val="21"/>
              </w:rPr>
              <w:t>分，直至0分。</w:t>
            </w:r>
          </w:p>
          <w:p>
            <w:pPr>
              <w:pStyle w:val="2"/>
              <w:ind w:left="0" w:leftChars="0" w:firstLine="0" w:firstLineChars="0"/>
              <w:rPr>
                <w:rFonts w:hint="eastAsia"/>
              </w:rPr>
            </w:pPr>
            <w:r>
              <w:rPr>
                <w:rFonts w:hint="eastAsia" w:ascii="宋体" w:hAnsi="宋体"/>
                <w:spacing w:val="0"/>
                <w:kern w:val="2"/>
                <w:szCs w:val="21"/>
              </w:rPr>
              <w:t>评议各投标人企业</w:t>
            </w:r>
            <w:r>
              <w:rPr>
                <w:rFonts w:hint="eastAsia" w:ascii="宋体" w:hAnsi="宋体"/>
                <w:spacing w:val="0"/>
                <w:kern w:val="2"/>
                <w:szCs w:val="21"/>
                <w:lang w:val="en-US" w:eastAsia="zh-CN"/>
              </w:rPr>
              <w:t>财务情况，根据财务报表中营业收入越高得分越高</w:t>
            </w:r>
            <w:r>
              <w:rPr>
                <w:rFonts w:hint="eastAsia" w:ascii="宋体" w:hAnsi="宋体"/>
                <w:spacing w:val="0"/>
                <w:kern w:val="2"/>
                <w:szCs w:val="21"/>
              </w:rPr>
              <w:t>。按排名得分，最高得</w:t>
            </w:r>
            <w:r>
              <w:rPr>
                <w:rFonts w:hint="eastAsia" w:ascii="宋体" w:hAnsi="宋体"/>
                <w:spacing w:val="0"/>
                <w:kern w:val="2"/>
                <w:szCs w:val="21"/>
                <w:lang w:val="en-US" w:eastAsia="zh-CN"/>
              </w:rPr>
              <w:t>5</w:t>
            </w:r>
            <w:r>
              <w:rPr>
                <w:rFonts w:hint="eastAsia" w:ascii="宋体" w:hAnsi="宋体"/>
                <w:spacing w:val="0"/>
                <w:kern w:val="2"/>
                <w:szCs w:val="21"/>
              </w:rPr>
              <w:t>分、排名每降一名减</w:t>
            </w:r>
            <w:r>
              <w:rPr>
                <w:rFonts w:hint="eastAsia" w:ascii="宋体" w:hAnsi="宋体"/>
                <w:spacing w:val="0"/>
                <w:kern w:val="2"/>
                <w:szCs w:val="21"/>
                <w:lang w:val="en-US" w:eastAsia="zh-CN"/>
              </w:rPr>
              <w:t>1</w:t>
            </w:r>
            <w:r>
              <w:rPr>
                <w:rFonts w:hint="eastAsia" w:ascii="宋体" w:hAnsi="宋体"/>
                <w:spacing w:val="0"/>
                <w:kern w:val="2"/>
                <w:szCs w:val="21"/>
              </w:rPr>
              <w:t>分，直至0分。</w:t>
            </w:r>
          </w:p>
          <w:p>
            <w:pPr>
              <w:numPr>
                <w:ilvl w:val="-1"/>
                <w:numId w:val="0"/>
              </w:numPr>
              <w:ind w:left="0" w:leftChars="0" w:firstLine="0" w:firstLineChars="0"/>
              <w:rPr>
                <w:rFonts w:hint="eastAsia" w:ascii="宋体" w:hAnsi="宋体"/>
                <w:szCs w:val="21"/>
              </w:rPr>
            </w:pPr>
            <w:r>
              <w:rPr>
                <w:rFonts w:hint="eastAsia" w:ascii="宋体" w:hAnsi="宋体"/>
                <w:spacing w:val="-5"/>
                <w:kern w:val="0"/>
                <w:szCs w:val="21"/>
              </w:rPr>
              <w:t>证明材料：投标人提供202</w:t>
            </w:r>
            <w:r>
              <w:rPr>
                <w:rFonts w:hint="eastAsia" w:ascii="宋体" w:hAnsi="宋体"/>
                <w:spacing w:val="-5"/>
                <w:kern w:val="0"/>
                <w:szCs w:val="21"/>
                <w:lang w:val="en-US" w:eastAsia="zh-CN"/>
              </w:rPr>
              <w:t>2</w:t>
            </w:r>
            <w:r>
              <w:rPr>
                <w:rFonts w:hint="eastAsia" w:ascii="宋体" w:hAnsi="宋体"/>
                <w:spacing w:val="-5"/>
                <w:kern w:val="0"/>
                <w:szCs w:val="21"/>
              </w:rPr>
              <w:t>年度财务报表、公司简介、盖有社保局公章的可证明企业缴纳社保人数的证明材料等验证材料。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Times New Roman" w:hAnsi="Times New Roman" w:eastAsia="宋体" w:cs="Times New Roman"/>
                <w:kern w:val="2"/>
                <w:sz w:val="21"/>
                <w:szCs w:val="24"/>
                <w:lang w:val="en-US" w:eastAsia="zh-CN" w:bidi="ar-SA"/>
              </w:rPr>
            </w:pPr>
            <w:r>
              <w:rPr>
                <w:rFonts w:hint="eastAsia" w:ascii="宋体" w:hAnsi="宋体" w:cs="宋体"/>
                <w:kern w:val="0"/>
                <w:szCs w:val="21"/>
              </w:rPr>
              <w:t>同类业绩</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ascii="宋体" w:hAnsi="宋体"/>
                <w:szCs w:val="21"/>
              </w:rPr>
              <w:t>1</w:t>
            </w:r>
            <w:r>
              <w:rPr>
                <w:rFonts w:hint="eastAsia" w:ascii="宋体" w:hAnsi="宋体"/>
                <w:szCs w:val="21"/>
                <w:lang w:val="en-US" w:eastAsia="zh-CN"/>
              </w:rPr>
              <w:t>2</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ind w:left="0" w:leftChars="0" w:firstLine="0" w:firstLineChars="0"/>
              <w:rPr>
                <w:rFonts w:ascii="宋体" w:hAnsi="宋体"/>
                <w:szCs w:val="21"/>
              </w:rPr>
            </w:pPr>
            <w:r>
              <w:rPr>
                <w:rFonts w:hint="eastAsia" w:ascii="宋体" w:hAnsi="宋体"/>
                <w:szCs w:val="21"/>
                <w:lang w:eastAsia="zh-CN"/>
              </w:rPr>
              <w:t>根据</w:t>
            </w:r>
            <w:r>
              <w:rPr>
                <w:rFonts w:hint="eastAsia" w:ascii="宋体" w:hAnsi="宋体"/>
                <w:szCs w:val="21"/>
              </w:rPr>
              <w:t>各投标人</w:t>
            </w:r>
            <w:r>
              <w:rPr>
                <w:rFonts w:hint="eastAsia" w:ascii="宋体" w:hAnsi="宋体"/>
                <w:szCs w:val="21"/>
                <w:lang w:eastAsia="zh-CN"/>
              </w:rPr>
              <w:t>提供</w:t>
            </w:r>
            <w:r>
              <w:rPr>
                <w:rFonts w:hint="eastAsia" w:ascii="宋体" w:hAnsi="宋体"/>
                <w:szCs w:val="21"/>
              </w:rPr>
              <w:t>自20</w:t>
            </w:r>
            <w:r>
              <w:rPr>
                <w:rFonts w:hint="eastAsia" w:ascii="宋体" w:hAnsi="宋体"/>
                <w:szCs w:val="21"/>
                <w:lang w:val="en-US" w:eastAsia="zh-CN"/>
              </w:rPr>
              <w:t>22</w:t>
            </w:r>
            <w:r>
              <w:rPr>
                <w:rFonts w:hint="eastAsia" w:ascii="宋体" w:hAnsi="宋体"/>
                <w:szCs w:val="21"/>
              </w:rPr>
              <w:t>年1月1日至</w:t>
            </w:r>
            <w:r>
              <w:rPr>
                <w:rFonts w:hint="eastAsia" w:ascii="宋体" w:hAnsi="宋体"/>
                <w:szCs w:val="21"/>
                <w:lang w:eastAsia="zh-CN"/>
              </w:rPr>
              <w:t>本项目</w:t>
            </w:r>
            <w:r>
              <w:rPr>
                <w:rFonts w:hint="eastAsia" w:ascii="宋体" w:hAnsi="宋体"/>
                <w:szCs w:val="21"/>
              </w:rPr>
              <w:t>采购公告发布之日已实施过单项合同金额在</w:t>
            </w:r>
            <w:r>
              <w:rPr>
                <w:rFonts w:hint="eastAsia" w:ascii="宋体" w:hAnsi="宋体"/>
                <w:szCs w:val="21"/>
                <w:lang w:val="en-US" w:eastAsia="zh-CN"/>
              </w:rPr>
              <w:t>100</w:t>
            </w:r>
            <w:r>
              <w:rPr>
                <w:rFonts w:hint="eastAsia" w:ascii="宋体" w:hAnsi="宋体"/>
                <w:szCs w:val="21"/>
              </w:rPr>
              <w:t>万元人民币以上的照明</w:t>
            </w:r>
            <w:r>
              <w:rPr>
                <w:rFonts w:hint="eastAsia" w:ascii="宋体" w:hAnsi="宋体"/>
                <w:szCs w:val="21"/>
                <w:lang w:eastAsia="zh-CN"/>
              </w:rPr>
              <w:t>工程</w:t>
            </w:r>
            <w:r>
              <w:rPr>
                <w:rFonts w:hint="eastAsia" w:ascii="宋体" w:hAnsi="宋体"/>
                <w:szCs w:val="21"/>
              </w:rPr>
              <w:t>类业绩</w:t>
            </w:r>
            <w:r>
              <w:rPr>
                <w:rFonts w:hint="eastAsia" w:ascii="宋体" w:hAnsi="宋体"/>
                <w:szCs w:val="21"/>
                <w:lang w:eastAsia="zh-CN"/>
              </w:rPr>
              <w:t>，</w:t>
            </w:r>
            <w:r>
              <w:rPr>
                <w:rFonts w:hint="eastAsia" w:ascii="宋体" w:hAnsi="宋体"/>
                <w:szCs w:val="21"/>
              </w:rPr>
              <w:t>每提供1个得</w:t>
            </w:r>
            <w:r>
              <w:rPr>
                <w:rFonts w:hint="eastAsia" w:ascii="宋体" w:hAnsi="宋体"/>
                <w:szCs w:val="21"/>
                <w:lang w:val="en-US" w:eastAsia="zh-CN"/>
              </w:rPr>
              <w:t>3</w:t>
            </w:r>
            <w:r>
              <w:rPr>
                <w:rFonts w:hint="eastAsia" w:ascii="宋体" w:hAnsi="宋体"/>
                <w:szCs w:val="21"/>
              </w:rPr>
              <w:t>分，最高分1</w:t>
            </w:r>
            <w:r>
              <w:rPr>
                <w:rFonts w:hint="eastAsia" w:ascii="宋体" w:hAnsi="宋体"/>
                <w:szCs w:val="21"/>
                <w:lang w:val="en-US" w:eastAsia="zh-CN"/>
              </w:rPr>
              <w:t>2</w:t>
            </w:r>
            <w:r>
              <w:rPr>
                <w:rFonts w:hint="eastAsia" w:ascii="宋体" w:hAnsi="宋体"/>
                <w:szCs w:val="21"/>
              </w:rPr>
              <w:t>分。</w:t>
            </w:r>
          </w:p>
          <w:p>
            <w:pPr>
              <w:numPr>
                <w:ilvl w:val="-1"/>
                <w:numId w:val="0"/>
              </w:numPr>
              <w:ind w:left="0" w:leftChars="0" w:firstLine="0" w:firstLineChars="0"/>
              <w:rPr>
                <w:rFonts w:ascii="宋体" w:hAnsi="宋体"/>
                <w:szCs w:val="21"/>
              </w:rPr>
            </w:pPr>
            <w:r>
              <w:rPr>
                <w:rFonts w:hint="eastAsia" w:ascii="宋体" w:hAnsi="宋体"/>
                <w:szCs w:val="21"/>
              </w:rPr>
              <w:t>证明文件：</w:t>
            </w:r>
          </w:p>
          <w:p>
            <w:pPr>
              <w:numPr>
                <w:ilvl w:val="0"/>
                <w:numId w:val="29"/>
              </w:numPr>
              <w:tabs>
                <w:tab w:val="left" w:pos="639"/>
              </w:tabs>
              <w:ind w:left="425" w:leftChars="0" w:hanging="425" w:firstLineChars="0"/>
              <w:rPr>
                <w:rFonts w:ascii="宋体" w:hAnsi="宋体"/>
                <w:szCs w:val="21"/>
              </w:rPr>
            </w:pPr>
            <w:r>
              <w:rPr>
                <w:rFonts w:hint="eastAsia" w:ascii="宋体" w:hAnsi="宋体"/>
                <w:szCs w:val="21"/>
              </w:rPr>
              <w:t>投标人提供</w:t>
            </w:r>
            <w:r>
              <w:rPr>
                <w:rFonts w:hint="eastAsia" w:ascii="宋体" w:hAnsi="宋体"/>
                <w:szCs w:val="21"/>
                <w:lang w:eastAsia="zh-CN"/>
              </w:rPr>
              <w:t>维保</w:t>
            </w:r>
            <w:r>
              <w:rPr>
                <w:rFonts w:hint="eastAsia" w:ascii="宋体" w:hAnsi="宋体"/>
                <w:szCs w:val="21"/>
              </w:rPr>
              <w:t>合同关键页（如合同标的、签订时间、金额等）复印件</w:t>
            </w:r>
            <w:r>
              <w:rPr>
                <w:rFonts w:hint="eastAsia" w:ascii="宋体" w:hAnsi="宋体"/>
                <w:szCs w:val="21"/>
                <w:lang w:val="en-US" w:eastAsia="zh-CN"/>
              </w:rPr>
              <w:t>或扫描件</w:t>
            </w:r>
            <w:r>
              <w:rPr>
                <w:rFonts w:hint="eastAsia" w:ascii="宋体" w:hAnsi="宋体"/>
                <w:szCs w:val="21"/>
              </w:rPr>
              <w:t>并加盖投标人公章</w:t>
            </w:r>
            <w:r>
              <w:rPr>
                <w:rFonts w:hint="eastAsia" w:ascii="宋体" w:hAnsi="宋体"/>
                <w:szCs w:val="21"/>
                <w:lang w:eastAsia="zh-CN"/>
              </w:rPr>
              <w:t>，原件备查</w:t>
            </w:r>
            <w:r>
              <w:rPr>
                <w:rFonts w:hint="eastAsia" w:ascii="宋体" w:hAnsi="宋体"/>
                <w:szCs w:val="21"/>
              </w:rPr>
              <w:t>。</w:t>
            </w:r>
          </w:p>
          <w:p>
            <w:pPr>
              <w:numPr>
                <w:ilvl w:val="0"/>
                <w:numId w:val="29"/>
              </w:numPr>
              <w:tabs>
                <w:tab w:val="left" w:pos="639"/>
              </w:tabs>
              <w:ind w:left="425" w:leftChars="0" w:hanging="425" w:firstLineChars="0"/>
              <w:rPr>
                <w:rFonts w:ascii="宋体" w:hAnsi="宋体" w:eastAsia="宋体" w:cs="宋体"/>
                <w:kern w:val="2"/>
                <w:sz w:val="21"/>
                <w:szCs w:val="21"/>
                <w:lang w:val="en-US" w:eastAsia="zh-CN" w:bidi="ar-SA"/>
              </w:rPr>
            </w:pPr>
            <w:r>
              <w:rPr>
                <w:rFonts w:hint="eastAsia" w:ascii="宋体" w:hAnsi="宋体"/>
                <w:szCs w:val="21"/>
              </w:rPr>
              <w:t>未提供或提供证明资料不清晰、不完整的，不得分。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w:t>
            </w:r>
            <w:r>
              <w:rPr>
                <w:rFonts w:hint="eastAsia" w:ascii="宋体" w:hAnsi="宋体"/>
                <w:b/>
                <w:color w:val="auto"/>
                <w:szCs w:val="21"/>
                <w:highlight w:val="none"/>
              </w:rPr>
              <w:t>项（</w:t>
            </w:r>
            <w:r>
              <w:rPr>
                <w:rFonts w:hint="eastAsia" w:ascii="宋体" w:hAnsi="宋体"/>
                <w:color w:val="auto"/>
                <w:szCs w:val="21"/>
                <w:highlight w:val="none"/>
                <w:lang w:val="en-US" w:eastAsia="zh-CN"/>
              </w:rPr>
              <w:t>30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3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Times New Roman" w:hAnsi="Times New Roman" w:eastAsia="宋体" w:cs="Times New Roman"/>
                <w:kern w:val="2"/>
                <w:sz w:val="21"/>
                <w:szCs w:val="24"/>
                <w:lang w:val="en-US" w:eastAsia="zh-CN" w:bidi="ar-SA"/>
              </w:rPr>
            </w:pPr>
            <w:r>
              <w:rPr>
                <w:rFonts w:hint="eastAsia" w:ascii="宋体" w:hAnsi="宋体"/>
                <w:kern w:val="0"/>
                <w:szCs w:val="21"/>
              </w:rPr>
              <w:t>技术服务方案</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w:t>
            </w:r>
          </w:p>
        </w:tc>
        <w:tc>
          <w:tcPr>
            <w:tcW w:w="6804" w:type="dxa"/>
            <w:gridSpan w:val="2"/>
            <w:tcBorders>
              <w:tl2br w:val="nil"/>
              <w:tr2bl w:val="nil"/>
            </w:tcBorders>
            <w:tcMar>
              <w:top w:w="15" w:type="dxa"/>
              <w:left w:w="15" w:type="dxa"/>
              <w:bottom w:w="15" w:type="dxa"/>
              <w:right w:w="15" w:type="dxa"/>
            </w:tcMar>
            <w:vAlign w:val="center"/>
          </w:tcPr>
          <w:p>
            <w:pPr>
              <w:widowControl/>
              <w:ind w:right="30" w:rightChars="0"/>
              <w:jc w:val="left"/>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根据各投标人提供详细维护保养技术方案以及与深圳会展中心实际情况的符合程度等进行比较、综合评议：优：10分 ；良：6分；一般：3分。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30"/>
              </w:numPr>
              <w:spacing w:line="360" w:lineRule="auto"/>
              <w:ind w:firstLineChars="0"/>
              <w:jc w:val="center"/>
              <w:rPr>
                <w:rFonts w:hint="eastAsia" w:ascii="宋体" w:hAnsi="宋体" w:eastAsia="宋体" w:cs="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rPr>
            </w:pPr>
            <w:r>
              <w:rPr>
                <w:rFonts w:hint="eastAsia" w:ascii="宋体" w:hAnsi="宋体" w:eastAsia="宋体" w:cs="宋体"/>
                <w:kern w:val="0"/>
                <w:szCs w:val="21"/>
              </w:rPr>
              <w:t>拟派人员</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6804" w:type="dxa"/>
            <w:gridSpan w:val="2"/>
            <w:tcBorders>
              <w:tl2br w:val="nil"/>
              <w:tr2bl w:val="nil"/>
            </w:tcBorders>
            <w:tcMar>
              <w:top w:w="15" w:type="dxa"/>
              <w:left w:w="15" w:type="dxa"/>
              <w:bottom w:w="15" w:type="dxa"/>
              <w:right w:w="15" w:type="dxa"/>
            </w:tcMar>
            <w:vAlign w:val="center"/>
          </w:tcPr>
          <w:p/>
          <w:p>
            <w:pPr>
              <w:pStyle w:val="24"/>
              <w:numPr>
                <w:ilvl w:val="0"/>
                <w:numId w:val="31"/>
              </w:numPr>
              <w:ind w:left="425" w:leftChars="0" w:hanging="425" w:firstLineChars="0"/>
              <w:rPr>
                <w:rFonts w:hint="eastAsia" w:ascii="宋体" w:hAnsi="宋体" w:eastAsia="宋体" w:cs="宋体"/>
                <w:kern w:val="0"/>
                <w:szCs w:val="21"/>
              </w:rPr>
            </w:pPr>
            <w:r>
              <w:rPr>
                <w:rFonts w:hint="eastAsia" w:ascii="宋体" w:hAnsi="宋体" w:eastAsia="宋体" w:cs="宋体"/>
                <w:kern w:val="0"/>
                <w:szCs w:val="21"/>
              </w:rPr>
              <w:t>根据</w:t>
            </w:r>
            <w:r>
              <w:rPr>
                <w:rFonts w:hint="eastAsia" w:ascii="宋体" w:hAnsi="宋体" w:eastAsia="宋体" w:cs="宋体"/>
                <w:kern w:val="0"/>
                <w:szCs w:val="21"/>
                <w:lang w:eastAsia="zh-CN"/>
              </w:rPr>
              <w:t>投标人</w:t>
            </w:r>
            <w:r>
              <w:rPr>
                <w:rFonts w:hint="eastAsia" w:ascii="宋体" w:hAnsi="宋体" w:eastAsia="宋体" w:cs="宋体"/>
                <w:kern w:val="0"/>
                <w:szCs w:val="21"/>
              </w:rPr>
              <w:t>提供的该项目负责人</w:t>
            </w:r>
            <w:r>
              <w:rPr>
                <w:rFonts w:hint="eastAsia" w:ascii="宋体" w:hAnsi="宋体" w:eastAsia="宋体" w:cs="宋体"/>
                <w:kern w:val="0"/>
                <w:szCs w:val="21"/>
                <w:lang w:eastAsia="zh-CN"/>
              </w:rPr>
              <w:t>具有弱电</w:t>
            </w:r>
            <w:r>
              <w:rPr>
                <w:rFonts w:hint="eastAsia" w:ascii="宋体" w:hAnsi="宋体" w:eastAsia="宋体" w:cs="宋体"/>
                <w:kern w:val="0"/>
                <w:szCs w:val="21"/>
                <w:lang w:val="en-US" w:eastAsia="zh-CN"/>
              </w:rPr>
              <w:t>类</w:t>
            </w:r>
            <w:r>
              <w:rPr>
                <w:rFonts w:hint="eastAsia" w:ascii="宋体" w:hAnsi="宋体" w:eastAsia="宋体" w:cs="宋体"/>
                <w:kern w:val="0"/>
                <w:szCs w:val="21"/>
                <w:lang w:eastAsia="zh-CN"/>
              </w:rPr>
              <w:t>工程师</w:t>
            </w:r>
            <w:r>
              <w:rPr>
                <w:rFonts w:hint="eastAsia" w:ascii="宋体" w:hAnsi="宋体" w:eastAsia="宋体" w:cs="宋体"/>
                <w:szCs w:val="21"/>
                <w:lang w:eastAsia="zh-CN"/>
              </w:rPr>
              <w:t>或机电类工程师或电气类工程师</w:t>
            </w:r>
            <w:r>
              <w:rPr>
                <w:rFonts w:hint="eastAsia" w:ascii="宋体" w:hAnsi="宋体" w:eastAsia="宋体" w:cs="宋体"/>
                <w:kern w:val="0"/>
                <w:szCs w:val="21"/>
                <w:lang w:val="en-US" w:eastAsia="zh-CN"/>
              </w:rPr>
              <w:t>职称或执业资格</w:t>
            </w:r>
            <w:r>
              <w:rPr>
                <w:rFonts w:hint="eastAsia" w:ascii="宋体" w:hAnsi="宋体" w:eastAsia="宋体" w:cs="宋体"/>
                <w:kern w:val="0"/>
                <w:szCs w:val="21"/>
                <w:lang w:eastAsia="zh-CN"/>
              </w:rPr>
              <w:t>等级证书评议，</w:t>
            </w:r>
            <w:r>
              <w:rPr>
                <w:rFonts w:hint="eastAsia" w:ascii="宋体" w:hAnsi="宋体" w:eastAsia="宋体" w:cs="宋体"/>
                <w:kern w:val="0"/>
                <w:szCs w:val="21"/>
                <w:lang w:val="en-US" w:eastAsia="zh-CN"/>
              </w:rPr>
              <w:t>一级注册建造师(机电)</w:t>
            </w:r>
            <w:r>
              <w:rPr>
                <w:rFonts w:hint="eastAsia" w:ascii="宋体" w:hAnsi="宋体" w:eastAsia="宋体" w:cs="宋体"/>
                <w:kern w:val="0"/>
                <w:szCs w:val="21"/>
                <w:lang w:eastAsia="zh-CN"/>
              </w:rPr>
              <w:t>得</w:t>
            </w:r>
            <w:r>
              <w:rPr>
                <w:rFonts w:hint="eastAsia" w:ascii="宋体" w:hAnsi="宋体" w:eastAsia="宋体" w:cs="宋体"/>
                <w:kern w:val="0"/>
                <w:szCs w:val="21"/>
                <w:lang w:val="en-US" w:eastAsia="zh-CN"/>
              </w:rPr>
              <w:t>5分，二级注册建造师（机电）或其他注册制弱电类工程师</w:t>
            </w:r>
            <w:r>
              <w:rPr>
                <w:rFonts w:hint="eastAsia" w:ascii="宋体" w:hAnsi="宋体" w:eastAsia="宋体" w:cs="宋体"/>
                <w:szCs w:val="21"/>
                <w:lang w:eastAsia="zh-CN"/>
              </w:rPr>
              <w:t>或机电类工程师或电气类工程师</w:t>
            </w:r>
            <w:r>
              <w:rPr>
                <w:rFonts w:hint="eastAsia" w:ascii="宋体" w:hAnsi="宋体" w:eastAsia="宋体" w:cs="宋体"/>
                <w:kern w:val="0"/>
                <w:szCs w:val="21"/>
                <w:lang w:eastAsia="zh-CN"/>
              </w:rPr>
              <w:t>得</w:t>
            </w:r>
            <w:r>
              <w:rPr>
                <w:rFonts w:hint="eastAsia" w:ascii="宋体" w:hAnsi="宋体" w:eastAsia="宋体" w:cs="宋体"/>
                <w:kern w:val="0"/>
                <w:szCs w:val="21"/>
                <w:lang w:val="en-US" w:eastAsia="zh-CN"/>
              </w:rPr>
              <w:t>4分，</w:t>
            </w:r>
            <w:r>
              <w:rPr>
                <w:rFonts w:hint="eastAsia" w:ascii="宋体" w:hAnsi="宋体" w:eastAsia="宋体" w:cs="宋体"/>
                <w:kern w:val="0"/>
                <w:szCs w:val="21"/>
                <w:lang w:eastAsia="zh-CN"/>
              </w:rPr>
              <w:t>高级</w:t>
            </w:r>
            <w:r>
              <w:rPr>
                <w:rFonts w:hint="eastAsia" w:ascii="宋体" w:hAnsi="宋体" w:eastAsia="宋体" w:cs="宋体"/>
                <w:kern w:val="0"/>
                <w:szCs w:val="21"/>
                <w:lang w:val="en-US" w:eastAsia="zh-CN"/>
              </w:rPr>
              <w:t>(同级证书:一级</w:t>
            </w:r>
            <w:r>
              <w:rPr>
                <w:rFonts w:hint="eastAsia" w:ascii="宋体" w:hAnsi="宋体" w:eastAsia="宋体" w:cs="宋体"/>
                <w:kern w:val="0"/>
                <w:szCs w:val="21"/>
                <w:lang w:eastAsia="zh-CN"/>
              </w:rPr>
              <w:t>）弱电工程师</w:t>
            </w:r>
            <w:r>
              <w:rPr>
                <w:rFonts w:hint="eastAsia" w:ascii="宋体" w:hAnsi="宋体" w:eastAsia="宋体" w:cs="宋体"/>
                <w:szCs w:val="21"/>
                <w:lang w:eastAsia="zh-CN"/>
              </w:rPr>
              <w:t>或机电类工程师或电气类工程师</w:t>
            </w:r>
            <w:r>
              <w:rPr>
                <w:rFonts w:hint="eastAsia" w:ascii="宋体" w:hAnsi="宋体" w:eastAsia="宋体" w:cs="宋体"/>
                <w:kern w:val="0"/>
                <w:szCs w:val="21"/>
                <w:lang w:eastAsia="zh-CN"/>
              </w:rPr>
              <w:t>得</w:t>
            </w:r>
            <w:r>
              <w:rPr>
                <w:rFonts w:hint="eastAsia" w:ascii="宋体" w:hAnsi="宋体" w:eastAsia="宋体" w:cs="宋体"/>
                <w:kern w:val="0"/>
                <w:szCs w:val="21"/>
                <w:lang w:val="en-US" w:eastAsia="zh-CN"/>
              </w:rPr>
              <w:t>4分，</w:t>
            </w:r>
            <w:r>
              <w:rPr>
                <w:rFonts w:hint="eastAsia" w:ascii="宋体" w:hAnsi="宋体" w:eastAsia="宋体" w:cs="宋体"/>
                <w:kern w:val="0"/>
                <w:szCs w:val="21"/>
                <w:lang w:eastAsia="zh-CN"/>
              </w:rPr>
              <w:t>中级</w:t>
            </w:r>
            <w:r>
              <w:rPr>
                <w:rFonts w:hint="eastAsia" w:ascii="宋体" w:hAnsi="宋体" w:eastAsia="宋体" w:cs="宋体"/>
                <w:kern w:val="0"/>
                <w:szCs w:val="21"/>
                <w:lang w:val="en-US" w:eastAsia="zh-CN"/>
              </w:rPr>
              <w:t>((同级证书:二级</w:t>
            </w:r>
            <w:r>
              <w:rPr>
                <w:rFonts w:hint="eastAsia" w:ascii="宋体" w:hAnsi="宋体" w:eastAsia="宋体" w:cs="宋体"/>
                <w:kern w:val="0"/>
                <w:szCs w:val="21"/>
                <w:lang w:eastAsia="zh-CN"/>
              </w:rPr>
              <w:t>）弱电工程师</w:t>
            </w:r>
            <w:r>
              <w:rPr>
                <w:rFonts w:hint="eastAsia" w:ascii="宋体" w:hAnsi="宋体" w:eastAsia="宋体" w:cs="宋体"/>
                <w:szCs w:val="21"/>
                <w:lang w:eastAsia="zh-CN"/>
              </w:rPr>
              <w:t>或机电类工程师或电气类工程师</w:t>
            </w:r>
            <w:r>
              <w:rPr>
                <w:rFonts w:hint="eastAsia" w:ascii="宋体" w:hAnsi="宋体" w:eastAsia="宋体" w:cs="宋体"/>
                <w:kern w:val="0"/>
                <w:szCs w:val="21"/>
                <w:lang w:eastAsia="zh-CN"/>
              </w:rPr>
              <w:t>得</w:t>
            </w:r>
            <w:r>
              <w:rPr>
                <w:rFonts w:hint="eastAsia" w:ascii="宋体" w:hAnsi="宋体" w:eastAsia="宋体" w:cs="宋体"/>
                <w:kern w:val="0"/>
                <w:szCs w:val="21"/>
                <w:lang w:val="en-US" w:eastAsia="zh-CN"/>
              </w:rPr>
              <w:t>3分，初</w:t>
            </w:r>
            <w:r>
              <w:rPr>
                <w:rFonts w:hint="eastAsia" w:ascii="宋体" w:hAnsi="宋体" w:eastAsia="宋体" w:cs="宋体"/>
                <w:kern w:val="0"/>
                <w:szCs w:val="21"/>
                <w:lang w:eastAsia="zh-CN"/>
              </w:rPr>
              <w:t>级（</w:t>
            </w:r>
            <w:r>
              <w:rPr>
                <w:rFonts w:hint="eastAsia" w:ascii="宋体" w:hAnsi="宋体" w:eastAsia="宋体" w:cs="宋体"/>
                <w:kern w:val="0"/>
                <w:szCs w:val="21"/>
                <w:lang w:val="en-US" w:eastAsia="zh-CN"/>
              </w:rPr>
              <w:t>(同级证书:助理或三级</w:t>
            </w:r>
            <w:r>
              <w:rPr>
                <w:rFonts w:hint="eastAsia" w:ascii="宋体" w:hAnsi="宋体" w:eastAsia="宋体" w:cs="宋体"/>
                <w:kern w:val="0"/>
                <w:szCs w:val="21"/>
                <w:lang w:eastAsia="zh-CN"/>
              </w:rPr>
              <w:t>）弱电工程师</w:t>
            </w:r>
            <w:r>
              <w:rPr>
                <w:rFonts w:hint="eastAsia" w:ascii="宋体" w:hAnsi="宋体" w:eastAsia="宋体" w:cs="宋体"/>
                <w:szCs w:val="21"/>
                <w:lang w:eastAsia="zh-CN"/>
              </w:rPr>
              <w:t>或机电类工程师或电气类工程师</w:t>
            </w:r>
            <w:r>
              <w:rPr>
                <w:rFonts w:hint="eastAsia" w:ascii="宋体" w:hAnsi="宋体" w:eastAsia="宋体" w:cs="宋体"/>
                <w:kern w:val="0"/>
                <w:szCs w:val="21"/>
                <w:lang w:eastAsia="zh-CN"/>
              </w:rPr>
              <w:t>得</w:t>
            </w:r>
            <w:r>
              <w:rPr>
                <w:rFonts w:hint="eastAsia" w:ascii="宋体" w:hAnsi="宋体" w:eastAsia="宋体" w:cs="宋体"/>
                <w:kern w:val="0"/>
                <w:szCs w:val="21"/>
                <w:lang w:val="en-US" w:eastAsia="zh-CN"/>
              </w:rPr>
              <w:t>1分，未提供的不得分。</w:t>
            </w:r>
          </w:p>
          <w:p>
            <w:pPr>
              <w:pStyle w:val="24"/>
              <w:numPr>
                <w:ilvl w:val="0"/>
                <w:numId w:val="31"/>
              </w:numPr>
              <w:ind w:left="425" w:leftChars="0" w:hanging="425" w:firstLineChars="0"/>
              <w:rPr>
                <w:rFonts w:hint="eastAsia" w:ascii="宋体" w:hAnsi="宋体" w:eastAsia="宋体" w:cs="宋体"/>
                <w:kern w:val="0"/>
                <w:szCs w:val="21"/>
              </w:rPr>
            </w:pPr>
            <w:r>
              <w:rPr>
                <w:rFonts w:hint="eastAsia" w:ascii="宋体" w:hAnsi="宋体" w:eastAsia="宋体" w:cs="Times New Roman"/>
                <w:kern w:val="2"/>
                <w:sz w:val="21"/>
                <w:szCs w:val="21"/>
                <w:lang w:val="en-US" w:eastAsia="zh-CN" w:bidi="ar-SA"/>
              </w:rPr>
              <w:t>根据投标人</w:t>
            </w:r>
            <w:r>
              <w:rPr>
                <w:rFonts w:hint="eastAsia" w:ascii="宋体" w:hAnsi="宋体" w:eastAsia="宋体" w:cs="宋体"/>
                <w:kern w:val="0"/>
                <w:szCs w:val="21"/>
              </w:rPr>
              <w:t>提供的该项目</w:t>
            </w:r>
            <w:r>
              <w:rPr>
                <w:rFonts w:hint="eastAsia" w:ascii="宋体" w:hAnsi="宋体" w:eastAsia="宋体" w:cs="Times New Roman"/>
                <w:kern w:val="2"/>
                <w:sz w:val="21"/>
                <w:szCs w:val="21"/>
                <w:lang w:val="en-US" w:eastAsia="zh-CN" w:bidi="ar-SA"/>
              </w:rPr>
              <w:t>技术员人员具有Dynalite相关技术培训证书，在两名技术人员具有Dynalite相关技术培训证书的基础上，每增加1人得5分，总分共15分。仅有两名具有不得分。</w:t>
            </w:r>
          </w:p>
          <w:p>
            <w:pPr>
              <w:pStyle w:val="24"/>
              <w:numPr>
                <w:ilvl w:val="-1"/>
                <w:numId w:val="0"/>
              </w:numPr>
              <w:snapToGrid w:val="0"/>
              <w:ind w:left="0" w:leftChars="0" w:firstLine="0" w:firstLineChars="0"/>
              <w:rPr>
                <w:rFonts w:hint="eastAsia" w:ascii="宋体" w:hAnsi="宋体" w:eastAsia="宋体" w:cs="宋体"/>
                <w:spacing w:val="0"/>
                <w:kern w:val="0"/>
                <w:szCs w:val="21"/>
                <w:lang w:val="zh-CN"/>
              </w:rPr>
            </w:pPr>
            <w:r>
              <w:rPr>
                <w:rFonts w:hint="eastAsia" w:ascii="宋体" w:hAnsi="宋体" w:eastAsia="宋体" w:cs="宋体"/>
                <w:spacing w:val="0"/>
                <w:kern w:val="0"/>
                <w:szCs w:val="21"/>
                <w:lang w:val="zh-CN"/>
              </w:rPr>
              <w:t>证明文件：</w:t>
            </w:r>
          </w:p>
          <w:p>
            <w:pPr>
              <w:pStyle w:val="24"/>
              <w:numPr>
                <w:ilvl w:val="-1"/>
                <w:numId w:val="0"/>
              </w:numPr>
              <w:snapToGrid w:val="0"/>
              <w:ind w:left="0" w:leftChars="0" w:firstLine="0" w:firstLineChars="0"/>
              <w:rPr>
                <w:rFonts w:hint="eastAsia" w:ascii="宋体" w:hAnsi="宋体" w:eastAsia="宋体" w:cs="宋体"/>
                <w:spacing w:val="0"/>
                <w:kern w:val="0"/>
                <w:szCs w:val="21"/>
              </w:rPr>
            </w:pPr>
            <w:r>
              <w:rPr>
                <w:rFonts w:hint="eastAsia" w:ascii="宋体" w:hAnsi="宋体" w:eastAsia="宋体" w:cs="宋体"/>
                <w:spacing w:val="0"/>
                <w:kern w:val="0"/>
                <w:szCs w:val="21"/>
                <w:lang w:val="zh-CN"/>
              </w:rPr>
              <w:t>提供以上人员资格证明文件</w:t>
            </w:r>
            <w:r>
              <w:rPr>
                <w:rFonts w:hint="eastAsia" w:ascii="宋体" w:hAnsi="宋体" w:eastAsia="宋体" w:cs="宋体"/>
                <w:spacing w:val="0"/>
                <w:kern w:val="0"/>
                <w:szCs w:val="21"/>
                <w:lang w:val="en-US" w:eastAsia="zh-CN"/>
              </w:rPr>
              <w:t>复印件或扫描件</w:t>
            </w:r>
            <w:r>
              <w:rPr>
                <w:rFonts w:hint="eastAsia" w:ascii="宋体" w:hAnsi="宋体" w:eastAsia="宋体" w:cs="宋体"/>
                <w:spacing w:val="0"/>
                <w:kern w:val="0"/>
                <w:szCs w:val="21"/>
                <w:lang w:val="zh-CN"/>
              </w:rPr>
              <w:t>和近三个月社保清单证明，如开标日上一个月的社保材料因社保部门原因暂时无法取得，则可以往前顺推</w:t>
            </w:r>
            <w:r>
              <w:rPr>
                <w:rFonts w:hint="eastAsia" w:ascii="宋体" w:hAnsi="宋体" w:eastAsia="宋体" w:cs="宋体"/>
                <w:spacing w:val="0"/>
                <w:kern w:val="0"/>
                <w:szCs w:val="21"/>
                <w:lang w:val="sq-AL"/>
              </w:rPr>
              <w:t>一个月，</w:t>
            </w:r>
            <w:r>
              <w:rPr>
                <w:rFonts w:hint="eastAsia" w:ascii="宋体" w:hAnsi="宋体" w:eastAsia="宋体" w:cs="宋体"/>
                <w:spacing w:val="0"/>
                <w:kern w:val="0"/>
                <w:szCs w:val="21"/>
                <w:lang w:val="en-US" w:eastAsia="zh-CN"/>
              </w:rPr>
              <w:t>以上证明均</w:t>
            </w:r>
            <w:r>
              <w:rPr>
                <w:rFonts w:hint="eastAsia" w:ascii="宋体" w:hAnsi="宋体" w:eastAsia="宋体" w:cs="宋体"/>
                <w:spacing w:val="0"/>
                <w:kern w:val="0"/>
                <w:szCs w:val="21"/>
                <w:lang w:val="zh-CN"/>
              </w:rPr>
              <w:t>须同时加盖投标人公章。</w:t>
            </w:r>
            <w:r>
              <w:rPr>
                <w:rFonts w:hint="eastAsia" w:ascii="宋体" w:hAnsi="宋体" w:eastAsia="宋体" w:cs="宋体"/>
                <w:spacing w:val="0"/>
                <w:kern w:val="0"/>
                <w:szCs w:val="21"/>
                <w:lang w:val="sq-AL"/>
              </w:rPr>
              <w:t>（未按要求提供或提供不清晰导致专家无法判断的不得分，原件备查）。</w:t>
            </w:r>
          </w:p>
          <w:p>
            <w:pPr>
              <w:pStyle w:val="24"/>
              <w:numPr>
                <w:ilvl w:val="-1"/>
                <w:numId w:val="0"/>
              </w:numPr>
              <w:ind w:left="0" w:leftChars="0" w:firstLine="0" w:firstLineChars="0"/>
              <w:rPr>
                <w:rFonts w:hint="eastAsia" w:ascii="宋体" w:hAnsi="宋体" w:eastAsia="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A3"/>
            </w: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1"/>
                <w:rFonts w:ascii="宋体" w:hAnsi="宋体"/>
                <w:highlight w:val="none"/>
              </w:rPr>
            </w:pPr>
            <w:r>
              <w:rPr>
                <w:rStyle w:val="21"/>
                <w:rFonts w:hint="eastAsia" w:ascii="宋体" w:hAnsi="宋体"/>
                <w:highlight w:val="none"/>
              </w:rPr>
              <w:t>价格得分=（1-A×｜1-投标报价/Z｜）×M</w:t>
            </w:r>
          </w:p>
          <w:p>
            <w:pPr>
              <w:numPr>
                <w:ilvl w:val="0"/>
                <w:numId w:val="32"/>
              </w:numPr>
              <w:autoSpaceDE w:val="0"/>
              <w:autoSpaceDN w:val="0"/>
              <w:adjustRightInd w:val="0"/>
              <w:snapToGrid w:val="0"/>
              <w:jc w:val="left"/>
              <w:rPr>
                <w:rStyle w:val="21"/>
                <w:rFonts w:ascii="宋体" w:hAnsi="宋体"/>
                <w:highlight w:val="none"/>
              </w:rPr>
            </w:pPr>
            <w:r>
              <w:rPr>
                <w:rStyle w:val="21"/>
                <w:rFonts w:hint="eastAsia" w:ascii="宋体" w:hAnsi="宋体"/>
                <w:highlight w:val="none"/>
              </w:rPr>
              <w:t>M</w:t>
            </w:r>
            <w:r>
              <w:rPr>
                <w:rStyle w:val="21"/>
                <w:rFonts w:hint="eastAsia" w:ascii="宋体" w:hAnsi="宋体"/>
                <w:color w:val="auto"/>
                <w:highlight w:val="none"/>
              </w:rPr>
              <w:t xml:space="preserve">= </w:t>
            </w:r>
            <w:r>
              <w:rPr>
                <w:rFonts w:hint="eastAsia" w:ascii="宋体" w:hAnsi="宋体"/>
                <w:color w:val="auto"/>
                <w:szCs w:val="21"/>
                <w:highlight w:val="none"/>
                <w:lang w:val="en-US" w:eastAsia="zh-CN"/>
              </w:rPr>
              <w:t>40</w:t>
            </w:r>
            <w:r>
              <w:rPr>
                <w:rStyle w:val="21"/>
                <w:rFonts w:hint="eastAsia" w:ascii="宋体" w:hAnsi="宋体"/>
                <w:color w:val="auto"/>
                <w:highlight w:val="none"/>
              </w:rPr>
              <w:t xml:space="preserve"> （价格评价分</w:t>
            </w:r>
            <w:r>
              <w:rPr>
                <w:rStyle w:val="21"/>
                <w:rFonts w:hint="eastAsia" w:ascii="宋体" w:hAnsi="宋体"/>
                <w:highlight w:val="none"/>
              </w:rPr>
              <w:t>项满分值），Z为本次招标基准价；</w:t>
            </w:r>
          </w:p>
          <w:p>
            <w:pPr>
              <w:numPr>
                <w:ilvl w:val="0"/>
                <w:numId w:val="32"/>
              </w:numPr>
              <w:autoSpaceDE w:val="0"/>
              <w:autoSpaceDN w:val="0"/>
              <w:adjustRightInd w:val="0"/>
              <w:snapToGrid w:val="0"/>
              <w:jc w:val="left"/>
              <w:rPr>
                <w:rStyle w:val="21"/>
                <w:rFonts w:ascii="宋体" w:hAnsi="宋体"/>
                <w:highlight w:val="none"/>
              </w:rPr>
            </w:pPr>
            <w:r>
              <w:rPr>
                <w:rStyle w:val="21"/>
                <w:rFonts w:hint="eastAsia" w:ascii="宋体" w:hAnsi="宋体"/>
                <w:highlight w:val="none"/>
              </w:rPr>
              <w:t>A为价格调整系数，当投标报价低于本次招标最佳报价（即基准价）时，A=</w:t>
            </w:r>
            <w:r>
              <w:rPr>
                <w:rStyle w:val="21"/>
                <w:rFonts w:hint="eastAsia" w:ascii="宋体" w:hAnsi="宋体"/>
                <w:highlight w:val="none"/>
                <w:lang w:val="en-US" w:eastAsia="zh-CN"/>
              </w:rPr>
              <w:t>1</w:t>
            </w:r>
            <w:r>
              <w:rPr>
                <w:rStyle w:val="21"/>
                <w:rFonts w:hint="eastAsia" w:ascii="宋体" w:hAnsi="宋体"/>
                <w:highlight w:val="none"/>
              </w:rPr>
              <w:t>；当投标报价高于次招标基准价时，取A=1；</w:t>
            </w:r>
          </w:p>
          <w:p>
            <w:pPr>
              <w:numPr>
                <w:ilvl w:val="0"/>
                <w:numId w:val="32"/>
              </w:numPr>
              <w:jc w:val="left"/>
              <w:rPr>
                <w:rFonts w:ascii="宋体" w:cs="宋体"/>
                <w:kern w:val="0"/>
                <w:szCs w:val="21"/>
                <w:highlight w:val="none"/>
              </w:rPr>
            </w:pPr>
            <w:r>
              <w:rPr>
                <w:rStyle w:val="21"/>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widowControl/>
              <w:ind w:right="30"/>
              <w:jc w:val="left"/>
              <w:rPr>
                <w:color w:val="auto"/>
                <w:highlight w:val="none"/>
              </w:rPr>
            </w:pPr>
            <w:r>
              <w:rPr>
                <w:rFonts w:hint="eastAsia"/>
                <w:color w:val="auto"/>
                <w:highlight w:val="none"/>
              </w:rPr>
              <w:t>价格得分=（1-｜投标报价-基准价｜</w:t>
            </w:r>
            <w:r>
              <w:rPr>
                <w:color w:val="auto"/>
                <w:highlight w:val="none"/>
              </w:rPr>
              <w:t>÷</w:t>
            </w:r>
            <w:r>
              <w:rPr>
                <w:rFonts w:hint="eastAsia"/>
                <w:color w:val="auto"/>
                <w:highlight w:val="none"/>
              </w:rPr>
              <w:t>基准价）</w:t>
            </w:r>
            <w:r>
              <w:rPr>
                <w:color w:val="auto"/>
                <w:highlight w:val="none"/>
              </w:rPr>
              <w:t>×</w:t>
            </w:r>
            <w:r>
              <w:rPr>
                <w:rFonts w:hint="eastAsia"/>
                <w:color w:val="auto"/>
                <w:highlight w:val="none"/>
              </w:rPr>
              <w:t>价格权重分</w:t>
            </w:r>
          </w:p>
          <w:p>
            <w:pPr>
              <w:spacing w:line="240" w:lineRule="atLeast"/>
              <w:jc w:val="center"/>
              <w:rPr>
                <w:rFonts w:ascii="宋体" w:cs="宋体"/>
                <w:kern w:val="0"/>
                <w:szCs w:val="21"/>
                <w:highlight w:val="none"/>
              </w:rPr>
            </w:pPr>
            <w:r>
              <w:rPr>
                <w:rFonts w:hint="eastAsia"/>
                <w:color w:val="auto"/>
                <w:highlight w:val="none"/>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33"/>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3"/>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9" w:name="_Toc681"/>
      <w:r>
        <w:rPr>
          <w:rFonts w:hint="eastAsia" w:ascii="宋体" w:hAnsi="宋体"/>
          <w:b/>
          <w:sz w:val="32"/>
          <w:szCs w:val="32"/>
        </w:rPr>
        <w:t>第四部分：合同条款及格式</w:t>
      </w:r>
      <w:bookmarkEnd w:id="59"/>
    </w:p>
    <w:p>
      <w:pPr>
        <w:jc w:val="center"/>
        <w:rPr>
          <w:rFonts w:ascii="方正小标宋简体" w:hAnsi="方正小标宋简体" w:eastAsia="方正小标宋简体" w:cs="方正小标宋简体"/>
          <w:bCs/>
          <w:kern w:val="0"/>
          <w:sz w:val="28"/>
          <w:szCs w:val="28"/>
        </w:rPr>
      </w:pPr>
    </w:p>
    <w:p>
      <w:pPr>
        <w:pStyle w:val="13"/>
      </w:pPr>
    </w:p>
    <w:p>
      <w:pPr>
        <w:pStyle w:val="13"/>
      </w:pPr>
    </w:p>
    <w:p>
      <w:pPr>
        <w:tabs>
          <w:tab w:val="left" w:pos="180"/>
        </w:tabs>
        <w:adjustRightInd w:val="0"/>
        <w:snapToGrid w:val="0"/>
        <w:spacing w:line="300" w:lineRule="auto"/>
        <w:jc w:val="left"/>
        <w:rPr>
          <w:rFonts w:ascii="微软雅黑" w:hAnsi="微软雅黑" w:eastAsia="微软雅黑"/>
          <w:sz w:val="72"/>
          <w:szCs w:val="72"/>
        </w:rPr>
      </w:pPr>
      <w:r>
        <w:rPr>
          <w:rFonts w:hint="eastAsia" w:ascii="微软雅黑" w:hAnsi="微软雅黑" w:eastAsia="微软雅黑"/>
          <w:sz w:val="72"/>
          <w:szCs w:val="72"/>
        </w:rPr>
        <w:drawing>
          <wp:inline distT="0" distB="0" distL="114300" distR="114300">
            <wp:extent cx="2828925" cy="733425"/>
            <wp:effectExtent l="0" t="0" r="9525" b="9525"/>
            <wp:docPr id="3" name="图片 3"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0-08-13 上午2.10.25"/>
                    <pic:cNvPicPr>
                      <a:picLocks noChangeAspect="1"/>
                    </pic:cNvPicPr>
                  </pic:nvPicPr>
                  <pic:blipFill>
                    <a:blip r:embed="rId7"/>
                    <a:stretch>
                      <a:fillRect/>
                    </a:stretch>
                  </pic:blipFill>
                  <pic:spPr>
                    <a:xfrm>
                      <a:off x="0" y="0"/>
                      <a:ext cx="2828925" cy="733425"/>
                    </a:xfrm>
                    <a:prstGeom prst="rect">
                      <a:avLst/>
                    </a:prstGeom>
                    <a:noFill/>
                    <a:ln>
                      <a:noFill/>
                    </a:ln>
                  </pic:spPr>
                </pic:pic>
              </a:graphicData>
            </a:graphic>
          </wp:inline>
        </w:drawing>
      </w:r>
    </w:p>
    <w:p>
      <w:pPr>
        <w:tabs>
          <w:tab w:val="left" w:pos="180"/>
        </w:tabs>
        <w:adjustRightInd w:val="0"/>
        <w:snapToGrid w:val="0"/>
        <w:spacing w:line="300" w:lineRule="auto"/>
        <w:jc w:val="right"/>
        <w:rPr>
          <w:rFonts w:cs="宋体"/>
        </w:rPr>
      </w:pPr>
    </w:p>
    <w:p>
      <w:pPr>
        <w:tabs>
          <w:tab w:val="left" w:pos="180"/>
        </w:tabs>
        <w:adjustRightInd w:val="0"/>
        <w:snapToGrid w:val="0"/>
        <w:spacing w:line="300" w:lineRule="auto"/>
        <w:jc w:val="right"/>
      </w:pPr>
      <w:r>
        <w:rPr>
          <w:rFonts w:hint="eastAsia" w:cs="宋体"/>
        </w:rPr>
        <w:t>合同编号（甲方）：</w:t>
      </w:r>
      <w:r>
        <w:t xml:space="preserve"> ___________________________ </w:t>
      </w:r>
    </w:p>
    <w:p>
      <w:pPr>
        <w:tabs>
          <w:tab w:val="left" w:pos="180"/>
        </w:tabs>
        <w:adjustRightInd w:val="0"/>
        <w:snapToGrid w:val="0"/>
        <w:spacing w:line="300" w:lineRule="auto"/>
        <w:jc w:val="right"/>
      </w:pPr>
      <w:r>
        <w:rPr>
          <w:rFonts w:hint="eastAsia" w:cs="宋体"/>
        </w:rPr>
        <w:t>合同编号（乙方）：</w:t>
      </w:r>
      <w:r>
        <w:t xml:space="preserve"> ___________________________</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jc w:val="center"/>
        <w:rPr>
          <w:rFonts w:ascii="宋体" w:hAnsi="宋体"/>
          <w:b/>
          <w:kern w:val="0"/>
          <w:sz w:val="44"/>
          <w:szCs w:val="44"/>
        </w:rPr>
      </w:pPr>
      <w:r>
        <w:rPr>
          <w:rFonts w:hint="eastAsia" w:ascii="宋体" w:hAnsi="宋体" w:cs="宋体"/>
          <w:b/>
          <w:sz w:val="44"/>
          <w:szCs w:val="44"/>
        </w:rPr>
        <w:t>深圳会展中心照明控制系统维护保养合同</w:t>
      </w:r>
    </w:p>
    <w:p>
      <w:pPr>
        <w:ind w:firstLine="422"/>
        <w:jc w:val="center"/>
        <w:rPr>
          <w:rFonts w:hint="eastAsia" w:ascii="宋体" w:hAnsi="宋体" w:eastAsia="宋体"/>
          <w:b/>
          <w:kern w:val="0"/>
          <w:sz w:val="28"/>
          <w:szCs w:val="28"/>
          <w:lang w:eastAsia="zh-CN"/>
        </w:rPr>
      </w:pPr>
      <w:r>
        <w:rPr>
          <w:rFonts w:hint="eastAsia" w:ascii="宋体" w:hAnsi="宋体"/>
          <w:b/>
          <w:kern w:val="0"/>
          <w:sz w:val="28"/>
          <w:szCs w:val="28"/>
          <w:lang w:eastAsia="zh-CN"/>
        </w:rPr>
        <w:t>（</w:t>
      </w:r>
      <w:r>
        <w:rPr>
          <w:rFonts w:hint="eastAsia" w:ascii="宋体" w:hAnsi="宋体"/>
          <w:b/>
          <w:kern w:val="0"/>
          <w:sz w:val="28"/>
          <w:szCs w:val="28"/>
          <w:lang w:val="en-US" w:eastAsia="zh-CN"/>
        </w:rPr>
        <w:t>本合同模板仅供参考</w:t>
      </w:r>
      <w:r>
        <w:rPr>
          <w:rFonts w:hint="eastAsia" w:ascii="宋体" w:hAnsi="宋体"/>
          <w:b/>
          <w:kern w:val="0"/>
          <w:sz w:val="28"/>
          <w:szCs w:val="28"/>
          <w:lang w:eastAsia="zh-CN"/>
        </w:rPr>
        <w:t>）</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tabs>
          <w:tab w:val="left" w:pos="180"/>
        </w:tabs>
        <w:spacing w:line="640" w:lineRule="exact"/>
        <w:ind w:firstLine="240" w:firstLineChars="100"/>
        <w:rPr>
          <w:rFonts w:cs="宋体"/>
          <w:sz w:val="24"/>
        </w:rPr>
      </w:pPr>
      <w:r>
        <w:rPr>
          <w:rFonts w:hint="eastAsia" w:cs="宋体"/>
          <w:sz w:val="24"/>
        </w:rPr>
        <w:t>甲方（委托方）：深圳会展中心管理有限责任公司</w:t>
      </w:r>
    </w:p>
    <w:p>
      <w:pPr>
        <w:tabs>
          <w:tab w:val="left" w:pos="180"/>
        </w:tabs>
        <w:spacing w:line="640" w:lineRule="exact"/>
        <w:ind w:firstLine="240" w:firstLineChars="100"/>
        <w:rPr>
          <w:rFonts w:cs="宋体"/>
          <w:sz w:val="24"/>
        </w:rPr>
      </w:pPr>
      <w:r>
        <w:rPr>
          <w:rFonts w:hint="eastAsia" w:cs="宋体"/>
          <w:sz w:val="24"/>
        </w:rPr>
        <w:t>乙方（受托方）：</w:t>
      </w:r>
      <w:r>
        <w:rPr>
          <w:rFonts w:hint="eastAsia" w:ascii="宋体" w:hAnsi="宋体" w:cs="宋体"/>
          <w:sz w:val="24"/>
        </w:rPr>
        <w:t xml:space="preserve">      </w:t>
      </w:r>
      <w:r>
        <w:rPr>
          <w:rFonts w:hint="eastAsia" w:cs="宋体"/>
          <w:sz w:val="24"/>
        </w:rPr>
        <w:t xml:space="preserve">                    </w:t>
      </w:r>
    </w:p>
    <w:p>
      <w:pPr>
        <w:tabs>
          <w:tab w:val="left" w:pos="180"/>
        </w:tabs>
        <w:spacing w:line="640" w:lineRule="exact"/>
        <w:ind w:firstLine="240" w:firstLineChars="100"/>
        <w:rPr>
          <w:rFonts w:ascii="宋体" w:hAnsi="宋体" w:cs="宋体"/>
          <w:sz w:val="24"/>
        </w:rPr>
      </w:pPr>
      <w:r>
        <w:rPr>
          <w:rFonts w:hint="eastAsia" w:ascii="宋体" w:hAnsi="宋体" w:cs="宋体"/>
          <w:sz w:val="24"/>
        </w:rPr>
        <w:t>签订日期：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jc w:val="left"/>
        <w:rPr>
          <w:rFonts w:ascii="宋体" w:hAnsi="宋体" w:cs="宋体"/>
          <w:sz w:val="24"/>
        </w:rPr>
      </w:pPr>
    </w:p>
    <w:p>
      <w:pPr>
        <w:adjustRightInd w:val="0"/>
        <w:snapToGrid w:val="0"/>
        <w:spacing w:line="360" w:lineRule="auto"/>
        <w:jc w:val="left"/>
        <w:rPr>
          <w:rFonts w:ascii="宋体" w:hAnsi="宋体" w:cs="宋体"/>
          <w:sz w:val="24"/>
        </w:rPr>
      </w:pPr>
    </w:p>
    <w:p>
      <w:pPr>
        <w:spacing w:after="124" w:afterLines="40"/>
        <w:ind w:firstLine="105"/>
        <w:rPr>
          <w:rFonts w:ascii="宋体" w:hAnsi="宋体" w:cs="宋体"/>
          <w:szCs w:val="21"/>
        </w:rPr>
      </w:pPr>
    </w:p>
    <w:p>
      <w:pPr>
        <w:spacing w:after="124" w:afterLines="40"/>
        <w:ind w:firstLine="105"/>
        <w:rPr>
          <w:rFonts w:ascii="宋体" w:hAnsi="宋体" w:cs="宋体"/>
          <w:szCs w:val="21"/>
        </w:rPr>
      </w:pPr>
    </w:p>
    <w:p>
      <w:pPr>
        <w:adjustRightInd w:val="0"/>
        <w:snapToGrid w:val="0"/>
        <w:spacing w:line="360" w:lineRule="auto"/>
        <w:jc w:val="left"/>
        <w:rPr>
          <w:rFonts w:ascii="宋体" w:hAnsi="宋体" w:cs="宋体"/>
          <w:sz w:val="24"/>
        </w:rPr>
      </w:pPr>
      <w:r>
        <w:rPr>
          <w:rFonts w:hint="eastAsia" w:ascii="宋体" w:hAnsi="宋体" w:cs="宋体"/>
          <w:sz w:val="24"/>
        </w:rPr>
        <w:t>甲方</w:t>
      </w:r>
      <w:r>
        <w:rPr>
          <w:rFonts w:hint="eastAsia" w:cs="宋体"/>
          <w:sz w:val="24"/>
        </w:rPr>
        <w:t>（委托方）</w:t>
      </w:r>
      <w:r>
        <w:rPr>
          <w:rFonts w:hint="eastAsia" w:ascii="宋体" w:hAnsi="宋体" w:cs="宋体"/>
          <w:sz w:val="24"/>
        </w:rPr>
        <w:t xml:space="preserve">：深圳会展中心管理有限责任公司   </w:t>
      </w:r>
    </w:p>
    <w:p>
      <w:pPr>
        <w:adjustRightInd w:val="0"/>
        <w:snapToGrid w:val="0"/>
        <w:spacing w:line="360" w:lineRule="auto"/>
        <w:jc w:val="left"/>
        <w:rPr>
          <w:rFonts w:ascii="宋体" w:hAnsi="宋体" w:cs="宋体"/>
          <w:sz w:val="24"/>
        </w:rPr>
      </w:pPr>
      <w:r>
        <w:rPr>
          <w:rFonts w:hint="eastAsia" w:ascii="宋体" w:hAnsi="宋体" w:cs="宋体"/>
          <w:sz w:val="24"/>
        </w:rPr>
        <w:t xml:space="preserve">地址：中国广东深圳福田区福华三路             </w:t>
      </w:r>
    </w:p>
    <w:p>
      <w:pPr>
        <w:adjustRightInd w:val="0"/>
        <w:snapToGrid w:val="0"/>
        <w:spacing w:line="360" w:lineRule="auto"/>
        <w:jc w:val="left"/>
        <w:rPr>
          <w:rFonts w:ascii="宋体" w:hAnsi="宋体" w:cs="宋体"/>
          <w:sz w:val="24"/>
        </w:rPr>
      </w:pPr>
      <w:r>
        <w:rPr>
          <w:rFonts w:hint="eastAsia" w:ascii="宋体" w:hAnsi="宋体" w:cs="宋体"/>
          <w:sz w:val="24"/>
        </w:rPr>
        <w:t xml:space="preserve">邮编：518000                                 </w:t>
      </w:r>
    </w:p>
    <w:p>
      <w:pPr>
        <w:adjustRightInd w:val="0"/>
        <w:snapToGrid w:val="0"/>
        <w:spacing w:line="360" w:lineRule="auto"/>
        <w:jc w:val="left"/>
        <w:rPr>
          <w:rFonts w:ascii="宋体" w:hAnsi="宋体" w:cs="宋体"/>
          <w:sz w:val="24"/>
        </w:rPr>
      </w:pPr>
      <w:r>
        <w:rPr>
          <w:rFonts w:hint="eastAsia" w:ascii="宋体" w:hAnsi="宋体" w:cs="宋体"/>
          <w:sz w:val="24"/>
        </w:rPr>
        <w:t xml:space="preserve">电话：0755-82848819                         </w:t>
      </w:r>
    </w:p>
    <w:p>
      <w:pPr>
        <w:adjustRightInd w:val="0"/>
        <w:snapToGrid w:val="0"/>
        <w:spacing w:line="360" w:lineRule="auto"/>
        <w:jc w:val="left"/>
        <w:rPr>
          <w:rFonts w:ascii="宋体" w:hAnsi="宋体" w:cs="宋体"/>
          <w:sz w:val="24"/>
        </w:rPr>
      </w:pPr>
      <w:r>
        <w:rPr>
          <w:rFonts w:hint="eastAsia" w:ascii="宋体" w:hAnsi="宋体" w:cs="宋体"/>
          <w:sz w:val="24"/>
        </w:rPr>
        <w:t xml:space="preserve">传真：                                       </w:t>
      </w:r>
    </w:p>
    <w:p>
      <w:pPr>
        <w:pStyle w:val="13"/>
      </w:pPr>
    </w:p>
    <w:p>
      <w:pPr>
        <w:adjustRightInd w:val="0"/>
        <w:snapToGrid w:val="0"/>
        <w:spacing w:line="360" w:lineRule="auto"/>
        <w:jc w:val="left"/>
        <w:rPr>
          <w:rFonts w:ascii="宋体" w:hAnsi="宋体" w:cs="宋体"/>
          <w:sz w:val="24"/>
        </w:rPr>
      </w:pPr>
      <w:r>
        <w:rPr>
          <w:rFonts w:hint="eastAsia" w:ascii="宋体" w:hAnsi="宋体" w:cs="宋体"/>
          <w:sz w:val="24"/>
        </w:rPr>
        <w:t>乙方</w:t>
      </w:r>
      <w:r>
        <w:rPr>
          <w:rFonts w:hint="eastAsia" w:cs="宋体"/>
          <w:sz w:val="24"/>
        </w:rPr>
        <w:t>（受托方）</w:t>
      </w:r>
      <w:r>
        <w:rPr>
          <w:rFonts w:hint="eastAsia" w:ascii="宋体" w:hAnsi="宋体" w:cs="宋体"/>
          <w:sz w:val="24"/>
        </w:rPr>
        <w:t xml:space="preserve">：                             </w:t>
      </w:r>
    </w:p>
    <w:p>
      <w:pPr>
        <w:adjustRightInd w:val="0"/>
        <w:snapToGrid w:val="0"/>
        <w:spacing w:line="360" w:lineRule="auto"/>
        <w:jc w:val="left"/>
        <w:rPr>
          <w:rFonts w:ascii="宋体" w:hAnsi="宋体" w:cs="宋体"/>
          <w:sz w:val="24"/>
        </w:rPr>
      </w:pPr>
      <w:r>
        <w:rPr>
          <w:rFonts w:hint="eastAsia" w:ascii="宋体" w:hAnsi="宋体" w:cs="宋体"/>
          <w:sz w:val="24"/>
        </w:rPr>
        <w:t xml:space="preserve">地址：                                       </w:t>
      </w:r>
    </w:p>
    <w:p>
      <w:pPr>
        <w:adjustRightInd w:val="0"/>
        <w:snapToGrid w:val="0"/>
        <w:spacing w:line="360" w:lineRule="auto"/>
        <w:jc w:val="left"/>
        <w:rPr>
          <w:rFonts w:ascii="宋体" w:hAnsi="宋体" w:cs="宋体"/>
          <w:sz w:val="24"/>
        </w:rPr>
      </w:pPr>
      <w:r>
        <w:rPr>
          <w:rFonts w:hint="eastAsia" w:ascii="宋体" w:hAnsi="宋体" w:cs="宋体"/>
          <w:sz w:val="24"/>
        </w:rPr>
        <w:t xml:space="preserve">邮编：                                       </w:t>
      </w:r>
    </w:p>
    <w:p>
      <w:pPr>
        <w:adjustRightInd w:val="0"/>
        <w:snapToGrid w:val="0"/>
        <w:spacing w:line="360" w:lineRule="auto"/>
        <w:jc w:val="left"/>
        <w:rPr>
          <w:rFonts w:ascii="宋体" w:hAnsi="宋体" w:cs="宋体"/>
          <w:sz w:val="24"/>
        </w:rPr>
      </w:pPr>
      <w:r>
        <w:rPr>
          <w:rFonts w:hint="eastAsia" w:ascii="宋体" w:hAnsi="宋体" w:cs="宋体"/>
          <w:sz w:val="24"/>
        </w:rPr>
        <w:t xml:space="preserve">电话：                                       </w:t>
      </w:r>
    </w:p>
    <w:p>
      <w:pPr>
        <w:spacing w:after="124" w:afterLines="40"/>
        <w:rPr>
          <w:rFonts w:ascii="宋体" w:hAnsi="宋体" w:cs="宋体"/>
          <w:szCs w:val="21"/>
        </w:rPr>
      </w:pPr>
      <w:r>
        <w:rPr>
          <w:rFonts w:hint="eastAsia" w:ascii="宋体" w:hAnsi="宋体" w:cs="宋体"/>
          <w:sz w:val="24"/>
        </w:rPr>
        <w:t xml:space="preserve">传真：                                      </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根据深圳会展中心照明控制系统平稳运行的需要，甲、乙双方经共同协商一致，签订本合同。</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一、合同名称:深圳会展中心照明控制系统维护保养合同。</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二、合同履行地点:深圳市福田区福华三路深圳会展中心。</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三、合同内容:由乙方对深圳会展中心照明控制系统提供维护保养服务等。</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四、合同价款：元整（￥</w:t>
      </w:r>
      <w:r>
        <w:rPr>
          <w:rFonts w:hint="eastAsia" w:ascii="宋体" w:hAnsi="宋体" w:cs="宋体"/>
          <w:b w:val="0"/>
          <w:bCs/>
          <w:szCs w:val="21"/>
          <w:lang w:val="en-US" w:eastAsia="zh-CN"/>
        </w:rPr>
        <w:t xml:space="preserve">  </w:t>
      </w:r>
      <w:r>
        <w:rPr>
          <w:rFonts w:hint="eastAsia" w:ascii="宋体" w:hAnsi="宋体" w:cs="宋体"/>
          <w:b w:val="0"/>
          <w:bCs/>
          <w:szCs w:val="21"/>
        </w:rPr>
        <w:t xml:space="preserve"> 元/年），合同价款包含照明控制系统维护保养时的人工费、管理费、税费、保险费、辅材(单个配件单价200元以下)、维修等相关费用。</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五、合同期限：3年，自20  年 月 日至 20 年 月  日止。</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六、合同款支付时间及条件</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1.</w:t>
      </w:r>
      <w:r>
        <w:rPr>
          <w:rFonts w:hint="eastAsia" w:ascii="宋体" w:hAnsi="宋体" w:cs="宋体"/>
          <w:b w:val="0"/>
          <w:bCs/>
          <w:szCs w:val="21"/>
          <w:lang w:val="en-US" w:eastAsia="zh-CN"/>
        </w:rPr>
        <w:t>甲方根据</w:t>
      </w:r>
      <w:r>
        <w:rPr>
          <w:rFonts w:hint="eastAsia" w:ascii="宋体" w:hAnsi="宋体" w:cs="宋体"/>
          <w:color w:val="auto"/>
          <w:highlight w:val="none"/>
        </w:rPr>
        <w:t>照维保工作进度每年分四次付款，即每三个月付一次。</w:t>
      </w:r>
      <w:r>
        <w:rPr>
          <w:rFonts w:hint="eastAsia" w:ascii="宋体" w:hAnsi="宋体" w:cs="宋体"/>
          <w:color w:val="auto"/>
          <w:highlight w:val="none"/>
          <w:lang w:val="en-US" w:eastAsia="zh-CN"/>
        </w:rPr>
        <w:t>乙方</w:t>
      </w:r>
      <w:r>
        <w:rPr>
          <w:rFonts w:hint="eastAsia" w:ascii="宋体" w:hAnsi="宋体" w:cs="宋体"/>
          <w:color w:val="auto"/>
          <w:highlight w:val="none"/>
        </w:rPr>
        <w:t>须按照维保年度工作计划，按时、保质的完成计划工作（每次支付保养费时，投标人须提交3个月内的</w:t>
      </w:r>
      <w:r>
        <w:rPr>
          <w:rFonts w:hint="eastAsia" w:ascii="宋体" w:hAnsi="宋体" w:cs="宋体"/>
          <w:color w:val="auto"/>
          <w:highlight w:val="none"/>
          <w:lang w:val="en-US" w:eastAsia="zh-CN"/>
        </w:rPr>
        <w:t>经甲方确认的</w:t>
      </w:r>
      <w:r>
        <w:rPr>
          <w:rFonts w:hint="eastAsia" w:ascii="宋体" w:hAnsi="宋体" w:cs="宋体"/>
          <w:color w:val="auto"/>
          <w:highlight w:val="none"/>
        </w:rPr>
        <w:t>维保记录、总结报告</w:t>
      </w:r>
      <w:r>
        <w:rPr>
          <w:rFonts w:hint="eastAsia" w:ascii="宋体" w:hAnsi="宋体" w:cs="宋体"/>
          <w:color w:val="auto"/>
          <w:highlight w:val="none"/>
          <w:lang w:val="en-US" w:eastAsia="zh-CN"/>
        </w:rPr>
        <w:t>等</w:t>
      </w:r>
      <w:r>
        <w:rPr>
          <w:rFonts w:hint="eastAsia" w:ascii="宋体" w:hAnsi="宋体" w:cs="宋体"/>
          <w:color w:val="auto"/>
          <w:highlight w:val="none"/>
        </w:rPr>
        <w:t>）。</w:t>
      </w:r>
      <w:r>
        <w:rPr>
          <w:rFonts w:hint="eastAsia" w:ascii="宋体" w:hAnsi="宋体" w:cs="宋体"/>
          <w:color w:val="auto"/>
          <w:highlight w:val="none"/>
          <w:lang w:val="en-US" w:eastAsia="zh-CN"/>
        </w:rPr>
        <w:t>本项目合同总金额      ，每三个月支付       。</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2</w:t>
      </w:r>
      <w:r>
        <w:rPr>
          <w:rFonts w:hint="eastAsia" w:ascii="宋体" w:hAnsi="宋体" w:cs="宋体"/>
          <w:b w:val="0"/>
          <w:bCs/>
          <w:szCs w:val="21"/>
        </w:rPr>
        <w:t>.甲方每次支付保养费时，</w:t>
      </w:r>
      <w:r>
        <w:rPr>
          <w:rFonts w:hint="eastAsia" w:ascii="宋体" w:hAnsi="宋体" w:cs="宋体"/>
          <w:bCs/>
          <w:szCs w:val="21"/>
        </w:rPr>
        <w:t>在收到乙方的发票、维保记录和总结报告后</w:t>
      </w:r>
      <w:r>
        <w:rPr>
          <w:rFonts w:hint="eastAsia" w:ascii="宋体" w:hAnsi="宋体" w:cs="宋体"/>
          <w:b w:val="0"/>
          <w:bCs/>
          <w:szCs w:val="21"/>
        </w:rPr>
        <w:t>。</w:t>
      </w:r>
    </w:p>
    <w:p>
      <w:pPr>
        <w:adjustRightInd w:val="0"/>
        <w:snapToGrid w:val="0"/>
        <w:spacing w:line="360" w:lineRule="auto"/>
        <w:ind w:firstLine="420" w:firstLineChars="200"/>
        <w:rPr>
          <w:rFonts w:hint="eastAsia" w:ascii="宋体" w:hAnsi="宋体" w:cs="宋体"/>
          <w:b w:val="0"/>
          <w:bCs/>
          <w:szCs w:val="21"/>
          <w:lang w:eastAsia="zh-CN"/>
        </w:rPr>
      </w:pPr>
      <w:r>
        <w:rPr>
          <w:rFonts w:hint="eastAsia" w:ascii="宋体" w:hAnsi="宋体" w:cs="宋体"/>
          <w:b w:val="0"/>
          <w:bCs/>
          <w:szCs w:val="21"/>
          <w:lang w:val="en-US" w:eastAsia="zh-CN"/>
        </w:rPr>
        <w:t>3</w:t>
      </w:r>
      <w:r>
        <w:rPr>
          <w:rFonts w:hint="eastAsia" w:ascii="宋体" w:hAnsi="宋体" w:cs="宋体"/>
          <w:b w:val="0"/>
          <w:bCs/>
          <w:szCs w:val="21"/>
        </w:rPr>
        <w:t>.合同期内，乙方所发生的人工费、保险费、加班费、车旅费（含节假日）、零配件更换所发生的人工费均在维修保养费用内，甲方不再向乙方另行支付费用</w:t>
      </w:r>
      <w:r>
        <w:rPr>
          <w:rFonts w:hint="eastAsia" w:ascii="宋体" w:hAnsi="宋体" w:cs="宋体"/>
          <w:b w:val="0"/>
          <w:bCs/>
          <w:szCs w:val="21"/>
          <w:lang w:eastAsia="zh-CN"/>
        </w:rPr>
        <w:t>。</w:t>
      </w:r>
    </w:p>
    <w:p>
      <w:pPr>
        <w:adjustRightInd w:val="0"/>
        <w:snapToGrid w:val="0"/>
        <w:spacing w:line="360" w:lineRule="auto"/>
        <w:ind w:firstLine="420" w:firstLineChars="200"/>
        <w:rPr>
          <w:rFonts w:hint="eastAsia" w:ascii="宋体" w:hAnsi="宋体" w:eastAsia="宋体" w:cs="宋体"/>
          <w:b w:val="0"/>
          <w:bCs/>
          <w:szCs w:val="21"/>
          <w:lang w:eastAsia="zh-CN"/>
        </w:rPr>
      </w:pPr>
      <w:r>
        <w:rPr>
          <w:rFonts w:hint="eastAsia" w:ascii="宋体" w:hAnsi="宋体" w:cs="宋体"/>
          <w:b w:val="0"/>
          <w:bCs/>
          <w:szCs w:val="21"/>
          <w:lang w:val="en-US" w:eastAsia="zh-CN"/>
        </w:rPr>
        <w:t>4、如3个月内对未按要求完成设备进行一次全面维护保养时，按实际工作量扣除相应比例的季度合同款</w:t>
      </w:r>
      <w:r>
        <w:rPr>
          <w:rFonts w:hint="eastAsia" w:ascii="宋体" w:hAnsi="宋体" w:cs="宋体"/>
          <w:b w:val="0"/>
          <w:bCs/>
          <w:szCs w:val="21"/>
          <w:lang w:eastAsia="zh-CN"/>
        </w:rPr>
        <w:t>。</w:t>
      </w:r>
    </w:p>
    <w:p>
      <w:pPr>
        <w:adjustRightInd w:val="0"/>
        <w:snapToGrid w:val="0"/>
        <w:spacing w:line="360" w:lineRule="auto"/>
        <w:ind w:firstLine="420" w:firstLineChars="200"/>
        <w:rPr>
          <w:rFonts w:hint="eastAsia" w:ascii="宋体" w:hAnsi="宋体" w:cs="宋体"/>
          <w:b w:val="0"/>
          <w:bCs/>
          <w:szCs w:val="21"/>
        </w:rPr>
      </w:pP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七、甲方责任</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1、向乙方提供维护保养用电。</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2、向乙方提供值班、工具</w:t>
      </w:r>
      <w:r>
        <w:rPr>
          <w:rFonts w:hint="eastAsia" w:ascii="宋体" w:hAnsi="宋体" w:cs="宋体"/>
          <w:b w:val="0"/>
          <w:bCs/>
          <w:szCs w:val="21"/>
          <w:lang w:eastAsia="zh-CN"/>
        </w:rPr>
        <w:t>存放</w:t>
      </w:r>
      <w:r>
        <w:rPr>
          <w:rFonts w:hint="eastAsia" w:ascii="宋体" w:hAnsi="宋体" w:cs="宋体"/>
          <w:b w:val="0"/>
          <w:bCs/>
          <w:szCs w:val="21"/>
        </w:rPr>
        <w:t>、器材的房间和施工场地。</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3、甲方指定1-2名具备Dynalite相关专业知识的负责人作为甲方代表与乙方进行工作对接，负责对乙方在维修保养过程中提出的问题进行协调解决，对维修保养记录和报告进行审查和签字确认。</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4、按照明控制设备的操作规程及使用方法正确操作使用设备。</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5、按合同规定的付款方式，按时向乙方支付合同款。</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八、乙方责任及维修保养内容</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1、维保的照明控制系统设备数量</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Dynalite系统DDRC620/ DDRC820/ DDRC1220/调光模块共</w:t>
      </w:r>
      <w:r>
        <w:rPr>
          <w:rFonts w:hint="eastAsia" w:ascii="宋体" w:hAnsi="宋体" w:cs="宋体"/>
          <w:b w:val="0"/>
          <w:bCs/>
          <w:szCs w:val="21"/>
          <w:lang w:val="en-US" w:eastAsia="zh-CN"/>
        </w:rPr>
        <w:t>39</w:t>
      </w:r>
      <w:r>
        <w:rPr>
          <w:rFonts w:hint="eastAsia" w:ascii="宋体" w:hAnsi="宋体" w:cs="宋体"/>
          <w:b w:val="0"/>
          <w:bCs/>
          <w:szCs w:val="21"/>
        </w:rPr>
        <w:t>0个, 控制面板（DLP5100、DLP9100）共</w:t>
      </w:r>
      <w:r>
        <w:rPr>
          <w:rFonts w:hint="eastAsia" w:ascii="宋体" w:hAnsi="宋体" w:cs="宋体"/>
          <w:b w:val="0"/>
          <w:bCs/>
          <w:szCs w:val="21"/>
          <w:lang w:val="en-US" w:eastAsia="zh-CN"/>
        </w:rPr>
        <w:t>106</w:t>
      </w:r>
      <w:r>
        <w:rPr>
          <w:rFonts w:hint="eastAsia" w:ascii="宋体" w:hAnsi="宋体" w:cs="宋体"/>
          <w:b w:val="0"/>
          <w:bCs/>
          <w:szCs w:val="21"/>
        </w:rPr>
        <w:t>个, 网桥12个，光模转换器12个，12V直流电源12个，服务器网关1个，服务器电脑1台，控制线路:约</w:t>
      </w:r>
      <w:r>
        <w:rPr>
          <w:rFonts w:hint="eastAsia" w:ascii="宋体" w:hAnsi="宋体" w:cs="宋体"/>
          <w:b w:val="0"/>
          <w:bCs/>
          <w:szCs w:val="21"/>
          <w:lang w:val="en-US" w:eastAsia="zh-CN"/>
        </w:rPr>
        <w:t>2</w:t>
      </w:r>
      <w:r>
        <w:rPr>
          <w:rFonts w:hint="eastAsia" w:ascii="宋体" w:hAnsi="宋体" w:cs="宋体"/>
          <w:b w:val="0"/>
          <w:bCs/>
          <w:szCs w:val="21"/>
        </w:rPr>
        <w:t>万米，网络终端设备服务器1台，包括主机、显示器、键盘、</w:t>
      </w:r>
      <w:r>
        <w:rPr>
          <w:rFonts w:hint="eastAsia" w:ascii="宋体" w:hAnsi="宋体" w:cs="宋体"/>
          <w:b w:val="0"/>
          <w:bCs/>
          <w:szCs w:val="21"/>
          <w:lang w:val="en-US" w:eastAsia="zh-CN"/>
        </w:rPr>
        <w:t>EM</w:t>
      </w:r>
      <w:r>
        <w:rPr>
          <w:rFonts w:hint="eastAsia" w:ascii="宋体" w:hAnsi="宋体" w:cs="宋体"/>
          <w:b w:val="0"/>
          <w:bCs/>
          <w:szCs w:val="21"/>
        </w:rPr>
        <w:t>控制软件1套</w:t>
      </w:r>
      <w:r>
        <w:rPr>
          <w:rFonts w:hint="eastAsia" w:ascii="宋体" w:hAnsi="宋体" w:cs="宋体"/>
          <w:b w:val="0"/>
          <w:bCs/>
          <w:szCs w:val="21"/>
          <w:lang w:val="en-US" w:eastAsia="zh-CN"/>
        </w:rPr>
        <w:t>,EP</w:t>
      </w:r>
      <w:r>
        <w:rPr>
          <w:rFonts w:hint="eastAsia" w:ascii="宋体" w:hAnsi="宋体" w:cs="宋体"/>
          <w:b w:val="0"/>
          <w:bCs/>
          <w:szCs w:val="21"/>
        </w:rPr>
        <w:t>控制软件1套等。</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2、设备的维保要求</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制定照明控制系统设备年度和月度检修计划，每月保养约1/3的照明控制设备，3个月1循环将全部的照明控制设备保养完毕，并提交3个月的维保记录和报告，合同到期时提交年度维护保养总结。特殊重大照明控制系统事故必须专项汇报。</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2.1.服务器及管理软件</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2.1.1服务器运行状态检查、维护，通讯状态检查维护。系统软件和控制软件、文件检查维护。</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2.1.2实时报警功能检查维护, 历史记录功能检查，数据备份, 控制指令, 控制功能测试故障处理。</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2.1.3通讯情况检查，输入/输出信号检查，程序、状态检查。</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通过软件实时监控各设备运行状态及开关等，保证智能照明控制系统的正常工作。</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2.2.智能开关模块</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2.2.1检查模块输入电源。</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2.2.2检测设备运行状态（在线/离线）。</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2.2.3检查内部是否有松脱的现象，各插卡是否有歪斜而接触不良的现象。</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2.2.4测试每通道继电器的开/关及手动旁路开/关。</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2.2.5检测RS485 Dynalite串行口的通信，输入/输出信号检查。</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2.2.6测量Dynalite DC电源是否正常。</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2.2.7检测AUX可编程干簧触点输入、远程可编程全部功能。</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九、乙方保养的其他要求</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1、统一规范dynalite照明控制系统设备的维护保养工作，做到技术先进、经济合理、安全实用，确保照明控制系统的运行稳定。甲方如有需要无线端控制方案时，乙方提供完整的技术方案。</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2、制定照明控制系统设备年度和月度维修计划，月度维修保养记录和报告必须经过甲方确认签字。</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 xml:space="preserve">3、免费对甲方损坏的照明设备提供更换安装调试服务。 </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4、特殊重大照明控制系统事故必须专项汇报。</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5、计划性保养工作应安排在无展览、会务期间实施，紧急抢修时要合理安排时间，不能影响甲方展览、会务等业务。</w:t>
      </w:r>
    </w:p>
    <w:p>
      <w:pPr>
        <w:adjustRightInd w:val="0"/>
        <w:snapToGrid w:val="0"/>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6、乙方必须委派不少于２名具备维修dynalite照明控制系统软件、硬件设备资质的技术人员</w:t>
      </w:r>
      <w:r>
        <w:rPr>
          <w:rFonts w:hint="eastAsia" w:ascii="宋体" w:hAnsi="宋体" w:cs="宋体"/>
          <w:b w:val="0"/>
          <w:bCs/>
          <w:szCs w:val="21"/>
          <w:lang w:eastAsia="zh-CN"/>
        </w:rPr>
        <w:t>实施</w:t>
      </w:r>
      <w:r>
        <w:rPr>
          <w:rFonts w:hint="eastAsia" w:ascii="宋体" w:hAnsi="宋体" w:eastAsia="宋体" w:cs="宋体"/>
          <w:b w:val="0"/>
          <w:bCs/>
          <w:szCs w:val="21"/>
        </w:rPr>
        <w:t>维护保养工作</w:t>
      </w:r>
      <w:r>
        <w:rPr>
          <w:rFonts w:hint="eastAsia" w:ascii="宋体" w:hAnsi="宋体" w:cs="宋体"/>
          <w:b w:val="0"/>
          <w:bCs/>
          <w:szCs w:val="21"/>
          <w:lang w:eastAsia="zh-CN"/>
        </w:rPr>
        <w:t>。</w:t>
      </w:r>
      <w:r>
        <w:rPr>
          <w:rFonts w:hint="eastAsia" w:ascii="宋体" w:hAnsi="宋体" w:eastAsia="宋体" w:cs="宋体"/>
          <w:b w:val="0"/>
          <w:bCs/>
          <w:szCs w:val="21"/>
        </w:rPr>
        <w:t>安排现场服务人员必须与投标文件中技术人员一致。</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eastAsia="宋体" w:cs="宋体"/>
          <w:b w:val="0"/>
          <w:bCs/>
          <w:szCs w:val="21"/>
        </w:rPr>
        <w:t>7、特殊展会（高交会等大型展会）乙方须无偿派驻</w:t>
      </w:r>
      <w:r>
        <w:rPr>
          <w:rFonts w:hint="eastAsia" w:ascii="宋体" w:hAnsi="宋体" w:cs="宋体"/>
          <w:b w:val="0"/>
          <w:bCs/>
          <w:szCs w:val="21"/>
        </w:rPr>
        <w:t>2名技术人员到甲方现场值班。</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8、合同期内乙方免费对甲方相关操作人员进行技术培训1次。</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9、甲方现有照明操作电脑设备变更或损坏导致原来注册码不能使用时，乙方承诺在合同期内免费提供一次新的注册码。</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10、甲方出现照明设备控制故障时，乙方2小时响应，4小时内到达现场处理。</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11、乙方每次维护保养时须提交详细工作日志，维保人员到甲方指定地点签到、签退。</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12、照明控制系统软件在合同期内有最新版本时，乙方应无偿提供软件升级。</w:t>
      </w:r>
    </w:p>
    <w:p>
      <w:pPr>
        <w:adjustRightInd w:val="0"/>
        <w:snapToGrid w:val="0"/>
        <w:spacing w:line="360" w:lineRule="auto"/>
        <w:ind w:firstLine="420" w:firstLineChars="200"/>
        <w:rPr>
          <w:rFonts w:hint="default" w:ascii="宋体" w:hAnsi="宋体" w:eastAsia="宋体" w:cs="宋体"/>
          <w:b w:val="0"/>
          <w:bCs/>
          <w:szCs w:val="21"/>
          <w:lang w:val="en-US" w:eastAsia="zh-CN"/>
        </w:rPr>
      </w:pPr>
      <w:r>
        <w:rPr>
          <w:rFonts w:hint="eastAsia" w:ascii="宋体" w:hAnsi="宋体" w:cs="宋体"/>
          <w:b w:val="0"/>
          <w:bCs/>
          <w:szCs w:val="21"/>
          <w:lang w:val="en-US" w:eastAsia="zh-CN"/>
        </w:rPr>
        <w:t>13、合同期内出现照明控制系统不受控现象时，乙方每天安排专职人员根据招标人现场需求开关灯，直致系统恢复正常控制。</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1</w:t>
      </w:r>
      <w:r>
        <w:rPr>
          <w:rFonts w:hint="eastAsia" w:ascii="宋体" w:hAnsi="宋体" w:cs="宋体"/>
          <w:b w:val="0"/>
          <w:bCs/>
          <w:szCs w:val="21"/>
          <w:lang w:val="en-US" w:eastAsia="zh-CN"/>
        </w:rPr>
        <w:t>4</w:t>
      </w:r>
      <w:r>
        <w:rPr>
          <w:rFonts w:hint="eastAsia" w:ascii="宋体" w:hAnsi="宋体" w:cs="宋体"/>
          <w:b w:val="0"/>
          <w:bCs/>
          <w:szCs w:val="21"/>
        </w:rPr>
        <w:t>、建立安全责任制，进入现场的工作人员须遵守国家、所属地政府及深圳会展中心的相关规章制度，采取有效的措施保障现场的安全、维护现场的正常工作秩序，在服务过程中要做好人员、成品、半成品及设备设施的保护。确保服务过程中不出现人身安全事故、火灾事故和财产损失等重大安全事故。如因乙方管理不善、组织不力或监管缺失等造成安全责任事故及财产损失的由甲方负全部责任。</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1</w:t>
      </w:r>
      <w:r>
        <w:rPr>
          <w:rFonts w:hint="eastAsia" w:ascii="宋体" w:hAnsi="宋体" w:cs="宋体"/>
          <w:b w:val="0"/>
          <w:bCs/>
          <w:szCs w:val="21"/>
          <w:lang w:val="en-US" w:eastAsia="zh-CN"/>
        </w:rPr>
        <w:t>5</w:t>
      </w:r>
      <w:r>
        <w:rPr>
          <w:rFonts w:hint="eastAsia" w:ascii="宋体" w:hAnsi="宋体" w:cs="宋体"/>
          <w:b w:val="0"/>
          <w:bCs/>
          <w:szCs w:val="21"/>
        </w:rPr>
        <w:t>、作业人员必须经过全面的入场安全教育培训，并考核合格后才能上岗作业</w:t>
      </w:r>
      <w:r>
        <w:rPr>
          <w:rFonts w:hint="eastAsia" w:ascii="宋体" w:hAnsi="宋体" w:cs="宋体"/>
          <w:b w:val="0"/>
          <w:bCs/>
          <w:szCs w:val="21"/>
          <w:lang w:eastAsia="zh-CN"/>
        </w:rPr>
        <w:t>，</w:t>
      </w:r>
      <w:r>
        <w:rPr>
          <w:rFonts w:hint="eastAsia" w:ascii="宋体" w:hAnsi="宋体" w:cs="宋体"/>
          <w:b w:val="0"/>
          <w:bCs/>
          <w:szCs w:val="21"/>
        </w:rPr>
        <w:t>严格遵守政府相关高空作业安全、消防安全、用电安全等要求开展工作。</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十、乙方维修保养材料、更换材料、设备的供应要求</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1、乙方更换的主要零配件必须是设备原厂家生产。</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2、乙方提供的维修保养辅材要符合维保设备正常运行的要求。</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3、乙方因维保需要更换单价200元以上配件或辅材时，应征得甲方同意。</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4、乙方提供的替换零配件兼容性须满足dynalite系列设备正常运行要求，更换的零配件质保期为1年。</w:t>
      </w:r>
    </w:p>
    <w:p>
      <w:pPr>
        <w:adjustRightInd w:val="0"/>
        <w:snapToGrid w:val="0"/>
        <w:spacing w:line="360" w:lineRule="auto"/>
        <w:ind w:firstLine="420" w:firstLineChars="200"/>
        <w:rPr>
          <w:rFonts w:hint="eastAsia" w:ascii="宋体" w:hAnsi="宋体" w:cs="宋体"/>
          <w:b w:val="0"/>
          <w:bCs/>
          <w:szCs w:val="21"/>
        </w:rPr>
      </w:pP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十一、其它事项</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1、任何一方不得随意变更维修保养计划内容及工作范围，如甲方需要变更应及时知会乙方。</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乙方有责任教育在甲方场地工作的人员严格执行操作规定，做好自身安全防范措施、安全施工、防火防盗、服从甲方管理人员的工作安排。乙方在维护保养中发生人身伤亡事故和乙方财产损失由乙方负全部责任，与甲方无关，因乙方管理不善造成甲方的设备设施损失或第三人人身及财产损失，其损失由乙方全部承担。</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十二、争议、违约和索赔</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1、合同在执行过程中若双方发生争议，首先双方应该本着友好态度协商解决，如协商不成，任何一方可向深圳市福田区人民法院起诉。</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2、合同双方任何一方，不能履行合同条款，或无正当理由而单方提出终止合同，均属违约。违约所造成的经济损失，概由违约方承担赔偿，违约方除承担违约造成对方的全部经济损失外，还必须向守约方支付全部合同价款5％的违约金。</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3、此合同一式六份，甲方三份，乙方三份，自签订之日起生效。</w:t>
      </w:r>
    </w:p>
    <w:p>
      <w:pPr>
        <w:adjustRightInd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十三、投标文件和附件1《免费更换的设备备件和维修费》为本合同的组成部分，与本合同具同等效力。</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rPr>
          <w:rFonts w:ascii="宋体" w:hAnsi="宋体" w:cs="宋体"/>
          <w:szCs w:val="21"/>
        </w:rPr>
      </w:pPr>
    </w:p>
    <w:tbl>
      <w:tblPr>
        <w:tblStyle w:val="16"/>
        <w:tblW w:w="8912" w:type="dxa"/>
        <w:tblInd w:w="0" w:type="dxa"/>
        <w:tblLayout w:type="autofit"/>
        <w:tblCellMar>
          <w:top w:w="0" w:type="dxa"/>
          <w:left w:w="108" w:type="dxa"/>
          <w:bottom w:w="0" w:type="dxa"/>
          <w:right w:w="108" w:type="dxa"/>
        </w:tblCellMar>
      </w:tblPr>
      <w:tblGrid>
        <w:gridCol w:w="4643"/>
        <w:gridCol w:w="4269"/>
      </w:tblGrid>
      <w:tr>
        <w:tblPrEx>
          <w:tblCellMar>
            <w:top w:w="0" w:type="dxa"/>
            <w:left w:w="108" w:type="dxa"/>
            <w:bottom w:w="0" w:type="dxa"/>
            <w:right w:w="108" w:type="dxa"/>
          </w:tblCellMar>
        </w:tblPrEx>
        <w:tc>
          <w:tcPr>
            <w:tcW w:w="4643" w:type="dxa"/>
          </w:tcPr>
          <w:p>
            <w:pPr>
              <w:ind w:firstLine="105" w:firstLineChars="50"/>
              <w:jc w:val="left"/>
              <w:rPr>
                <w:rFonts w:ascii="宋体" w:hAnsi="宋体"/>
                <w:szCs w:val="21"/>
                <w:u w:val="single"/>
              </w:rPr>
            </w:pPr>
            <w:r>
              <w:rPr>
                <w:rFonts w:hint="eastAsia" w:ascii="宋体" w:hAnsi="宋体"/>
                <w:szCs w:val="21"/>
              </w:rPr>
              <w:t>甲方（公章）：</w:t>
            </w:r>
            <w:r>
              <w:rPr>
                <w:rFonts w:hint="eastAsia" w:ascii="宋体" w:hAnsi="宋体"/>
                <w:szCs w:val="21"/>
                <w:u w:val="single"/>
              </w:rPr>
              <w:t>深圳会展中心管理有限责任公司</w:t>
            </w:r>
          </w:p>
          <w:p>
            <w:pPr>
              <w:ind w:firstLine="105" w:firstLineChars="50"/>
              <w:jc w:val="left"/>
              <w:rPr>
                <w:rFonts w:ascii="宋体" w:hAnsi="宋体"/>
                <w:szCs w:val="21"/>
              </w:rPr>
            </w:pPr>
          </w:p>
          <w:p>
            <w:pPr>
              <w:ind w:firstLine="105" w:firstLineChars="50"/>
              <w:jc w:val="left"/>
              <w:rPr>
                <w:rFonts w:ascii="宋体" w:hAnsi="宋体"/>
                <w:szCs w:val="21"/>
                <w:u w:val="single"/>
              </w:rPr>
            </w:pPr>
            <w:r>
              <w:rPr>
                <w:rFonts w:hint="eastAsia" w:ascii="宋体" w:hAnsi="宋体"/>
                <w:szCs w:val="21"/>
              </w:rPr>
              <w:t>甲方代表：</w:t>
            </w:r>
            <w:r>
              <w:rPr>
                <w:rFonts w:ascii="宋体" w:hAnsi="宋体"/>
                <w:szCs w:val="21"/>
                <w:u w:val="single"/>
              </w:rPr>
              <w:t xml:space="preserve">                  </w:t>
            </w:r>
          </w:p>
          <w:p>
            <w:pPr>
              <w:ind w:firstLine="105" w:firstLineChars="50"/>
              <w:jc w:val="left"/>
              <w:rPr>
                <w:rFonts w:ascii="宋体" w:hAnsi="宋体"/>
                <w:szCs w:val="21"/>
              </w:rPr>
            </w:pPr>
          </w:p>
          <w:p>
            <w:pPr>
              <w:ind w:firstLine="105" w:firstLineChars="5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ind w:firstLine="105" w:firstLineChars="50"/>
              <w:jc w:val="left"/>
              <w:rPr>
                <w:rFonts w:ascii="宋体" w:hAnsi="宋体"/>
              </w:rPr>
            </w:pPr>
          </w:p>
          <w:p>
            <w:pPr>
              <w:ind w:firstLine="105" w:firstLineChars="50"/>
              <w:jc w:val="left"/>
              <w:rPr>
                <w:rFonts w:ascii="宋体" w:hAnsi="宋体"/>
                <w:u w:val="single"/>
              </w:rPr>
            </w:pPr>
            <w:r>
              <w:rPr>
                <w:rFonts w:hint="eastAsia" w:ascii="宋体" w:hAnsi="宋体"/>
              </w:rPr>
              <w:t>签订日期：</w:t>
            </w:r>
            <w:r>
              <w:rPr>
                <w:rFonts w:hint="eastAsia" w:ascii="宋体" w:hAnsi="宋体"/>
                <w:u w:val="single"/>
              </w:rPr>
              <w:t xml:space="preserve">                  </w:t>
            </w:r>
          </w:p>
        </w:tc>
        <w:tc>
          <w:tcPr>
            <w:tcW w:w="4269" w:type="dxa"/>
          </w:tcPr>
          <w:p>
            <w:pPr>
              <w:ind w:left="1260" w:hanging="1260" w:hangingChars="600"/>
              <w:jc w:val="left"/>
              <w:rPr>
                <w:rFonts w:hint="eastAsia" w:ascii="宋体" w:hAnsi="宋体" w:eastAsia="宋体"/>
                <w:szCs w:val="21"/>
                <w:u w:val="single"/>
                <w:lang w:eastAsia="zh-CN"/>
              </w:rPr>
            </w:pPr>
            <w:r>
              <w:rPr>
                <w:rFonts w:hint="eastAsia" w:ascii="宋体" w:hAnsi="宋体"/>
                <w:szCs w:val="21"/>
              </w:rPr>
              <w:t>乙方（公章）：</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p>
          <w:p>
            <w:pPr>
              <w:ind w:firstLine="105" w:firstLineChars="50"/>
              <w:jc w:val="left"/>
              <w:rPr>
                <w:rFonts w:ascii="宋体" w:hAnsi="宋体"/>
                <w:szCs w:val="21"/>
              </w:rPr>
            </w:pPr>
          </w:p>
          <w:p>
            <w:pPr>
              <w:ind w:firstLine="105" w:firstLineChars="50"/>
              <w:jc w:val="left"/>
              <w:rPr>
                <w:rFonts w:ascii="宋体" w:hAnsi="宋体"/>
                <w:szCs w:val="21"/>
                <w:u w:val="single"/>
              </w:rPr>
            </w:pPr>
            <w:r>
              <w:rPr>
                <w:rFonts w:hint="eastAsia" w:ascii="宋体" w:hAnsi="宋体"/>
                <w:szCs w:val="21"/>
              </w:rPr>
              <w:t>乙方代表：</w:t>
            </w:r>
            <w:r>
              <w:rPr>
                <w:rFonts w:ascii="宋体" w:hAnsi="宋体"/>
                <w:szCs w:val="21"/>
                <w:u w:val="single"/>
              </w:rPr>
              <w:t xml:space="preserve">                  </w:t>
            </w:r>
          </w:p>
          <w:p>
            <w:pPr>
              <w:ind w:firstLine="105" w:firstLineChars="50"/>
              <w:jc w:val="left"/>
              <w:rPr>
                <w:rFonts w:ascii="宋体" w:hAnsi="宋体"/>
                <w:szCs w:val="21"/>
              </w:rPr>
            </w:pPr>
          </w:p>
          <w:p>
            <w:pPr>
              <w:ind w:firstLine="105" w:firstLineChars="5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ind w:firstLine="105" w:firstLineChars="50"/>
              <w:jc w:val="left"/>
              <w:rPr>
                <w:rFonts w:ascii="宋体" w:hAnsi="宋体"/>
                <w:szCs w:val="21"/>
                <w:u w:val="single"/>
              </w:rPr>
            </w:pPr>
          </w:p>
          <w:p>
            <w:pPr>
              <w:ind w:firstLine="105" w:firstLineChars="50"/>
              <w:jc w:val="left"/>
              <w:rPr>
                <w:rFonts w:ascii="宋体" w:hAnsi="宋体"/>
              </w:rPr>
            </w:pPr>
            <w:r>
              <w:rPr>
                <w:rFonts w:hint="eastAsia" w:ascii="宋体" w:hAnsi="宋体"/>
              </w:rPr>
              <w:t>签订日期：</w:t>
            </w:r>
            <w:r>
              <w:rPr>
                <w:rFonts w:hint="eastAsia" w:ascii="宋体" w:hAnsi="宋体"/>
                <w:u w:val="single"/>
              </w:rPr>
              <w:t xml:space="preserve">                  </w:t>
            </w:r>
          </w:p>
        </w:tc>
      </w:tr>
    </w:tbl>
    <w:p>
      <w:pPr>
        <w:widowControl/>
        <w:jc w:val="left"/>
        <w:rPr>
          <w:b/>
          <w:sz w:val="32"/>
          <w:szCs w:val="32"/>
        </w:rPr>
      </w:pPr>
      <w:r>
        <w:rPr>
          <w:b/>
          <w:sz w:val="32"/>
          <w:szCs w:val="32"/>
        </w:rPr>
        <w:br w:type="page"/>
      </w:r>
    </w:p>
    <w:p>
      <w:pPr>
        <w:spacing w:line="260" w:lineRule="exact"/>
        <w:ind w:firstLine="105"/>
        <w:rPr>
          <w:rFonts w:ascii="宋体" w:hAnsi="宋体" w:cs="宋体"/>
          <w:szCs w:val="21"/>
        </w:rPr>
      </w:pPr>
      <w:r>
        <w:rPr>
          <w:rFonts w:hint="eastAsia" w:ascii="宋体" w:hAnsi="宋体" w:cs="宋体"/>
          <w:szCs w:val="21"/>
        </w:rPr>
        <w:t>附件：</w:t>
      </w:r>
    </w:p>
    <w:p>
      <w:pPr>
        <w:jc w:val="center"/>
        <w:rPr>
          <w:rFonts w:ascii="宋体" w:hAnsi="宋体" w:cs="宋体"/>
          <w:b/>
          <w:szCs w:val="21"/>
        </w:rPr>
      </w:pPr>
      <w:r>
        <w:rPr>
          <w:rFonts w:hint="eastAsia" w:ascii="宋体" w:hAnsi="宋体" w:cs="宋体"/>
          <w:b/>
          <w:szCs w:val="21"/>
        </w:rPr>
        <w:t>深圳会展中心合作单位安全协议书</w:t>
      </w:r>
    </w:p>
    <w:p>
      <w:pPr>
        <w:jc w:val="center"/>
        <w:rPr>
          <w:rFonts w:ascii="宋体" w:hAnsi="宋体" w:cs="宋体"/>
          <w:b/>
          <w:szCs w:val="21"/>
        </w:rPr>
      </w:pPr>
    </w:p>
    <w:p>
      <w:pPr>
        <w:spacing w:line="360" w:lineRule="auto"/>
        <w:ind w:firstLine="630" w:firstLineChars="300"/>
        <w:rPr>
          <w:rFonts w:ascii="宋体" w:hAnsi="宋体" w:cs="宋体"/>
          <w:szCs w:val="21"/>
        </w:rPr>
      </w:pPr>
      <w:r>
        <w:rPr>
          <w:rFonts w:hint="eastAsia" w:ascii="宋体" w:hAnsi="宋体" w:cs="宋体"/>
          <w:szCs w:val="21"/>
          <w:u w:val="single"/>
        </w:rPr>
        <w:t>深圳会展中心</w:t>
      </w:r>
      <w:r>
        <w:rPr>
          <w:rFonts w:hint="eastAsia" w:ascii="宋体" w:hAnsi="宋体" w:cs="宋体"/>
          <w:szCs w:val="21"/>
          <w:u w:val="single"/>
          <w:lang w:eastAsia="zh-CN"/>
        </w:rPr>
        <w:t>照明控制系统维护保养</w:t>
      </w:r>
      <w:r>
        <w:rPr>
          <w:rFonts w:hint="eastAsia" w:ascii="宋体" w:hAnsi="宋体" w:cs="宋体"/>
          <w:szCs w:val="21"/>
          <w:u w:val="single"/>
        </w:rPr>
        <w:t xml:space="preserve"> </w:t>
      </w:r>
      <w:r>
        <w:rPr>
          <w:rFonts w:hint="eastAsia" w:ascii="宋体" w:hAnsi="宋体" w:cs="宋体"/>
          <w:szCs w:val="21"/>
        </w:rPr>
        <w:t>项目合同的乙方:</w:t>
      </w:r>
      <w:r>
        <w:rPr>
          <w:rFonts w:hint="eastAsia" w:ascii="宋体" w:hAnsi="宋体" w:cs="宋体"/>
          <w:szCs w:val="21"/>
          <w:u w:val="single"/>
        </w:rPr>
        <w:t xml:space="preserve">               </w:t>
      </w:r>
      <w:r>
        <w:rPr>
          <w:rFonts w:hint="eastAsia" w:ascii="宋体" w:hAnsi="宋体" w:cs="宋体"/>
          <w:szCs w:val="21"/>
        </w:rPr>
        <w:t>作为合作单位,在深圳会展中心从事</w:t>
      </w:r>
      <w:r>
        <w:rPr>
          <w:rFonts w:hint="eastAsia" w:ascii="宋体" w:hAnsi="宋体" w:cs="宋体"/>
          <w:szCs w:val="21"/>
          <w:u w:val="single"/>
        </w:rPr>
        <w:t>深圳会展中心</w:t>
      </w:r>
      <w:r>
        <w:rPr>
          <w:rFonts w:hint="eastAsia" w:ascii="宋体" w:hAnsi="宋体" w:cs="宋体"/>
          <w:szCs w:val="21"/>
          <w:u w:val="single"/>
          <w:lang w:eastAsia="zh-CN"/>
        </w:rPr>
        <w:t>照明控制系统维护保养</w:t>
      </w:r>
      <w:r>
        <w:rPr>
          <w:rFonts w:hint="eastAsia" w:ascii="宋体" w:hAnsi="宋体" w:cs="宋体"/>
          <w:szCs w:val="21"/>
          <w:u w:val="single"/>
        </w:rPr>
        <w:t xml:space="preserve"> </w:t>
      </w:r>
      <w:r>
        <w:rPr>
          <w:rFonts w:hint="eastAsia" w:ascii="宋体" w:hAnsi="宋体" w:cs="宋体"/>
          <w:szCs w:val="21"/>
        </w:rPr>
        <w:t>项目的工程施工。</w:t>
      </w:r>
    </w:p>
    <w:p>
      <w:pPr>
        <w:spacing w:line="360" w:lineRule="auto"/>
        <w:ind w:firstLine="420" w:firstLineChars="200"/>
        <w:rPr>
          <w:rFonts w:ascii="宋体" w:hAnsi="宋体" w:cs="宋体"/>
          <w:szCs w:val="21"/>
        </w:rPr>
      </w:pPr>
      <w:r>
        <w:rPr>
          <w:rFonts w:hint="eastAsia" w:ascii="宋体" w:hAnsi="宋体" w:cs="宋体"/>
          <w:szCs w:val="21"/>
        </w:rPr>
        <w:t>为认真贯彻《中华人民共和国安全生产法》、《中华人民共和国消防法》、《公安部61号令》、《深圳经济特区消防条例》及《机关、团体、企业、事业单位消防安全管理规定》等法律、法规，进一步落实深圳会展中心与合作单位的安全责任，根据合作单位生产经营或活动的实际情况，深圳会展中心与</w:t>
      </w:r>
      <w:r>
        <w:rPr>
          <w:rFonts w:hint="eastAsia" w:ascii="宋体" w:hAnsi="宋体" w:cs="宋体"/>
          <w:szCs w:val="21"/>
          <w:u w:val="single"/>
        </w:rPr>
        <w:t xml:space="preserve">                    </w:t>
      </w:r>
      <w:r>
        <w:rPr>
          <w:rFonts w:hint="eastAsia" w:ascii="宋体" w:hAnsi="宋体" w:cs="宋体"/>
          <w:szCs w:val="21"/>
        </w:rPr>
        <w:t>合作单位界定双方的消防和安全生产责任如下：</w:t>
      </w:r>
    </w:p>
    <w:p>
      <w:pPr>
        <w:spacing w:line="360" w:lineRule="auto"/>
        <w:ind w:firstLine="422" w:firstLineChars="200"/>
        <w:rPr>
          <w:rFonts w:ascii="宋体" w:hAnsi="宋体" w:cs="宋体"/>
          <w:b/>
          <w:szCs w:val="21"/>
        </w:rPr>
      </w:pPr>
      <w:r>
        <w:rPr>
          <w:rFonts w:hint="eastAsia" w:ascii="宋体" w:hAnsi="宋体" w:cs="宋体"/>
          <w:b/>
          <w:szCs w:val="21"/>
        </w:rPr>
        <w:t>一、 通用条款：</w:t>
      </w:r>
    </w:p>
    <w:p>
      <w:pPr>
        <w:spacing w:line="360" w:lineRule="auto"/>
        <w:ind w:left="53" w:leftChars="25" w:firstLine="420" w:firstLineChars="200"/>
        <w:rPr>
          <w:rFonts w:ascii="宋体" w:hAnsi="宋体" w:cs="宋体"/>
          <w:szCs w:val="21"/>
        </w:rPr>
      </w:pPr>
      <w:r>
        <w:rPr>
          <w:rFonts w:hint="eastAsia" w:ascii="宋体" w:hAnsi="宋体" w:cs="宋体"/>
          <w:szCs w:val="21"/>
        </w:rPr>
        <w:t xml:space="preserve">1、根据“谁生产谁负责、谁实施谁负责”的原则，确定合作单位的法定代表人 </w:t>
      </w:r>
      <w:r>
        <w:rPr>
          <w:rFonts w:hint="eastAsia" w:ascii="宋体" w:hAnsi="宋体" w:cs="宋体"/>
          <w:szCs w:val="21"/>
          <w:u w:val="single"/>
        </w:rPr>
        <w:t xml:space="preserve">     （</w:t>
      </w:r>
      <w:r>
        <w:rPr>
          <w:rFonts w:hint="eastAsia" w:ascii="宋体" w:hAnsi="宋体" w:cs="宋体"/>
          <w:szCs w:val="21"/>
        </w:rPr>
        <w:t>先生\女士）为在深圳会展中心红线范围内合作生产经营或活动区域的安全生产第一责任人，对合作单位的安全工作全面负责，并对其生产经营或活动期间发生的所有安全责任事故承担主要责任，对其单位工作人员所造成的所有责任事故负全责。</w:t>
      </w:r>
    </w:p>
    <w:p>
      <w:pPr>
        <w:spacing w:line="360" w:lineRule="auto"/>
        <w:ind w:firstLine="420" w:firstLineChars="200"/>
        <w:rPr>
          <w:rFonts w:ascii="宋体" w:hAnsi="宋体" w:cs="宋体"/>
          <w:szCs w:val="21"/>
          <w:u w:val="single"/>
        </w:rPr>
      </w:pPr>
      <w:r>
        <w:rPr>
          <w:rFonts w:hint="eastAsia" w:ascii="宋体" w:hAnsi="宋体" w:cs="宋体"/>
          <w:szCs w:val="21"/>
        </w:rPr>
        <w:t>2、合作单位必须是经国家工商部门注册、拥有国家认可相关资质的企业，并保证在其业务允许范围内施工作业。</w:t>
      </w:r>
    </w:p>
    <w:p>
      <w:pPr>
        <w:spacing w:line="360" w:lineRule="auto"/>
        <w:ind w:firstLine="420" w:firstLineChars="200"/>
        <w:rPr>
          <w:rFonts w:ascii="宋体" w:hAnsi="宋体" w:cs="宋体"/>
          <w:szCs w:val="21"/>
        </w:rPr>
      </w:pPr>
      <w:r>
        <w:rPr>
          <w:rFonts w:hint="eastAsia" w:ascii="宋体" w:hAnsi="宋体" w:cs="宋体"/>
          <w:szCs w:val="21"/>
        </w:rPr>
        <w:t>3、合作单位应认真履行安全管理职责，监督其单位工作人员遵守国家及深圳市关于消防和安全生产的各项法律法规，确保所有工作人员不违反深圳会展中心关于消防安全和生产安全的各项规章制度。</w:t>
      </w:r>
    </w:p>
    <w:p>
      <w:pPr>
        <w:spacing w:line="360" w:lineRule="auto"/>
        <w:ind w:firstLine="420" w:firstLineChars="200"/>
        <w:rPr>
          <w:rFonts w:ascii="宋体" w:hAnsi="宋体" w:cs="宋体"/>
          <w:szCs w:val="21"/>
        </w:rPr>
      </w:pPr>
      <w:r>
        <w:rPr>
          <w:rFonts w:hint="eastAsia" w:ascii="宋体" w:hAnsi="宋体" w:cs="宋体"/>
          <w:szCs w:val="21"/>
        </w:rPr>
        <w:t>4、合作单位应逐级落实安全管理责任，确保生产经营或活动的安全开展。</w:t>
      </w:r>
    </w:p>
    <w:p>
      <w:pPr>
        <w:spacing w:line="360" w:lineRule="auto"/>
        <w:ind w:firstLine="420" w:firstLineChars="200"/>
        <w:rPr>
          <w:rFonts w:ascii="宋体" w:hAnsi="宋体" w:cs="宋体"/>
          <w:szCs w:val="21"/>
        </w:rPr>
      </w:pPr>
      <w:r>
        <w:rPr>
          <w:rFonts w:hint="eastAsia" w:ascii="宋体" w:hAnsi="宋体" w:cs="宋体"/>
          <w:szCs w:val="21"/>
        </w:rPr>
        <w:t>5、合作单位在生产经营或活动期间应设置专职安全管理人员，负责生产经营或活动期间的消防及安全生产监督工作，并定期组织安全检查。</w:t>
      </w:r>
    </w:p>
    <w:p>
      <w:pPr>
        <w:spacing w:line="360" w:lineRule="auto"/>
        <w:ind w:firstLine="420" w:firstLineChars="200"/>
        <w:rPr>
          <w:rFonts w:ascii="宋体" w:hAnsi="宋体" w:cs="宋体"/>
          <w:szCs w:val="21"/>
        </w:rPr>
      </w:pPr>
      <w:r>
        <w:rPr>
          <w:rFonts w:hint="eastAsia" w:ascii="宋体" w:hAnsi="宋体" w:cs="宋体"/>
          <w:szCs w:val="21"/>
        </w:rPr>
        <w:t>6、合作单位应制订安全应急预案，并在生产经营或活动前进行必要的演练。</w:t>
      </w:r>
    </w:p>
    <w:p>
      <w:pPr>
        <w:spacing w:line="360" w:lineRule="auto"/>
        <w:ind w:firstLine="420" w:firstLineChars="200"/>
        <w:rPr>
          <w:rFonts w:ascii="宋体" w:hAnsi="宋体" w:cs="宋体"/>
          <w:szCs w:val="21"/>
        </w:rPr>
      </w:pPr>
      <w:r>
        <w:rPr>
          <w:rFonts w:hint="eastAsia" w:ascii="宋体" w:hAnsi="宋体" w:cs="宋体"/>
          <w:szCs w:val="21"/>
        </w:rPr>
        <w:t>7、合作单位所使用的设备、工具必须达到安全要求，所有特种作业人员必须持证上岗。合作单位必须根据现场作业情况，做好各项安全的组织及技术措施并配备足够数量的合格的消防器材。</w:t>
      </w:r>
    </w:p>
    <w:p>
      <w:pPr>
        <w:spacing w:line="360" w:lineRule="auto"/>
        <w:ind w:firstLine="420" w:firstLineChars="200"/>
        <w:jc w:val="left"/>
        <w:rPr>
          <w:rFonts w:ascii="宋体" w:hAnsi="宋体" w:cs="宋体"/>
          <w:szCs w:val="21"/>
        </w:rPr>
      </w:pPr>
      <w:r>
        <w:rPr>
          <w:rFonts w:hint="eastAsia" w:ascii="宋体" w:hAnsi="宋体" w:cs="宋体"/>
          <w:szCs w:val="21"/>
        </w:rPr>
        <w:t>8、合作单位必须按照设计工艺及相关规范作业，其工作人员在作业中必须正确采取相应的安全防护措施，夜间作业时必须穿着反光衣，登高、吊装等危险作业时必须正确佩戴安全帽、安全带、安全绳和安全警示与围护等安全防护措施，保证作业人员及周围人员的人身安全。</w:t>
      </w:r>
    </w:p>
    <w:p>
      <w:pPr>
        <w:spacing w:line="360" w:lineRule="auto"/>
        <w:ind w:firstLine="420" w:firstLineChars="200"/>
        <w:rPr>
          <w:rFonts w:ascii="宋体" w:hAnsi="宋体" w:cs="宋体"/>
          <w:szCs w:val="21"/>
        </w:rPr>
      </w:pPr>
      <w:r>
        <w:rPr>
          <w:rFonts w:hint="eastAsia" w:ascii="宋体" w:hAnsi="宋体" w:cs="宋体"/>
          <w:szCs w:val="21"/>
        </w:rPr>
        <w:t>9、合作单位在作业过程中，所采用的材料必须符合展馆消防和结构安全要求。会展中心安全管理人员有权依照会展中心相关规定对不符合要求的材料进行处置（责令整改、禁用或清理出场等措施），并对所造成的后果不承担任何责任。</w:t>
      </w:r>
    </w:p>
    <w:p>
      <w:pPr>
        <w:spacing w:line="360" w:lineRule="auto"/>
        <w:ind w:firstLine="420" w:firstLineChars="200"/>
        <w:jc w:val="left"/>
        <w:rPr>
          <w:rFonts w:ascii="宋体" w:hAnsi="宋体" w:cs="宋体"/>
          <w:szCs w:val="21"/>
        </w:rPr>
      </w:pPr>
      <w:r>
        <w:rPr>
          <w:rFonts w:hint="eastAsia" w:ascii="宋体" w:hAnsi="宋体" w:cs="宋体"/>
          <w:szCs w:val="21"/>
        </w:rPr>
        <w:t>10、合作单位应为作业人员购买相关保险；如在作业期间出现各种消防、治安及其它意外事故，合作单位应在第一时间通知会展中心管理人员，并有义务先行采取必要的保护措施，控制事态进一步扩大。</w:t>
      </w:r>
    </w:p>
    <w:p>
      <w:pPr>
        <w:spacing w:line="360" w:lineRule="auto"/>
        <w:ind w:firstLine="420" w:firstLineChars="200"/>
        <w:rPr>
          <w:rFonts w:ascii="宋体" w:hAnsi="宋体" w:cs="宋体"/>
          <w:szCs w:val="21"/>
        </w:rPr>
      </w:pPr>
      <w:r>
        <w:rPr>
          <w:rFonts w:hint="eastAsia" w:ascii="宋体" w:hAnsi="宋体" w:cs="宋体"/>
          <w:szCs w:val="21"/>
        </w:rPr>
        <w:t>11、合作单位人员如有偷盗、损坏会展中心财物、展商财物、擅自进入或破坏会展中心设置的封闭区域等违反会展中心管理规定的行为，会展中心管理人员视情况严重程度将采取警告、处罚或移送公安机关处理等措施。合作单位必须负责承担其违规行为造成的所有经济损失。同时会展中心拥有根据备案情况取消相应合作单位今后进入会展中心作业资格的权利。</w:t>
      </w:r>
    </w:p>
    <w:p>
      <w:pPr>
        <w:spacing w:line="360" w:lineRule="auto"/>
        <w:ind w:firstLine="420" w:firstLineChars="200"/>
        <w:rPr>
          <w:rFonts w:ascii="宋体" w:hAnsi="宋体" w:cs="宋体"/>
          <w:szCs w:val="21"/>
        </w:rPr>
      </w:pPr>
      <w:r>
        <w:rPr>
          <w:rFonts w:hint="eastAsia" w:ascii="宋体" w:hAnsi="宋体" w:cs="宋体"/>
          <w:szCs w:val="21"/>
        </w:rPr>
        <w:t>12、会展中心应保证展馆公共消防设备设施完好，并在火灾发生时积极组织人员启用展馆固定消防设施进行人员疏散和灭火。</w:t>
      </w:r>
    </w:p>
    <w:p>
      <w:pPr>
        <w:spacing w:line="360" w:lineRule="auto"/>
        <w:ind w:firstLine="420" w:firstLineChars="200"/>
        <w:rPr>
          <w:rFonts w:ascii="宋体" w:hAnsi="宋体" w:cs="宋体"/>
          <w:szCs w:val="21"/>
        </w:rPr>
      </w:pPr>
      <w:r>
        <w:rPr>
          <w:rFonts w:hint="eastAsia" w:ascii="宋体" w:hAnsi="宋体" w:cs="宋体"/>
          <w:szCs w:val="21"/>
        </w:rPr>
        <w:t>13、在责任事故发生后，会展中心应迅速组织人员进行救援，并采取必要的应急措施防止事故扩大。</w:t>
      </w:r>
    </w:p>
    <w:p>
      <w:pPr>
        <w:spacing w:line="360" w:lineRule="auto"/>
        <w:ind w:firstLine="420" w:firstLineChars="200"/>
        <w:rPr>
          <w:rFonts w:ascii="宋体" w:hAnsi="宋体" w:cs="宋体"/>
          <w:szCs w:val="21"/>
        </w:rPr>
      </w:pPr>
      <w:r>
        <w:rPr>
          <w:rFonts w:hint="eastAsia" w:ascii="宋体" w:hAnsi="宋体" w:cs="宋体"/>
          <w:szCs w:val="21"/>
        </w:rPr>
        <w:t>14、如任何一方对涉及到本责任书中所引用的国家消防法律、法规和有关规章制度有疑义，可详细查阅《中华人民共和国安全生产法》、《中华人民共和国消防法》、《公安部61号令》、《深圳经济特区消防条例》及《机关、团体、企业、事业单位消防安全管理规定》文件规定，或者直接向深圳市公安消防机关、深圳市安监局、市应急办等机构咨询。</w:t>
      </w:r>
    </w:p>
    <w:p>
      <w:pPr>
        <w:spacing w:line="360" w:lineRule="auto"/>
        <w:ind w:firstLine="422" w:firstLineChars="200"/>
        <w:rPr>
          <w:rFonts w:ascii="宋体" w:hAnsi="宋体" w:cs="宋体"/>
          <w:b/>
          <w:szCs w:val="21"/>
        </w:rPr>
      </w:pPr>
      <w:r>
        <w:rPr>
          <w:rFonts w:hint="eastAsia" w:ascii="宋体" w:hAnsi="宋体" w:cs="宋体"/>
          <w:b/>
          <w:szCs w:val="21"/>
        </w:rPr>
        <w:t>二、专用条款：</w:t>
      </w:r>
    </w:p>
    <w:p>
      <w:pPr>
        <w:spacing w:line="360" w:lineRule="auto"/>
        <w:ind w:firstLine="422" w:firstLineChars="200"/>
        <w:rPr>
          <w:rFonts w:ascii="宋体" w:hAnsi="宋体" w:cs="宋体"/>
          <w:b/>
          <w:szCs w:val="21"/>
        </w:rPr>
      </w:pPr>
      <w:r>
        <w:rPr>
          <w:rFonts w:hint="eastAsia" w:ascii="宋体" w:hAnsi="宋体" w:cs="宋体"/>
          <w:b/>
          <w:szCs w:val="21"/>
        </w:rPr>
        <w:t>1、约定期限：</w:t>
      </w:r>
    </w:p>
    <w:p>
      <w:pPr>
        <w:spacing w:line="360" w:lineRule="auto"/>
        <w:ind w:firstLine="420" w:firstLineChars="200"/>
        <w:rPr>
          <w:rFonts w:ascii="宋体" w:hAnsi="宋体" w:cs="宋体"/>
          <w:szCs w:val="21"/>
        </w:rPr>
      </w:pPr>
      <w:r>
        <w:rPr>
          <w:rFonts w:hint="eastAsia" w:ascii="宋体" w:hAnsi="宋体" w:cs="宋体"/>
          <w:szCs w:val="21"/>
        </w:rPr>
        <w:t xml:space="preserve">合同期限为    </w:t>
      </w:r>
      <w:r>
        <w:rPr>
          <w:rFonts w:hint="eastAsia" w:ascii="宋体" w:hAnsi="宋体" w:cs="宋体"/>
          <w:szCs w:val="21"/>
          <w:u w:val="single"/>
        </w:rPr>
        <w:t xml:space="preserve"> 个</w:t>
      </w:r>
      <w:r>
        <w:rPr>
          <w:rFonts w:hint="eastAsia" w:ascii="宋体" w:hAnsi="宋体" w:cs="宋体"/>
          <w:szCs w:val="21"/>
        </w:rPr>
        <w:t>日历日，与主合同的时间相同。</w:t>
      </w:r>
    </w:p>
    <w:p>
      <w:pPr>
        <w:numPr>
          <w:ilvl w:val="0"/>
          <w:numId w:val="34"/>
        </w:numPr>
        <w:spacing w:line="360" w:lineRule="auto"/>
        <w:ind w:firstLine="0"/>
        <w:rPr>
          <w:rFonts w:ascii="宋体" w:hAnsi="宋体" w:cs="宋体"/>
          <w:b/>
          <w:szCs w:val="21"/>
        </w:rPr>
      </w:pPr>
      <w:r>
        <w:rPr>
          <w:rFonts w:hint="eastAsia" w:ascii="宋体" w:hAnsi="宋体" w:cs="宋体"/>
          <w:b/>
          <w:szCs w:val="21"/>
        </w:rPr>
        <w:t>安全要求：</w:t>
      </w:r>
    </w:p>
    <w:p>
      <w:pPr>
        <w:spacing w:line="276" w:lineRule="auto"/>
        <w:ind w:firstLine="420" w:firstLineChars="200"/>
        <w:rPr>
          <w:rFonts w:ascii="宋体" w:hAnsi="宋体" w:cs="宋体"/>
          <w:szCs w:val="21"/>
        </w:rPr>
      </w:pPr>
      <w:r>
        <w:rPr>
          <w:rFonts w:hint="eastAsia" w:ascii="宋体" w:hAnsi="宋体" w:cs="宋体"/>
          <w:szCs w:val="21"/>
        </w:rPr>
        <w:t>2）合作单位工作地点限于会展中心</w:t>
      </w:r>
      <w:r>
        <w:rPr>
          <w:rFonts w:hint="eastAsia" w:ascii="宋体" w:hAnsi="宋体" w:cs="宋体"/>
          <w:b w:val="0"/>
          <w:bCs/>
          <w:color w:val="auto"/>
          <w:szCs w:val="21"/>
          <w:lang w:eastAsia="zh-CN"/>
        </w:rPr>
        <w:t>深圳会展中心</w:t>
      </w:r>
      <w:r>
        <w:rPr>
          <w:rFonts w:hint="eastAsia" w:ascii="宋体" w:hAnsi="宋体" w:cs="宋体"/>
          <w:b w:val="0"/>
          <w:bCs/>
          <w:color w:val="auto"/>
          <w:szCs w:val="21"/>
          <w:lang w:val="en-US" w:eastAsia="zh-CN"/>
        </w:rPr>
        <w:t>1-9号馆及公共</w:t>
      </w:r>
      <w:r>
        <w:rPr>
          <w:rFonts w:hint="eastAsia" w:ascii="宋体" w:hAnsi="宋体" w:cs="宋体"/>
          <w:szCs w:val="21"/>
        </w:rPr>
        <w:t>区域，特殊情况须在区域范围外作业的，须由甲方指定和安排。</w:t>
      </w:r>
    </w:p>
    <w:p>
      <w:pPr>
        <w:spacing w:line="276" w:lineRule="auto"/>
        <w:ind w:firstLine="420" w:firstLineChars="200"/>
        <w:rPr>
          <w:rFonts w:ascii="宋体" w:hAnsi="宋体" w:cs="宋体"/>
          <w:szCs w:val="21"/>
        </w:rPr>
      </w:pPr>
      <w:r>
        <w:rPr>
          <w:rFonts w:hint="eastAsia" w:ascii="宋体" w:hAnsi="宋体" w:cs="宋体"/>
          <w:szCs w:val="21"/>
        </w:rPr>
        <w:t>3）合作单位如需要使用有动火作业时，须提前向甲方提出申请。由甲方认可并办理动火许可证，做好防火及隔离措施后方可动火施工。</w:t>
      </w:r>
    </w:p>
    <w:p>
      <w:pPr>
        <w:spacing w:line="276" w:lineRule="auto"/>
        <w:ind w:firstLine="420" w:firstLineChars="200"/>
        <w:rPr>
          <w:rFonts w:ascii="宋体" w:hAnsi="宋体" w:cs="宋体"/>
          <w:szCs w:val="21"/>
        </w:rPr>
      </w:pPr>
      <w:r>
        <w:rPr>
          <w:rFonts w:hint="eastAsia" w:ascii="宋体" w:hAnsi="宋体" w:cs="宋体"/>
          <w:szCs w:val="21"/>
        </w:rPr>
        <w:t xml:space="preserve">4）合作单位人员从事特殊工种作业时须提前向甲方提供名单及相关证件，如电工等特殊工种，需在深圳会展中心设备部备案，并按照各工种要求穿戴齐全个人防护用品。 </w:t>
      </w:r>
    </w:p>
    <w:p>
      <w:pPr>
        <w:spacing w:line="276" w:lineRule="auto"/>
        <w:ind w:firstLine="420" w:firstLineChars="200"/>
        <w:rPr>
          <w:rFonts w:ascii="宋体" w:hAnsi="宋体" w:cs="宋体"/>
          <w:szCs w:val="21"/>
        </w:rPr>
      </w:pPr>
      <w:r>
        <w:rPr>
          <w:rFonts w:hint="eastAsia" w:ascii="宋体" w:hAnsi="宋体" w:cs="宋体"/>
          <w:szCs w:val="21"/>
        </w:rPr>
        <w:t>5）合作单位施工人员须严格遵守国家各项法律法规，遵守甲方的工作流程、操作规程、劳动安全、管理规定等各项规章制度（包括但不限于《展馆管理规定》、《展馆服务指南》）。</w:t>
      </w:r>
    </w:p>
    <w:p>
      <w:pPr>
        <w:spacing w:line="360" w:lineRule="auto"/>
        <w:ind w:firstLine="420" w:firstLineChars="200"/>
        <w:rPr>
          <w:rFonts w:ascii="宋体" w:hAnsi="宋体" w:cs="宋体"/>
          <w:szCs w:val="21"/>
        </w:rPr>
      </w:pPr>
      <w:r>
        <w:rPr>
          <w:rFonts w:hint="eastAsia" w:ascii="宋体" w:hAnsi="宋体" w:cs="宋体"/>
          <w:szCs w:val="21"/>
        </w:rPr>
        <w:t>三、该责任书一式四份，</w:t>
      </w:r>
      <w:r>
        <w:rPr>
          <w:rFonts w:hint="eastAsia" w:ascii="宋体" w:hAnsi="宋体" w:cs="宋体"/>
          <w:szCs w:val="21"/>
          <w:lang w:eastAsia="zh-CN"/>
        </w:rPr>
        <w:t>甲方执三分乙</w:t>
      </w:r>
      <w:r>
        <w:rPr>
          <w:rFonts w:hint="eastAsia" w:ascii="宋体" w:hAnsi="宋体" w:cs="宋体"/>
          <w:szCs w:val="21"/>
        </w:rPr>
        <w:t>方各执</w:t>
      </w:r>
      <w:r>
        <w:rPr>
          <w:rFonts w:hint="eastAsia" w:ascii="宋体" w:hAnsi="宋体" w:cs="宋体"/>
          <w:szCs w:val="21"/>
          <w:lang w:eastAsia="zh-CN"/>
        </w:rPr>
        <w:t>一</w:t>
      </w:r>
      <w:r>
        <w:rPr>
          <w:rFonts w:hint="eastAsia" w:ascii="宋体" w:hAnsi="宋体" w:cs="宋体"/>
          <w:szCs w:val="21"/>
        </w:rPr>
        <w:t>份，具有同等约束力，该责任书经双方法定代表人或法定代表人书面委托人签字并由双方盖章后在约定期限内有效。</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6300" w:hanging="6300" w:hangingChars="3000"/>
        <w:rPr>
          <w:rFonts w:ascii="宋体" w:hAnsi="宋体" w:cs="宋体"/>
          <w:szCs w:val="21"/>
        </w:rPr>
      </w:pPr>
      <w:r>
        <w:rPr>
          <w:rFonts w:hint="eastAsia" w:ascii="宋体" w:hAnsi="宋体" w:cs="宋体"/>
          <w:szCs w:val="21"/>
        </w:rPr>
        <w:t xml:space="preserve">深圳会展中心管理有限责任公司                    合作单位： </w:t>
      </w:r>
    </w:p>
    <w:p>
      <w:pPr>
        <w:spacing w:line="360" w:lineRule="auto"/>
        <w:ind w:left="6300" w:hanging="6300" w:hangingChars="3000"/>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法定代表人                                      合作单位法定代表人： </w:t>
      </w:r>
    </w:p>
    <w:p>
      <w:pPr>
        <w:tabs>
          <w:tab w:val="left" w:pos="-504"/>
        </w:tabs>
        <w:spacing w:line="360" w:lineRule="auto"/>
        <w:rPr>
          <w:rFonts w:ascii="宋体" w:hAnsi="宋体" w:cs="宋体"/>
          <w:szCs w:val="21"/>
        </w:rPr>
      </w:pPr>
      <w:r>
        <w:rPr>
          <w:rFonts w:hint="eastAsia" w:ascii="宋体" w:hAnsi="宋体" w:cs="宋体"/>
          <w:szCs w:val="21"/>
        </w:rPr>
        <w:t xml:space="preserve">（或委托代表人）：                              （或委托代表人）： </w:t>
      </w:r>
    </w:p>
    <w:p>
      <w:pPr>
        <w:spacing w:line="360" w:lineRule="auto"/>
        <w:rPr>
          <w:rFonts w:ascii="宋体" w:hAnsi="宋体" w:cs="宋体"/>
          <w:szCs w:val="21"/>
        </w:rPr>
      </w:pPr>
      <w:r>
        <w:rPr>
          <w:rFonts w:hint="eastAsia" w:ascii="宋体" w:hAnsi="宋体" w:cs="宋体"/>
          <w:szCs w:val="21"/>
        </w:rPr>
        <w:t xml:space="preserve">电  话：                                        电  话： </w:t>
      </w:r>
    </w:p>
    <w:p>
      <w:pPr>
        <w:spacing w:line="360" w:lineRule="auto"/>
        <w:rPr>
          <w:rFonts w:ascii="宋体" w:hAnsi="宋体" w:cs="宋体"/>
          <w:szCs w:val="21"/>
        </w:rPr>
      </w:pPr>
      <w:r>
        <w:rPr>
          <w:rFonts w:hint="eastAsia" w:ascii="宋体" w:hAnsi="宋体" w:cs="宋体"/>
          <w:szCs w:val="21"/>
        </w:rPr>
        <w:t>日  期：    年    月    日                      日  期：    年    月    日</w:t>
      </w:r>
    </w:p>
    <w:p>
      <w:pPr>
        <w:pStyle w:val="13"/>
        <w:rPr>
          <w:rFonts w:ascii="宋体" w:cs="宋体"/>
          <w:szCs w:val="21"/>
        </w:rPr>
      </w:pPr>
    </w:p>
    <w:p>
      <w:pPr>
        <w:pStyle w:val="13"/>
        <w:rPr>
          <w:rFonts w:ascii="宋体" w:cs="宋体"/>
          <w:szCs w:val="21"/>
        </w:rPr>
      </w:pPr>
    </w:p>
    <w:p>
      <w:pPr>
        <w:spacing w:line="360" w:lineRule="auto"/>
        <w:jc w:val="center"/>
        <w:rPr>
          <w:rFonts w:hint="eastAsia" w:ascii="宋体" w:hAnsi="宋体" w:eastAsia="宋体" w:cs="宋体"/>
          <w:b/>
          <w:sz w:val="44"/>
          <w:szCs w:val="44"/>
        </w:rPr>
      </w:pPr>
    </w:p>
    <w:p>
      <w:pPr>
        <w:spacing w:line="44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服务机构履约评价表</w:t>
      </w:r>
    </w:p>
    <w:p>
      <w:pPr>
        <w:spacing w:line="560" w:lineRule="exact"/>
        <w:jc w:val="center"/>
        <w:rPr>
          <w:rFonts w:ascii="黑体" w:hAnsi="黑体" w:eastAsia="黑体" w:cs="黑体"/>
          <w:spacing w:val="-6"/>
          <w:sz w:val="30"/>
          <w:szCs w:val="30"/>
        </w:rPr>
      </w:pPr>
      <w:r>
        <w:rPr>
          <w:rFonts w:hint="eastAsia" w:ascii="黑体" w:hAnsi="黑体" w:eastAsia="黑体" w:cs="黑体"/>
          <w:spacing w:val="-6"/>
          <w:sz w:val="30"/>
          <w:szCs w:val="30"/>
        </w:rPr>
        <w:t>（服务类适用）</w:t>
      </w:r>
    </w:p>
    <w:p>
      <w:pPr>
        <w:jc w:val="center"/>
        <w:rPr>
          <w:rFonts w:ascii="宋体" w:hAnsi="宋体" w:cs="宋体"/>
          <w:b/>
          <w:kern w:val="0"/>
          <w:sz w:val="15"/>
          <w:szCs w:val="32"/>
        </w:rPr>
      </w:pPr>
    </w:p>
    <w:tbl>
      <w:tblPr>
        <w:tblStyle w:val="16"/>
        <w:tblW w:w="10065" w:type="dxa"/>
        <w:jc w:val="center"/>
        <w:tblLayout w:type="fixed"/>
        <w:tblCellMar>
          <w:top w:w="0" w:type="dxa"/>
          <w:left w:w="108" w:type="dxa"/>
          <w:bottom w:w="0" w:type="dxa"/>
          <w:right w:w="108" w:type="dxa"/>
        </w:tblCellMar>
      </w:tblPr>
      <w:tblGrid>
        <w:gridCol w:w="707"/>
        <w:gridCol w:w="817"/>
        <w:gridCol w:w="40"/>
        <w:gridCol w:w="222"/>
        <w:gridCol w:w="128"/>
        <w:gridCol w:w="350"/>
        <w:gridCol w:w="1620"/>
        <w:gridCol w:w="2320"/>
        <w:gridCol w:w="593"/>
        <w:gridCol w:w="850"/>
        <w:gridCol w:w="11"/>
        <w:gridCol w:w="105"/>
        <w:gridCol w:w="178"/>
        <w:gridCol w:w="414"/>
        <w:gridCol w:w="222"/>
        <w:gridCol w:w="629"/>
        <w:gridCol w:w="859"/>
      </w:tblGrid>
      <w:tr>
        <w:tblPrEx>
          <w:tblCellMar>
            <w:top w:w="0" w:type="dxa"/>
            <w:left w:w="108" w:type="dxa"/>
            <w:bottom w:w="0" w:type="dxa"/>
            <w:right w:w="108" w:type="dxa"/>
          </w:tblCellMar>
        </w:tblPrEx>
        <w:trPr>
          <w:trHeight w:val="336" w:hRule="atLeast"/>
          <w:jc w:val="center"/>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vAlign w:val="center"/>
          </w:tcPr>
          <w:p>
            <w:pPr>
              <w:spacing w:line="240" w:lineRule="atLeast"/>
              <w:rPr>
                <w:rFonts w:ascii="宋体" w:hAnsi="宋体"/>
                <w:b/>
                <w:szCs w:val="21"/>
              </w:rPr>
            </w:pPr>
            <w:r>
              <w:rPr>
                <w:rFonts w:hint="eastAsia" w:ascii="宋体" w:hAnsi="宋体"/>
                <w:b/>
                <w:szCs w:val="21"/>
              </w:rPr>
              <w:t>基本信息</w:t>
            </w: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服务机构名称</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中标时间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ascii="宋体" w:hAnsi="宋体"/>
                <w:szCs w:val="21"/>
              </w:rPr>
              <w:t>合同名称</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合同签订时间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1662"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黑体" w:hAnsi="宋体" w:eastAsia="黑体" w:cs="宋体"/>
                <w:sz w:val="24"/>
              </w:rPr>
            </w:pPr>
            <w:r>
              <w:rPr>
                <w:rFonts w:hint="eastAsia" w:ascii="宋体" w:hAnsi="宋体"/>
                <w:szCs w:val="21"/>
              </w:rPr>
              <w:t>合同范围内容概要</w:t>
            </w:r>
          </w:p>
        </w:tc>
        <w:tc>
          <w:tcPr>
            <w:tcW w:w="8541" w:type="dxa"/>
            <w:gridSpan w:val="1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服务机构项目组成员构成</w:t>
            </w:r>
          </w:p>
        </w:tc>
        <w:tc>
          <w:tcPr>
            <w:tcW w:w="8541" w:type="dxa"/>
            <w:gridSpan w:val="1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合同金额</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结算金额</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合同服务期</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验收时间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r>
              <w:rPr>
                <w:rFonts w:hint="eastAsia" w:ascii="宋体" w:hAnsi="宋体"/>
                <w:szCs w:val="21"/>
              </w:rPr>
              <w:t>_____年____月___日</w:t>
            </w:r>
          </w:p>
        </w:tc>
      </w:tr>
      <w:tr>
        <w:tblPrEx>
          <w:tblCellMar>
            <w:top w:w="0" w:type="dxa"/>
            <w:left w:w="108" w:type="dxa"/>
            <w:bottom w:w="0" w:type="dxa"/>
            <w:right w:w="108" w:type="dxa"/>
          </w:tblCellMar>
        </w:tblPrEx>
        <w:trPr>
          <w:trHeight w:val="379" w:hRule="atLeast"/>
          <w:jc w:val="center"/>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vAlign w:val="center"/>
          </w:tcPr>
          <w:p>
            <w:pPr>
              <w:spacing w:line="240" w:lineRule="atLeast"/>
              <w:jc w:val="left"/>
              <w:rPr>
                <w:rFonts w:ascii="宋体" w:hAnsi="宋体"/>
                <w:b/>
                <w:bCs/>
                <w:szCs w:val="21"/>
              </w:rPr>
            </w:pPr>
            <w:r>
              <w:rPr>
                <w:rFonts w:hint="eastAsia" w:ascii="宋体" w:hAnsi="宋体"/>
                <w:b/>
                <w:bCs/>
                <w:szCs w:val="21"/>
              </w:rPr>
              <w:t>评价标准</w:t>
            </w:r>
          </w:p>
        </w:tc>
      </w:tr>
      <w:tr>
        <w:tblPrEx>
          <w:tblCellMar>
            <w:top w:w="0" w:type="dxa"/>
            <w:left w:w="108" w:type="dxa"/>
            <w:bottom w:w="0" w:type="dxa"/>
            <w:right w:w="108" w:type="dxa"/>
          </w:tblCellMar>
        </w:tblPrEx>
        <w:trPr>
          <w:trHeight w:val="572" w:hRule="atLeast"/>
          <w:jc w:val="center"/>
        </w:trPr>
        <w:tc>
          <w:tcPr>
            <w:tcW w:w="2264" w:type="dxa"/>
            <w:gridSpan w:val="6"/>
            <w:tcBorders>
              <w:top w:val="single" w:color="auto" w:sz="8" w:space="0"/>
              <w:left w:val="single" w:color="auto" w:sz="8" w:space="0"/>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4533" w:type="dxa"/>
            <w:gridSpan w:val="3"/>
            <w:tcBorders>
              <w:top w:val="single" w:color="auto" w:sz="8"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850" w:type="dxa"/>
            <w:tcBorders>
              <w:top w:val="nil"/>
              <w:left w:val="nil"/>
              <w:bottom w:val="single" w:color="auto" w:sz="4" w:space="0"/>
              <w:right w:val="single" w:color="auto" w:sz="4" w:space="0"/>
            </w:tcBorders>
            <w:vAlign w:val="center"/>
          </w:tcPr>
          <w:p>
            <w:pPr>
              <w:spacing w:line="260" w:lineRule="exact"/>
              <w:rPr>
                <w:rFonts w:ascii="宋体" w:hAnsi="宋体" w:cs="宋体"/>
                <w:szCs w:val="21"/>
              </w:rPr>
            </w:pPr>
            <w:r>
              <w:rPr>
                <w:rFonts w:hint="eastAsia" w:ascii="宋体" w:hAnsi="宋体" w:cs="宋体"/>
                <w:szCs w:val="21"/>
              </w:rPr>
              <w:t>分值</w:t>
            </w:r>
          </w:p>
        </w:tc>
        <w:tc>
          <w:tcPr>
            <w:tcW w:w="1559" w:type="dxa"/>
            <w:gridSpan w:val="6"/>
            <w:tcBorders>
              <w:top w:val="single" w:color="auto" w:sz="8" w:space="0"/>
              <w:left w:val="nil"/>
              <w:bottom w:val="single" w:color="auto" w:sz="4" w:space="0"/>
              <w:right w:val="single" w:color="000000" w:sz="4" w:space="0"/>
            </w:tcBorders>
            <w:vAlign w:val="center"/>
          </w:tcPr>
          <w:p>
            <w:pPr>
              <w:spacing w:line="260" w:lineRule="exact"/>
              <w:rPr>
                <w:rFonts w:ascii="宋体" w:hAnsi="宋体" w:cs="宋体"/>
                <w:szCs w:val="21"/>
              </w:rPr>
            </w:pPr>
            <w:r>
              <w:rPr>
                <w:rFonts w:hint="eastAsia" w:ascii="宋体" w:hAnsi="宋体" w:cs="宋体"/>
                <w:szCs w:val="21"/>
              </w:rPr>
              <w:t>扣分</w:t>
            </w:r>
            <w:r>
              <w:rPr>
                <w:rFonts w:hint="eastAsia" w:ascii="宋体" w:hAnsi="宋体" w:cs="宋体"/>
                <w:sz w:val="16"/>
                <w:szCs w:val="16"/>
              </w:rPr>
              <w:t>（最小扣分单位为0.5分，最多不超过该项分值）</w:t>
            </w:r>
          </w:p>
        </w:tc>
        <w:tc>
          <w:tcPr>
            <w:tcW w:w="859" w:type="dxa"/>
            <w:tcBorders>
              <w:top w:val="single" w:color="auto" w:sz="8" w:space="0"/>
              <w:left w:val="nil"/>
              <w:bottom w:val="single" w:color="auto" w:sz="4" w:space="0"/>
              <w:right w:val="single" w:color="000000" w:sz="8" w:space="0"/>
            </w:tcBorders>
            <w:vAlign w:val="center"/>
          </w:tcPr>
          <w:p>
            <w:pPr>
              <w:spacing w:line="260" w:lineRule="exact"/>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37" w:hRule="atLeast"/>
          <w:jc w:val="center"/>
        </w:trPr>
        <w:tc>
          <w:tcPr>
            <w:tcW w:w="707" w:type="dxa"/>
            <w:vMerge w:val="restart"/>
            <w:tcBorders>
              <w:top w:val="nil"/>
              <w:left w:val="single" w:color="auto" w:sz="8" w:space="0"/>
              <w:right w:val="single" w:color="auto" w:sz="4" w:space="0"/>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能力</w:t>
            </w:r>
          </w:p>
        </w:tc>
        <w:tc>
          <w:tcPr>
            <w:tcW w:w="740" w:type="dxa"/>
            <w:gridSpan w:val="4"/>
            <w:vMerge w:val="restart"/>
            <w:tcBorders>
              <w:top w:val="nil"/>
              <w:left w:val="single" w:color="auto" w:sz="4" w:space="0"/>
              <w:bottom w:val="single" w:color="000000" w:sz="4" w:space="0"/>
              <w:right w:val="single" w:color="auto" w:sz="4" w:space="0"/>
            </w:tcBorders>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效率</w:t>
            </w:r>
          </w:p>
        </w:tc>
        <w:tc>
          <w:tcPr>
            <w:tcW w:w="4533" w:type="dxa"/>
            <w:gridSpan w:val="3"/>
            <w:tcBorders>
              <w:top w:val="single" w:color="auto" w:sz="4" w:space="0"/>
              <w:left w:val="nil"/>
              <w:bottom w:val="single" w:color="auto" w:sz="4" w:space="0"/>
              <w:right w:val="single" w:color="auto" w:sz="4" w:space="0"/>
            </w:tcBorders>
            <w:vAlign w:val="center"/>
          </w:tcPr>
          <w:p>
            <w:pPr>
              <w:spacing w:line="300" w:lineRule="exact"/>
              <w:ind w:firstLine="357"/>
              <w:jc w:val="left"/>
              <w:rPr>
                <w:rFonts w:ascii="宋体" w:hAnsi="宋体" w:cs="宋体"/>
                <w:szCs w:val="21"/>
              </w:rPr>
            </w:pPr>
            <w:r>
              <w:rPr>
                <w:rFonts w:hint="eastAsia" w:ascii="宋体" w:hAnsi="宋体" w:cs="宋体"/>
                <w:szCs w:val="21"/>
              </w:rPr>
              <w:t>1.是否按时完成各项工作任务</w:t>
            </w:r>
          </w:p>
        </w:tc>
        <w:tc>
          <w:tcPr>
            <w:tcW w:w="850" w:type="dxa"/>
            <w:tcBorders>
              <w:top w:val="nil"/>
              <w:left w:val="nil"/>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spacing w:line="300" w:lineRule="exact"/>
              <w:ind w:firstLine="360"/>
              <w:jc w:val="center"/>
              <w:rPr>
                <w:rFonts w:ascii="宋体" w:hAnsi="宋体" w:cs="宋体"/>
                <w:sz w:val="20"/>
              </w:rPr>
            </w:pPr>
          </w:p>
        </w:tc>
      </w:tr>
      <w:tr>
        <w:tblPrEx>
          <w:tblCellMar>
            <w:top w:w="0" w:type="dxa"/>
            <w:left w:w="108" w:type="dxa"/>
            <w:bottom w:w="0" w:type="dxa"/>
            <w:right w:w="108" w:type="dxa"/>
          </w:tblCellMar>
        </w:tblPrEx>
        <w:trPr>
          <w:trHeight w:val="416"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2.能否按照计划进度开展工作</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42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rPr>
            </w:pPr>
            <w:r>
              <w:rPr>
                <w:rFonts w:hint="eastAsia" w:ascii="宋体" w:hAnsi="宋体" w:cs="宋体"/>
                <w:sz w:val="20"/>
              </w:rPr>
              <w:t>胜任</w:t>
            </w:r>
          </w:p>
          <w:p>
            <w:pPr>
              <w:jc w:val="center"/>
              <w:rPr>
                <w:rFonts w:ascii="宋体" w:hAnsi="宋体" w:cs="宋体"/>
                <w:sz w:val="20"/>
              </w:rPr>
            </w:pPr>
            <w:r>
              <w:rPr>
                <w:rFonts w:hint="eastAsia" w:ascii="宋体" w:hAnsi="宋体" w:cs="宋体"/>
                <w:sz w:val="20"/>
              </w:rPr>
              <w:t>能力</w:t>
            </w: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3.现场工作期间，工作人数、人员资质等是否达到委托要求</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444"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4.每位工作人员是否具备与中介项目相匹配的专业知识</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1266"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5.是否存在对同一事项（如差错、修改意见、疑问及需进一步了解的情况、需进一步分析的事项等）进行多次修改才得到最终结果的情况</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配合</w:t>
            </w:r>
          </w:p>
          <w:p>
            <w:pPr>
              <w:jc w:val="center"/>
              <w:rPr>
                <w:rFonts w:ascii="宋体" w:hAnsi="宋体" w:cs="宋体"/>
                <w:sz w:val="20"/>
              </w:rPr>
            </w:pPr>
            <w:r>
              <w:rPr>
                <w:rFonts w:hint="eastAsia" w:ascii="宋体" w:hAnsi="宋体" w:cs="宋体"/>
                <w:sz w:val="20"/>
              </w:rPr>
              <w:t>程度</w:t>
            </w:r>
          </w:p>
        </w:tc>
        <w:tc>
          <w:tcPr>
            <w:tcW w:w="740" w:type="dxa"/>
            <w:gridSpan w:val="4"/>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沟通</w:t>
            </w:r>
          </w:p>
          <w:p>
            <w:pPr>
              <w:jc w:val="center"/>
              <w:rPr>
                <w:rFonts w:ascii="宋体" w:hAnsi="宋体" w:cs="宋体"/>
                <w:sz w:val="20"/>
              </w:rPr>
            </w:pPr>
            <w:r>
              <w:rPr>
                <w:rFonts w:hint="eastAsia" w:ascii="宋体" w:hAnsi="宋体" w:cs="宋体"/>
                <w:sz w:val="20"/>
              </w:rPr>
              <w:t>主动</w:t>
            </w:r>
          </w:p>
          <w:p>
            <w:pPr>
              <w:jc w:val="center"/>
              <w:rPr>
                <w:rFonts w:ascii="宋体" w:hAnsi="宋体" w:cs="宋体"/>
                <w:sz w:val="20"/>
              </w:rPr>
            </w:pPr>
            <w:r>
              <w:rPr>
                <w:rFonts w:hint="eastAsia" w:ascii="宋体" w:hAnsi="宋体" w:cs="宋体"/>
                <w:sz w:val="20"/>
              </w:rPr>
              <w:t>性</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6.是否及时就项目开展进度、情况进行沟通</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7.是否及时回馈委托方提出的意见、问题等，并主动提供有关建议等</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8.在对重大事项得出结论前是否与有关方面进行了充分的沟通</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沟通能力</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9.服务机构工作人员能否准确理解委托方的意图</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895"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10.服务机构工作人员表达或表述是否清晰无误，善于沟通</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718"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职业</w:t>
            </w:r>
          </w:p>
          <w:p>
            <w:pPr>
              <w:jc w:val="center"/>
              <w:rPr>
                <w:rFonts w:ascii="宋体" w:hAnsi="宋体" w:cs="宋体"/>
                <w:sz w:val="20"/>
              </w:rPr>
            </w:pPr>
            <w:r>
              <w:rPr>
                <w:rFonts w:hint="eastAsia" w:ascii="宋体" w:hAnsi="宋体" w:cs="宋体"/>
                <w:sz w:val="20"/>
              </w:rPr>
              <w:t>操守</w:t>
            </w:r>
          </w:p>
        </w:tc>
        <w:tc>
          <w:tcPr>
            <w:tcW w:w="74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工作态度</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11.服务机构工作团队对事项的描述、问题的定性和数据的确定等是否合理谨慎</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1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12.服务机构工作团队对事项的描述、问题的定性和数据的确定等是否客观真实</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single" w:color="auto" w:sz="4" w:space="0"/>
              <w:left w:val="single" w:color="auto" w:sz="4" w:space="0"/>
              <w:right w:val="single" w:color="auto" w:sz="4" w:space="0"/>
            </w:tcBorders>
            <w:vAlign w:val="center"/>
          </w:tcPr>
          <w:p>
            <w:pPr>
              <w:widowControl/>
              <w:jc w:val="left"/>
              <w:rPr>
                <w:rFonts w:ascii="宋体" w:hAnsi="宋体" w:cs="宋体"/>
                <w:sz w:val="20"/>
              </w:rPr>
            </w:pPr>
            <w:r>
              <w:rPr>
                <w:rFonts w:hint="eastAsia" w:ascii="宋体" w:hAnsi="宋体" w:cs="宋体"/>
                <w:sz w:val="20"/>
              </w:rPr>
              <w:t>职业道德</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13.服务机构工作人员能否对执业过程中获得的信息保密</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1165" w:hRule="atLeast"/>
          <w:jc w:val="center"/>
        </w:trPr>
        <w:tc>
          <w:tcPr>
            <w:tcW w:w="707" w:type="dxa"/>
            <w:vMerge w:val="continue"/>
            <w:tcBorders>
              <w:left w:val="single" w:color="auto" w:sz="8" w:space="0"/>
              <w:bottom w:val="single" w:color="auto" w:sz="4" w:space="0"/>
              <w:right w:val="single" w:color="auto" w:sz="4" w:space="0"/>
            </w:tcBorders>
            <w:vAlign w:val="center"/>
          </w:tcPr>
          <w:p>
            <w:pPr>
              <w:widowControl/>
              <w:jc w:val="left"/>
              <w:rPr>
                <w:rFonts w:ascii="黑体" w:hAnsi="宋体" w:eastAsia="黑体" w:cs="宋体"/>
                <w:sz w:val="24"/>
              </w:rPr>
            </w:pPr>
          </w:p>
        </w:tc>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14.服务机构工作人员能否坚持独立、客观、公正的立场</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99" w:hRule="atLeast"/>
          <w:jc w:val="center"/>
        </w:trPr>
        <w:tc>
          <w:tcPr>
            <w:tcW w:w="707" w:type="dxa"/>
            <w:vMerge w:val="restart"/>
            <w:tcBorders>
              <w:top w:val="single" w:color="auto" w:sz="4" w:space="0"/>
              <w:left w:val="single" w:color="auto" w:sz="8" w:space="0"/>
              <w:bottom w:val="double" w:color="000000" w:sz="6" w:space="0"/>
              <w:right w:val="single" w:color="auto" w:sz="4" w:space="0"/>
            </w:tcBorders>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817" w:type="dxa"/>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规范性</w:t>
            </w:r>
          </w:p>
        </w:tc>
        <w:tc>
          <w:tcPr>
            <w:tcW w:w="74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格式     与      文字</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15.报告或相关材料的格式是否符合委托要求</w:t>
            </w:r>
          </w:p>
        </w:tc>
        <w:tc>
          <w:tcPr>
            <w:tcW w:w="861"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73"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16.报告或相关材料表内表间数据的勾稽关系是否正确</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55"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17.文字表述是否清晰，易产生歧义的内容是否不多于3处</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5"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18.报告或相关材料中的错别字、笔误等是否不多于5处</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2"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19.报告或相关材料中是否存在一个或多个表格不符合委托要求</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完整性</w:t>
            </w:r>
          </w:p>
        </w:tc>
        <w:tc>
          <w:tcPr>
            <w:tcW w:w="740" w:type="dxa"/>
            <w:gridSpan w:val="4"/>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内容     与      成果</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20.是否完成协议规定的具体服务内容</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709"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21.是否按要求提交相关的工作成果或达到预期目标</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nil"/>
              <w:right w:val="single" w:color="000000" w:sz="4" w:space="0"/>
            </w:tcBorders>
            <w:vAlign w:val="center"/>
          </w:tcPr>
          <w:p>
            <w:pPr>
              <w:jc w:val="center"/>
              <w:rPr>
                <w:rFonts w:ascii="宋体" w:hAnsi="宋体" w:cs="宋体"/>
                <w:szCs w:val="21"/>
              </w:rPr>
            </w:pPr>
            <w:r>
              <w:rPr>
                <w:rFonts w:hint="eastAsia" w:ascii="宋体" w:hAnsi="宋体" w:cs="宋体"/>
                <w:szCs w:val="21"/>
              </w:rPr>
              <w:t>建设性</w:t>
            </w:r>
          </w:p>
        </w:tc>
        <w:tc>
          <w:tcPr>
            <w:tcW w:w="740" w:type="dxa"/>
            <w:gridSpan w:val="4"/>
            <w:vMerge w:val="restart"/>
            <w:tcBorders>
              <w:top w:val="nil"/>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分析      与      建议</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22.工作成果是否具有较深入的情况分析和较高的质量</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88"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23.是否存在对问题定性或有关表述等含糊不清或不客观真实等情况</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8"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doub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24.是否存在无充分依据或数据进行情况分析、原因剖析、判断预测等情况</w:t>
            </w:r>
          </w:p>
        </w:tc>
        <w:tc>
          <w:tcPr>
            <w:tcW w:w="861" w:type="dxa"/>
            <w:gridSpan w:val="2"/>
            <w:tcBorders>
              <w:top w:val="single" w:color="auto" w:sz="4" w:space="0"/>
              <w:left w:val="nil"/>
              <w:bottom w:val="doub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double" w:color="auto" w:sz="4" w:space="0"/>
              <w:right w:val="single" w:color="000000" w:sz="4" w:space="0"/>
            </w:tcBorders>
            <w:vAlign w:val="center"/>
          </w:tcPr>
          <w:p>
            <w:pPr>
              <w:jc w:val="center"/>
              <w:rPr>
                <w:rFonts w:ascii="宋体" w:hAnsi="宋体" w:cs="宋体"/>
                <w:color w:val="000000"/>
                <w:szCs w:val="21"/>
              </w:rPr>
            </w:pPr>
          </w:p>
        </w:tc>
        <w:tc>
          <w:tcPr>
            <w:tcW w:w="859" w:type="dxa"/>
            <w:tcBorders>
              <w:top w:val="single" w:color="auto" w:sz="4" w:space="0"/>
              <w:left w:val="nil"/>
              <w:bottom w:val="double" w:color="auto" w:sz="6"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8" w:hRule="atLeast"/>
          <w:jc w:val="center"/>
        </w:trPr>
        <w:tc>
          <w:tcPr>
            <w:tcW w:w="707" w:type="dxa"/>
            <w:vMerge w:val="restart"/>
            <w:tcBorders>
              <w:top w:val="nil"/>
              <w:left w:val="single" w:color="auto" w:sz="8" w:space="0"/>
              <w:bottom w:val="single" w:color="000000" w:sz="4" w:space="0"/>
              <w:right w:val="single" w:color="auto" w:sz="4" w:space="0"/>
            </w:tcBorders>
            <w:textDirection w:val="tbRlV"/>
            <w:vAlign w:val="center"/>
          </w:tcPr>
          <w:p>
            <w:pPr>
              <w:spacing w:line="260" w:lineRule="exact"/>
              <w:ind w:firstLine="360"/>
              <w:jc w:val="center"/>
              <w:rPr>
                <w:rFonts w:ascii="黑体" w:hAnsi="宋体" w:eastAsia="黑体" w:cs="宋体"/>
                <w:sz w:val="24"/>
              </w:rPr>
            </w:pPr>
            <w:r>
              <w:rPr>
                <w:rFonts w:hint="eastAsia" w:ascii="黑体" w:hAnsi="宋体" w:eastAsia="黑体" w:cs="宋体"/>
                <w:sz w:val="24"/>
              </w:rPr>
              <w:t>附加</w:t>
            </w:r>
          </w:p>
        </w:tc>
        <w:tc>
          <w:tcPr>
            <w:tcW w:w="1557" w:type="dxa"/>
            <w:gridSpan w:val="5"/>
            <w:tcBorders>
              <w:top w:val="double" w:color="auto" w:sz="6" w:space="0"/>
              <w:left w:val="nil"/>
              <w:bottom w:val="single" w:color="auto" w:sz="4" w:space="0"/>
              <w:right w:val="single" w:color="000000" w:sz="4" w:space="0"/>
            </w:tcBorders>
            <w:vAlign w:val="center"/>
          </w:tcPr>
          <w:p>
            <w:pPr>
              <w:spacing w:line="260" w:lineRule="exact"/>
              <w:jc w:val="center"/>
              <w:rPr>
                <w:rFonts w:ascii="宋体" w:hAnsi="宋体" w:cs="宋体"/>
                <w:szCs w:val="21"/>
              </w:rPr>
            </w:pPr>
            <w:r>
              <w:rPr>
                <w:rFonts w:hint="eastAsia" w:ascii="宋体" w:hAnsi="宋体" w:cs="宋体"/>
                <w:szCs w:val="21"/>
              </w:rPr>
              <w:t>附加分</w:t>
            </w:r>
          </w:p>
        </w:tc>
        <w:tc>
          <w:tcPr>
            <w:tcW w:w="4533" w:type="dxa"/>
            <w:gridSpan w:val="3"/>
            <w:tcBorders>
              <w:top w:val="doub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25.具有针对性、较高参考价值的意见或建议有几条（每条5分，得分=条数×5）</w:t>
            </w:r>
          </w:p>
        </w:tc>
        <w:tc>
          <w:tcPr>
            <w:tcW w:w="861" w:type="dxa"/>
            <w:gridSpan w:val="2"/>
            <w:tcBorders>
              <w:top w:val="doub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得分</w:t>
            </w:r>
          </w:p>
        </w:tc>
        <w:tc>
          <w:tcPr>
            <w:tcW w:w="1548" w:type="dxa"/>
            <w:gridSpan w:val="5"/>
            <w:tcBorders>
              <w:top w:val="double" w:color="auto" w:sz="4" w:space="0"/>
              <w:left w:val="nil"/>
              <w:bottom w:val="single" w:color="auto" w:sz="4" w:space="0"/>
              <w:right w:val="single" w:color="000000"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条数</w:t>
            </w:r>
          </w:p>
        </w:tc>
        <w:tc>
          <w:tcPr>
            <w:tcW w:w="859" w:type="dxa"/>
            <w:tcBorders>
              <w:top w:val="nil"/>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968" w:hRule="atLeast"/>
          <w:jc w:val="center"/>
        </w:trPr>
        <w:tc>
          <w:tcPr>
            <w:tcW w:w="707" w:type="dxa"/>
            <w:vMerge w:val="continue"/>
            <w:tcBorders>
              <w:top w:val="nil"/>
              <w:left w:val="single" w:color="auto" w:sz="8" w:space="0"/>
              <w:bottom w:val="single" w:color="000000" w:sz="4" w:space="0"/>
              <w:right w:val="single" w:color="auto" w:sz="4" w:space="0"/>
            </w:tcBorders>
            <w:vAlign w:val="center"/>
          </w:tcPr>
          <w:p>
            <w:pPr>
              <w:widowControl/>
              <w:jc w:val="left"/>
              <w:rPr>
                <w:rFonts w:ascii="黑体" w:hAnsi="宋体" w:eastAsia="黑体" w:cs="宋体"/>
                <w:sz w:val="24"/>
              </w:rPr>
            </w:pPr>
          </w:p>
        </w:tc>
        <w:tc>
          <w:tcPr>
            <w:tcW w:w="857" w:type="dxa"/>
            <w:gridSpan w:val="2"/>
            <w:tcBorders>
              <w:top w:val="nil"/>
              <w:left w:val="nil"/>
              <w:bottom w:val="single" w:color="auto" w:sz="4" w:space="0"/>
              <w:right w:val="nil"/>
            </w:tcBorders>
            <w:vAlign w:val="center"/>
          </w:tcPr>
          <w:p>
            <w:pPr>
              <w:widowControl/>
              <w:jc w:val="left"/>
              <w:rPr>
                <w:rFonts w:ascii="宋体" w:hAnsi="宋体" w:cs="宋体"/>
                <w:kern w:val="0"/>
                <w:sz w:val="24"/>
              </w:rPr>
            </w:pPr>
          </w:p>
        </w:tc>
        <w:tc>
          <w:tcPr>
            <w:tcW w:w="350" w:type="dxa"/>
            <w:gridSpan w:val="2"/>
            <w:tcBorders>
              <w:top w:val="nil"/>
              <w:left w:val="nil"/>
              <w:bottom w:val="single" w:color="auto" w:sz="4" w:space="0"/>
              <w:right w:val="nil"/>
            </w:tcBorders>
            <w:vAlign w:val="center"/>
          </w:tcPr>
          <w:p>
            <w:pPr>
              <w:widowControl/>
              <w:jc w:val="left"/>
              <w:rPr>
                <w:rFonts w:ascii="宋体" w:hAnsi="宋体" w:cs="宋体"/>
                <w:kern w:val="0"/>
                <w:sz w:val="24"/>
              </w:rPr>
            </w:pPr>
          </w:p>
        </w:tc>
        <w:tc>
          <w:tcPr>
            <w:tcW w:w="35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60"/>
              <w:rPr>
                <w:rFonts w:ascii="宋体" w:hAnsi="宋体" w:cs="宋体"/>
                <w:szCs w:val="21"/>
              </w:rPr>
            </w:pPr>
            <w:r>
              <w:rPr>
                <w:rFonts w:hint="eastAsia" w:ascii="宋体" w:hAnsi="宋体" w:cs="宋体"/>
                <w:szCs w:val="21"/>
              </w:rPr>
              <w:t>26.报告或相关材料得到公司领导(或同级别其他领导)批示好评（每条批示20分，得分=条数×20）</w:t>
            </w:r>
          </w:p>
        </w:tc>
        <w:tc>
          <w:tcPr>
            <w:tcW w:w="86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919" w:type="dxa"/>
            <w:gridSpan w:val="4"/>
            <w:tcBorders>
              <w:top w:val="nil"/>
              <w:left w:val="nil"/>
              <w:bottom w:val="single" w:color="auto" w:sz="4" w:space="0"/>
              <w:right w:val="nil"/>
            </w:tcBorders>
            <w:vAlign w:val="center"/>
          </w:tcPr>
          <w:p>
            <w:pPr>
              <w:spacing w:line="260" w:lineRule="exact"/>
              <w:ind w:firstLine="360"/>
              <w:jc w:val="center"/>
              <w:rPr>
                <w:rFonts w:ascii="宋体" w:hAnsi="宋体" w:cs="宋体"/>
                <w:color w:val="000000"/>
                <w:szCs w:val="21"/>
              </w:rPr>
            </w:pPr>
            <w:r>
              <w:rPr>
                <w:rFonts w:hint="eastAsia" w:ascii="宋体" w:hAnsi="宋体" w:cs="宋体"/>
                <w:color w:val="000000"/>
                <w:szCs w:val="21"/>
              </w:rPr>
              <w:t>　</w:t>
            </w:r>
          </w:p>
        </w:tc>
        <w:tc>
          <w:tcPr>
            <w:tcW w:w="62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859" w:type="dxa"/>
            <w:tcBorders>
              <w:top w:val="nil"/>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663" w:hRule="atLeast"/>
          <w:jc w:val="center"/>
        </w:trPr>
        <w:tc>
          <w:tcPr>
            <w:tcW w:w="707" w:type="dxa"/>
            <w:vMerge w:val="continue"/>
            <w:tcBorders>
              <w:top w:val="nil"/>
              <w:left w:val="single" w:color="auto" w:sz="8" w:space="0"/>
              <w:bottom w:val="single" w:color="000000" w:sz="4" w:space="0"/>
              <w:right w:val="single" w:color="auto" w:sz="4" w:space="0"/>
            </w:tcBorders>
            <w:vAlign w:val="center"/>
          </w:tcPr>
          <w:p>
            <w:pPr>
              <w:widowControl/>
              <w:jc w:val="left"/>
              <w:rPr>
                <w:rFonts w:ascii="黑体" w:hAnsi="宋体" w:eastAsia="黑体" w:cs="宋体"/>
                <w:sz w:val="24"/>
              </w:rPr>
            </w:pPr>
          </w:p>
        </w:tc>
        <w:tc>
          <w:tcPr>
            <w:tcW w:w="1557" w:type="dxa"/>
            <w:gridSpan w:val="5"/>
            <w:tcBorders>
              <w:top w:val="single" w:color="auto" w:sz="4" w:space="0"/>
              <w:left w:val="nil"/>
              <w:bottom w:val="single" w:color="auto" w:sz="4" w:space="0"/>
              <w:right w:val="single" w:color="000000" w:sz="4" w:space="0"/>
            </w:tcBorders>
            <w:vAlign w:val="center"/>
          </w:tcPr>
          <w:p>
            <w:pPr>
              <w:spacing w:line="260" w:lineRule="exact"/>
              <w:jc w:val="center"/>
              <w:rPr>
                <w:rFonts w:ascii="宋体" w:hAnsi="宋体" w:cs="宋体"/>
                <w:szCs w:val="21"/>
              </w:rPr>
            </w:pPr>
            <w:r>
              <w:rPr>
                <w:rFonts w:hint="eastAsia" w:ascii="宋体" w:hAnsi="宋体" w:cs="宋体"/>
                <w:szCs w:val="21"/>
              </w:rPr>
              <w:t>一票否决项</w:t>
            </w:r>
          </w:p>
        </w:tc>
        <w:tc>
          <w:tcPr>
            <w:tcW w:w="5394" w:type="dxa"/>
            <w:gridSpan w:val="5"/>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27.服务机构工作人员存在违反办法中明确禁止事项的行为</w:t>
            </w:r>
          </w:p>
        </w:tc>
        <w:tc>
          <w:tcPr>
            <w:tcW w:w="697" w:type="dxa"/>
            <w:gridSpan w:val="3"/>
            <w:tcBorders>
              <w:top w:val="nil"/>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是</w:t>
            </w:r>
          </w:p>
        </w:tc>
        <w:tc>
          <w:tcPr>
            <w:tcW w:w="85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否</w:t>
            </w:r>
          </w:p>
        </w:tc>
        <w:tc>
          <w:tcPr>
            <w:tcW w:w="859" w:type="dxa"/>
            <w:tcBorders>
              <w:top w:val="single" w:color="auto" w:sz="4" w:space="0"/>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如有则直接评定为差</w:t>
            </w:r>
          </w:p>
        </w:tc>
      </w:tr>
      <w:tr>
        <w:tblPrEx>
          <w:tblCellMar>
            <w:top w:w="0" w:type="dxa"/>
            <w:left w:w="108" w:type="dxa"/>
            <w:bottom w:w="0" w:type="dxa"/>
            <w:right w:w="108" w:type="dxa"/>
          </w:tblCellMar>
        </w:tblPrEx>
        <w:trPr>
          <w:trHeight w:val="462" w:hRule="atLeast"/>
          <w:jc w:val="center"/>
        </w:trPr>
        <w:tc>
          <w:tcPr>
            <w:tcW w:w="707" w:type="dxa"/>
            <w:tcBorders>
              <w:top w:val="nil"/>
              <w:left w:val="single" w:color="auto" w:sz="8" w:space="0"/>
              <w:bottom w:val="single" w:color="000000" w:sz="4" w:space="0"/>
              <w:right w:val="single" w:color="auto" w:sz="4" w:space="0"/>
            </w:tcBorders>
            <w:vAlign w:val="center"/>
          </w:tcPr>
          <w:p>
            <w:pPr>
              <w:spacing w:line="260" w:lineRule="exact"/>
              <w:ind w:firstLine="360"/>
              <w:rPr>
                <w:rFonts w:ascii="黑体" w:hAnsi="宋体" w:eastAsia="黑体" w:cs="宋体"/>
                <w:sz w:val="24"/>
              </w:rPr>
            </w:pPr>
          </w:p>
        </w:tc>
        <w:tc>
          <w:tcPr>
            <w:tcW w:w="9358" w:type="dxa"/>
            <w:gridSpan w:val="16"/>
            <w:tcBorders>
              <w:top w:val="single" w:color="auto" w:sz="4" w:space="0"/>
              <w:left w:val="nil"/>
              <w:bottom w:val="single" w:color="auto" w:sz="4" w:space="0"/>
              <w:right w:val="single" w:color="000000" w:sz="8" w:space="0"/>
            </w:tcBorders>
            <w:vAlign w:val="center"/>
          </w:tcPr>
          <w:p>
            <w:pPr>
              <w:spacing w:line="260" w:lineRule="exact"/>
              <w:jc w:val="center"/>
              <w:rPr>
                <w:rFonts w:ascii="宋体" w:hAnsi="宋体" w:cs="宋体"/>
                <w:sz w:val="24"/>
              </w:rPr>
            </w:pPr>
            <w:r>
              <w:rPr>
                <w:rFonts w:hint="eastAsia" w:ascii="宋体" w:hAnsi="宋体" w:cs="宋体"/>
                <w:sz w:val="24"/>
              </w:rPr>
              <w:t>合计得分：</w:t>
            </w:r>
          </w:p>
        </w:tc>
      </w:tr>
      <w:tr>
        <w:tblPrEx>
          <w:tblCellMar>
            <w:top w:w="0" w:type="dxa"/>
            <w:left w:w="108" w:type="dxa"/>
            <w:bottom w:w="0" w:type="dxa"/>
            <w:right w:w="108" w:type="dxa"/>
          </w:tblCellMar>
        </w:tblPrEx>
        <w:trPr>
          <w:trHeight w:val="530" w:hRule="atLeast"/>
          <w:jc w:val="center"/>
        </w:trPr>
        <w:tc>
          <w:tcPr>
            <w:tcW w:w="1786" w:type="dxa"/>
            <w:gridSpan w:val="4"/>
            <w:vMerge w:val="restart"/>
            <w:tcBorders>
              <w:top w:val="single" w:color="auto" w:sz="8" w:space="0"/>
              <w:left w:val="single" w:color="auto" w:sz="8" w:space="0"/>
              <w:bottom w:val="single" w:color="000000" w:sz="8" w:space="0"/>
              <w:right w:val="single" w:color="000000" w:sz="8" w:space="0"/>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2098" w:type="dxa"/>
            <w:gridSpan w:val="3"/>
            <w:tcBorders>
              <w:top w:val="single" w:color="auto" w:sz="8" w:space="0"/>
              <w:left w:val="nil"/>
              <w:bottom w:val="single" w:color="auto" w:sz="8" w:space="0"/>
              <w:right w:val="single" w:color="000000" w:sz="8" w:space="0"/>
            </w:tcBorders>
            <w:vAlign w:val="center"/>
          </w:tcPr>
          <w:p>
            <w:pPr>
              <w:jc w:val="center"/>
              <w:rPr>
                <w:rFonts w:ascii="宋体" w:hAnsi="宋体" w:cs="宋体"/>
                <w:szCs w:val="21"/>
              </w:rPr>
            </w:pPr>
            <w:r>
              <w:rPr>
                <w:rFonts w:hint="eastAsia" w:ascii="宋体" w:hAnsi="宋体" w:cs="宋体"/>
                <w:szCs w:val="21"/>
              </w:rPr>
              <w:t>优秀（</w:t>
            </w:r>
            <w:r>
              <w:rPr>
                <w:rFonts w:ascii="宋体" w:hAnsi="宋体"/>
                <w:color w:val="767171"/>
                <w:szCs w:val="21"/>
              </w:rPr>
              <w:t>≥</w:t>
            </w:r>
            <w:r>
              <w:rPr>
                <w:rFonts w:hint="eastAsia" w:ascii="宋体" w:hAnsi="宋体" w:cs="宋体"/>
                <w:szCs w:val="21"/>
              </w:rPr>
              <w:t>90分）</w:t>
            </w:r>
          </w:p>
        </w:tc>
        <w:tc>
          <w:tcPr>
            <w:tcW w:w="2320" w:type="dxa"/>
            <w:tcBorders>
              <w:top w:val="single" w:color="auto" w:sz="8" w:space="0"/>
              <w:left w:val="nil"/>
              <w:bottom w:val="single" w:color="auto" w:sz="8" w:space="0"/>
              <w:right w:val="single" w:color="000000" w:sz="8" w:space="0"/>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color w:val="767171"/>
                <w:szCs w:val="21"/>
              </w:rPr>
              <w:t>90&gt;X</w:t>
            </w:r>
            <w:r>
              <w:rPr>
                <w:rFonts w:ascii="宋体" w:hAnsi="宋体"/>
                <w:color w:val="767171"/>
                <w:szCs w:val="21"/>
              </w:rPr>
              <w:t>≥80</w:t>
            </w:r>
            <w:r>
              <w:rPr>
                <w:rFonts w:hint="eastAsia" w:ascii="宋体" w:hAnsi="宋体" w:cs="宋体"/>
                <w:szCs w:val="21"/>
              </w:rPr>
              <w:t>）</w:t>
            </w:r>
          </w:p>
        </w:tc>
        <w:tc>
          <w:tcPr>
            <w:tcW w:w="1737" w:type="dxa"/>
            <w:gridSpan w:val="5"/>
            <w:tcBorders>
              <w:top w:val="single" w:color="auto" w:sz="8" w:space="0"/>
              <w:left w:val="nil"/>
              <w:bottom w:val="single" w:color="auto" w:sz="8" w:space="0"/>
              <w:right w:val="single" w:color="auto" w:sz="8" w:space="0"/>
            </w:tcBorders>
            <w:vAlign w:val="center"/>
          </w:tcPr>
          <w:p>
            <w:pPr>
              <w:ind w:firstLine="360"/>
              <w:jc w:val="center"/>
              <w:rPr>
                <w:rFonts w:ascii="宋体" w:hAnsi="宋体" w:cs="宋体"/>
                <w:szCs w:val="21"/>
              </w:rPr>
            </w:pPr>
            <w:r>
              <w:rPr>
                <w:rFonts w:hint="eastAsia" w:ascii="宋体" w:hAnsi="宋体" w:cs="宋体"/>
                <w:szCs w:val="21"/>
              </w:rPr>
              <w:t>合格（</w:t>
            </w:r>
            <w:r>
              <w:rPr>
                <w:rFonts w:hint="eastAsia" w:ascii="宋体" w:hAnsi="宋体"/>
                <w:color w:val="767171"/>
                <w:szCs w:val="21"/>
              </w:rPr>
              <w:t>80&gt;</w:t>
            </w:r>
            <w:r>
              <w:rPr>
                <w:rFonts w:ascii="宋体" w:hAnsi="宋体"/>
                <w:color w:val="767171"/>
                <w:szCs w:val="21"/>
              </w:rPr>
              <w:t>X≥6</w:t>
            </w:r>
            <w:r>
              <w:rPr>
                <w:rFonts w:hint="eastAsia" w:ascii="宋体" w:hAnsi="宋体"/>
                <w:color w:val="767171"/>
                <w:szCs w:val="21"/>
              </w:rPr>
              <w:t>0</w:t>
            </w:r>
            <w:r>
              <w:rPr>
                <w:rFonts w:hint="eastAsia" w:ascii="宋体" w:hAnsi="宋体" w:cs="宋体"/>
                <w:szCs w:val="21"/>
              </w:rPr>
              <w:t>）</w:t>
            </w:r>
          </w:p>
        </w:tc>
        <w:tc>
          <w:tcPr>
            <w:tcW w:w="2124" w:type="dxa"/>
            <w:gridSpan w:val="4"/>
            <w:tcBorders>
              <w:top w:val="single" w:color="auto" w:sz="8" w:space="0"/>
              <w:left w:val="nil"/>
              <w:bottom w:val="single" w:color="auto" w:sz="8" w:space="0"/>
              <w:right w:val="single" w:color="auto" w:sz="8" w:space="0"/>
            </w:tcBorders>
            <w:vAlign w:val="center"/>
          </w:tcPr>
          <w:p>
            <w:pPr>
              <w:ind w:firstLine="360"/>
              <w:jc w:val="cente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CellMar>
            <w:top w:w="0" w:type="dxa"/>
            <w:left w:w="108" w:type="dxa"/>
            <w:bottom w:w="0" w:type="dxa"/>
            <w:right w:w="108" w:type="dxa"/>
          </w:tblCellMar>
        </w:tblPrEx>
        <w:trPr>
          <w:trHeight w:val="566" w:hRule="atLeast"/>
          <w:jc w:val="center"/>
        </w:trPr>
        <w:tc>
          <w:tcPr>
            <w:tcW w:w="1786" w:type="dxa"/>
            <w:gridSpan w:val="4"/>
            <w:vMerge w:val="continue"/>
            <w:tcBorders>
              <w:top w:val="single" w:color="auto" w:sz="8" w:space="0"/>
              <w:left w:val="single" w:color="auto" w:sz="8" w:space="0"/>
              <w:bottom w:val="single" w:color="auto" w:sz="12" w:space="0"/>
              <w:right w:val="single" w:color="000000" w:sz="8" w:space="0"/>
            </w:tcBorders>
            <w:vAlign w:val="center"/>
          </w:tcPr>
          <w:p>
            <w:pPr>
              <w:widowControl/>
              <w:jc w:val="left"/>
              <w:rPr>
                <w:rFonts w:ascii="黑体" w:hAnsi="宋体" w:eastAsia="黑体" w:cs="宋体"/>
                <w:sz w:val="24"/>
              </w:rPr>
            </w:pPr>
          </w:p>
        </w:tc>
        <w:tc>
          <w:tcPr>
            <w:tcW w:w="2098" w:type="dxa"/>
            <w:gridSpan w:val="3"/>
            <w:tcBorders>
              <w:top w:val="nil"/>
              <w:left w:val="nil"/>
              <w:bottom w:val="single" w:color="auto" w:sz="12" w:space="0"/>
              <w:right w:val="single" w:color="000000" w:sz="8" w:space="0"/>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2320" w:type="dxa"/>
            <w:tcBorders>
              <w:top w:val="single" w:color="auto" w:sz="8" w:space="0"/>
              <w:left w:val="nil"/>
              <w:bottom w:val="single" w:color="auto" w:sz="12" w:space="0"/>
              <w:right w:val="single" w:color="000000" w:sz="8" w:space="0"/>
            </w:tcBorders>
            <w:vAlign w:val="center"/>
          </w:tcPr>
          <w:p>
            <w:pPr>
              <w:ind w:firstLine="360"/>
              <w:jc w:val="center"/>
              <w:rPr>
                <w:szCs w:val="21"/>
              </w:rPr>
            </w:pPr>
          </w:p>
        </w:tc>
        <w:tc>
          <w:tcPr>
            <w:tcW w:w="1737" w:type="dxa"/>
            <w:gridSpan w:val="5"/>
            <w:tcBorders>
              <w:top w:val="single" w:color="auto" w:sz="8" w:space="0"/>
              <w:left w:val="nil"/>
              <w:bottom w:val="single" w:color="auto" w:sz="12" w:space="0"/>
              <w:right w:val="single" w:color="auto" w:sz="8" w:space="0"/>
            </w:tcBorders>
            <w:vAlign w:val="center"/>
          </w:tcPr>
          <w:p>
            <w:pPr>
              <w:ind w:firstLine="360"/>
              <w:jc w:val="center"/>
              <w:rPr>
                <w:szCs w:val="21"/>
              </w:rPr>
            </w:pPr>
            <w:r>
              <w:rPr>
                <w:rFonts w:hint="eastAsia"/>
                <w:szCs w:val="21"/>
              </w:rPr>
              <w:t>　</w:t>
            </w:r>
          </w:p>
        </w:tc>
        <w:tc>
          <w:tcPr>
            <w:tcW w:w="2124" w:type="dxa"/>
            <w:gridSpan w:val="4"/>
            <w:tcBorders>
              <w:top w:val="single" w:color="auto" w:sz="8" w:space="0"/>
              <w:left w:val="nil"/>
              <w:bottom w:val="single" w:color="auto" w:sz="12" w:space="0"/>
              <w:right w:val="single" w:color="auto" w:sz="8" w:space="0"/>
            </w:tcBorders>
            <w:vAlign w:val="center"/>
          </w:tcPr>
          <w:p>
            <w:pPr>
              <w:ind w:firstLine="360"/>
              <w:jc w:val="center"/>
              <w:rPr>
                <w:szCs w:val="21"/>
              </w:rPr>
            </w:pPr>
            <w:r>
              <w:rPr>
                <w:rFonts w:hint="eastAsia"/>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10065" w:type="dxa"/>
            <w:gridSpan w:val="17"/>
            <w:tcBorders>
              <w:top w:val="single" w:color="auto" w:sz="12" w:space="0"/>
              <w:bottom w:val="single" w:color="auto" w:sz="12" w:space="0"/>
            </w:tcBorders>
            <w:shd w:val="clear" w:color="auto" w:fill="D9D9D9"/>
            <w:vAlign w:val="center"/>
          </w:tcPr>
          <w:p>
            <w:pPr>
              <w:spacing w:line="240" w:lineRule="atLeast"/>
              <w:jc w:val="left"/>
              <w:rPr>
                <w:rFonts w:ascii="宋体" w:hAnsi="宋体"/>
                <w:b/>
                <w:bCs/>
                <w:szCs w:val="21"/>
              </w:rPr>
            </w:pPr>
            <w:r>
              <w:rPr>
                <w:rFonts w:ascii="宋体" w:hAnsi="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jc w:val="center"/>
        </w:trPr>
        <w:tc>
          <w:tcPr>
            <w:tcW w:w="1524" w:type="dxa"/>
            <w:gridSpan w:val="2"/>
            <w:tcBorders>
              <w:top w:val="single" w:color="auto" w:sz="12" w:space="0"/>
              <w:bottom w:val="single" w:color="auto" w:sz="12" w:space="0"/>
            </w:tcBorders>
            <w:vAlign w:val="center"/>
          </w:tcPr>
          <w:p>
            <w:pPr>
              <w:spacing w:line="240" w:lineRule="atLeast"/>
              <w:rPr>
                <w:rFonts w:ascii="宋体" w:hAnsi="宋体"/>
                <w:szCs w:val="21"/>
              </w:rPr>
            </w:pPr>
            <w:r>
              <w:rPr>
                <w:rFonts w:hint="eastAsia" w:ascii="宋体" w:hAnsi="宋体"/>
                <w:szCs w:val="21"/>
              </w:rPr>
              <w:t>其他补充评价</w:t>
            </w:r>
          </w:p>
        </w:tc>
        <w:tc>
          <w:tcPr>
            <w:tcW w:w="8541" w:type="dxa"/>
            <w:gridSpan w:val="15"/>
            <w:tcBorders>
              <w:top w:val="single" w:color="auto" w:sz="12" w:space="0"/>
              <w:bottom w:val="single" w:color="auto" w:sz="12" w:space="0"/>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13" w:hRule="atLeast"/>
          <w:jc w:val="center"/>
        </w:trPr>
        <w:tc>
          <w:tcPr>
            <w:tcW w:w="10065" w:type="dxa"/>
            <w:gridSpan w:val="17"/>
            <w:tcBorders>
              <w:top w:val="single" w:color="auto" w:sz="12" w:space="0"/>
              <w:bottom w:val="single" w:color="auto" w:sz="12" w:space="0"/>
            </w:tcBorders>
            <w:shd w:val="clear" w:color="auto" w:fill="D9D9D9"/>
            <w:vAlign w:val="center"/>
          </w:tcPr>
          <w:p>
            <w:pPr>
              <w:spacing w:line="240" w:lineRule="atLeast"/>
              <w:jc w:val="left"/>
              <w:rPr>
                <w:rFonts w:ascii="宋体" w:hAnsi="宋体"/>
                <w:b/>
                <w:bCs/>
                <w:szCs w:val="21"/>
              </w:rPr>
            </w:pPr>
            <w:r>
              <w:rPr>
                <w:rFonts w:hint="eastAsia" w:ascii="宋体" w:hAnsi="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jc w:val="center"/>
        </w:trPr>
        <w:tc>
          <w:tcPr>
            <w:tcW w:w="1524" w:type="dxa"/>
            <w:gridSpan w:val="2"/>
            <w:tcBorders>
              <w:top w:val="single" w:color="auto" w:sz="12" w:space="0"/>
              <w:bottom w:val="double" w:color="auto" w:sz="4" w:space="0"/>
            </w:tcBorders>
            <w:vAlign w:val="center"/>
          </w:tcPr>
          <w:p>
            <w:pPr>
              <w:spacing w:line="240" w:lineRule="atLeast"/>
              <w:rPr>
                <w:rFonts w:ascii="宋体" w:hAnsi="宋体"/>
                <w:szCs w:val="21"/>
              </w:rPr>
            </w:pPr>
            <w:r>
              <w:rPr>
                <w:rFonts w:hint="eastAsia" w:ascii="宋体" w:hAnsi="宋体"/>
                <w:szCs w:val="21"/>
              </w:rPr>
              <w:t>评价结论</w:t>
            </w:r>
          </w:p>
        </w:tc>
        <w:tc>
          <w:tcPr>
            <w:tcW w:w="8541" w:type="dxa"/>
            <w:gridSpan w:val="15"/>
            <w:tcBorders>
              <w:top w:val="single" w:color="auto" w:sz="12" w:space="0"/>
              <w:bottom w:val="double" w:color="auto" w:sz="4" w:space="0"/>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bCs/>
                <w:szCs w:val="21"/>
              </w:rPr>
            </w:pPr>
            <w:r>
              <w:rPr>
                <w:rFonts w:hint="eastAsia" w:ascii="宋体" w:hAnsi="宋体"/>
                <w:bCs/>
                <w:szCs w:val="21"/>
              </w:rPr>
              <w:t>评估成为本单位：□ 推荐</w:t>
            </w:r>
            <w:r>
              <w:rPr>
                <w:rFonts w:ascii="宋体" w:hAnsi="宋体"/>
                <w:bCs/>
                <w:szCs w:val="21"/>
              </w:rPr>
              <w:t>服务机构</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不合格服务机构</w:t>
            </w:r>
          </w:p>
          <w:p>
            <w:pPr>
              <w:spacing w:line="240" w:lineRule="atLeast"/>
              <w:jc w:val="left"/>
              <w:rPr>
                <w:rFonts w:ascii="宋体" w:hAnsi="宋体"/>
                <w:szCs w:val="21"/>
                <w:u w:val="single"/>
              </w:rPr>
            </w:pPr>
            <w:r>
              <w:rPr>
                <w:rFonts w:hint="eastAsia" w:ascii="宋体" w:hAnsi="宋体"/>
                <w:bCs/>
                <w:szCs w:val="21"/>
              </w:rPr>
              <w:t>项目负责人签字（单位签章</w:t>
            </w:r>
            <w:r>
              <w:rPr>
                <w:rFonts w:ascii="宋体" w:hAnsi="宋体"/>
                <w:bCs/>
                <w:szCs w:val="21"/>
              </w:rPr>
              <w:t>）</w:t>
            </w:r>
            <w:r>
              <w:rPr>
                <w:rFonts w:hint="eastAsia" w:ascii="宋体" w:hAnsi="宋体"/>
                <w:bCs/>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tabs>
          <w:tab w:val="left" w:pos="1644"/>
        </w:tabs>
        <w:rPr>
          <w:rFonts w:ascii="宋体" w:hAnsi="宋体" w:cs="宋体"/>
          <w:sz w:val="24"/>
        </w:rPr>
      </w:pPr>
    </w:p>
    <w:p/>
    <w:p>
      <w:pPr>
        <w:pStyle w:val="13"/>
      </w:pPr>
    </w:p>
    <w:p>
      <w:pPr>
        <w:jc w:val="center"/>
        <w:rPr>
          <w:rFonts w:ascii="宋体" w:hAnsi="宋体" w:cs="宋体"/>
          <w:szCs w:val="21"/>
        </w:rPr>
      </w:pPr>
    </w:p>
    <w:p>
      <w:pPr>
        <w:pStyle w:val="5"/>
        <w:ind w:left="0" w:leftChars="0" w:firstLine="0" w:firstLineChars="0"/>
      </w:pPr>
    </w:p>
    <w:p/>
    <w:p>
      <w:pPr>
        <w:pStyle w:val="2"/>
      </w:pPr>
    </w:p>
    <w:p>
      <w:pPr>
        <w:pStyle w:val="2"/>
      </w:pPr>
    </w:p>
    <w:p>
      <w:pPr>
        <w:spacing w:before="312" w:beforeLines="100" w:after="312" w:afterLines="100" w:line="360" w:lineRule="auto"/>
        <w:jc w:val="center"/>
        <w:outlineLvl w:val="0"/>
        <w:rPr>
          <w:rFonts w:ascii="仿宋" w:hAnsi="仿宋" w:eastAsia="仿宋"/>
          <w:sz w:val="32"/>
          <w:szCs w:val="32"/>
        </w:rPr>
      </w:pPr>
      <w:bookmarkStart w:id="60" w:name="_Toc14836"/>
      <w:r>
        <w:rPr>
          <w:rFonts w:hint="eastAsia"/>
          <w:b/>
          <w:sz w:val="32"/>
          <w:szCs w:val="32"/>
        </w:rPr>
        <w:t>第五部分：参考附件</w:t>
      </w:r>
      <w:bookmarkEnd w:id="60"/>
    </w:p>
    <w:p>
      <w:pPr>
        <w:spacing w:line="0" w:lineRule="atLeast"/>
        <w:outlineLvl w:val="1"/>
        <w:rPr>
          <w:rFonts w:ascii="宋体" w:hAnsi="宋体"/>
        </w:rPr>
      </w:pPr>
      <w:bookmarkStart w:id="61" w:name="_Toc9956"/>
      <w:r>
        <w:rPr>
          <w:rFonts w:hint="eastAsia" w:ascii="宋体" w:hAnsi="宋体"/>
          <w:szCs w:val="21"/>
        </w:rPr>
        <w:t>附件1：</w:t>
      </w:r>
      <w:r>
        <w:rPr>
          <w:rFonts w:hint="eastAsia" w:ascii="宋体" w:hAnsi="宋体"/>
        </w:rPr>
        <w:t>报名回函</w:t>
      </w:r>
      <w:bookmarkEnd w:id="61"/>
    </w:p>
    <w:p>
      <w:pPr>
        <w:pStyle w:val="13"/>
      </w:pPr>
    </w:p>
    <w:p>
      <w:pPr>
        <w:pStyle w:val="14"/>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2" w:name="_Toc9167"/>
      <w:r>
        <w:rPr>
          <w:rFonts w:hint="eastAsia" w:ascii="宋体" w:hAnsi="宋体"/>
          <w:szCs w:val="21"/>
        </w:rPr>
        <w:t>附件2：投标函</w:t>
      </w:r>
      <w:bookmarkEnd w:id="6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3" w:name="_Toc11592"/>
      <w:r>
        <w:rPr>
          <w:rFonts w:hint="eastAsia" w:ascii="宋体" w:hAnsi="宋体"/>
          <w:szCs w:val="21"/>
        </w:rPr>
        <w:t>附件3：投标一览表</w:t>
      </w:r>
      <w:bookmarkEnd w:id="63"/>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5"/>
        <w:spacing w:after="0" w:line="240" w:lineRule="auto"/>
        <w:ind w:left="-2" w:leftChars="-1" w:firstLine="2" w:firstLineChars="1"/>
        <w:jc w:val="left"/>
        <w:rPr>
          <w:sz w:val="21"/>
          <w:szCs w:val="21"/>
        </w:rPr>
      </w:pPr>
      <w:bookmarkStart w:id="64"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5"/>
              <w:spacing w:after="0" w:line="300" w:lineRule="exact"/>
              <w:ind w:left="0"/>
              <w:jc w:val="center"/>
              <w:rPr>
                <w:sz w:val="21"/>
                <w:szCs w:val="21"/>
              </w:rPr>
            </w:pPr>
            <w:r>
              <w:rPr>
                <w:rFonts w:hint="eastAsia"/>
                <w:sz w:val="21"/>
                <w:szCs w:val="21"/>
              </w:rPr>
              <w:t>税前总金额</w:t>
            </w:r>
          </w:p>
          <w:p>
            <w:pPr>
              <w:pStyle w:val="5"/>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4"/>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5"/>
        <w:ind w:left="0"/>
        <w:rPr>
          <w:rFonts w:ascii="宋体" w:hAnsi="宋体"/>
          <w:szCs w:val="21"/>
        </w:rPr>
      </w:pPr>
    </w:p>
    <w:p>
      <w:pPr>
        <w:pStyle w:val="5"/>
        <w:ind w:left="0"/>
        <w:rPr>
          <w:rFonts w:ascii="宋体" w:hAnsi="宋体"/>
          <w:szCs w:val="21"/>
        </w:rPr>
      </w:pPr>
    </w:p>
    <w:p>
      <w:pPr>
        <w:pStyle w:val="5"/>
        <w:ind w:left="0"/>
        <w:rPr>
          <w:rFonts w:ascii="宋体" w:hAnsi="宋体"/>
          <w:szCs w:val="21"/>
        </w:rPr>
      </w:pPr>
    </w:p>
    <w:p>
      <w:pPr>
        <w:pStyle w:val="5"/>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5" w:name="_Toc28123"/>
      <w:r>
        <w:rPr>
          <w:rFonts w:hint="eastAsia" w:ascii="宋体" w:hAnsi="宋体"/>
          <w:szCs w:val="21"/>
        </w:rPr>
        <w:t>附件4：考察证明</w:t>
      </w:r>
      <w:bookmarkEnd w:id="65"/>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6"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7"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6"/>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8" w:name="_Toc15388"/>
      <w:r>
        <w:rPr>
          <w:rFonts w:hint="eastAsia" w:ascii="宋体" w:hAnsi="宋体"/>
          <w:szCs w:val="21"/>
        </w:rPr>
        <w:t>附件5：技术服务响应/偏离表</w:t>
      </w:r>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18"/>
      <w:r>
        <w:rPr>
          <w:rFonts w:hint="eastAsia" w:ascii="方正小标宋_GBK" w:hAnsi="方正小标宋_GBK" w:eastAsia="方正小标宋_GBK"/>
          <w:b/>
          <w:sz w:val="32"/>
          <w:szCs w:val="32"/>
        </w:rPr>
        <w:t>技术服务响应/偏离表</w:t>
      </w:r>
      <w:bookmarkEnd w:id="69"/>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0"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36803114"/>
      <w:bookmarkStart w:id="72" w:name="_Toc246480945"/>
      <w:r>
        <w:rPr>
          <w:rFonts w:ascii="仿宋" w:hAnsi="仿宋" w:eastAsia="仿宋"/>
          <w:sz w:val="28"/>
          <w:szCs w:val="28"/>
        </w:rPr>
        <w:br w:type="page"/>
      </w:r>
    </w:p>
    <w:p>
      <w:pPr>
        <w:spacing w:line="0" w:lineRule="atLeast"/>
        <w:outlineLvl w:val="1"/>
        <w:rPr>
          <w:rFonts w:ascii="宋体" w:hAnsi="宋体"/>
          <w:szCs w:val="21"/>
        </w:rPr>
      </w:pPr>
      <w:bookmarkStart w:id="73" w:name="_Toc27806"/>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395883088"/>
      <w:bookmarkStart w:id="76" w:name="_Toc236803111"/>
      <w:bookmarkStart w:id="77" w:name="_Toc478387764"/>
      <w:r>
        <w:rPr>
          <w:rFonts w:ascii="仿宋" w:hAnsi="仿宋" w:eastAsia="仿宋"/>
          <w:sz w:val="28"/>
          <w:szCs w:val="28"/>
        </w:rPr>
        <w:br w:type="page"/>
      </w:r>
    </w:p>
    <w:p>
      <w:pPr>
        <w:spacing w:line="0" w:lineRule="atLeast"/>
        <w:outlineLvl w:val="1"/>
        <w:rPr>
          <w:rFonts w:ascii="宋体" w:hAnsi="宋体"/>
          <w:szCs w:val="21"/>
        </w:rPr>
      </w:pPr>
      <w:bookmarkStart w:id="78" w:name="_Toc26553"/>
      <w:r>
        <w:rPr>
          <w:rFonts w:hint="eastAsia" w:ascii="宋体" w:hAnsi="宋体"/>
          <w:szCs w:val="21"/>
        </w:rPr>
        <w:t>附件7：报价一览表（货物）</w:t>
      </w:r>
      <w:r>
        <w:rPr>
          <w:rFonts w:hint="eastAsia" w:ascii="宋体" w:hAnsi="宋体"/>
          <w:color w:val="FF0000"/>
          <w:szCs w:val="21"/>
        </w:rPr>
        <w:t>（本项目不适用）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37"/>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359026"/>
      <w:bookmarkStart w:id="81"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30003"/>
      <w:r>
        <w:rPr>
          <w:rFonts w:hint="eastAsia" w:ascii="宋体" w:hAnsi="宋体"/>
          <w:szCs w:val="21"/>
        </w:rPr>
        <w:t>附件8：报价一览表（服务）</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8787"/>
      <w:r>
        <w:rPr>
          <w:rFonts w:hint="eastAsia" w:ascii="宋体" w:hAnsi="宋体"/>
          <w:szCs w:val="21"/>
        </w:rPr>
        <w:t>附件9：报价一览表（工程）</w:t>
      </w:r>
      <w:r>
        <w:rPr>
          <w:rFonts w:hint="eastAsia" w:ascii="宋体" w:hAnsi="宋体"/>
          <w:color w:val="FF0000"/>
          <w:szCs w:val="21"/>
        </w:rPr>
        <w:t>（本项目不适用）</w:t>
      </w:r>
      <w:bookmarkEnd w:id="83"/>
    </w:p>
    <w:p>
      <w:pPr>
        <w:spacing w:line="0" w:lineRule="atLeast"/>
        <w:outlineLvl w:val="1"/>
        <w:rPr>
          <w:rFonts w:ascii="宋体" w:hAnsi="宋体"/>
          <w:szCs w:val="21"/>
        </w:rPr>
      </w:pP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3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3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25724"/>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8916"/>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4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4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4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6" w:name="_Toc29953"/>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17351"/>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92"/>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90" w:name="_Toc100848654"/>
      <w:bookmarkStart w:id="91" w:name="_Toc8806"/>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4"/>
        </w:rPr>
      </w:pPr>
      <w:r>
        <w:rPr>
          <w:rFonts w:hint="eastAsia" w:ascii="仿宋" w:hAnsi="仿宋" w:eastAsia="仿宋"/>
          <w:b/>
          <w:color w:val="FF0000"/>
          <w:sz w:val="24"/>
        </w:rPr>
        <w:t>【特别注意】</w:t>
      </w:r>
    </w:p>
    <w:p>
      <w:pPr>
        <w:pStyle w:val="13"/>
        <w:numPr>
          <w:ilvl w:val="0"/>
          <w:numId w:val="45"/>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3"/>
        <w:numPr>
          <w:ilvl w:val="0"/>
          <w:numId w:val="45"/>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3"/>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64" w:rightChars="-364"/>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2CC6B"/>
    <w:multiLevelType w:val="singleLevel"/>
    <w:tmpl w:val="8B12CC6B"/>
    <w:lvl w:ilvl="0" w:tentative="0">
      <w:start w:val="1"/>
      <w:numFmt w:val="decimal"/>
      <w:lvlText w:val="(%1)"/>
      <w:lvlJc w:val="left"/>
      <w:pPr>
        <w:ind w:left="425" w:hanging="425"/>
      </w:pPr>
      <w:rPr>
        <w:rFonts w:hint="default"/>
      </w:rPr>
    </w:lvl>
  </w:abstractNum>
  <w:abstractNum w:abstractNumId="1">
    <w:nsid w:val="94500E31"/>
    <w:multiLevelType w:val="singleLevel"/>
    <w:tmpl w:val="94500E31"/>
    <w:lvl w:ilvl="0" w:tentative="0">
      <w:start w:val="1"/>
      <w:numFmt w:val="decimal"/>
      <w:lvlText w:val="(%1)"/>
      <w:lvlJc w:val="left"/>
      <w:pPr>
        <w:ind w:left="425" w:hanging="425"/>
      </w:pPr>
      <w:rPr>
        <w:rFonts w:hint="default"/>
      </w:rPr>
    </w:lvl>
  </w:abstractNum>
  <w:abstractNum w:abstractNumId="2">
    <w:nsid w:val="953B9212"/>
    <w:multiLevelType w:val="singleLevel"/>
    <w:tmpl w:val="953B9212"/>
    <w:lvl w:ilvl="0" w:tentative="0">
      <w:start w:val="1"/>
      <w:numFmt w:val="decimal"/>
      <w:lvlText w:val="(%1)"/>
      <w:lvlJc w:val="left"/>
      <w:pPr>
        <w:ind w:left="425" w:hanging="425"/>
      </w:pPr>
      <w:rPr>
        <w:rFonts w:hint="default"/>
      </w:rPr>
    </w:lvl>
  </w:abstractNum>
  <w:abstractNum w:abstractNumId="3">
    <w:nsid w:val="9FA34541"/>
    <w:multiLevelType w:val="singleLevel"/>
    <w:tmpl w:val="9FA34541"/>
    <w:lvl w:ilvl="0" w:tentative="0">
      <w:start w:val="1"/>
      <w:numFmt w:val="decimal"/>
      <w:lvlText w:val="(%1)"/>
      <w:lvlJc w:val="left"/>
      <w:pPr>
        <w:ind w:left="425" w:hanging="425"/>
      </w:pPr>
      <w:rPr>
        <w:rFonts w:hint="default"/>
      </w:rPr>
    </w:lvl>
  </w:abstractNum>
  <w:abstractNum w:abstractNumId="4">
    <w:nsid w:val="A2281775"/>
    <w:multiLevelType w:val="singleLevel"/>
    <w:tmpl w:val="A2281775"/>
    <w:lvl w:ilvl="0" w:tentative="0">
      <w:start w:val="1"/>
      <w:numFmt w:val="decimal"/>
      <w:suff w:val="space"/>
      <w:lvlText w:val="%1."/>
      <w:lvlJc w:val="left"/>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AA5A57F"/>
    <w:multiLevelType w:val="singleLevel"/>
    <w:tmpl w:val="DAA5A57F"/>
    <w:lvl w:ilvl="0" w:tentative="0">
      <w:start w:val="1"/>
      <w:numFmt w:val="decimal"/>
      <w:suff w:val="space"/>
      <w:lvlText w:val="%1."/>
      <w:lvlJc w:val="left"/>
    </w:lvl>
  </w:abstractNum>
  <w:abstractNum w:abstractNumId="8">
    <w:nsid w:val="F7375EFC"/>
    <w:multiLevelType w:val="singleLevel"/>
    <w:tmpl w:val="F7375EFC"/>
    <w:lvl w:ilvl="0" w:tentative="0">
      <w:start w:val="1"/>
      <w:numFmt w:val="decimal"/>
      <w:lvlText w:val="(%1)"/>
      <w:lvlJc w:val="left"/>
      <w:pPr>
        <w:ind w:left="425" w:hanging="425"/>
      </w:pPr>
      <w:rPr>
        <w:rFonts w:hint="default"/>
      </w:rPr>
    </w:lvl>
  </w:abstractNum>
  <w:abstractNum w:abstractNumId="9">
    <w:nsid w:val="FCD3BD46"/>
    <w:multiLevelType w:val="singleLevel"/>
    <w:tmpl w:val="FCD3BD46"/>
    <w:lvl w:ilvl="0" w:tentative="0">
      <w:start w:val="1"/>
      <w:numFmt w:val="decimal"/>
      <w:lvlText w:val="(%1)"/>
      <w:lvlJc w:val="left"/>
      <w:pPr>
        <w:ind w:left="425" w:hanging="425"/>
      </w:pPr>
      <w:rPr>
        <w:rFonts w:hint="default"/>
      </w:rPr>
    </w:lvl>
  </w:abstractNum>
  <w:abstractNum w:abstractNumId="10">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3"/>
    <w:multiLevelType w:val="singleLevel"/>
    <w:tmpl w:val="00000013"/>
    <w:lvl w:ilvl="0" w:tentative="0">
      <w:start w:val="1"/>
      <w:numFmt w:val="decimal"/>
      <w:lvlText w:val="%1."/>
      <w:lvlJc w:val="left"/>
      <w:pPr>
        <w:ind w:left="420" w:hanging="420"/>
      </w:pPr>
    </w:lvl>
  </w:abstractNum>
  <w:abstractNum w:abstractNumId="14">
    <w:nsid w:val="13B3B92B"/>
    <w:multiLevelType w:val="singleLevel"/>
    <w:tmpl w:val="13B3B92B"/>
    <w:lvl w:ilvl="0" w:tentative="0">
      <w:start w:val="1"/>
      <w:numFmt w:val="decimal"/>
      <w:lvlText w:val="(%1)"/>
      <w:lvlJc w:val="left"/>
      <w:pPr>
        <w:ind w:left="425" w:hanging="425"/>
      </w:pPr>
      <w:rPr>
        <w:rFonts w:hint="default"/>
      </w:rPr>
    </w:lvl>
  </w:abstractNum>
  <w:abstractNum w:abstractNumId="1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1AC0D32C"/>
    <w:multiLevelType w:val="singleLevel"/>
    <w:tmpl w:val="1AC0D32C"/>
    <w:lvl w:ilvl="0" w:tentative="0">
      <w:start w:val="1"/>
      <w:numFmt w:val="decimal"/>
      <w:lvlText w:val="(%1)"/>
      <w:lvlJc w:val="left"/>
      <w:pPr>
        <w:ind w:left="425" w:hanging="425"/>
      </w:pPr>
      <w:rPr>
        <w:rFonts w:hint="default"/>
      </w:rPr>
    </w:lvl>
  </w:abstractNum>
  <w:abstractNum w:abstractNumId="18">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02759B6"/>
    <w:multiLevelType w:val="singleLevel"/>
    <w:tmpl w:val="202759B6"/>
    <w:lvl w:ilvl="0" w:tentative="0">
      <w:start w:val="1"/>
      <w:numFmt w:val="decimal"/>
      <w:lvlText w:val="(%1)"/>
      <w:lvlJc w:val="left"/>
      <w:pPr>
        <w:ind w:left="425" w:hanging="425"/>
      </w:pPr>
      <w:rPr>
        <w:rFonts w:hint="default"/>
      </w:rPr>
    </w:lvl>
  </w:abstractNum>
  <w:abstractNum w:abstractNumId="20">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8E10C89"/>
    <w:multiLevelType w:val="singleLevel"/>
    <w:tmpl w:val="28E10C89"/>
    <w:lvl w:ilvl="0" w:tentative="0">
      <w:start w:val="1"/>
      <w:numFmt w:val="decimal"/>
      <w:suff w:val="space"/>
      <w:lvlText w:val="%1."/>
      <w:lvlJc w:val="left"/>
    </w:lvl>
  </w:abstractNum>
  <w:abstractNum w:abstractNumId="24">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9CAB825"/>
    <w:multiLevelType w:val="singleLevel"/>
    <w:tmpl w:val="49CAB825"/>
    <w:lvl w:ilvl="0" w:tentative="0">
      <w:start w:val="1"/>
      <w:numFmt w:val="decimal"/>
      <w:lvlText w:val="(%1)"/>
      <w:lvlJc w:val="left"/>
      <w:pPr>
        <w:ind w:left="425" w:hanging="425"/>
      </w:pPr>
      <w:rPr>
        <w:rFonts w:hint="default"/>
      </w:rPr>
    </w:lvl>
  </w:abstractNum>
  <w:abstractNum w:abstractNumId="31">
    <w:nsid w:val="510B8591"/>
    <w:multiLevelType w:val="singleLevel"/>
    <w:tmpl w:val="510B8591"/>
    <w:lvl w:ilvl="0" w:tentative="0">
      <w:start w:val="1"/>
      <w:numFmt w:val="decimal"/>
      <w:lvlText w:val="(%1)"/>
      <w:lvlJc w:val="left"/>
      <w:pPr>
        <w:ind w:left="425" w:hanging="425"/>
      </w:pPr>
      <w:rPr>
        <w:rFonts w:hint="default"/>
      </w:rPr>
    </w:lvl>
  </w:abstractNum>
  <w:abstractNum w:abstractNumId="3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CFA4B24"/>
    <w:multiLevelType w:val="singleLevel"/>
    <w:tmpl w:val="5CFA4B24"/>
    <w:lvl w:ilvl="0" w:tentative="0">
      <w:start w:val="1"/>
      <w:numFmt w:val="decimal"/>
      <w:lvlText w:val="(%1)"/>
      <w:lvlJc w:val="left"/>
      <w:pPr>
        <w:ind w:left="425" w:hanging="425"/>
      </w:pPr>
      <w:rPr>
        <w:rFonts w:hint="default"/>
      </w:rPr>
    </w:lvl>
  </w:abstractNum>
  <w:abstractNum w:abstractNumId="36">
    <w:nsid w:val="666C4528"/>
    <w:multiLevelType w:val="singleLevel"/>
    <w:tmpl w:val="666C4528"/>
    <w:lvl w:ilvl="0" w:tentative="0">
      <w:start w:val="1"/>
      <w:numFmt w:val="decimal"/>
      <w:lvlText w:val="(%1)"/>
      <w:lvlJc w:val="left"/>
      <w:pPr>
        <w:ind w:left="425" w:hanging="425"/>
      </w:pPr>
      <w:rPr>
        <w:rFonts w:hint="default"/>
      </w:rPr>
    </w:lvl>
  </w:abstractNum>
  <w:abstractNum w:abstractNumId="37">
    <w:nsid w:val="66EBE7B2"/>
    <w:multiLevelType w:val="singleLevel"/>
    <w:tmpl w:val="66EBE7B2"/>
    <w:lvl w:ilvl="0" w:tentative="0">
      <w:start w:val="1"/>
      <w:numFmt w:val="decimal"/>
      <w:lvlText w:val="(%1)"/>
      <w:lvlJc w:val="left"/>
      <w:pPr>
        <w:ind w:left="425" w:hanging="425"/>
      </w:pPr>
      <w:rPr>
        <w:rFonts w:hint="default"/>
      </w:rPr>
    </w:lvl>
  </w:abstractNum>
  <w:abstractNum w:abstractNumId="38">
    <w:nsid w:val="67D40062"/>
    <w:multiLevelType w:val="multilevel"/>
    <w:tmpl w:val="67D40062"/>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1">
    <w:nsid w:val="739433F9"/>
    <w:multiLevelType w:val="singleLevel"/>
    <w:tmpl w:val="739433F9"/>
    <w:lvl w:ilvl="0" w:tentative="0">
      <w:start w:val="1"/>
      <w:numFmt w:val="decimal"/>
      <w:suff w:val="space"/>
      <w:lvlText w:val="%1."/>
      <w:lvlJc w:val="left"/>
    </w:lvl>
  </w:abstractNum>
  <w:abstractNum w:abstractNumId="42">
    <w:nsid w:val="7B4A4E0C"/>
    <w:multiLevelType w:val="singleLevel"/>
    <w:tmpl w:val="7B4A4E0C"/>
    <w:lvl w:ilvl="0" w:tentative="0">
      <w:start w:val="1"/>
      <w:numFmt w:val="decimal"/>
      <w:lvlText w:val="（%1）"/>
      <w:lvlJc w:val="left"/>
      <w:pPr>
        <w:ind w:left="420" w:hanging="420"/>
      </w:pPr>
      <w:rPr>
        <w:rFonts w:hint="eastAsia"/>
      </w:rPr>
    </w:lvl>
  </w:abstractNum>
  <w:abstractNum w:abstractNumId="43">
    <w:nsid w:val="7ED17433"/>
    <w:multiLevelType w:val="singleLevel"/>
    <w:tmpl w:val="7ED17433"/>
    <w:lvl w:ilvl="0" w:tentative="0">
      <w:start w:val="1"/>
      <w:numFmt w:val="decimal"/>
      <w:lvlText w:val="（%1）"/>
      <w:lvlJc w:val="left"/>
      <w:pPr>
        <w:ind w:left="420" w:hanging="420"/>
      </w:pPr>
      <w:rPr>
        <w:rFonts w:hint="eastAsia"/>
      </w:rPr>
    </w:lvl>
  </w:abstractNum>
  <w:num w:numId="1">
    <w:abstractNumId w:val="33"/>
  </w:num>
  <w:num w:numId="2">
    <w:abstractNumId w:val="40"/>
  </w:num>
  <w:num w:numId="3">
    <w:abstractNumId w:val="26"/>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4"/>
  </w:num>
  <w:num w:numId="8">
    <w:abstractNumId w:val="27"/>
  </w:num>
  <w:num w:numId="9">
    <w:abstractNumId w:val="15"/>
  </w:num>
  <w:num w:numId="10">
    <w:abstractNumId w:val="42"/>
  </w:num>
  <w:num w:numId="11">
    <w:abstractNumId w:val="43"/>
  </w:num>
  <w:num w:numId="12">
    <w:abstractNumId w:val="3"/>
  </w:num>
  <w:num w:numId="13">
    <w:abstractNumId w:val="30"/>
  </w:num>
  <w:num w:numId="14">
    <w:abstractNumId w:val="2"/>
  </w:num>
  <w:num w:numId="15">
    <w:abstractNumId w:val="31"/>
  </w:num>
  <w:num w:numId="16">
    <w:abstractNumId w:val="14"/>
  </w:num>
  <w:num w:numId="17">
    <w:abstractNumId w:val="35"/>
  </w:num>
  <w:num w:numId="18">
    <w:abstractNumId w:val="17"/>
  </w:num>
  <w:num w:numId="19">
    <w:abstractNumId w:val="19"/>
  </w:num>
  <w:num w:numId="20">
    <w:abstractNumId w:val="36"/>
  </w:num>
  <w:num w:numId="21">
    <w:abstractNumId w:val="37"/>
  </w:num>
  <w:num w:numId="22">
    <w:abstractNumId w:val="6"/>
  </w:num>
  <w:num w:numId="23">
    <w:abstractNumId w:val="23"/>
  </w:num>
  <w:num w:numId="24">
    <w:abstractNumId w:val="12"/>
  </w:num>
  <w:num w:numId="25">
    <w:abstractNumId w:val="41"/>
  </w:num>
  <w:num w:numId="26">
    <w:abstractNumId w:val="18"/>
  </w:num>
  <w:num w:numId="27">
    <w:abstractNumId w:val="1"/>
  </w:num>
  <w:num w:numId="28">
    <w:abstractNumId w:val="8"/>
  </w:num>
  <w:num w:numId="29">
    <w:abstractNumId w:val="9"/>
  </w:num>
  <w:num w:numId="30">
    <w:abstractNumId w:val="25"/>
  </w:num>
  <w:num w:numId="31">
    <w:abstractNumId w:val="0"/>
  </w:num>
  <w:num w:numId="32">
    <w:abstractNumId w:val="4"/>
  </w:num>
  <w:num w:numId="33">
    <w:abstractNumId w:val="7"/>
  </w:num>
  <w:num w:numId="34">
    <w:abstractNumId w:val="38"/>
  </w:num>
  <w:num w:numId="35">
    <w:abstractNumId w:val="11"/>
  </w:num>
  <w:num w:numId="36">
    <w:abstractNumId w:val="10"/>
  </w:num>
  <w:num w:numId="37">
    <w:abstractNumId w:val="39"/>
  </w:num>
  <w:num w:numId="38">
    <w:abstractNumId w:val="28"/>
  </w:num>
  <w:num w:numId="39">
    <w:abstractNumId w:val="24"/>
  </w:num>
  <w:num w:numId="40">
    <w:abstractNumId w:val="21"/>
  </w:num>
  <w:num w:numId="41">
    <w:abstractNumId w:val="29"/>
  </w:num>
  <w:num w:numId="42">
    <w:abstractNumId w:val="20"/>
  </w:num>
  <w:num w:numId="43">
    <w:abstractNumId w:val="13"/>
  </w:num>
  <w:num w:numId="44">
    <w:abstractNumId w:val="3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ZjAyMzkzZjc2YTI3MWI3MmJiMWQxNzVhMDYzMDA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D65B4"/>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6A37A3"/>
    <w:rsid w:val="019E7CBD"/>
    <w:rsid w:val="01AD441C"/>
    <w:rsid w:val="02B47C4D"/>
    <w:rsid w:val="031E46F5"/>
    <w:rsid w:val="04450729"/>
    <w:rsid w:val="04D46768"/>
    <w:rsid w:val="04F90B5F"/>
    <w:rsid w:val="0508501E"/>
    <w:rsid w:val="053A1CC8"/>
    <w:rsid w:val="06856661"/>
    <w:rsid w:val="077B4608"/>
    <w:rsid w:val="07BB74B6"/>
    <w:rsid w:val="08493DEA"/>
    <w:rsid w:val="086E4EC9"/>
    <w:rsid w:val="0A060403"/>
    <w:rsid w:val="0B734A64"/>
    <w:rsid w:val="0BC2323F"/>
    <w:rsid w:val="0CDE01F2"/>
    <w:rsid w:val="0CFC7C34"/>
    <w:rsid w:val="0D3015E1"/>
    <w:rsid w:val="0DD201F4"/>
    <w:rsid w:val="0EA444B0"/>
    <w:rsid w:val="0F4526B6"/>
    <w:rsid w:val="10091618"/>
    <w:rsid w:val="10EB4E20"/>
    <w:rsid w:val="125F02DB"/>
    <w:rsid w:val="12F75B6E"/>
    <w:rsid w:val="136D7A6B"/>
    <w:rsid w:val="13E92730"/>
    <w:rsid w:val="152B64B8"/>
    <w:rsid w:val="15740DA4"/>
    <w:rsid w:val="16642AC2"/>
    <w:rsid w:val="195A6BC0"/>
    <w:rsid w:val="1A0B3364"/>
    <w:rsid w:val="1A8B03AC"/>
    <w:rsid w:val="1C29694E"/>
    <w:rsid w:val="1C5670DA"/>
    <w:rsid w:val="1D06615B"/>
    <w:rsid w:val="1DC22DF1"/>
    <w:rsid w:val="1DCE47C7"/>
    <w:rsid w:val="1F044472"/>
    <w:rsid w:val="1F7074E6"/>
    <w:rsid w:val="20190F7D"/>
    <w:rsid w:val="21C34F27"/>
    <w:rsid w:val="21C75998"/>
    <w:rsid w:val="227A4EED"/>
    <w:rsid w:val="228D0750"/>
    <w:rsid w:val="22F40C33"/>
    <w:rsid w:val="24786106"/>
    <w:rsid w:val="25A5748F"/>
    <w:rsid w:val="25CA17AD"/>
    <w:rsid w:val="25D85A3C"/>
    <w:rsid w:val="262A595E"/>
    <w:rsid w:val="26314DBC"/>
    <w:rsid w:val="267E19B6"/>
    <w:rsid w:val="269651DA"/>
    <w:rsid w:val="26E95967"/>
    <w:rsid w:val="27A75DE3"/>
    <w:rsid w:val="2A1D36D7"/>
    <w:rsid w:val="2B9E3425"/>
    <w:rsid w:val="2BD84FDD"/>
    <w:rsid w:val="2BFA4386"/>
    <w:rsid w:val="2CB803B8"/>
    <w:rsid w:val="2CD73EA3"/>
    <w:rsid w:val="2CEC6973"/>
    <w:rsid w:val="2D845ED0"/>
    <w:rsid w:val="2E1A20D5"/>
    <w:rsid w:val="2EE77F70"/>
    <w:rsid w:val="30381F4F"/>
    <w:rsid w:val="315B7076"/>
    <w:rsid w:val="331A53C6"/>
    <w:rsid w:val="34A05B77"/>
    <w:rsid w:val="355B307E"/>
    <w:rsid w:val="37097428"/>
    <w:rsid w:val="38AC36F6"/>
    <w:rsid w:val="3A854BA3"/>
    <w:rsid w:val="3BB26AC4"/>
    <w:rsid w:val="3C35255B"/>
    <w:rsid w:val="3D3679ED"/>
    <w:rsid w:val="3DA51B48"/>
    <w:rsid w:val="3E395598"/>
    <w:rsid w:val="400658E8"/>
    <w:rsid w:val="405F2397"/>
    <w:rsid w:val="4072748D"/>
    <w:rsid w:val="408D7227"/>
    <w:rsid w:val="41407E51"/>
    <w:rsid w:val="416718EC"/>
    <w:rsid w:val="42E32368"/>
    <w:rsid w:val="439D7A21"/>
    <w:rsid w:val="43D97719"/>
    <w:rsid w:val="4466358C"/>
    <w:rsid w:val="447267E8"/>
    <w:rsid w:val="44E431E5"/>
    <w:rsid w:val="46B30DE6"/>
    <w:rsid w:val="47163CED"/>
    <w:rsid w:val="47290D70"/>
    <w:rsid w:val="492A4A83"/>
    <w:rsid w:val="495C1F5C"/>
    <w:rsid w:val="4AF77150"/>
    <w:rsid w:val="4B8B03E4"/>
    <w:rsid w:val="4D9A3F67"/>
    <w:rsid w:val="4DDF67CC"/>
    <w:rsid w:val="4E01638D"/>
    <w:rsid w:val="4ED20EAE"/>
    <w:rsid w:val="4EE12BFB"/>
    <w:rsid w:val="50E85CB1"/>
    <w:rsid w:val="50FA6A61"/>
    <w:rsid w:val="51794BC1"/>
    <w:rsid w:val="53D25371"/>
    <w:rsid w:val="540F1FD2"/>
    <w:rsid w:val="561F6663"/>
    <w:rsid w:val="57315BF2"/>
    <w:rsid w:val="57594B93"/>
    <w:rsid w:val="57B21150"/>
    <w:rsid w:val="57D94CB9"/>
    <w:rsid w:val="594A6990"/>
    <w:rsid w:val="5A2E0F40"/>
    <w:rsid w:val="5BDD23FE"/>
    <w:rsid w:val="5C4C5214"/>
    <w:rsid w:val="5DAB3D42"/>
    <w:rsid w:val="5E8307E5"/>
    <w:rsid w:val="60475C3F"/>
    <w:rsid w:val="60785544"/>
    <w:rsid w:val="60A60070"/>
    <w:rsid w:val="60E02E77"/>
    <w:rsid w:val="61A26997"/>
    <w:rsid w:val="61CA3543"/>
    <w:rsid w:val="622C21AB"/>
    <w:rsid w:val="627E0290"/>
    <w:rsid w:val="62D00ABF"/>
    <w:rsid w:val="630A13FF"/>
    <w:rsid w:val="640C25AF"/>
    <w:rsid w:val="66EB30F0"/>
    <w:rsid w:val="67457773"/>
    <w:rsid w:val="683A303D"/>
    <w:rsid w:val="68E97B63"/>
    <w:rsid w:val="6A5B2F9C"/>
    <w:rsid w:val="6AB77134"/>
    <w:rsid w:val="6B1E605C"/>
    <w:rsid w:val="6BBD743A"/>
    <w:rsid w:val="6C5E0507"/>
    <w:rsid w:val="6C6B5505"/>
    <w:rsid w:val="6CB776CE"/>
    <w:rsid w:val="6DF67C63"/>
    <w:rsid w:val="6E3F209B"/>
    <w:rsid w:val="6F6F25AF"/>
    <w:rsid w:val="725336E8"/>
    <w:rsid w:val="72C00326"/>
    <w:rsid w:val="72EC58C2"/>
    <w:rsid w:val="73120F03"/>
    <w:rsid w:val="74783A1C"/>
    <w:rsid w:val="74792A81"/>
    <w:rsid w:val="74AB354D"/>
    <w:rsid w:val="74B05132"/>
    <w:rsid w:val="74F73B56"/>
    <w:rsid w:val="76B17983"/>
    <w:rsid w:val="76C34CAF"/>
    <w:rsid w:val="76C52AAF"/>
    <w:rsid w:val="76E063E5"/>
    <w:rsid w:val="772A35DE"/>
    <w:rsid w:val="77922AEF"/>
    <w:rsid w:val="79331CF6"/>
    <w:rsid w:val="798425C1"/>
    <w:rsid w:val="79A35F22"/>
    <w:rsid w:val="79BF662E"/>
    <w:rsid w:val="7A0F42A2"/>
    <w:rsid w:val="7A751935"/>
    <w:rsid w:val="7A916B91"/>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link w:val="26"/>
    <w:unhideWhenUsed/>
    <w:qFormat/>
    <w:uiPriority w:val="99"/>
    <w:pPr>
      <w:jc w:val="left"/>
    </w:pPr>
  </w:style>
  <w:style w:type="paragraph" w:styleId="5">
    <w:name w:val="Body Text"/>
    <w:basedOn w:val="1"/>
    <w:next w:val="1"/>
    <w:qFormat/>
    <w:uiPriority w:val="0"/>
    <w:pPr>
      <w:widowControl/>
      <w:spacing w:after="220" w:line="180" w:lineRule="atLeast"/>
      <w:ind w:left="835"/>
    </w:pPr>
    <w:rPr>
      <w:rFonts w:ascii="Arial" w:hAnsi="Arial"/>
      <w:spacing w:val="-5"/>
      <w:kern w:val="0"/>
      <w:sz w:val="20"/>
    </w:rPr>
  </w:style>
  <w:style w:type="paragraph" w:styleId="6">
    <w:name w:val="toc 3"/>
    <w:basedOn w:val="1"/>
    <w:next w:val="1"/>
    <w:unhideWhenUsed/>
    <w:qFormat/>
    <w:uiPriority w:val="39"/>
    <w:pPr>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30"/>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5"/>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4"/>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4"/>
    <w:next w:val="4"/>
    <w:link w:val="3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4"/>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7"/>
    <w:semiHidden/>
    <w:qFormat/>
    <w:uiPriority w:val="99"/>
    <w:rPr>
      <w:rFonts w:ascii="Times New Roman" w:hAnsi="Times New Roman" w:eastAsia="宋体" w:cs="Times New Roman"/>
      <w:sz w:val="18"/>
      <w:szCs w:val="18"/>
    </w:rPr>
  </w:style>
  <w:style w:type="character" w:customStyle="1" w:styleId="29">
    <w:name w:val="页眉 字符"/>
    <w:basedOn w:val="18"/>
    <w:link w:val="9"/>
    <w:qFormat/>
    <w:uiPriority w:val="99"/>
    <w:rPr>
      <w:rFonts w:ascii="Times New Roman" w:hAnsi="Times New Roman" w:eastAsia="宋体" w:cs="Times New Roman"/>
      <w:sz w:val="18"/>
      <w:szCs w:val="18"/>
    </w:rPr>
  </w:style>
  <w:style w:type="character" w:customStyle="1" w:styleId="30">
    <w:name w:val="页脚 字符"/>
    <w:basedOn w:val="18"/>
    <w:link w:val="8"/>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5"/>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3"/>
    <w:qFormat/>
    <w:uiPriority w:val="0"/>
    <w:rPr>
      <w:rFonts w:ascii="仿宋_GB2312" w:hAnsi="宋体" w:eastAsia="仿宋_GB2312"/>
      <w:kern w:val="2"/>
      <w:sz w:val="21"/>
      <w:szCs w:val="24"/>
    </w:rPr>
  </w:style>
  <w:style w:type="character" w:customStyle="1" w:styleId="35">
    <w:name w:val="脚注文本 字符"/>
    <w:basedOn w:val="18"/>
    <w:link w:val="11"/>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19539</Words>
  <Characters>20762</Characters>
  <Lines>139</Lines>
  <Paragraphs>39</Paragraphs>
  <TotalTime>59</TotalTime>
  <ScaleCrop>false</ScaleCrop>
  <LinksUpToDate>false</LinksUpToDate>
  <CharactersWithSpaces>24061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dcterms:modified xsi:type="dcterms:W3CDTF">2023-08-27T08:57:31Z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0803AEB176CB4C5E987350936183CDE6</vt:lpwstr>
  </property>
</Properties>
</file>