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简体" w:eastAsia="方正小标宋简体" w:cs="方正小标宋简体"/>
          <w:b/>
          <w:sz w:val="72"/>
          <w:szCs w:val="72"/>
        </w:rPr>
        <w:t>询比价采购文件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_GBK" w:hAnsi="方正小标宋_GBK" w:eastAsia="方正小标宋_GBK" w:cs="方正小标宋_GBK"/>
          <w:b/>
          <w:sz w:val="32"/>
          <w:szCs w:val="32"/>
        </w:rPr>
        <w:t>深圳会展中心第二十五届高交会投资商定向邀请宣传推广采购项目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_Toc2390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_Toc2390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_Toc16656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_Toc16656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_Toc20527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_Toc20527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_Toc31704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_Toc31704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_Toc14847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_Toc14847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rPr>
          <w:rFonts w:hint="eastAsia" w:ascii="宋体" w:hAnsi="宋体" w:cs="仿宋"/>
          <w:szCs w:val="21"/>
        </w:rPr>
      </w:pPr>
      <w:r>
        <w:rPr>
          <w:rFonts w:hint="eastAsia" w:ascii="宋体" w:hAnsi="宋体" w:cs="仿宋"/>
          <w:szCs w:val="21"/>
        </w:rPr>
        <w:fldChar w:fldCharType="begin"/>
      </w:r>
      <w:r>
        <w:rPr>
          <w:rFonts w:hint="eastAsia" w:ascii="宋体" w:hAnsi="宋体" w:cs="仿宋"/>
          <w:szCs w:val="21"/>
        </w:rPr>
        <w:instrText xml:space="preserve"> HYPERLINK \l _Toc6040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_Toc6040 \h </w:instrText>
      </w:r>
      <w:r>
        <w:fldChar w:fldCharType="separate"/>
      </w:r>
      <w:r>
        <w:t>7</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_Toc1178 </w:instrText>
      </w:r>
      <w:r>
        <w:rPr>
          <w:rFonts w:hint="eastAsia" w:ascii="宋体" w:hAnsi="宋体" w:cs="仿宋"/>
          <w:szCs w:val="21"/>
        </w:rPr>
        <w:fldChar w:fldCharType="separate"/>
      </w:r>
      <w:r>
        <w:rPr>
          <w:rFonts w:hint="eastAsia" w:ascii="宋体" w:hAnsi="宋体"/>
          <w:szCs w:val="32"/>
        </w:rPr>
        <w:t>第</w:t>
      </w:r>
      <w:r>
        <w:rPr>
          <w:rFonts w:hint="eastAsia" w:ascii="宋体" w:hAnsi="宋体"/>
          <w:szCs w:val="32"/>
          <w:lang w:val="en-US" w:eastAsia="zh-CN"/>
        </w:rPr>
        <w:t>二</w:t>
      </w:r>
      <w:r>
        <w:rPr>
          <w:rFonts w:hint="eastAsia" w:ascii="宋体" w:hAnsi="宋体"/>
          <w:szCs w:val="32"/>
        </w:rPr>
        <w:t>部分：</w:t>
      </w:r>
      <w:r>
        <w:rPr>
          <w:rFonts w:hint="eastAsia" w:ascii="宋体" w:hAnsi="宋体"/>
          <w:szCs w:val="32"/>
          <w:lang w:val="en-US" w:eastAsia="zh-CN"/>
        </w:rPr>
        <w:t>开评标流程</w:t>
      </w:r>
      <w:r>
        <w:tab/>
      </w:r>
      <w:r>
        <w:fldChar w:fldCharType="begin"/>
      </w:r>
      <w:r>
        <w:instrText xml:space="preserve"> PAGEREF _Toc1178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_Toc25678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开标评标流程</w:t>
      </w:r>
      <w:r>
        <w:tab/>
      </w:r>
      <w:r>
        <w:fldChar w:fldCharType="begin"/>
      </w:r>
      <w:r>
        <w:instrText xml:space="preserve"> PAGEREF _Toc25678 \h </w:instrText>
      </w:r>
      <w:r>
        <w:fldChar w:fldCharType="separate"/>
      </w:r>
      <w:r>
        <w:t>7</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_Toc1178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_Toc1178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_Toc11167 </w:instrText>
      </w:r>
      <w:r>
        <w:rPr>
          <w:rFonts w:hint="eastAsia" w:ascii="宋体" w:hAnsi="宋体" w:cs="仿宋"/>
          <w:szCs w:val="21"/>
        </w:rPr>
        <w:fldChar w:fldCharType="separate"/>
      </w:r>
      <w:r>
        <w:rPr>
          <w:rFonts w:hint="eastAsia" w:ascii="宋体" w:hAnsi="宋体" w:eastAsia="宋体" w:cs="仿宋"/>
          <w:bCs/>
          <w:szCs w:val="21"/>
        </w:rPr>
        <w:t xml:space="preserve">七、 </w:t>
      </w:r>
      <w:r>
        <w:rPr>
          <w:rFonts w:hint="eastAsia" w:ascii="宋体" w:hAnsi="宋体"/>
          <w:bCs/>
          <w:szCs w:val="21"/>
        </w:rPr>
        <w:t>评审办法</w:t>
      </w:r>
      <w:r>
        <w:tab/>
      </w:r>
      <w:r>
        <w:fldChar w:fldCharType="begin"/>
      </w:r>
      <w:r>
        <w:instrText xml:space="preserve"> PAGEREF _Toc11167 \h </w:instrText>
      </w:r>
      <w:r>
        <w:fldChar w:fldCharType="separate"/>
      </w:r>
      <w:r>
        <w:t>7</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_Toc3396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_Toc3396 \h </w:instrText>
      </w:r>
      <w:r>
        <w:fldChar w:fldCharType="separate"/>
      </w:r>
      <w:r>
        <w:t>7</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_Toc22757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_Toc22757 \h </w:instrText>
      </w:r>
      <w:r>
        <w:fldChar w:fldCharType="separate"/>
      </w:r>
      <w:r>
        <w:t>8</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_Toc1604 </w:instrText>
      </w:r>
      <w:r>
        <w:rPr>
          <w:rFonts w:hint="eastAsia" w:ascii="宋体" w:hAnsi="宋体" w:cs="仿宋"/>
          <w:szCs w:val="21"/>
        </w:rPr>
        <w:fldChar w:fldCharType="separate"/>
      </w:r>
      <w:r>
        <w:rPr>
          <w:rFonts w:hint="default"/>
        </w:rPr>
        <w:t xml:space="preserve">（三） </w:t>
      </w:r>
      <w:r>
        <w:rPr>
          <w:rFonts w:hint="eastAsia" w:ascii="宋体" w:hAnsi="宋体"/>
          <w:bCs/>
          <w:szCs w:val="21"/>
        </w:rPr>
        <w:t>综合评议指标表</w:t>
      </w:r>
      <w:r>
        <w:tab/>
      </w:r>
      <w:r>
        <w:fldChar w:fldCharType="begin"/>
      </w:r>
      <w:r>
        <w:instrText xml:space="preserve"> PAGEREF _Toc1604 \h </w:instrText>
      </w:r>
      <w:r>
        <w:fldChar w:fldCharType="separate"/>
      </w:r>
      <w:r>
        <w:t>8</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_Toc30921 </w:instrText>
      </w:r>
      <w:r>
        <w:rPr>
          <w:rFonts w:hint="eastAsia" w:ascii="宋体" w:hAnsi="宋体" w:cs="仿宋"/>
          <w:szCs w:val="21"/>
        </w:rPr>
        <w:fldChar w:fldCharType="separate"/>
      </w:r>
      <w:r>
        <w:rPr>
          <w:rFonts w:hint="eastAsia"/>
          <w:szCs w:val="32"/>
        </w:rPr>
        <w:t>第</w:t>
      </w:r>
      <w:r>
        <w:rPr>
          <w:rFonts w:hint="eastAsia"/>
          <w:szCs w:val="32"/>
          <w:lang w:val="en-US" w:eastAsia="zh-CN"/>
        </w:rPr>
        <w:t>四</w:t>
      </w:r>
      <w:r>
        <w:rPr>
          <w:rFonts w:hint="eastAsia"/>
          <w:szCs w:val="32"/>
        </w:rPr>
        <w:t>部分：参考附件</w:t>
      </w:r>
      <w:r>
        <w:tab/>
      </w:r>
      <w:r>
        <w:fldChar w:fldCharType="begin"/>
      </w:r>
      <w:r>
        <w:instrText xml:space="preserve"> PAGEREF _Toc30921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_Toc4454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_Toc4454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_Toc24527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_Toc24527 \h </w:instrText>
      </w:r>
      <w:r>
        <w:fldChar w:fldCharType="separate"/>
      </w:r>
      <w:r>
        <w:t>12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_Toc29954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_Toc29954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_Toc6287 </w:instrText>
      </w:r>
      <w:r>
        <w:rPr>
          <w:rFonts w:hint="eastAsia" w:ascii="宋体" w:hAnsi="宋体" w:cs="仿宋"/>
          <w:szCs w:val="21"/>
        </w:rPr>
        <w:fldChar w:fldCharType="separate"/>
      </w:r>
      <w:r>
        <w:rPr>
          <w:rFonts w:hint="eastAsia" w:ascii="宋体" w:hAnsi="宋体"/>
          <w:szCs w:val="21"/>
        </w:rPr>
        <w:t>附件4：考察证明 （本项目不适用）</w:t>
      </w:r>
      <w:r>
        <w:tab/>
      </w:r>
      <w:r>
        <w:fldChar w:fldCharType="begin"/>
      </w:r>
      <w:r>
        <w:instrText xml:space="preserve"> PAGEREF _Toc6287 \h </w:instrText>
      </w:r>
      <w:r>
        <w:fldChar w:fldCharType="separate"/>
      </w:r>
      <w:r>
        <w:t>14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_Toc5930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_Toc5930 \h </w:instrText>
      </w:r>
      <w:r>
        <w:fldChar w:fldCharType="separate"/>
      </w:r>
      <w:r>
        <w:t>15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_Toc26500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_Toc26500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_Toc14883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_Toc14883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_Toc16052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_Toc16052 \h </w:instrText>
      </w:r>
      <w:r>
        <w:fldChar w:fldCharType="separate"/>
      </w:r>
      <w:r>
        <w:t>18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_Toc9572 </w:instrText>
      </w:r>
      <w:r>
        <w:rPr>
          <w:rFonts w:hint="eastAsia" w:ascii="宋体" w:hAnsi="宋体" w:cs="仿宋"/>
          <w:szCs w:val="21"/>
        </w:rPr>
        <w:fldChar w:fldCharType="separate"/>
      </w:r>
      <w:r>
        <w:rPr>
          <w:rFonts w:hint="eastAsia" w:ascii="宋体" w:hAnsi="宋体"/>
          <w:szCs w:val="21"/>
        </w:rPr>
        <w:t>附件9：报价一览表（工程）</w:t>
      </w:r>
      <w:r>
        <w:rPr>
          <w:rFonts w:hint="eastAsia" w:ascii="宋体" w:hAnsi="宋体"/>
          <w:szCs w:val="21"/>
          <w:highlight w:val="none"/>
          <w:lang w:eastAsia="zh-CN"/>
        </w:rPr>
        <w:t>（本项目不适用）</w:t>
      </w:r>
      <w:r>
        <w:tab/>
      </w:r>
      <w:r>
        <w:fldChar w:fldCharType="begin"/>
      </w:r>
      <w:r>
        <w:instrText xml:space="preserve"> PAGEREF _Toc9572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_Toc5913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_Toc5913 \h </w:instrText>
      </w:r>
      <w:r>
        <w:fldChar w:fldCharType="separate"/>
      </w:r>
      <w:r>
        <w:t>20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_Toc2014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_Toc2014 \h </w:instrText>
      </w:r>
      <w:r>
        <w:fldChar w:fldCharType="separate"/>
      </w:r>
      <w:r>
        <w:t>21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_Toc32340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_Toc32340 \h </w:instrText>
      </w:r>
      <w:r>
        <w:fldChar w:fldCharType="separate"/>
      </w:r>
      <w:r>
        <w:t>22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_Toc12628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_Toc12628 \h </w:instrText>
      </w:r>
      <w:r>
        <w:fldChar w:fldCharType="separate"/>
      </w:r>
      <w:r>
        <w:t>23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_Toc17181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_Toc17181 \h </w:instrText>
      </w:r>
      <w:r>
        <w:fldChar w:fldCharType="separate"/>
      </w:r>
      <w:r>
        <w:t>24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_Toc922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_Toc922 \h </w:instrText>
      </w:r>
      <w:r>
        <w:fldChar w:fldCharType="separate"/>
      </w:r>
      <w:r>
        <w:t>25</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2390"/>
      <w:bookmarkStart w:id="1" w:name="_Toc116550344"/>
      <w:r>
        <w:rPr>
          <w:rFonts w:hint="eastAsia" w:ascii="宋体" w:hAnsi="宋体"/>
          <w:b/>
          <w:sz w:val="32"/>
          <w:szCs w:val="32"/>
        </w:rPr>
        <w:t>第一部分 项目要求</w:t>
      </w:r>
      <w:bookmarkEnd w:id="0"/>
      <w:bookmarkEnd w:id="1"/>
    </w:p>
    <w:p>
      <w:pPr>
        <w:numPr>
          <w:ilvl w:val="0"/>
          <w:numId w:val="1"/>
        </w:numPr>
        <w:spacing w:before="156" w:beforeLines="50" w:line="360" w:lineRule="auto"/>
        <w:outlineLvl w:val="1"/>
        <w:rPr>
          <w:rFonts w:ascii="宋体" w:hAnsi="宋体"/>
          <w:b/>
          <w:szCs w:val="21"/>
        </w:rPr>
      </w:pPr>
      <w:bookmarkStart w:id="2" w:name="_Toc16656"/>
      <w:bookmarkStart w:id="3" w:name="_Toc116550345"/>
      <w:r>
        <w:rPr>
          <w:rFonts w:hint="eastAsia" w:ascii="宋体" w:hAnsi="宋体"/>
          <w:b/>
          <w:szCs w:val="21"/>
        </w:rPr>
        <w:t>投标人须知</w:t>
      </w:r>
      <w:bookmarkEnd w:id="2"/>
      <w:bookmarkEnd w:id="3"/>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szCs w:val="21"/>
              </w:rPr>
              <w:t>联系人：</w:t>
            </w:r>
            <w:r>
              <w:rPr>
                <w:rFonts w:hint="eastAsia" w:ascii="宋体" w:hAnsi="宋体" w:cs="宋体"/>
                <w:color w:val="auto"/>
                <w:szCs w:val="21"/>
                <w:highlight w:val="none"/>
              </w:rPr>
              <w:t>黄先生</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w:t>
            </w:r>
            <w:r>
              <w:rPr>
                <w:rFonts w:hint="eastAsia" w:ascii="宋体" w:hAnsi="宋体" w:cs="宋体"/>
                <w:color w:val="auto"/>
                <w:szCs w:val="21"/>
                <w:highlight w:val="none"/>
              </w:rPr>
              <w:t>8822</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color w:val="auto"/>
                <w:szCs w:val="21"/>
                <w:highlight w:val="none"/>
              </w:rPr>
              <w:t>邮箱：</w:t>
            </w:r>
            <w:r>
              <w:rPr>
                <w:rFonts w:hint="eastAsia" w:ascii="宋体" w:hAnsi="宋体" w:cs="宋体"/>
                <w:color w:val="auto"/>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szCs w:val="21"/>
                <w:lang w:val="en-US" w:eastAsia="zh-CN"/>
              </w:rPr>
              <w:t>深</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圳会展中心第二十五届高交会投资商定向邀请宣传推广采购项目</w:t>
            </w:r>
            <w:bookmarkStart w:id="116" w:name="_GoBack"/>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s="宋体"/>
                <w:color w:val="auto"/>
                <w:szCs w:val="21"/>
                <w:highlight w:val="none"/>
              </w:rPr>
              <w:t>为促进第二十五届高交会投资商定向邀请工作，选择与有专业资质的投资类媒体或服务平台合作，采购其宣传服务，在投资类或创业类网站、新媒体及其他大众媒体上进行宣传推广，并通过举办投资类会议活动进一步吸引投资商到场参观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在相关媒体上投放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80</w:t>
            </w:r>
            <w:r>
              <w:rPr>
                <w:rFonts w:hint="eastAsia" w:ascii="宋体" w:hAnsi="宋体"/>
                <w:color w:val="auto"/>
                <w:szCs w:val="21"/>
                <w:highlight w:val="none"/>
              </w:rPr>
              <w:t>天（自接到中标通知之日起至2023年11月25日，具体工作时间节点以招标人确定为准，中标单位配合开展工作）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w:t>
            </w:r>
            <w:r>
              <w:rPr>
                <w:rFonts w:ascii="宋体" w:hAnsi="宋体"/>
                <w:color w:val="FF0000"/>
                <w:szCs w:val="21"/>
                <w:highlight w:val="yellow"/>
              </w:rPr>
              <w:t>02</w:t>
            </w:r>
            <w:r>
              <w:rPr>
                <w:rFonts w:hint="eastAsia" w:ascii="宋体" w:hAnsi="宋体"/>
                <w:color w:val="FF0000"/>
                <w:szCs w:val="21"/>
                <w:highlight w:val="yellow"/>
                <w:lang w:val="en-US" w:eastAsia="zh-CN"/>
              </w:rPr>
              <w:t>3</w:t>
            </w:r>
            <w:r>
              <w:rPr>
                <w:rFonts w:ascii="宋体" w:hAnsi="宋体"/>
                <w:color w:val="FF0000"/>
                <w:szCs w:val="21"/>
                <w:highlight w:val="yellow"/>
              </w:rPr>
              <w:t>-</w:t>
            </w:r>
            <w:r>
              <w:rPr>
                <w:rFonts w:hint="eastAsia" w:ascii="宋体" w:hAnsi="宋体"/>
                <w:color w:val="FF0000"/>
                <w:szCs w:val="21"/>
                <w:highlight w:val="yellow"/>
                <w:lang w:val="en-US" w:eastAsia="zh-CN"/>
              </w:rPr>
              <w:t>8</w:t>
            </w:r>
            <w:r>
              <w:rPr>
                <w:rFonts w:ascii="宋体" w:hAnsi="宋体"/>
                <w:color w:val="FF0000"/>
                <w:szCs w:val="21"/>
                <w:highlight w:val="yellow"/>
              </w:rPr>
              <w:t>-</w:t>
            </w:r>
            <w:r>
              <w:rPr>
                <w:rFonts w:hint="eastAsia" w:ascii="宋体" w:hAnsi="宋体"/>
                <w:color w:val="FF0000"/>
                <w:szCs w:val="21"/>
                <w:highlight w:val="yellow"/>
                <w:lang w:val="en-US" w:eastAsia="zh-CN"/>
              </w:rPr>
              <w:t>28</w:t>
            </w:r>
            <w:r>
              <w:rPr>
                <w:rFonts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ascii="宋体" w:hAnsi="宋体"/>
                <w:color w:val="FF0000"/>
                <w:szCs w:val="21"/>
                <w:highlight w:val="yellow"/>
              </w:rPr>
              <w:t>:</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https://cg.szcec.com/sharing/tHpcY43CA，</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2</w:t>
            </w:r>
            <w:r>
              <w:rPr>
                <w:rFonts w:ascii="宋体" w:hAnsi="宋体"/>
                <w:szCs w:val="21"/>
                <w:highlight w:val="yellow"/>
              </w:rPr>
              <w:t xml:space="preserve"> </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2</w:t>
            </w:r>
            <w:r>
              <w:rPr>
                <w:rFonts w:ascii="宋体" w:hAnsi="宋体"/>
                <w:szCs w:val="21"/>
                <w:highlight w:val="yellow"/>
              </w:rPr>
              <w:t xml:space="preserve"> </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3</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6</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https://cg.szcec.com/sharing/tr0KAKAbV，</w:t>
            </w:r>
            <w:r>
              <w:rPr>
                <w:rFonts w:hint="eastAsia" w:ascii="宋体" w:hAnsi="宋体"/>
                <w:szCs w:val="21"/>
              </w:rPr>
              <w:t>并致电确认</w:t>
            </w:r>
            <w:bookmarkStart w:id="4" w:name="_Toc478393187"/>
            <w:bookmarkStart w:id="5" w:name="_Toc478110532"/>
            <w:bookmarkStart w:id="6" w:name="_Toc47839282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7"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7"/>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w:t>
            </w:r>
            <w:r>
              <w:rPr>
                <w:rFonts w:ascii="宋体" w:hAnsi="宋体"/>
                <w:color w:val="FF0000"/>
                <w:szCs w:val="21"/>
                <w:highlight w:val="yellow"/>
              </w:rPr>
              <w:t>02</w:t>
            </w:r>
            <w:r>
              <w:rPr>
                <w:rFonts w:hint="eastAsia" w:ascii="宋体" w:hAnsi="宋体"/>
                <w:color w:val="FF0000"/>
                <w:szCs w:val="21"/>
                <w:highlight w:val="yellow"/>
                <w:lang w:val="en-US" w:eastAsia="zh-CN"/>
              </w:rPr>
              <w:t>3</w:t>
            </w:r>
            <w:r>
              <w:rPr>
                <w:rFonts w:ascii="宋体" w:hAnsi="宋体"/>
                <w:color w:val="FF0000"/>
                <w:szCs w:val="21"/>
                <w:highlight w:val="yellow"/>
              </w:rPr>
              <w:t>-</w:t>
            </w:r>
            <w:r>
              <w:rPr>
                <w:rFonts w:hint="eastAsia" w:ascii="宋体" w:hAnsi="宋体"/>
                <w:color w:val="FF0000"/>
                <w:szCs w:val="21"/>
                <w:highlight w:val="yellow"/>
                <w:lang w:val="en-US" w:eastAsia="zh-CN"/>
              </w:rPr>
              <w:t>9</w:t>
            </w:r>
            <w:r>
              <w:rPr>
                <w:rFonts w:ascii="宋体" w:hAnsi="宋体"/>
                <w:color w:val="FF0000"/>
                <w:szCs w:val="21"/>
                <w:highlight w:val="yellow"/>
              </w:rPr>
              <w:t>-</w:t>
            </w:r>
            <w:r>
              <w:rPr>
                <w:rFonts w:hint="eastAsia" w:ascii="宋体" w:hAnsi="宋体"/>
                <w:color w:val="FF0000"/>
                <w:szCs w:val="21"/>
                <w:highlight w:val="yellow"/>
                <w:lang w:val="en-US" w:eastAsia="zh-CN"/>
              </w:rPr>
              <w:t>7</w:t>
            </w:r>
            <w:r>
              <w:rPr>
                <w:rFonts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ascii="宋体" w:hAnsi="宋体"/>
                <w:color w:val="FF0000"/>
                <w:szCs w:val="21"/>
                <w:highlight w:val="yellow"/>
              </w:rPr>
              <w:t>:</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深圳会展中心</w:t>
            </w:r>
            <w:r>
              <w:rPr>
                <w:rFonts w:hint="eastAsia" w:ascii="宋体" w:hAnsi="宋体"/>
                <w:color w:val="FF0000"/>
                <w:szCs w:val="21"/>
                <w:highlight w:val="yellow"/>
              </w:rPr>
              <w:t>7103</w:t>
            </w:r>
            <w:r>
              <w:rPr>
                <w:rFonts w:hint="eastAsia" w:ascii="宋体" w:hAnsi="宋体"/>
                <w:szCs w:val="21"/>
                <w:highlight w:val="yellow"/>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5分钟内将投标文件解密密码上传至https://cg.szcec.com/sharing/d2tOqa6nF</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A3"/>
            </w: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A3"/>
            </w: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highlight w:val="none"/>
              </w:rPr>
            </w:pPr>
            <w:r>
              <w:rPr>
                <w:rFonts w:hint="eastAsia" w:ascii="宋体" w:hAnsi="宋体" w:eastAsia="宋体"/>
                <w:kern w:val="0"/>
                <w:szCs w:val="21"/>
              </w:rPr>
              <w:t>招标人</w:t>
            </w:r>
            <w:r>
              <w:rPr>
                <w:rFonts w:hint="eastAsia" w:ascii="宋体" w:hAnsi="宋体" w:eastAsia="宋体"/>
                <w:kern w:val="0"/>
                <w:szCs w:val="21"/>
                <w:highlight w:val="none"/>
              </w:rPr>
              <w:t>定于202</w:t>
            </w:r>
            <w:r>
              <w:rPr>
                <w:rFonts w:hint="eastAsia" w:ascii="宋体" w:hAnsi="宋体" w:eastAsia="宋体"/>
                <w:kern w:val="0"/>
                <w:szCs w:val="21"/>
                <w:highlight w:val="none"/>
                <w:lang w:val="en-US" w:eastAsia="zh-CN"/>
              </w:rPr>
              <w:t>X</w:t>
            </w:r>
            <w:r>
              <w:rPr>
                <w:rFonts w:hint="eastAsia" w:ascii="宋体" w:hAnsi="宋体" w:eastAsia="宋体"/>
                <w:kern w:val="0"/>
                <w:szCs w:val="21"/>
                <w:highlight w:val="none"/>
              </w:rPr>
              <w:t>-</w:t>
            </w:r>
            <w:r>
              <w:rPr>
                <w:rFonts w:hint="eastAsia" w:ascii="宋体" w:hAnsi="宋体" w:eastAsia="宋体"/>
                <w:kern w:val="0"/>
                <w:szCs w:val="21"/>
                <w:highlight w:val="none"/>
                <w:lang w:val="en-US" w:eastAsia="zh-CN"/>
              </w:rPr>
              <w:t>X</w:t>
            </w:r>
            <w:r>
              <w:rPr>
                <w:rFonts w:hint="eastAsia" w:ascii="宋体" w:hAnsi="宋体" w:eastAsia="宋体"/>
                <w:kern w:val="0"/>
                <w:szCs w:val="21"/>
                <w:highlight w:val="none"/>
              </w:rPr>
              <w:t>-</w:t>
            </w:r>
            <w:r>
              <w:rPr>
                <w:rFonts w:hint="eastAsia" w:ascii="宋体" w:hAnsi="宋体" w:eastAsia="宋体"/>
                <w:kern w:val="0"/>
                <w:szCs w:val="21"/>
                <w:highlight w:val="none"/>
                <w:lang w:val="en-US" w:eastAsia="zh-CN"/>
              </w:rPr>
              <w:t xml:space="preserve">XXXXX： </w:t>
            </w:r>
            <w:r>
              <w:rPr>
                <w:rFonts w:hint="eastAsia" w:ascii="宋体" w:hAnsi="宋体" w:eastAsia="宋体"/>
                <w:kern w:val="0"/>
                <w:szCs w:val="21"/>
                <w:highlight w:val="none"/>
              </w:rPr>
              <w:t>邀请投标人人员察看现场并讲解项目需求；参加本项目的现场踏勘。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highlight w:val="none"/>
              </w:rPr>
            </w:pPr>
            <w:r>
              <w:rPr>
                <w:rFonts w:hint="eastAsia" w:ascii="宋体" w:hAnsi="宋体" w:eastAsia="宋体"/>
                <w:kern w:val="0"/>
                <w:szCs w:val="21"/>
                <w:highlight w:val="none"/>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highlight w:val="none"/>
              </w:rPr>
            </w:pPr>
            <w:r>
              <w:rPr>
                <w:rFonts w:hint="eastAsia" w:ascii="宋体" w:hAnsi="宋体" w:eastAsia="宋体"/>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highlight w:val="none"/>
              </w:rPr>
            </w:pPr>
            <w:r>
              <w:rPr>
                <w:rFonts w:hint="eastAsia" w:ascii="宋体" w:hAnsi="宋体" w:eastAsia="宋体"/>
                <w:kern w:val="0"/>
                <w:szCs w:val="21"/>
                <w:highlight w:val="none"/>
              </w:rPr>
              <w:t>踏勘联系人：</w:t>
            </w:r>
            <w:r>
              <w:rPr>
                <w:rFonts w:hint="eastAsia" w:ascii="宋体" w:hAnsi="宋体" w:eastAsia="宋体"/>
                <w:kern w:val="0"/>
                <w:szCs w:val="21"/>
                <w:highlight w:val="none"/>
                <w:lang w:val="en-US" w:eastAsia="zh-CN"/>
              </w:rPr>
              <w:t>XX</w:t>
            </w:r>
          </w:p>
          <w:p>
            <w:pPr>
              <w:pStyle w:val="22"/>
              <w:numPr>
                <w:ilvl w:val="0"/>
                <w:numId w:val="6"/>
              </w:numPr>
              <w:tabs>
                <w:tab w:val="left" w:pos="541"/>
              </w:tabs>
              <w:snapToGrid w:val="0"/>
              <w:ind w:left="805" w:hanging="224" w:firstLineChars="0"/>
              <w:rPr>
                <w:rFonts w:ascii="宋体" w:hAnsi="宋体" w:eastAsia="宋体"/>
                <w:kern w:val="0"/>
                <w:szCs w:val="21"/>
                <w:highlight w:val="none"/>
              </w:rPr>
            </w:pPr>
          </w:p>
          <w:p>
            <w:pPr>
              <w:pStyle w:val="22"/>
              <w:tabs>
                <w:tab w:val="left" w:pos="541"/>
              </w:tabs>
              <w:snapToGrid w:val="0"/>
              <w:ind w:left="805" w:firstLine="0" w:firstLineChars="0"/>
              <w:rPr>
                <w:rFonts w:hint="eastAsia" w:ascii="宋体" w:hAnsi="宋体" w:eastAsia="宋体"/>
                <w:kern w:val="0"/>
                <w:szCs w:val="21"/>
                <w:highlight w:val="none"/>
                <w:lang w:eastAsia="zh-CN"/>
              </w:rPr>
            </w:pPr>
            <w:r>
              <w:rPr>
                <w:rFonts w:hint="eastAsia" w:ascii="宋体" w:hAnsi="宋体" w:eastAsia="宋体"/>
                <w:kern w:val="0"/>
                <w:szCs w:val="21"/>
                <w:highlight w:val="none"/>
              </w:rPr>
              <w:t>电话：0755-8284</w:t>
            </w:r>
            <w:r>
              <w:rPr>
                <w:rFonts w:hint="eastAsia" w:ascii="宋体" w:hAnsi="宋体" w:eastAsia="宋体"/>
                <w:kern w:val="0"/>
                <w:szCs w:val="21"/>
                <w:highlight w:val="none"/>
                <w:lang w:val="en-US" w:eastAsia="zh-CN"/>
              </w:rPr>
              <w:t>XX</w:t>
            </w:r>
            <w:r>
              <w:rPr>
                <w:rFonts w:hint="eastAsia" w:ascii="宋体" w:hAnsi="宋体" w:eastAsia="宋体"/>
                <w:kern w:val="0"/>
                <w:szCs w:val="21"/>
                <w:highlight w:val="none"/>
              </w:rPr>
              <w:t>，手机：</w:t>
            </w:r>
            <w:r>
              <w:rPr>
                <w:rFonts w:hint="eastAsia" w:ascii="宋体" w:hAnsi="宋体" w:eastAsia="宋体"/>
                <w:kern w:val="0"/>
                <w:szCs w:val="21"/>
                <w:highlight w:val="none"/>
                <w:lang w:val="en-US" w:eastAsia="zh-CN"/>
              </w:rPr>
              <w:t>XXXXXXX</w:t>
            </w:r>
            <w:r>
              <w:rPr>
                <w:rFonts w:hint="eastAsia" w:ascii="宋体" w:hAnsi="宋体" w:eastAsia="宋体"/>
                <w:kern w:val="0"/>
                <w:szCs w:val="21"/>
                <w:highlight w:val="none"/>
              </w:rPr>
              <w:t>集合地点：</w:t>
            </w:r>
            <w:r>
              <w:rPr>
                <w:rFonts w:hint="eastAsia" w:ascii="宋体" w:hAnsi="宋体" w:eastAsia="宋体"/>
                <w:kern w:val="0"/>
                <w:szCs w:val="21"/>
                <w:highlight w:val="none"/>
                <w:lang w:eastAsia="zh-CN"/>
              </w:rPr>
              <w:t>会展中心</w:t>
            </w:r>
            <w:r>
              <w:rPr>
                <w:rFonts w:hint="eastAsia" w:ascii="宋体" w:hAnsi="宋体" w:eastAsia="宋体"/>
                <w:kern w:val="0"/>
                <w:szCs w:val="21"/>
                <w:highlight w:val="none"/>
                <w:lang w:val="en-US" w:eastAsia="zh-CN"/>
              </w:rPr>
              <w:t>XXXX</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highlight w:val="none"/>
              </w:rPr>
              <w:t>特别说明：若现场考察与本项目招标（采购）文件载明的要求不</w:t>
            </w:r>
            <w:r>
              <w:rPr>
                <w:rFonts w:hint="eastAsia" w:ascii="宋体" w:hAnsi="宋体" w:eastAsia="宋体"/>
                <w:kern w:val="0"/>
                <w:szCs w:val="21"/>
              </w:rPr>
              <w:t>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8" w:name="_Toc82684703"/>
      <w:bookmarkEnd w:id="8"/>
      <w:bookmarkStart w:id="9" w:name="_Toc82685541"/>
      <w:bookmarkEnd w:id="9"/>
      <w:bookmarkStart w:id="10" w:name="_Toc82685543"/>
      <w:bookmarkEnd w:id="10"/>
      <w:bookmarkStart w:id="11" w:name="_Toc82591926"/>
      <w:bookmarkEnd w:id="11"/>
      <w:bookmarkStart w:id="12" w:name="_Toc82684588"/>
      <w:bookmarkEnd w:id="12"/>
      <w:bookmarkStart w:id="13" w:name="_Toc82591928"/>
      <w:bookmarkEnd w:id="13"/>
      <w:bookmarkStart w:id="14" w:name="_Toc82591925"/>
      <w:bookmarkEnd w:id="14"/>
      <w:bookmarkStart w:id="15" w:name="_Toc82684590"/>
      <w:bookmarkEnd w:id="15"/>
      <w:bookmarkStart w:id="16" w:name="_Toc82684704"/>
      <w:bookmarkEnd w:id="16"/>
      <w:bookmarkStart w:id="17" w:name="_Toc82684589"/>
      <w:bookmarkEnd w:id="17"/>
      <w:bookmarkStart w:id="18" w:name="_Toc82684705"/>
      <w:bookmarkEnd w:id="18"/>
      <w:bookmarkStart w:id="19" w:name="_Toc82685540"/>
      <w:bookmarkEnd w:id="19"/>
      <w:bookmarkStart w:id="20" w:name="_Toc82591927"/>
      <w:bookmarkEnd w:id="20"/>
      <w:bookmarkStart w:id="21" w:name="_Toc82684706"/>
      <w:bookmarkEnd w:id="21"/>
      <w:bookmarkStart w:id="22" w:name="_Toc82684591"/>
      <w:bookmarkEnd w:id="22"/>
      <w:bookmarkStart w:id="23" w:name="_Toc82685542"/>
      <w:bookmarkEnd w:id="23"/>
      <w:bookmarkStart w:id="24" w:name="_Toc116550346"/>
      <w:bookmarkStart w:id="25" w:name="_Toc20527"/>
      <w:r>
        <w:rPr>
          <w:rFonts w:hint="eastAsia" w:ascii="宋体" w:hAnsi="宋体"/>
          <w:b/>
          <w:szCs w:val="21"/>
        </w:rPr>
        <w:t>特别说明</w:t>
      </w:r>
      <w:bookmarkEnd w:id="24"/>
      <w:bookmarkEnd w:id="25"/>
    </w:p>
    <w:p>
      <w:pPr>
        <w:pStyle w:val="22"/>
        <w:numPr>
          <w:ilvl w:val="0"/>
          <w:numId w:val="9"/>
        </w:numPr>
        <w:spacing w:line="360" w:lineRule="auto"/>
        <w:ind w:left="0" w:firstLine="420" w:firstLineChars="0"/>
        <w:rPr>
          <w:rFonts w:ascii="宋体" w:hAnsi="宋体" w:eastAsia="宋体" w:cs="宋体"/>
          <w:szCs w:val="21"/>
        </w:rPr>
      </w:pPr>
      <w:bookmarkStart w:id="26" w:name="_Toc45028463"/>
      <w:bookmarkStart w:id="27" w:name="_Toc517278751"/>
      <w:bookmarkStart w:id="28"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6"/>
    <w:bookmarkEnd w:id="27"/>
    <w:bookmarkEnd w:id="28"/>
    <w:p>
      <w:pPr>
        <w:numPr>
          <w:ilvl w:val="0"/>
          <w:numId w:val="1"/>
        </w:numPr>
        <w:spacing w:line="560" w:lineRule="exact"/>
        <w:outlineLvl w:val="1"/>
        <w:rPr>
          <w:rFonts w:ascii="宋体" w:hAnsi="宋体"/>
          <w:b/>
          <w:szCs w:val="21"/>
        </w:rPr>
      </w:pPr>
      <w:bookmarkStart w:id="29" w:name="_Toc82591988"/>
      <w:bookmarkEnd w:id="29"/>
      <w:bookmarkStart w:id="30" w:name="_Toc82591986"/>
      <w:bookmarkEnd w:id="30"/>
      <w:bookmarkStart w:id="31" w:name="_Toc82591930"/>
      <w:bookmarkEnd w:id="31"/>
      <w:bookmarkStart w:id="32" w:name="_Toc82591987"/>
      <w:bookmarkEnd w:id="32"/>
      <w:bookmarkStart w:id="33" w:name="_Toc82591985"/>
      <w:bookmarkEnd w:id="33"/>
      <w:bookmarkStart w:id="34" w:name="_Toc82685545"/>
      <w:bookmarkEnd w:id="34"/>
      <w:bookmarkStart w:id="35" w:name="_Toc82591989"/>
      <w:bookmarkEnd w:id="35"/>
      <w:bookmarkStart w:id="36" w:name="_Toc82684593"/>
      <w:bookmarkEnd w:id="36"/>
      <w:bookmarkStart w:id="37" w:name="_Toc82684708"/>
      <w:bookmarkEnd w:id="37"/>
      <w:bookmarkStart w:id="38" w:name="_Toc31704"/>
      <w:bookmarkStart w:id="39" w:name="_Toc116550347"/>
      <w:r>
        <w:rPr>
          <w:rFonts w:hint="eastAsia" w:ascii="宋体" w:hAnsi="宋体"/>
          <w:b/>
          <w:szCs w:val="21"/>
        </w:rPr>
        <w:t>投标文件编制</w:t>
      </w:r>
      <w:bookmarkEnd w:id="38"/>
      <w:bookmarkEnd w:id="39"/>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40" w:name="_Toc116550348"/>
      <w:bookmarkStart w:id="41" w:name="_Toc14847"/>
      <w:r>
        <w:rPr>
          <w:rFonts w:hint="eastAsia" w:ascii="宋体" w:hAnsi="宋体"/>
          <w:b/>
          <w:szCs w:val="21"/>
        </w:rPr>
        <w:t>项目要求</w:t>
      </w:r>
      <w:bookmarkEnd w:id="40"/>
      <w:bookmarkEnd w:id="41"/>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Cs w:val="21"/>
              </w:rPr>
            </w:pPr>
            <w:r>
              <w:rPr>
                <w:rFonts w:hint="eastAsia" w:ascii="宋体" w:hAnsi="宋体" w:eastAsia="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0"/>
              </w:tabs>
              <w:snapToGrid w:val="0"/>
              <w:ind w:left="1" w:leftChars="0"/>
              <w:rPr>
                <w:rFonts w:hint="eastAsia" w:ascii="宋体" w:hAnsi="宋体" w:eastAsia="宋体" w:cs="宋体"/>
                <w:color w:val="auto"/>
                <w:szCs w:val="21"/>
                <w:highlight w:val="none"/>
              </w:rPr>
            </w:pPr>
            <w:bookmarkStart w:id="42" w:name="OLE_LINK4"/>
            <w:bookmarkStart w:id="43" w:name="OLE_LINK3"/>
            <w:r>
              <w:rPr>
                <w:rFonts w:hint="eastAsia" w:ascii="宋体" w:hAnsi="宋体" w:eastAsia="宋体" w:cs="宋体"/>
                <w:szCs w:val="21"/>
              </w:rPr>
              <w:t>（</w:t>
            </w:r>
            <w:r>
              <w:rPr>
                <w:rFonts w:hint="eastAsia" w:ascii="宋体" w:hAnsi="宋体" w:eastAsia="宋体" w:cs="宋体"/>
                <w:color w:val="auto"/>
                <w:szCs w:val="21"/>
                <w:highlight w:val="none"/>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0"/>
              </w:tabs>
              <w:snapToGrid w:val="0"/>
              <w:ind w:left="1"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bookmarkEnd w:id="42"/>
          <w:bookmarkEnd w:id="43"/>
          <w:p>
            <w:pPr>
              <w:numPr>
                <w:ilvl w:val="0"/>
                <w:numId w:val="0"/>
              </w:numPr>
              <w:tabs>
                <w:tab w:val="left" w:pos="531"/>
              </w:tabs>
              <w:snapToGrid w:val="0"/>
              <w:ind w:left="1"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报价以人民币为结算币种，《投标一览表》应包含税率、税额、税前及税后总金额。</w:t>
            </w:r>
            <w:r>
              <w:rPr>
                <w:rFonts w:hint="eastAsia" w:ascii="宋体" w:hAnsi="宋体" w:eastAsia="宋体" w:cs="宋体"/>
                <w:szCs w:val="21"/>
              </w:rPr>
              <w:t>投标人须在投标文件中提供《报价一览表》（须含详细的服务分项报价，项目总报价）。</w:t>
            </w:r>
          </w:p>
          <w:p>
            <w:pPr>
              <w:numPr>
                <w:ilvl w:val="0"/>
                <w:numId w:val="10"/>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投标报价不得出现可选择性的报价,含有备选方案的报价将导致废标。</w:t>
            </w:r>
          </w:p>
          <w:p>
            <w:pPr>
              <w:numPr>
                <w:ilvl w:val="0"/>
                <w:numId w:val="0"/>
              </w:numPr>
              <w:tabs>
                <w:tab w:val="left" w:pos="531"/>
              </w:tabs>
              <w:snapToGrid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包括但不限于广告设计、软文撰写编辑费用、媒体投放费用、宣传增值服务费、会议活动举办费、材料费用、增值税、人工费、加班费及增值税费等完成本项目所需的全部费用。招标人不再为本项目另行支付任何其他费用。</w:t>
            </w:r>
          </w:p>
          <w:p>
            <w:pPr>
              <w:numPr>
                <w:ilvl w:val="0"/>
                <w:numId w:val="0"/>
              </w:numPr>
              <w:tabs>
                <w:tab w:val="left" w:pos="531"/>
              </w:tabs>
              <w:snapToGrid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（4）投标人须提供本项目《附件8：报价一览表（服务）》。《报价一览表》须详细列明服务分项报价，项目总报价。</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本项目采购控制金额为人民币</w:t>
            </w:r>
            <w:r>
              <w:rPr>
                <w:rFonts w:hint="eastAsia" w:ascii="宋体" w:hAnsi="宋体" w:eastAsia="宋体" w:cs="宋体"/>
                <w:color w:val="auto"/>
                <w:szCs w:val="21"/>
                <w:highlight w:val="yellow"/>
                <w:lang w:val="en-US" w:eastAsia="zh-CN"/>
              </w:rPr>
              <w:t>8</w:t>
            </w:r>
            <w:r>
              <w:rPr>
                <w:rFonts w:hint="eastAsia" w:ascii="宋体" w:hAnsi="宋体" w:eastAsia="宋体" w:cs="宋体"/>
                <w:color w:val="auto"/>
                <w:szCs w:val="21"/>
                <w:highlight w:val="yellow"/>
              </w:rPr>
              <w:t>万元</w:t>
            </w:r>
            <w:r>
              <w:rPr>
                <w:rFonts w:hint="eastAsia" w:ascii="宋体" w:hAnsi="宋体" w:eastAsia="宋体" w:cs="宋体"/>
                <w:color w:val="auto"/>
                <w:szCs w:val="21"/>
                <w:highlight w:val="none"/>
              </w:rPr>
              <w:t>（含税），报价超过上述控制金额的投标文件作废标处理。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ascii="宋体" w:hAnsi="宋体" w:cs="宋体"/>
              </w:rPr>
            </w:pPr>
            <w:r>
              <w:rPr>
                <w:rFonts w:hint="eastAsia" w:ascii="宋体" w:hAnsi="宋体" w:cs="宋体"/>
              </w:rPr>
              <w:t>本项目不设预付款，本项目结束后服务完毕且验收合格后，一次性支付合同全款。</w:t>
            </w:r>
          </w:p>
          <w:p>
            <w:pPr>
              <w:numPr>
                <w:ilvl w:val="0"/>
                <w:numId w:val="11"/>
              </w:numPr>
              <w:tabs>
                <w:tab w:val="left" w:pos="531"/>
              </w:tabs>
              <w:snapToGrid w:val="0"/>
              <w:ind w:left="0" w:firstLine="0"/>
              <w:rPr>
                <w:rFonts w:hint="eastAsia" w:ascii="宋体" w:hAnsi="宋体" w:eastAsia="宋体" w:cs="宋体"/>
                <w:lang w:eastAsia="zh-CN"/>
              </w:rPr>
            </w:pPr>
            <w:r>
              <w:rPr>
                <w:rFonts w:hint="eastAsia" w:ascii="宋体" w:hAnsi="宋体" w:cs="宋体"/>
                <w:color w:val="000000"/>
                <w:szCs w:val="21"/>
                <w:highlight w:val="none"/>
              </w:rPr>
              <w:t>招标人向中选单位支付款项前，中选单位须提供等额、有效的增值税发票。因中选人不及时或未按照要求提供有效的正规发票导致招标人延期付款，招标人不承担任何责任。</w:t>
            </w:r>
          </w:p>
          <w:p>
            <w:pPr>
              <w:numPr>
                <w:ilvl w:val="0"/>
                <w:numId w:val="0"/>
              </w:numPr>
              <w:tabs>
                <w:tab w:val="left" w:pos="531"/>
              </w:tabs>
              <w:snapToGrid w:val="0"/>
              <w:ind w:left="0" w:firstLine="0"/>
              <w:rPr>
                <w:rFonts w:hint="eastAsia" w:ascii="宋体" w:hAnsi="宋体" w:eastAsia="宋体" w:cs="宋体"/>
                <w:color w:val="auto"/>
                <w:szCs w:val="21"/>
                <w:highlight w:val="none"/>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highlight w:val="none"/>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eastAsia="宋体" w:cs="宋体"/>
                <w:szCs w:val="21"/>
              </w:rPr>
            </w:pPr>
            <w:r>
              <w:rPr>
                <w:rFonts w:hint="eastAsia" w:ascii="宋体" w:hAnsi="宋体" w:eastAsia="宋体" w:cs="宋体"/>
                <w:szCs w:val="21"/>
              </w:rPr>
              <w:t>（1）广告设计、软文撰写、编辑、投放必须严格按照大会VI和招标人要求进行设计和投放，并通过采购人的验收确认。</w:t>
            </w:r>
          </w:p>
          <w:p>
            <w:pPr>
              <w:numPr>
                <w:ilvl w:val="0"/>
                <w:numId w:val="0"/>
              </w:numPr>
              <w:tabs>
                <w:tab w:val="left" w:pos="531"/>
              </w:tabs>
              <w:snapToGrid w:val="0"/>
              <w:ind w:leftChars="0"/>
              <w:rPr>
                <w:rFonts w:hint="eastAsia" w:ascii="宋体" w:hAnsi="宋体" w:eastAsia="宋体" w:cs="宋体"/>
                <w:szCs w:val="21"/>
              </w:rPr>
            </w:pPr>
            <w:r>
              <w:rPr>
                <w:rFonts w:hint="eastAsia" w:ascii="宋体" w:hAnsi="宋体" w:eastAsia="宋体" w:cs="宋体"/>
                <w:szCs w:val="21"/>
              </w:rPr>
              <w:t>（2）投放过程中，需及时提供投放报告（含投放截图、投放链接、活动现场照片、参会人员名单等），以作为总结报告的素材之一。</w:t>
            </w:r>
          </w:p>
          <w:p>
            <w:pPr>
              <w:numPr>
                <w:ilvl w:val="0"/>
                <w:numId w:val="0"/>
              </w:numPr>
              <w:tabs>
                <w:tab w:val="left" w:pos="531"/>
              </w:tabs>
              <w:snapToGrid w:val="0"/>
              <w:ind w:leftChars="0"/>
              <w:rPr>
                <w:rFonts w:hint="eastAsia" w:ascii="宋体" w:hAnsi="宋体" w:eastAsia="宋体" w:cs="宋体"/>
                <w:color w:val="FF0000"/>
                <w:szCs w:val="21"/>
                <w:highlight w:val="yellow"/>
              </w:rPr>
            </w:pPr>
            <w:r>
              <w:rPr>
                <w:rFonts w:hint="eastAsia" w:ascii="宋体" w:hAnsi="宋体" w:eastAsia="宋体" w:cs="宋体"/>
                <w:szCs w:val="21"/>
              </w:rPr>
              <w:t>（3）该项目执行结束后，需在两周之内按要求提交</w:t>
            </w:r>
            <w:r>
              <w:rPr>
                <w:rFonts w:hint="eastAsia" w:ascii="宋体" w:hAnsi="宋体" w:eastAsia="宋体" w:cs="宋体"/>
                <w:szCs w:val="21"/>
                <w:lang w:val="en-US" w:eastAsia="zh-CN"/>
              </w:rPr>
              <w:t>验收报告，</w:t>
            </w:r>
            <w:r>
              <w:rPr>
                <w:rFonts w:hint="eastAsia" w:ascii="宋体" w:hAnsi="宋体" w:eastAsia="宋体" w:cs="宋体"/>
                <w:szCs w:val="21"/>
              </w:rPr>
              <w:t>内容包</w:t>
            </w:r>
            <w:r>
              <w:rPr>
                <w:rFonts w:hint="eastAsia" w:ascii="宋体" w:hAnsi="宋体" w:eastAsia="宋体" w:cs="宋体"/>
                <w:szCs w:val="21"/>
                <w:lang w:val="en-US" w:eastAsia="zh-CN"/>
              </w:rPr>
              <w:t>含总结报告</w:t>
            </w:r>
            <w:r>
              <w:rPr>
                <w:rFonts w:hint="eastAsia" w:ascii="宋体" w:hAnsi="宋体" w:eastAsia="宋体" w:cs="宋体"/>
                <w:szCs w:val="21"/>
              </w:rPr>
              <w:t>但不限于执行情况描述、投放截图、投放链接、活动现场照片等，如在投放过程中有变化也需一并在总结报告中加以说明。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spacing w:val="0"/>
                <w:kern w:val="2"/>
                <w:sz w:val="21"/>
                <w:szCs w:val="21"/>
                <w:lang w:eastAsia="zh-CN"/>
              </w:rPr>
            </w:pPr>
            <w:r>
              <w:rPr>
                <w:rFonts w:hint="eastAsia" w:ascii="宋体" w:hAnsi="宋体" w:eastAsia="宋体" w:cs="宋体"/>
                <w:snapToGrid/>
                <w:spacing w:val="0"/>
                <w:kern w:val="2"/>
                <w:sz w:val="21"/>
                <w:szCs w:val="21"/>
                <w:lang w:val="en-US" w:eastAsia="zh-CN"/>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Chars="0"/>
              <w:rPr>
                <w:rFonts w:hint="eastAsia" w:ascii="宋体" w:hAnsi="宋体" w:eastAsia="宋体" w:cs="宋体"/>
                <w:szCs w:val="21"/>
              </w:rPr>
            </w:pPr>
            <w:r>
              <w:rPr>
                <w:rFonts w:hint="eastAsia" w:ascii="宋体" w:hAnsi="宋体" w:eastAsia="宋体" w:cs="宋体"/>
                <w:szCs w:val="21"/>
              </w:rPr>
              <w:t>（1）如因不可抗力或政府政策等原因，导致高交会停办或延期：项目停办，按照已经发生的工作内容进行结算；项目延期，按照具体工作进度安排，中标单位予以无条件配合。上述情况，均由双方以实际情况进行协商，如有必要，则签订补充协议进行约定。</w:t>
            </w:r>
          </w:p>
          <w:p>
            <w:pPr>
              <w:pStyle w:val="2"/>
              <w:numPr>
                <w:ilvl w:val="-1"/>
                <w:numId w:val="0"/>
              </w:numPr>
              <w:spacing w:line="240" w:lineRule="auto"/>
              <w:ind w:left="-15" w:leftChars="-7" w:firstLine="0" w:firstLineChars="0"/>
              <w:rPr>
                <w:rFonts w:hint="eastAsia" w:ascii="宋体" w:hAnsi="宋体" w:eastAsia="宋体" w:cs="宋体"/>
                <w:sz w:val="21"/>
                <w:szCs w:val="21"/>
              </w:rPr>
            </w:pPr>
            <w:r>
              <w:rPr>
                <w:rFonts w:hint="eastAsia" w:ascii="宋体" w:hAnsi="宋体" w:eastAsia="宋体" w:cs="宋体"/>
                <w:sz w:val="21"/>
                <w:szCs w:val="21"/>
              </w:rPr>
              <w:t>（2）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Cs w:val="21"/>
              </w:rPr>
            </w:pPr>
            <w:r>
              <w:rPr>
                <w:rFonts w:hint="eastAsia" w:ascii="宋体" w:hAnsi="宋体" w:eastAsia="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val="en-US" w:eastAsia="zh-CN"/>
              </w:rPr>
            </w:pPr>
            <w:r>
              <w:rPr>
                <w:rFonts w:hint="eastAsia" w:ascii="宋体" w:hAnsi="宋体" w:eastAsia="宋体" w:cs="宋体"/>
                <w:b w:val="0"/>
                <w:bCs/>
                <w:szCs w:val="21"/>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服务内容</w:t>
            </w:r>
          </w:p>
          <w:p>
            <w:pPr>
              <w:jc w:val="center"/>
              <w:rPr>
                <w:rFonts w:hint="eastAsia" w:ascii="宋体" w:hAnsi="宋体" w:eastAsia="宋体" w:cs="宋体"/>
                <w:b/>
                <w:szCs w:val="21"/>
                <w:lang w:eastAsia="zh-CN"/>
              </w:rPr>
            </w:pPr>
            <w:r>
              <w:rPr>
                <w:rFonts w:hint="eastAsia" w:ascii="宋体" w:hAnsi="宋体" w:eastAsia="宋体" w:cs="宋体"/>
                <w:color w:val="000000" w:themeColor="text1"/>
                <w:szCs w:val="21"/>
                <w:highlight w:val="none"/>
                <w14:textFill>
                  <w14:solidFill>
                    <w14:schemeClr w14:val="tx1"/>
                  </w14:solidFill>
                </w14:textFill>
              </w:rPr>
              <w:t>概述</w:t>
            </w:r>
          </w:p>
        </w:tc>
        <w:tc>
          <w:tcPr>
            <w:tcW w:w="743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宋体" w:hAnsi="宋体" w:eastAsia="宋体" w:cs="宋体"/>
                <w:bCs/>
                <w:szCs w:val="21"/>
              </w:rPr>
            </w:pPr>
            <w:r>
              <w:rPr>
                <w:rFonts w:hint="eastAsia" w:ascii="宋体" w:hAnsi="宋体" w:eastAsia="宋体" w:cs="宋体"/>
                <w:bCs/>
                <w:szCs w:val="21"/>
              </w:rPr>
              <w:t>（1）项目主旨：通过采购宣传服务，在投资类或创业类网站、新媒体及其他大众媒体上进行宣传推广，并通过举办投资类会议活动进一步吸引投资商到场参观参会。</w:t>
            </w:r>
          </w:p>
          <w:p>
            <w:pPr>
              <w:ind w:left="0" w:leftChars="0" w:firstLine="0" w:firstLineChars="0"/>
              <w:jc w:val="left"/>
              <w:rPr>
                <w:rFonts w:hint="eastAsia" w:ascii="宋体" w:hAnsi="宋体" w:eastAsia="宋体" w:cs="宋体"/>
                <w:bCs/>
                <w:szCs w:val="21"/>
              </w:rPr>
            </w:pPr>
            <w:r>
              <w:rPr>
                <w:rFonts w:hint="eastAsia" w:ascii="宋体" w:hAnsi="宋体" w:eastAsia="宋体" w:cs="宋体"/>
                <w:bCs/>
                <w:szCs w:val="21"/>
              </w:rPr>
              <w:t>（2）项目时间：本项目实施方案计划暂定从9月5日开始到11月25日结束。（自接到中标通知之日起开始实施本项目工作，具体工作时间节点以招标人确定为准，中标单位配合开展工作）</w:t>
            </w:r>
          </w:p>
          <w:p>
            <w:pPr>
              <w:ind w:left="0" w:leftChars="0" w:firstLine="0" w:firstLineChars="0"/>
              <w:jc w:val="left"/>
              <w:rPr>
                <w:rFonts w:hint="eastAsia" w:ascii="宋体" w:hAnsi="宋体" w:eastAsia="宋体" w:cs="宋体"/>
                <w:bCs/>
                <w:szCs w:val="21"/>
              </w:rPr>
            </w:pPr>
            <w:r>
              <w:rPr>
                <w:rFonts w:hint="eastAsia" w:ascii="宋体" w:hAnsi="宋体" w:eastAsia="宋体" w:cs="宋体"/>
                <w:bCs/>
                <w:szCs w:val="21"/>
              </w:rPr>
              <w:t>（3）项目地点：相关网络媒体及线下活动。</w:t>
            </w:r>
          </w:p>
          <w:p>
            <w:pPr>
              <w:ind w:left="0" w:leftChars="0" w:firstLine="0" w:firstLineChars="0"/>
              <w:jc w:val="left"/>
              <w:rPr>
                <w:rFonts w:hint="eastAsia" w:ascii="宋体" w:hAnsi="宋体" w:eastAsia="宋体" w:cs="宋体"/>
                <w:b/>
                <w:szCs w:val="21"/>
                <w:lang w:val="en-US" w:eastAsia="zh-CN"/>
              </w:rPr>
            </w:pPr>
            <w:r>
              <w:rPr>
                <w:rFonts w:hint="eastAsia" w:ascii="宋体" w:hAnsi="宋体" w:eastAsia="宋体" w:cs="宋体"/>
                <w:bCs/>
                <w:szCs w:val="21"/>
              </w:rPr>
              <w:t>（4）项目形式：选择创投类或科技类媒体及线下活动进行宣传推广和投放。</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eastAsia="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rPr>
            </w:pPr>
            <w:r>
              <w:rPr>
                <w:rFonts w:hint="eastAsia" w:ascii="宋体" w:hAnsi="宋体" w:eastAsia="宋体" w:cs="宋体"/>
                <w:color w:val="000000" w:themeColor="text1"/>
                <w:szCs w:val="21"/>
                <w:highlight w:val="none"/>
                <w14:textFill>
                  <w14:solidFill>
                    <w14:schemeClr w14:val="tx1"/>
                  </w14:solidFill>
                </w14:textFill>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5"/>
              </w:tabs>
              <w:snapToGrid w:val="0"/>
              <w:ind w:leftChars="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一、</w:t>
            </w:r>
            <w:r>
              <w:rPr>
                <w:rFonts w:hint="eastAsia" w:ascii="宋体" w:hAnsi="宋体" w:eastAsia="宋体" w:cs="宋体"/>
                <w:color w:val="auto"/>
                <w:szCs w:val="21"/>
              </w:rPr>
              <w:t>本项目宣传实施方案的投放要求：</w:t>
            </w:r>
          </w:p>
          <w:p>
            <w:pPr>
              <w:numPr>
                <w:ilvl w:val="0"/>
                <w:numId w:val="0"/>
              </w:numPr>
              <w:tabs>
                <w:tab w:val="left" w:pos="535"/>
              </w:tabs>
              <w:snapToGrid w:val="0"/>
              <w:ind w:leftChars="0"/>
              <w:jc w:val="left"/>
              <w:rPr>
                <w:rFonts w:hint="eastAsia" w:ascii="宋体" w:hAnsi="宋体" w:eastAsia="宋体" w:cs="宋体"/>
                <w:color w:val="auto"/>
                <w:szCs w:val="21"/>
              </w:rPr>
            </w:pPr>
            <w:r>
              <w:rPr>
                <w:rFonts w:hint="eastAsia" w:ascii="宋体" w:hAnsi="宋体" w:eastAsia="宋体" w:cs="宋体"/>
                <w:color w:val="auto"/>
                <w:szCs w:val="21"/>
              </w:rPr>
              <w:t>（1）网页广告：在创业投资类网站进行网页广告投放。投放位置尽量在首页</w:t>
            </w:r>
            <w:r>
              <w:rPr>
                <w:rFonts w:hint="eastAsia" w:ascii="宋体" w:hAnsi="宋体" w:eastAsia="宋体" w:cs="宋体"/>
                <w:color w:val="auto"/>
                <w:szCs w:val="21"/>
                <w:lang w:val="en-US" w:eastAsia="zh-CN"/>
              </w:rPr>
              <w:t>、</w:t>
            </w:r>
            <w:r>
              <w:rPr>
                <w:rFonts w:hint="eastAsia" w:ascii="宋体" w:hAnsi="宋体" w:eastAsia="宋体" w:cs="宋体"/>
                <w:color w:val="auto"/>
                <w:szCs w:val="21"/>
              </w:rPr>
              <w:t>通廊或其他显眼位置，投放时间不少于7天；</w:t>
            </w:r>
          </w:p>
          <w:p>
            <w:pPr>
              <w:numPr>
                <w:ilvl w:val="0"/>
                <w:numId w:val="0"/>
              </w:numPr>
              <w:tabs>
                <w:tab w:val="left" w:pos="535"/>
              </w:tabs>
              <w:snapToGrid w:val="0"/>
              <w:ind w:leftChars="0"/>
              <w:jc w:val="left"/>
              <w:rPr>
                <w:rFonts w:hint="eastAsia" w:ascii="宋体" w:hAnsi="宋体" w:eastAsia="宋体" w:cs="宋体"/>
                <w:color w:val="auto"/>
                <w:szCs w:val="21"/>
              </w:rPr>
            </w:pPr>
            <w:r>
              <w:rPr>
                <w:rFonts w:hint="eastAsia" w:ascii="宋体" w:hAnsi="宋体" w:eastAsia="宋体" w:cs="宋体"/>
                <w:color w:val="auto"/>
                <w:szCs w:val="21"/>
              </w:rPr>
              <w:t>（2）软文投放：撰写与推广内容相关的软文2篇，每篇字数800字以上。软文内容及素材包括但不限于高交会相关展区及项目融资路演会、项目融资培训会、展区配套活动等的成果交易促进活动，招标人提供素材、图片等供中标单位进行撰写、编辑，最终由招标人进行内容审核和定稿。软文除投放至高交会官网官微等自由渠道外，中标单位还需投放至不少于6家网站。每次投放后需提供投放报告，包括投放链接、投放截图等，同时保证投放的软文有80%左右的百度收录率，以确保投放的真实性和有效性；</w:t>
            </w:r>
          </w:p>
          <w:p>
            <w:pPr>
              <w:numPr>
                <w:ilvl w:val="0"/>
                <w:numId w:val="0"/>
              </w:numPr>
              <w:tabs>
                <w:tab w:val="left" w:pos="535"/>
              </w:tabs>
              <w:snapToGrid w:val="0"/>
              <w:ind w:leftChars="0"/>
              <w:jc w:val="left"/>
              <w:rPr>
                <w:rFonts w:hint="eastAsia" w:ascii="宋体" w:hAnsi="宋体" w:eastAsia="宋体" w:cs="宋体"/>
                <w:color w:val="auto"/>
                <w:szCs w:val="21"/>
              </w:rPr>
            </w:pPr>
            <w:r>
              <w:rPr>
                <w:rFonts w:hint="eastAsia" w:ascii="宋体" w:hAnsi="宋体" w:eastAsia="宋体" w:cs="宋体"/>
                <w:color w:val="auto"/>
                <w:szCs w:val="21"/>
              </w:rPr>
              <w:t>（3）新媒体投放：在创业投资及科技领域相关的微信社群、大V微信号、微信公众号等进行朋友圈广告、微信长图、软文、H5链接等多种形式且覆盖面较广的投放。其中要求新媒体符合推广工作所涉及的领域，并选择人数在100人以上规模且较为活跃的社群进行推广，投放内容包括但不限于上述形式，投放期间需要截图进行记录。</w:t>
            </w:r>
          </w:p>
          <w:p>
            <w:pPr>
              <w:numPr>
                <w:ilvl w:val="0"/>
                <w:numId w:val="0"/>
              </w:numPr>
              <w:tabs>
                <w:tab w:val="left" w:pos="535"/>
              </w:tabs>
              <w:snapToGrid w:val="0"/>
              <w:ind w:leftChars="0"/>
              <w:jc w:val="left"/>
              <w:rPr>
                <w:rFonts w:hint="eastAsia" w:ascii="宋体" w:hAnsi="宋体" w:eastAsia="宋体" w:cs="宋体"/>
                <w:color w:val="auto"/>
                <w:szCs w:val="21"/>
              </w:rPr>
            </w:pPr>
            <w:r>
              <w:rPr>
                <w:rFonts w:hint="eastAsia" w:ascii="宋体" w:hAnsi="宋体" w:eastAsia="宋体" w:cs="宋体"/>
                <w:color w:val="auto"/>
                <w:szCs w:val="21"/>
              </w:rPr>
              <w:t>（4）线下活动宣传：高交会前至少选择1场创投主题的专业度较高的线下活动进行有针对性的推广，推广形式可结合宣传折页发放、易拉宝摆放、背景屏展示、主持人口播等。线下活动现场至少收集60个有效参会人员信息，活动现场需要拍照记录；在高交会期间举办一场投资类主题的论坛活动，活动现场至少收集150个有效参会人员信息，信息需包含人员就职投资机构名称或所在公司担任的相关投资类职位。</w:t>
            </w:r>
          </w:p>
          <w:p>
            <w:pPr>
              <w:numPr>
                <w:ilvl w:val="0"/>
                <w:numId w:val="0"/>
              </w:numPr>
              <w:tabs>
                <w:tab w:val="left" w:pos="535"/>
              </w:tabs>
              <w:snapToGrid w:val="0"/>
              <w:ind w:leftChars="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二、</w:t>
            </w:r>
            <w:r>
              <w:rPr>
                <w:rFonts w:hint="eastAsia" w:ascii="宋体" w:hAnsi="宋体" w:eastAsia="宋体" w:cs="宋体"/>
                <w:color w:val="auto"/>
                <w:szCs w:val="21"/>
              </w:rPr>
              <w:t>其他投放事项：</w:t>
            </w:r>
          </w:p>
          <w:p>
            <w:pPr>
              <w:numPr>
                <w:ilvl w:val="0"/>
                <w:numId w:val="0"/>
              </w:numPr>
              <w:tabs>
                <w:tab w:val="left" w:pos="535"/>
              </w:tabs>
              <w:snapToGrid w:val="0"/>
              <w:ind w:leftChars="0"/>
              <w:jc w:val="left"/>
              <w:rPr>
                <w:rFonts w:hint="eastAsia" w:ascii="宋体" w:hAnsi="宋体" w:eastAsia="宋体" w:cs="宋体"/>
                <w:color w:val="auto"/>
                <w:szCs w:val="21"/>
              </w:rPr>
            </w:pPr>
            <w:r>
              <w:rPr>
                <w:rFonts w:hint="eastAsia" w:ascii="宋体" w:hAnsi="宋体" w:eastAsia="宋体" w:cs="宋体"/>
                <w:color w:val="auto"/>
                <w:szCs w:val="21"/>
              </w:rPr>
              <w:t>（1）所有宣传资料，需在明确推广目标和推广人群的基础上，进行素材的整合，可突出本届高交会各展区的亮点、重点展商、行业发展形势等；</w:t>
            </w:r>
          </w:p>
          <w:p>
            <w:pPr>
              <w:numPr>
                <w:ilvl w:val="0"/>
                <w:numId w:val="0"/>
              </w:numPr>
              <w:tabs>
                <w:tab w:val="left" w:pos="535"/>
              </w:tabs>
              <w:snapToGrid w:val="0"/>
              <w:ind w:leftChars="0"/>
              <w:jc w:val="left"/>
              <w:rPr>
                <w:rFonts w:hint="eastAsia" w:ascii="宋体" w:hAnsi="宋体" w:eastAsia="宋体" w:cs="宋体"/>
                <w:color w:val="auto"/>
                <w:szCs w:val="21"/>
              </w:rPr>
            </w:pPr>
            <w:r>
              <w:rPr>
                <w:rFonts w:hint="eastAsia" w:ascii="宋体" w:hAnsi="宋体" w:eastAsia="宋体" w:cs="宋体"/>
                <w:color w:val="auto"/>
                <w:szCs w:val="21"/>
              </w:rPr>
              <w:t>（2）服务商在提供服务期间，如有投放内容、形势、渠道等的变化，须及时与我部进行沟通，进行必要的调整，保证整个服务期间按照计划和数量完成投放。</w:t>
            </w:r>
          </w:p>
          <w:p>
            <w:pPr>
              <w:numPr>
                <w:ilvl w:val="0"/>
                <w:numId w:val="0"/>
              </w:numPr>
              <w:tabs>
                <w:tab w:val="left" w:pos="535"/>
              </w:tabs>
              <w:snapToGrid w:val="0"/>
              <w:ind w:leftChars="0"/>
              <w:jc w:val="left"/>
              <w:rPr>
                <w:rFonts w:hint="eastAsia" w:ascii="宋体" w:hAnsi="宋体" w:eastAsia="宋体" w:cs="宋体"/>
                <w:color w:val="FF0000"/>
                <w:szCs w:val="21"/>
              </w:rPr>
            </w:pPr>
            <w:r>
              <w:rPr>
                <w:rFonts w:hint="eastAsia" w:ascii="宋体" w:hAnsi="宋体" w:eastAsia="宋体" w:cs="宋体"/>
                <w:color w:val="auto"/>
                <w:szCs w:val="21"/>
              </w:rPr>
              <w:t>（3）在推广期间，服务商需向我部提供每项推广内容的实时截图、截图汇总或照片；推广结束后，需按照协议向我部提供宣传推广工作的总结，并将作为费用结算的依据之一。</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eastAsia="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项目团队</w:t>
            </w:r>
          </w:p>
          <w:p>
            <w:pPr>
              <w:jc w:val="center"/>
              <w:rPr>
                <w:rFonts w:hint="eastAsia" w:ascii="宋体" w:hAnsi="宋体" w:eastAsia="宋体" w:cs="宋体"/>
                <w:color w:val="FF0000"/>
                <w:szCs w:val="21"/>
              </w:rPr>
            </w:pPr>
            <w:r>
              <w:rPr>
                <w:rFonts w:hint="eastAsia" w:ascii="宋体" w:hAnsi="宋体" w:eastAsia="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5"/>
              </w:tabs>
              <w:snapToGrid w:val="0"/>
              <w:ind w:left="0" w:firstLine="0"/>
              <w:rPr>
                <w:rFonts w:hint="eastAsia" w:ascii="宋体" w:hAnsi="宋体" w:eastAsia="宋体" w:cs="宋体"/>
                <w:szCs w:val="21"/>
              </w:rPr>
            </w:pPr>
            <w:r>
              <w:rPr>
                <w:rFonts w:hint="eastAsia" w:ascii="宋体" w:hAnsi="宋体" w:eastAsia="宋体" w:cs="宋体"/>
                <w:szCs w:val="21"/>
              </w:rPr>
              <w:t>（1）投标人须指定本项目负责人，负责联络、沟通、协调及跟进本项目具体实施，并提供该负责人姓名、电话、职务等相关资质或工作经验以及身份证复印件（加盖投标人公章，原件备查）等信息。</w:t>
            </w:r>
          </w:p>
          <w:p>
            <w:pPr>
              <w:numPr>
                <w:ilvl w:val="-1"/>
                <w:numId w:val="0"/>
              </w:numPr>
              <w:tabs>
                <w:tab w:val="left" w:pos="535"/>
              </w:tabs>
              <w:snapToGrid w:val="0"/>
              <w:ind w:left="0" w:firstLine="0"/>
              <w:rPr>
                <w:rFonts w:hint="eastAsia" w:ascii="宋体" w:hAnsi="宋体" w:eastAsia="宋体" w:cs="宋体"/>
                <w:szCs w:val="21"/>
              </w:rPr>
            </w:pPr>
            <w:r>
              <w:rPr>
                <w:rFonts w:hint="eastAsia" w:ascii="宋体" w:hAnsi="宋体" w:eastAsia="宋体" w:cs="宋体"/>
                <w:szCs w:val="21"/>
              </w:rPr>
              <w:t>（2）项目团队成员不得少于3人（含项目负责人），提供上述拟派本项目团队全部成员的简介。</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eastAsia="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669"/>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针对本项目提出书面服务承诺，以提供的《附件13：售后服务承诺书（质量保证服务承诺书）》中相关承诺为准。承诺内容包括但不限于项目的总体要求、质量、数量、完成时间等，同时指定项目负责人，并承诺宣传推广内容的设计、制作及投放严格遵守国家有关广告、互联网媒体、新媒体的相关法律法规及社会的公序良俗。</w:t>
            </w:r>
          </w:p>
          <w:p>
            <w:pPr>
              <w:numPr>
                <w:ilvl w:val="-1"/>
                <w:numId w:val="0"/>
              </w:numPr>
              <w:tabs>
                <w:tab w:val="left" w:pos="669"/>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（2）对招标人提出的问题，中标单位须在24小时之内给出解决方案并予以处理。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bookmarkStart w:id="44" w:name="_Toc116550349"/>
            <w:r>
              <w:rPr>
                <w:rFonts w:hint="eastAsia" w:ascii="宋体" w:hAnsi="宋体" w:eastAsia="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669"/>
              </w:tabs>
              <w:snapToGrid w:val="0"/>
              <w:ind w:left="0" w:firstLine="0"/>
              <w:rPr>
                <w:rFonts w:hint="eastAsia" w:ascii="宋体" w:hAnsi="宋体" w:eastAsia="宋体" w:cs="宋体"/>
                <w:szCs w:val="21"/>
              </w:rPr>
            </w:pPr>
            <w:r>
              <w:rPr>
                <w:rFonts w:hint="eastAsia" w:ascii="宋体" w:hAnsi="宋体" w:eastAsia="宋体" w:cs="宋体"/>
                <w:szCs w:val="21"/>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投标人自行承担，招标人不承担任何责任。若因此造成招标人损失的，由中标单位承担损失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669"/>
              </w:tabs>
              <w:snapToGrid w:val="0"/>
              <w:ind w:left="0" w:firstLine="0"/>
              <w:rPr>
                <w:rFonts w:hint="eastAsia" w:ascii="宋体" w:hAnsi="宋体" w:eastAsia="宋体" w:cs="宋体"/>
                <w:szCs w:val="21"/>
              </w:rPr>
            </w:pPr>
            <w:r>
              <w:rPr>
                <w:rFonts w:hint="eastAsia" w:ascii="宋体" w:hAnsi="宋体" w:eastAsia="宋体" w:cs="宋体"/>
                <w:szCs w:val="21"/>
              </w:rPr>
              <w:t>双方对提供的技术情报、资料数据及商业秘密均负有保密义务。未经对方书面同意，任何一方不得以任何形式向第三方泄露本项目的或在履约过程中接触到的任何信息，亦不得将其用于履行本合同之外的任何其他用途。中标单位因违反本条约定而给招标人造成损失的，应当赔偿招标人的全部损失，并且招标人保留进一步追究相关法律责任的权利。本条约定的保密义务不因本项目合同的变更、解除或终止而免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不可偏离</w:t>
            </w:r>
          </w:p>
        </w:tc>
      </w:tr>
      <w:bookmarkEnd w:id="44"/>
    </w:tbl>
    <w:p>
      <w:pPr>
        <w:numPr>
          <w:ilvl w:val="0"/>
          <w:numId w:val="1"/>
        </w:numPr>
        <w:jc w:val="left"/>
        <w:outlineLvl w:val="1"/>
        <w:rPr>
          <w:rFonts w:ascii="宋体" w:hAnsi="宋体"/>
          <w:b/>
          <w:szCs w:val="21"/>
        </w:rPr>
      </w:pPr>
      <w:bookmarkStart w:id="45" w:name="_Toc82591996"/>
      <w:bookmarkEnd w:id="45"/>
      <w:bookmarkStart w:id="46" w:name="_Toc82685552"/>
      <w:bookmarkEnd w:id="46"/>
      <w:bookmarkStart w:id="47" w:name="_Toc82684715"/>
      <w:bookmarkEnd w:id="47"/>
      <w:bookmarkStart w:id="48" w:name="_Toc82684600"/>
      <w:bookmarkEnd w:id="48"/>
      <w:bookmarkStart w:id="49" w:name="_Toc6040"/>
      <w:r>
        <w:rPr>
          <w:rFonts w:hint="eastAsia" w:ascii="宋体" w:hAnsi="宋体"/>
          <w:b/>
          <w:szCs w:val="21"/>
        </w:rPr>
        <w:t>其他项目说明资料</w:t>
      </w:r>
      <w:bookmarkEnd w:id="49"/>
    </w:p>
    <w:p>
      <w:pPr>
        <w:pStyle w:val="2"/>
        <w:rPr>
          <w:rFonts w:hint="eastAsia" w:eastAsia="宋体"/>
          <w:lang w:eastAsia="zh-CN"/>
        </w:rPr>
      </w:pPr>
      <w:r>
        <w:rPr>
          <w:rFonts w:hint="eastAsia" w:ascii="宋体" w:hAnsi="宋体"/>
          <w:b/>
          <w:szCs w:val="21"/>
          <w:lang w:eastAsia="zh-CN"/>
        </w:rPr>
        <w:t>无</w:t>
      </w:r>
    </w:p>
    <w:p>
      <w:pPr>
        <w:widowControl/>
        <w:spacing w:line="240" w:lineRule="auto"/>
        <w:ind w:firstLine="1285" w:firstLineChars="400"/>
        <w:jc w:val="left"/>
        <w:outlineLvl w:val="9"/>
        <w:rPr>
          <w:rFonts w:ascii="宋体" w:hAnsi="宋体"/>
          <w:b/>
          <w:sz w:val="32"/>
          <w:szCs w:val="32"/>
        </w:rPr>
      </w:pPr>
      <w:bookmarkStart w:id="50" w:name="_Toc116550350"/>
      <w:r>
        <w:rPr>
          <w:rFonts w:hint="eastAsia" w:ascii="宋体" w:hAnsi="宋体"/>
          <w:b/>
          <w:sz w:val="32"/>
          <w:szCs w:val="32"/>
        </w:rPr>
        <w:t>第二部分：开标评标流程</w:t>
      </w:r>
      <w:bookmarkEnd w:id="50"/>
    </w:p>
    <w:p>
      <w:pPr>
        <w:numPr>
          <w:ilvl w:val="0"/>
          <w:numId w:val="1"/>
        </w:numPr>
        <w:spacing w:line="360" w:lineRule="auto"/>
        <w:outlineLvl w:val="1"/>
        <w:rPr>
          <w:rFonts w:hint="eastAsia"/>
          <w:b/>
        </w:rPr>
      </w:pPr>
      <w:bookmarkStart w:id="51" w:name="_Toc128989098"/>
      <w:bookmarkStart w:id="52" w:name="_Toc25678"/>
      <w:bookmarkStart w:id="53" w:name="_Hlk104908397"/>
      <w:bookmarkStart w:id="54" w:name="_Hlk104908581"/>
      <w:r>
        <w:rPr>
          <w:rFonts w:hint="eastAsia"/>
          <w:b/>
        </w:rPr>
        <w:t>开标评标流程</w:t>
      </w:r>
      <w:bookmarkEnd w:id="51"/>
      <w:bookmarkEnd w:id="52"/>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bookmarkEnd w:id="53"/>
    <w:bookmarkEnd w:id="54"/>
    <w:p>
      <w:pPr>
        <w:widowControl/>
        <w:jc w:val="left"/>
        <w:rPr>
          <w:rFonts w:ascii="仿宋_GB2312" w:hAnsi="宋体" w:eastAsia="仿宋_GB2312"/>
        </w:rPr>
      </w:pPr>
    </w:p>
    <w:p>
      <w:pPr>
        <w:pStyle w:val="11"/>
        <w:rPr>
          <w:rFonts w:ascii="宋体"/>
          <w:b/>
          <w:sz w:val="28"/>
        </w:rPr>
      </w:pPr>
    </w:p>
    <w:p>
      <w:pPr>
        <w:pStyle w:val="11"/>
        <w:rPr>
          <w:rFonts w:ascii="宋体"/>
          <w:b/>
          <w:sz w:val="28"/>
        </w:rPr>
      </w:pPr>
    </w:p>
    <w:p>
      <w:pPr>
        <w:spacing w:line="360" w:lineRule="auto"/>
        <w:jc w:val="center"/>
        <w:outlineLvl w:val="0"/>
        <w:rPr>
          <w:rFonts w:ascii="宋体" w:hAnsi="宋体"/>
          <w:b/>
          <w:sz w:val="32"/>
          <w:szCs w:val="32"/>
        </w:rPr>
      </w:pPr>
      <w:bookmarkStart w:id="55" w:name="_Toc116550353"/>
      <w:bookmarkStart w:id="56" w:name="_Toc1178"/>
      <w:r>
        <w:rPr>
          <w:rFonts w:hint="eastAsia" w:ascii="宋体" w:hAnsi="宋体"/>
          <w:b/>
          <w:sz w:val="32"/>
          <w:szCs w:val="32"/>
        </w:rPr>
        <w:t>第三部分：评审办法</w:t>
      </w:r>
      <w:bookmarkEnd w:id="55"/>
      <w:bookmarkEnd w:id="56"/>
    </w:p>
    <w:p>
      <w:pPr>
        <w:numPr>
          <w:ilvl w:val="0"/>
          <w:numId w:val="1"/>
        </w:numPr>
        <w:spacing w:line="360" w:lineRule="auto"/>
        <w:outlineLvl w:val="1"/>
        <w:rPr>
          <w:rFonts w:ascii="宋体" w:hAnsi="宋体"/>
          <w:szCs w:val="21"/>
        </w:rPr>
      </w:pPr>
      <w:bookmarkStart w:id="57" w:name="_Toc11167"/>
      <w:bookmarkStart w:id="58" w:name="_Toc116550354"/>
      <w:r>
        <w:rPr>
          <w:rFonts w:hint="eastAsia" w:ascii="宋体" w:hAnsi="宋体"/>
          <w:b/>
          <w:bCs/>
          <w:szCs w:val="21"/>
        </w:rPr>
        <w:t>评审办法</w:t>
      </w:r>
      <w:bookmarkEnd w:id="57"/>
      <w:bookmarkEnd w:id="58"/>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29"/>
          <w:rFonts w:ascii="宋体" w:hAnsi="宋体"/>
          <w:b/>
          <w:szCs w:val="21"/>
        </w:rPr>
      </w:pPr>
      <w:bookmarkStart w:id="59" w:name="_Toc116550355"/>
      <w:bookmarkStart w:id="60" w:name="_Toc3396"/>
      <w:r>
        <w:rPr>
          <w:rStyle w:val="29"/>
          <w:rFonts w:hint="eastAsia" w:ascii="宋体" w:hAnsi="宋体"/>
          <w:b/>
          <w:bCs/>
          <w:szCs w:val="21"/>
        </w:rPr>
        <w:t>符合性检查</w:t>
      </w:r>
      <w:bookmarkEnd w:id="59"/>
      <w:bookmarkEnd w:id="60"/>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hint="eastAsia" w:ascii="宋体" w:hAnsi="宋体" w:cs="仿宋"/>
                <w:szCs w:val="21"/>
              </w:rPr>
            </w:pPr>
            <w:r>
              <w:rPr>
                <w:rFonts w:hint="eastAsia" w:ascii="宋体" w:hAnsi="宋体" w:cs="仿宋"/>
                <w:szCs w:val="21"/>
              </w:rPr>
              <w:t>（1）投标人</w:t>
            </w:r>
            <w:r>
              <w:rPr>
                <w:rFonts w:hint="eastAsia" w:ascii="宋体" w:hAnsi="宋体" w:cs="仿宋"/>
                <w:szCs w:val="21"/>
                <w:lang w:val="en-US" w:eastAsia="zh-CN"/>
              </w:rPr>
              <w:t>是否</w:t>
            </w:r>
            <w:r>
              <w:rPr>
                <w:rFonts w:hint="eastAsia" w:ascii="宋体" w:hAnsi="宋体" w:cs="仿宋"/>
                <w:szCs w:val="21"/>
              </w:rPr>
              <w:t>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spacing w:line="360" w:lineRule="auto"/>
              <w:rPr>
                <w:rFonts w:hint="eastAsia" w:ascii="宋体" w:hAnsi="宋体" w:cs="仿宋"/>
                <w:szCs w:val="21"/>
              </w:rPr>
            </w:pPr>
            <w:r>
              <w:rPr>
                <w:rFonts w:hint="eastAsia" w:ascii="宋体" w:hAnsi="宋体" w:cs="仿宋"/>
                <w:szCs w:val="21"/>
              </w:rPr>
              <w:t>（2）投标人代表是</w:t>
            </w:r>
            <w:r>
              <w:rPr>
                <w:rFonts w:hint="eastAsia" w:ascii="宋体" w:hAnsi="宋体" w:cs="仿宋"/>
                <w:szCs w:val="21"/>
                <w:lang w:val="en-US" w:eastAsia="zh-CN"/>
              </w:rPr>
              <w:t>否是</w:t>
            </w:r>
            <w:r>
              <w:rPr>
                <w:rFonts w:hint="eastAsia" w:ascii="宋体" w:hAnsi="宋体" w:cs="仿宋"/>
                <w:szCs w:val="21"/>
              </w:rPr>
              <w:t>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spacing w:line="360" w:lineRule="auto"/>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olor w:val="auto"/>
                <w:szCs w:val="21"/>
                <w:highlight w:val="yellow"/>
                <w:lang w:val="en-US" w:eastAsia="zh-CN"/>
              </w:rPr>
              <w:t>8</w:t>
            </w:r>
            <w:r>
              <w:rPr>
                <w:rFonts w:ascii="宋体" w:hAnsi="宋体" w:cs="仿宋"/>
                <w:color w:val="auto"/>
                <w:szCs w:val="21"/>
                <w:highlight w:val="yellow"/>
              </w:rPr>
              <w:t>万元（含税）</w:t>
            </w:r>
            <w:r>
              <w:rPr>
                <w:rFonts w:hint="eastAsia" w:ascii="宋体" w:hAnsi="宋体" w:cs="仿宋"/>
                <w:szCs w:val="21"/>
              </w:rPr>
              <w:t>，超过上述控制金额的视为无效报价。</w:t>
            </w:r>
          </w:p>
        </w:tc>
      </w:tr>
    </w:tbl>
    <w:p>
      <w:pPr>
        <w:numPr>
          <w:ilvl w:val="0"/>
          <w:numId w:val="13"/>
        </w:numPr>
        <w:spacing w:before="156" w:beforeLines="50"/>
        <w:jc w:val="left"/>
        <w:outlineLvl w:val="2"/>
        <w:rPr>
          <w:rStyle w:val="29"/>
          <w:rFonts w:ascii="宋体" w:hAnsi="宋体"/>
          <w:b/>
          <w:bCs/>
          <w:szCs w:val="21"/>
        </w:rPr>
      </w:pPr>
      <w:bookmarkStart w:id="61" w:name="_Toc116550356"/>
      <w:bookmarkStart w:id="62" w:name="_Toc22757"/>
      <w:bookmarkStart w:id="63" w:name="_Toc114675512"/>
      <w:r>
        <w:rPr>
          <w:rStyle w:val="29"/>
          <w:rFonts w:hint="eastAsia" w:ascii="宋体" w:hAnsi="宋体"/>
          <w:b/>
          <w:bCs/>
          <w:szCs w:val="21"/>
        </w:rPr>
        <w:t>不可偏离项检查</w:t>
      </w:r>
      <w:bookmarkEnd w:id="61"/>
      <w:bookmarkEnd w:id="62"/>
      <w:bookmarkEnd w:id="63"/>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pPr>
      <w:bookmarkStart w:id="64" w:name="_Toc114675513"/>
      <w:bookmarkStart w:id="65" w:name="_Toc1604"/>
      <w:bookmarkStart w:id="66" w:name="_Toc116550357"/>
      <w:r>
        <w:rPr>
          <w:rStyle w:val="29"/>
          <w:rFonts w:hint="eastAsia" w:ascii="宋体" w:hAnsi="宋体"/>
          <w:b/>
          <w:bCs/>
          <w:szCs w:val="21"/>
        </w:rPr>
        <w:t>综合评议指标表</w:t>
      </w:r>
      <w:bookmarkEnd w:id="64"/>
      <w:bookmarkEnd w:id="65"/>
      <w:bookmarkEnd w:id="66"/>
    </w:p>
    <w:p>
      <w:pPr>
        <w:pStyle w:val="2"/>
        <w:rPr>
          <w:rStyle w:val="29"/>
          <w:rFonts w:hint="eastAsia" w:ascii="宋体" w:hAnsi="宋体"/>
          <w:b/>
          <w:bCs/>
          <w:szCs w:val="21"/>
        </w:rPr>
      </w:pPr>
    </w:p>
    <w:p>
      <w:pPr>
        <w:rPr>
          <w:rStyle w:val="29"/>
          <w:rFonts w:hint="eastAsia" w:ascii="宋体" w:hAnsi="宋体"/>
          <w:b/>
          <w:bCs/>
          <w:szCs w:val="21"/>
        </w:rPr>
      </w:pPr>
    </w:p>
    <w:p>
      <w:pPr>
        <w:pStyle w:val="2"/>
        <w:rPr>
          <w:rStyle w:val="29"/>
          <w:rFonts w:hint="eastAsia" w:ascii="宋体" w:hAnsi="宋体"/>
          <w:b/>
          <w:bCs/>
          <w:szCs w:val="21"/>
        </w:rPr>
      </w:pPr>
    </w:p>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w:t>
            </w:r>
            <w:r>
              <w:rPr>
                <w:rFonts w:hint="eastAsia" w:ascii="宋体" w:hAnsi="宋体"/>
                <w:b/>
                <w:color w:val="auto"/>
                <w:szCs w:val="21"/>
              </w:rPr>
              <w:t>务评议项（</w:t>
            </w: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0</w:t>
            </w:r>
            <w:r>
              <w:rPr>
                <w:rFonts w:hint="eastAsia" w:ascii="宋体" w:hAnsi="宋体"/>
                <w:b/>
                <w:color w:val="auto"/>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综合实力</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ind w:left="0" w:firstLine="0"/>
              <w:rPr>
                <w:rFonts w:hint="eastAsia" w:ascii="宋体" w:hAnsi="宋体"/>
                <w:color w:val="auto"/>
                <w:szCs w:val="21"/>
                <w:highlight w:val="none"/>
              </w:rPr>
            </w:pPr>
            <w:r>
              <w:rPr>
                <w:rFonts w:hint="eastAsia" w:ascii="宋体" w:hAnsi="宋体"/>
                <w:color w:val="auto"/>
                <w:szCs w:val="21"/>
                <w:highlight w:val="none"/>
              </w:rPr>
              <w:t>评审标准：以下（1）+（2）合计为本项目得分。</w:t>
            </w:r>
          </w:p>
          <w:p>
            <w:pPr>
              <w:numPr>
                <w:ilvl w:val="-1"/>
                <w:numId w:val="0"/>
              </w:numPr>
              <w:ind w:left="0" w:firstLine="0"/>
              <w:rPr>
                <w:rFonts w:hint="eastAsia" w:ascii="宋体" w:hAnsi="宋体"/>
                <w:color w:val="auto"/>
                <w:szCs w:val="21"/>
                <w:highlight w:val="none"/>
              </w:rPr>
            </w:pPr>
            <w:r>
              <w:rPr>
                <w:rFonts w:hint="eastAsia" w:ascii="宋体" w:hAnsi="宋体"/>
                <w:color w:val="auto"/>
                <w:szCs w:val="21"/>
                <w:highlight w:val="none"/>
              </w:rPr>
              <w:t>（1）根据各投标人的人员规模进行评议：第一名得5分，排名每下降一个名次得分递减1分，直至0分。</w:t>
            </w:r>
          </w:p>
          <w:p>
            <w:pPr>
              <w:numPr>
                <w:ilvl w:val="-1"/>
                <w:numId w:val="0"/>
              </w:numPr>
              <w:ind w:left="0" w:firstLine="0"/>
              <w:rPr>
                <w:rFonts w:hint="eastAsia" w:ascii="宋体" w:hAnsi="宋体"/>
                <w:color w:val="auto"/>
                <w:szCs w:val="21"/>
                <w:highlight w:val="none"/>
              </w:rPr>
            </w:pPr>
            <w:r>
              <w:rPr>
                <w:rFonts w:hint="eastAsia" w:ascii="宋体" w:hAnsi="宋体"/>
                <w:color w:val="auto"/>
                <w:szCs w:val="21"/>
                <w:highlight w:val="none"/>
              </w:rPr>
              <w:t>证明文件：</w:t>
            </w:r>
          </w:p>
          <w:p>
            <w:pPr>
              <w:numPr>
                <w:ilvl w:val="-1"/>
                <w:numId w:val="0"/>
              </w:numPr>
              <w:ind w:left="0" w:firstLine="0"/>
              <w:rPr>
                <w:rFonts w:hint="eastAsia" w:ascii="宋体" w:hAnsi="宋体"/>
                <w:color w:val="auto"/>
                <w:szCs w:val="21"/>
                <w:highlight w:val="none"/>
              </w:rPr>
            </w:pPr>
            <w:r>
              <w:rPr>
                <w:rFonts w:hint="eastAsia" w:ascii="宋体" w:hAnsi="宋体"/>
                <w:color w:val="auto"/>
                <w:szCs w:val="21"/>
                <w:highlight w:val="none"/>
              </w:rPr>
              <w:t>以各投标人所提供企业所缴纳社保人员数量进行排名作为评审依据，需提供投标人在招标公告发布前3个月可体现社保缴纳总人数的社保证明（如在招标公告日上一个月的社保材料因社保部门原因暂时无法取得，则可以往前顺推一个月）（以上证明资料均需加盖投标人公章）。</w:t>
            </w:r>
          </w:p>
          <w:p>
            <w:pPr>
              <w:numPr>
                <w:ilvl w:val="-1"/>
                <w:numId w:val="0"/>
              </w:numPr>
              <w:ind w:left="0" w:firstLine="0"/>
              <w:rPr>
                <w:rFonts w:hint="eastAsia" w:ascii="宋体" w:hAnsi="宋体"/>
                <w:color w:val="auto"/>
                <w:szCs w:val="21"/>
                <w:highlight w:val="none"/>
              </w:rPr>
            </w:pPr>
            <w:r>
              <w:rPr>
                <w:rFonts w:hint="eastAsia" w:ascii="宋体" w:hAnsi="宋体"/>
                <w:color w:val="auto"/>
                <w:szCs w:val="21"/>
                <w:highlight w:val="none"/>
              </w:rPr>
              <w:t>（2）根据投标人单位经营范围与本项目的相关性进行综合比较：优秀得5分，良好得3分，其他得1分。</w:t>
            </w:r>
          </w:p>
          <w:p>
            <w:pPr>
              <w:numPr>
                <w:ilvl w:val="-1"/>
                <w:numId w:val="0"/>
              </w:numPr>
              <w:ind w:left="0" w:firstLine="0"/>
              <w:rPr>
                <w:rFonts w:hint="eastAsia" w:ascii="宋体" w:hAnsi="宋体"/>
                <w:color w:val="auto"/>
                <w:szCs w:val="21"/>
                <w:highlight w:val="none"/>
              </w:rPr>
            </w:pPr>
            <w:r>
              <w:rPr>
                <w:rFonts w:hint="eastAsia" w:ascii="宋体" w:hAnsi="宋体"/>
                <w:color w:val="auto"/>
                <w:szCs w:val="21"/>
                <w:highlight w:val="none"/>
              </w:rPr>
              <w:t>证明文件：</w:t>
            </w:r>
          </w:p>
          <w:p>
            <w:pPr>
              <w:numPr>
                <w:ilvl w:val="-1"/>
                <w:numId w:val="0"/>
              </w:numPr>
              <w:ind w:left="0" w:leftChars="0" w:firstLine="0" w:firstLineChars="0"/>
              <w:rPr>
                <w:rFonts w:ascii="宋体" w:hAnsi="宋体" w:eastAsia="宋体" w:cs="宋体"/>
                <w:color w:val="auto"/>
                <w:kern w:val="2"/>
                <w:sz w:val="21"/>
                <w:szCs w:val="24"/>
                <w:highlight w:val="none"/>
                <w:lang w:val="en-US" w:eastAsia="zh-CN" w:bidi="ar-SA"/>
              </w:rPr>
            </w:pPr>
            <w:r>
              <w:rPr>
                <w:rFonts w:hint="eastAsia" w:ascii="宋体" w:hAnsi="宋体"/>
                <w:color w:val="auto"/>
                <w:szCs w:val="21"/>
                <w:highlight w:val="none"/>
              </w:rPr>
              <w:t>投标人可在国家企业信用信息公示系统网站https://www.gsxt.gov.cn/index进行查询,须打印上述评议所需信息并加盖投标人公章；未提供或提供的相关证明文件不清晰、不完整的，不得分。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案例业绩</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ascii="宋体" w:hAnsi="宋体"/>
                <w:szCs w:val="21"/>
              </w:rPr>
              <w:t>1</w:t>
            </w:r>
            <w:r>
              <w:rPr>
                <w:rFonts w:hint="eastAsia" w:ascii="宋体" w:hAnsi="宋体"/>
                <w:szCs w:val="21"/>
                <w:lang w:val="en-US" w:eastAsia="zh-CN"/>
              </w:rPr>
              <w:t>0</w:t>
            </w:r>
          </w:p>
        </w:tc>
        <w:tc>
          <w:tcPr>
            <w:tcW w:w="6804" w:type="dxa"/>
            <w:gridSpan w:val="2"/>
            <w:tcBorders>
              <w:tl2br w:val="nil"/>
              <w:tr2bl w:val="nil"/>
            </w:tcBorders>
            <w:tcMar>
              <w:top w:w="15" w:type="dxa"/>
              <w:left w:w="15" w:type="dxa"/>
              <w:bottom w:w="15" w:type="dxa"/>
              <w:right w:w="15" w:type="dxa"/>
            </w:tcMar>
            <w:vAlign w:val="center"/>
          </w:tcPr>
          <w:p>
            <w:pPr>
              <w:rPr>
                <w:rFonts w:hint="eastAsia" w:ascii="宋体" w:hAnsi="宋体"/>
                <w:szCs w:val="21"/>
              </w:rPr>
            </w:pPr>
            <w:r>
              <w:rPr>
                <w:rFonts w:hint="eastAsia" w:ascii="宋体" w:hAnsi="宋体"/>
                <w:szCs w:val="21"/>
              </w:rPr>
              <w:t>评审标准：以下（1）+（2）+（3）合计为本项目得分。</w:t>
            </w:r>
          </w:p>
          <w:p>
            <w:pPr>
              <w:rPr>
                <w:rFonts w:hint="eastAsia" w:ascii="宋体" w:hAnsi="宋体"/>
                <w:szCs w:val="21"/>
              </w:rPr>
            </w:pPr>
            <w:r>
              <w:rPr>
                <w:rFonts w:hint="eastAsia" w:ascii="宋体" w:hAnsi="宋体"/>
                <w:szCs w:val="21"/>
              </w:rPr>
              <w:t>（1）根据投标人提供自2019年7月1日至本项目招标公告发布之日期间在宣传推广、会议活动举办、活动策划等的合同业绩数量进行评议：每提供1份合同业绩得</w:t>
            </w:r>
            <w:r>
              <w:rPr>
                <w:rFonts w:hint="eastAsia" w:ascii="宋体" w:hAnsi="宋体"/>
                <w:szCs w:val="21"/>
                <w:lang w:eastAsia="zh-CN"/>
              </w:rPr>
              <w:t>1</w:t>
            </w:r>
            <w:r>
              <w:rPr>
                <w:rFonts w:hint="eastAsia" w:ascii="宋体" w:hAnsi="宋体"/>
                <w:szCs w:val="21"/>
              </w:rPr>
              <w:t>分，满分</w:t>
            </w:r>
            <w:r>
              <w:rPr>
                <w:rFonts w:hint="eastAsia" w:ascii="宋体" w:hAnsi="宋体"/>
                <w:szCs w:val="21"/>
                <w:lang w:val="en-US" w:eastAsia="zh-CN"/>
              </w:rPr>
              <w:t>4</w:t>
            </w:r>
            <w:r>
              <w:rPr>
                <w:rFonts w:hint="eastAsia" w:ascii="宋体" w:hAnsi="宋体"/>
                <w:szCs w:val="21"/>
              </w:rPr>
              <w:t>分。</w:t>
            </w:r>
          </w:p>
          <w:p>
            <w:pPr>
              <w:rPr>
                <w:rFonts w:hint="eastAsia" w:ascii="宋体" w:hAnsi="宋体"/>
                <w:szCs w:val="21"/>
              </w:rPr>
            </w:pPr>
            <w:r>
              <w:rPr>
                <w:rFonts w:hint="eastAsia" w:ascii="宋体" w:hAnsi="宋体"/>
                <w:szCs w:val="21"/>
              </w:rPr>
              <w:t>（2）如（1）中提供的合同业绩与展会相关，则每个案例加1分，加分不超过</w:t>
            </w:r>
            <w:r>
              <w:rPr>
                <w:rFonts w:hint="eastAsia" w:ascii="宋体" w:hAnsi="宋体"/>
                <w:szCs w:val="21"/>
                <w:lang w:val="en-US" w:eastAsia="zh-CN"/>
              </w:rPr>
              <w:t>3</w:t>
            </w:r>
            <w:r>
              <w:rPr>
                <w:rFonts w:hint="eastAsia" w:ascii="宋体" w:hAnsi="宋体"/>
                <w:szCs w:val="21"/>
              </w:rPr>
              <w:t>分。</w:t>
            </w:r>
          </w:p>
          <w:p>
            <w:pPr>
              <w:rPr>
                <w:rFonts w:hint="eastAsia" w:ascii="宋体" w:hAnsi="宋体"/>
                <w:szCs w:val="21"/>
              </w:rPr>
            </w:pPr>
            <w:r>
              <w:rPr>
                <w:rFonts w:hint="eastAsia" w:ascii="宋体" w:hAnsi="宋体"/>
                <w:szCs w:val="21"/>
              </w:rPr>
              <w:t>（3）如（1）中提供的合同业绩与投融资活动相关，则每个案例加1分，加分不超过</w:t>
            </w:r>
            <w:r>
              <w:rPr>
                <w:rFonts w:hint="eastAsia" w:ascii="宋体" w:hAnsi="宋体"/>
                <w:szCs w:val="21"/>
                <w:lang w:eastAsia="zh-CN"/>
              </w:rPr>
              <w:t>3</w:t>
            </w:r>
            <w:r>
              <w:rPr>
                <w:rFonts w:hint="eastAsia" w:ascii="宋体" w:hAnsi="宋体"/>
                <w:szCs w:val="21"/>
              </w:rPr>
              <w:t>分。</w:t>
            </w:r>
          </w:p>
          <w:p>
            <w:pPr>
              <w:rPr>
                <w:rFonts w:hint="eastAsia" w:ascii="宋体" w:hAnsi="宋体"/>
                <w:szCs w:val="21"/>
              </w:rPr>
            </w:pPr>
            <w:r>
              <w:rPr>
                <w:rFonts w:hint="eastAsia" w:ascii="宋体" w:hAnsi="宋体"/>
                <w:szCs w:val="21"/>
              </w:rPr>
              <w:t>证明文件：</w:t>
            </w:r>
          </w:p>
          <w:p>
            <w:pPr>
              <w:numPr>
                <w:ilvl w:val="3"/>
                <w:numId w:val="15"/>
              </w:numPr>
              <w:tabs>
                <w:tab w:val="left" w:pos="639"/>
              </w:tabs>
              <w:ind w:left="1206" w:leftChars="0" w:hanging="1196" w:firstLineChars="0"/>
              <w:rPr>
                <w:rFonts w:ascii="宋体" w:hAnsi="宋体" w:eastAsia="宋体" w:cs="宋体"/>
                <w:kern w:val="2"/>
                <w:sz w:val="21"/>
                <w:szCs w:val="21"/>
                <w:lang w:val="en-US" w:eastAsia="zh-CN" w:bidi="ar-SA"/>
              </w:rPr>
            </w:pPr>
            <w:r>
              <w:rPr>
                <w:rFonts w:hint="eastAsia" w:ascii="宋体" w:hAnsi="宋体"/>
                <w:szCs w:val="21"/>
              </w:rPr>
              <w:t>投标人须提供能体现上述评议所需信息（如合同双方名称、合同、签订时间）的相应合同的关键页并加盖投标人公章；未提供或提供的相关证明文件不清晰、不完整的，不得分。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kern w:val="0"/>
                <w:szCs w:val="21"/>
              </w:rPr>
              <w:t>项目方案</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25</w:t>
            </w:r>
          </w:p>
        </w:tc>
        <w:tc>
          <w:tcPr>
            <w:tcW w:w="6804" w:type="dxa"/>
            <w:gridSpan w:val="2"/>
            <w:tcBorders>
              <w:tl2br w:val="nil"/>
              <w:tr2bl w:val="nil"/>
            </w:tcBorders>
            <w:tcMar>
              <w:top w:w="15" w:type="dxa"/>
              <w:left w:w="15" w:type="dxa"/>
              <w:bottom w:w="15" w:type="dxa"/>
              <w:right w:w="15" w:type="dxa"/>
            </w:tcMar>
            <w:vAlign w:val="center"/>
          </w:tcPr>
          <w:p>
            <w:pPr>
              <w:widowControl/>
              <w:ind w:right="30" w:rightChars="0"/>
              <w:jc w:val="left"/>
              <w:rPr>
                <w:rFonts w:hint="eastAsia" w:ascii="宋体" w:hAnsi="宋体"/>
                <w:szCs w:val="21"/>
              </w:rPr>
            </w:pPr>
            <w:r>
              <w:rPr>
                <w:rFonts w:hint="eastAsia" w:ascii="宋体" w:hAnsi="宋体"/>
                <w:szCs w:val="21"/>
              </w:rPr>
              <w:t>评审标准：以下（1）+（2）+（3）合计为本项目得分。</w:t>
            </w:r>
          </w:p>
          <w:p>
            <w:pPr>
              <w:widowControl/>
              <w:ind w:right="30" w:rightChars="0"/>
              <w:jc w:val="left"/>
              <w:rPr>
                <w:rFonts w:hint="eastAsia" w:ascii="宋体" w:hAnsi="宋体"/>
                <w:szCs w:val="21"/>
              </w:rPr>
            </w:pPr>
            <w:r>
              <w:rPr>
                <w:rFonts w:hint="eastAsia" w:ascii="宋体" w:hAnsi="宋体"/>
                <w:szCs w:val="21"/>
              </w:rPr>
              <w:t>（1）根据投标人提供的项目方案整体的合理性进行评分。第一名得10分，第二名得5分，其他名次得1分。</w:t>
            </w:r>
          </w:p>
          <w:p>
            <w:pPr>
              <w:widowControl/>
              <w:ind w:right="30" w:rightChars="0"/>
              <w:jc w:val="left"/>
              <w:rPr>
                <w:rFonts w:hint="eastAsia" w:ascii="宋体" w:hAnsi="宋体"/>
                <w:szCs w:val="21"/>
              </w:rPr>
            </w:pPr>
            <w:r>
              <w:rPr>
                <w:rFonts w:hint="eastAsia" w:ascii="宋体" w:hAnsi="宋体"/>
                <w:szCs w:val="21"/>
              </w:rPr>
              <w:t>（2）以下（2-1）+（2-2）合计为本项目得分。</w:t>
            </w:r>
          </w:p>
          <w:p>
            <w:pPr>
              <w:widowControl/>
              <w:ind w:right="30" w:rightChars="0"/>
              <w:jc w:val="left"/>
              <w:rPr>
                <w:rFonts w:hint="eastAsia" w:ascii="宋体" w:hAnsi="宋体"/>
                <w:szCs w:val="21"/>
              </w:rPr>
            </w:pPr>
            <w:r>
              <w:rPr>
                <w:rFonts w:hint="eastAsia" w:ascii="宋体" w:hAnsi="宋体"/>
                <w:szCs w:val="21"/>
              </w:rPr>
              <w:t>（2-1）投标人在线下活动宣传现场至少收集60个有效参会人员信息的基础上，收集的人员信息数量越多，排名越靠前，人员信息数量第一名得5分，人员信息数量第二名得3分，人员信息数量第三名得1分，其他名次不得分。</w:t>
            </w:r>
          </w:p>
          <w:p>
            <w:pPr>
              <w:widowControl/>
              <w:ind w:right="30" w:rightChars="0"/>
              <w:jc w:val="left"/>
              <w:rPr>
                <w:rFonts w:hint="eastAsia" w:ascii="宋体" w:hAnsi="宋体"/>
                <w:szCs w:val="21"/>
              </w:rPr>
            </w:pPr>
            <w:r>
              <w:rPr>
                <w:rFonts w:hint="eastAsia" w:ascii="宋体" w:hAnsi="宋体"/>
                <w:szCs w:val="21"/>
              </w:rPr>
              <w:t>（2-2）在高交会期间举办一场投资类主题的论坛活动，在活动现场至少收集150个有效参会人员信息的基础上，收集的人员信息数量越多，排名越靠前，人员信息数量第一名得5分，人员信息数量第二名得3分，人员信息数量第三名得1分，其他名次不得分。</w:t>
            </w:r>
          </w:p>
          <w:p>
            <w:pPr>
              <w:widowControl/>
              <w:ind w:right="30" w:rightChars="0"/>
              <w:jc w:val="left"/>
              <w:rPr>
                <w:rFonts w:hint="eastAsia" w:ascii="宋体" w:hAnsi="宋体"/>
                <w:szCs w:val="21"/>
              </w:rPr>
            </w:pPr>
            <w:r>
              <w:rPr>
                <w:rFonts w:hint="eastAsia" w:ascii="宋体" w:hAnsi="宋体"/>
                <w:szCs w:val="21"/>
              </w:rPr>
              <w:t>（3）根据各单位提供的方案中，投放网站总数量越多排名越靠前，数量第一名得5分，数量第二名得3分，数量第三名得1分，其他名次不得分。</w:t>
            </w:r>
          </w:p>
          <w:p>
            <w:pPr>
              <w:widowControl/>
              <w:ind w:right="30" w:rightChars="0"/>
              <w:jc w:val="left"/>
              <w:rPr>
                <w:rFonts w:hint="eastAsia" w:ascii="宋体" w:hAnsi="宋体"/>
                <w:szCs w:val="21"/>
              </w:rPr>
            </w:pPr>
            <w:r>
              <w:rPr>
                <w:rFonts w:hint="eastAsia" w:ascii="宋体" w:hAnsi="宋体"/>
                <w:szCs w:val="21"/>
              </w:rPr>
              <w:t>证明文件：</w:t>
            </w:r>
          </w:p>
          <w:p>
            <w:pPr>
              <w:widowControl/>
              <w:ind w:right="30" w:rightChars="0"/>
              <w:jc w:val="left"/>
              <w:rPr>
                <w:rFonts w:ascii="宋体" w:hAnsi="宋体" w:eastAsia="宋体" w:cs="Times New Roman"/>
                <w:kern w:val="2"/>
                <w:sz w:val="21"/>
                <w:szCs w:val="21"/>
                <w:lang w:val="en-US" w:eastAsia="zh-CN" w:bidi="ar-SA"/>
              </w:rPr>
            </w:pPr>
            <w:r>
              <w:rPr>
                <w:rFonts w:hint="eastAsia" w:ascii="宋体" w:hAnsi="宋体"/>
                <w:szCs w:val="21"/>
              </w:rPr>
              <w:t>投标人须提供项目方案，加盖投标人公章。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rPr>
            </w:pPr>
            <w:r>
              <w:rPr>
                <w:rFonts w:hint="eastAsia" w:ascii="宋体" w:hAnsi="宋体"/>
                <w:kern w:val="0"/>
                <w:szCs w:val="21"/>
              </w:rPr>
              <w:t>项目团队</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snapToGrid w:val="0"/>
              <w:rPr>
                <w:rFonts w:hint="eastAsia"/>
              </w:rPr>
            </w:pPr>
            <w:r>
              <w:rPr>
                <w:rFonts w:hint="eastAsia"/>
              </w:rPr>
              <w:t>评审标准：以下（1）+（2）合计为本项目得分。</w:t>
            </w:r>
          </w:p>
          <w:p>
            <w:pPr>
              <w:snapToGrid w:val="0"/>
              <w:rPr>
                <w:rFonts w:hint="eastAsia"/>
              </w:rPr>
            </w:pPr>
            <w:r>
              <w:rPr>
                <w:rFonts w:hint="eastAsia"/>
              </w:rPr>
              <w:t>（1）根据投标人在满足项目团队成员不得少于3人（含项目负责人）的基础上，为本项目投入人员越多，排名越前，得分越高：第一名得5分，第二名得3分，其他名次得1分。</w:t>
            </w:r>
          </w:p>
          <w:p>
            <w:pPr>
              <w:snapToGrid w:val="0"/>
              <w:rPr>
                <w:rFonts w:hint="eastAsia"/>
              </w:rPr>
            </w:pPr>
            <w:r>
              <w:rPr>
                <w:rFonts w:hint="eastAsia"/>
              </w:rPr>
              <w:t>（2）根据投标人为本项目投入团队的人员分工合理性进行综合比较：优秀得5分，良好得3分，其他得1分。</w:t>
            </w:r>
          </w:p>
          <w:p>
            <w:pPr>
              <w:snapToGrid w:val="0"/>
              <w:rPr>
                <w:rFonts w:hint="eastAsia"/>
              </w:rPr>
            </w:pPr>
            <w:r>
              <w:rPr>
                <w:rFonts w:hint="eastAsia"/>
              </w:rPr>
              <w:t xml:space="preserve">证明文件： </w:t>
            </w:r>
          </w:p>
          <w:p>
            <w:pPr>
              <w:snapToGrid w:val="0"/>
              <w:rPr>
                <w:rFonts w:hint="eastAsia"/>
              </w:rPr>
            </w:pPr>
            <w:r>
              <w:rPr>
                <w:rFonts w:hint="eastAsia"/>
              </w:rPr>
              <w:t xml:space="preserve">（1）投标人须提供本项目团队成员名单、全部成员的简介及成员分工情况。 </w:t>
            </w:r>
          </w:p>
          <w:p>
            <w:pPr>
              <w:pStyle w:val="2"/>
              <w:ind w:left="0" w:leftChars="0" w:firstLine="0" w:firstLineChars="0"/>
              <w:rPr>
                <w:rFonts w:hint="eastAsia"/>
              </w:rPr>
            </w:pPr>
            <w:r>
              <w:rPr>
                <w:rFonts w:hint="eastAsia"/>
              </w:rPr>
              <w:t>（2）投标人须提供由其为上述人员所购买的近三个月社保清单证明（如在招标公告日上一个月的社保材料因社保部门原因暂时无法取得，则可以往前顺推一个月）。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23"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rPr>
            </w:pPr>
            <w:r>
              <w:rPr>
                <w:rFonts w:hint="eastAsia" w:ascii="宋体" w:hAnsi="宋体" w:cs="宋体"/>
                <w:kern w:val="0"/>
                <w:szCs w:val="21"/>
              </w:rPr>
              <w:t>增值服务及服务承诺</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szCs w:val="21"/>
                <w:lang w:val="en-US" w:eastAsia="zh-CN"/>
              </w:rPr>
            </w:pPr>
            <w:r>
              <w:rPr>
                <w:rFonts w:hint="eastAsia" w:ascii="宋体" w:hAnsi="宋体"/>
                <w:szCs w:val="21"/>
                <w:lang w:val="en-US" w:eastAsia="zh-CN"/>
              </w:rPr>
              <w:t>5</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snapToGrid w:val="0"/>
              <w:ind w:left="0" w:firstLine="0"/>
              <w:rPr>
                <w:rFonts w:hint="eastAsia" w:ascii="宋体" w:hAnsi="宋体"/>
                <w:szCs w:val="21"/>
              </w:rPr>
            </w:pPr>
            <w:r>
              <w:rPr>
                <w:rFonts w:hint="eastAsia" w:ascii="宋体" w:hAnsi="宋体"/>
                <w:szCs w:val="21"/>
              </w:rPr>
              <w:t>评审标准：</w:t>
            </w:r>
          </w:p>
          <w:p>
            <w:pPr>
              <w:numPr>
                <w:ilvl w:val="-1"/>
                <w:numId w:val="0"/>
              </w:numPr>
              <w:snapToGrid w:val="0"/>
              <w:ind w:left="0" w:firstLine="0"/>
              <w:rPr>
                <w:rFonts w:hint="eastAsia" w:ascii="宋体" w:hAnsi="宋体"/>
                <w:szCs w:val="21"/>
              </w:rPr>
            </w:pPr>
            <w:r>
              <w:rPr>
                <w:rFonts w:hint="eastAsia" w:ascii="宋体" w:hAnsi="宋体"/>
                <w:szCs w:val="21"/>
              </w:rPr>
              <w:t>根据投标人对招标人所承诺的增值服务、售后服务、项目执行变更等说明承诺内容越全面、配合程度越高、响应速度越高得分越高。综合评议后优秀得5分，良得3分，其他得1分。</w:t>
            </w:r>
          </w:p>
          <w:p>
            <w:pPr>
              <w:numPr>
                <w:ilvl w:val="-1"/>
                <w:numId w:val="0"/>
              </w:numPr>
              <w:snapToGrid w:val="0"/>
              <w:ind w:left="0" w:firstLine="0"/>
              <w:rPr>
                <w:rFonts w:hint="eastAsia" w:ascii="宋体" w:hAnsi="宋体"/>
                <w:szCs w:val="21"/>
              </w:rPr>
            </w:pPr>
            <w:r>
              <w:rPr>
                <w:rFonts w:hint="eastAsia" w:ascii="宋体" w:hAnsi="宋体"/>
                <w:szCs w:val="21"/>
              </w:rPr>
              <w:t>证明文件：</w:t>
            </w:r>
          </w:p>
          <w:p>
            <w:pPr>
              <w:pStyle w:val="22"/>
              <w:numPr>
                <w:ilvl w:val="-1"/>
                <w:numId w:val="0"/>
              </w:numPr>
              <w:ind w:left="0" w:leftChars="0" w:firstLine="0" w:firstLineChars="0"/>
              <w:rPr>
                <w:rFonts w:hint="eastAsia" w:ascii="宋体" w:hAnsi="宋体" w:cs="宋体"/>
                <w:kern w:val="0"/>
                <w:szCs w:val="21"/>
              </w:rPr>
            </w:pPr>
            <w:r>
              <w:rPr>
                <w:rFonts w:hint="eastAsia" w:ascii="宋体" w:hAnsi="宋体"/>
                <w:szCs w:val="21"/>
              </w:rPr>
              <w:t>投标人须提供项目方案，加盖投标人公章。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17"/>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lang w:val="en-US" w:eastAsia="zh-CN"/>
              </w:rPr>
              <w:t>XX</w:t>
            </w:r>
            <w:r>
              <w:rPr>
                <w:rStyle w:val="19"/>
                <w:rFonts w:hint="eastAsia" w:ascii="宋体" w:hAnsi="宋体"/>
                <w:highlight w:val="none"/>
              </w:rPr>
              <w:t xml:space="preserve"> （价格评价分项满分值），Z为本次招标基准价；</w:t>
            </w:r>
          </w:p>
          <w:p>
            <w:pPr>
              <w:numPr>
                <w:ilvl w:val="0"/>
                <w:numId w:val="17"/>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w:t>
            </w:r>
            <w:r>
              <w:rPr>
                <w:rStyle w:val="19"/>
                <w:rFonts w:hint="eastAsia" w:ascii="宋体" w:hAnsi="宋体"/>
                <w:highlight w:val="none"/>
                <w:lang w:val="en-US" w:eastAsia="zh-CN"/>
              </w:rPr>
              <w:t>1</w:t>
            </w:r>
            <w:r>
              <w:rPr>
                <w:rStyle w:val="19"/>
                <w:rFonts w:hint="eastAsia" w:ascii="宋体" w:hAnsi="宋体"/>
                <w:highlight w:val="none"/>
              </w:rPr>
              <w:t>；当投标报价高于次招标基准价时，取A=1；</w:t>
            </w:r>
          </w:p>
          <w:p>
            <w:pPr>
              <w:numPr>
                <w:ilvl w:val="0"/>
                <w:numId w:val="17"/>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kern w:val="0"/>
                <w:szCs w:val="21"/>
                <w:highlight w:val="none"/>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
      <w:pPr>
        <w:spacing w:before="312" w:beforeLines="100" w:after="312" w:afterLines="100" w:line="360" w:lineRule="auto"/>
        <w:jc w:val="both"/>
        <w:outlineLvl w:val="0"/>
        <w:rPr>
          <w:rFonts w:ascii="仿宋" w:hAnsi="仿宋" w:eastAsia="仿宋"/>
          <w:sz w:val="32"/>
          <w:szCs w:val="32"/>
        </w:rPr>
      </w:pPr>
      <w:r>
        <w:rPr>
          <w:rFonts w:hint="eastAsia" w:cs="Times New Roman"/>
          <w:bCs/>
          <w:sz w:val="24"/>
          <w:lang w:val="en-US" w:eastAsia="zh-CN"/>
        </w:rPr>
        <w:t xml:space="preserve">              </w:t>
      </w:r>
      <w:bookmarkStart w:id="67" w:name="_Toc30921"/>
      <w:bookmarkStart w:id="68" w:name="_Toc116550359"/>
      <w:r>
        <w:rPr>
          <w:rFonts w:hint="eastAsia"/>
          <w:b/>
          <w:sz w:val="32"/>
          <w:szCs w:val="32"/>
        </w:rPr>
        <w:t>第</w:t>
      </w:r>
      <w:r>
        <w:rPr>
          <w:rFonts w:hint="eastAsia"/>
          <w:b/>
          <w:sz w:val="32"/>
          <w:szCs w:val="32"/>
          <w:lang w:val="en-US" w:eastAsia="zh-CN"/>
        </w:rPr>
        <w:t>四</w:t>
      </w:r>
      <w:r>
        <w:rPr>
          <w:rFonts w:hint="eastAsia"/>
          <w:b/>
          <w:sz w:val="32"/>
          <w:szCs w:val="32"/>
        </w:rPr>
        <w:t>部分：参考附件</w:t>
      </w:r>
      <w:bookmarkEnd w:id="67"/>
      <w:bookmarkEnd w:id="68"/>
    </w:p>
    <w:p>
      <w:pPr>
        <w:spacing w:line="0" w:lineRule="atLeast"/>
        <w:outlineLvl w:val="1"/>
        <w:rPr>
          <w:rFonts w:ascii="宋体" w:hAnsi="宋体"/>
        </w:rPr>
      </w:pPr>
      <w:bookmarkStart w:id="69" w:name="_Toc4454"/>
      <w:bookmarkStart w:id="70" w:name="_Toc116550360"/>
      <w:r>
        <w:rPr>
          <w:rFonts w:hint="eastAsia" w:ascii="宋体" w:hAnsi="宋体"/>
          <w:szCs w:val="21"/>
        </w:rPr>
        <w:t>附件1：</w:t>
      </w:r>
      <w:r>
        <w:rPr>
          <w:rFonts w:hint="eastAsia" w:ascii="宋体" w:hAnsi="宋体"/>
        </w:rPr>
        <w:t>报名回函</w:t>
      </w:r>
      <w:bookmarkEnd w:id="69"/>
      <w:bookmarkEnd w:id="70"/>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w:t>
      </w:r>
      <w:r>
        <w:rPr>
          <w:rStyle w:val="17"/>
          <w:rFonts w:ascii="方正小标宋简体" w:hAnsi="方正小标宋_GBK" w:eastAsia="方正小标宋简体"/>
          <w:sz w:val="32"/>
          <w:szCs w:val="32"/>
        </w:rPr>
        <w:t>深圳会展中心第二十五届高交会投资商定向邀请宣传推广采购</w:t>
      </w:r>
      <w:r>
        <w:rPr>
          <w:rStyle w:val="17"/>
          <w:rFonts w:hint="eastAsia" w:ascii="方正小标宋简体" w:hAnsi="方正小标宋_GBK" w:eastAsia="方正小标宋简体"/>
          <w:sz w:val="32"/>
          <w:szCs w:val="32"/>
        </w:rPr>
        <w:t>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71" w:name="_Toc24527"/>
      <w:bookmarkStart w:id="72" w:name="_Toc116550361"/>
      <w:r>
        <w:rPr>
          <w:rFonts w:hint="eastAsia" w:ascii="宋体" w:hAnsi="宋体"/>
          <w:szCs w:val="21"/>
        </w:rPr>
        <w:t>附件2：投标函</w:t>
      </w:r>
      <w:bookmarkEnd w:id="71"/>
      <w:bookmarkEnd w:id="7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73" w:name="_Toc29954"/>
      <w:bookmarkStart w:id="74" w:name="_Toc116550362"/>
      <w:r>
        <w:rPr>
          <w:rFonts w:hint="eastAsia" w:ascii="宋体" w:hAnsi="宋体"/>
          <w:szCs w:val="21"/>
        </w:rPr>
        <w:t>附件3：投标一览表</w:t>
      </w:r>
      <w:bookmarkEnd w:id="73"/>
      <w:bookmarkEnd w:id="7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7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7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76" w:name="_Toc116550363"/>
      <w:bookmarkStart w:id="77" w:name="_Toc6287"/>
      <w:r>
        <w:rPr>
          <w:rFonts w:hint="eastAsia" w:ascii="宋体" w:hAnsi="宋体"/>
          <w:szCs w:val="21"/>
        </w:rPr>
        <w:t>附件4：考察证明</w:t>
      </w:r>
      <w:bookmarkEnd w:id="76"/>
      <w:r>
        <w:rPr>
          <w:rFonts w:hint="eastAsia" w:ascii="宋体" w:hAnsi="宋体"/>
          <w:szCs w:val="21"/>
        </w:rPr>
        <w:t xml:space="preserve"> （本项目不适用）</w:t>
      </w:r>
      <w:bookmarkEnd w:id="77"/>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7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7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7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7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80" w:name="_Toc5930"/>
      <w:bookmarkStart w:id="81" w:name="_Toc116550364"/>
      <w:r>
        <w:rPr>
          <w:rFonts w:hint="eastAsia" w:ascii="宋体" w:hAnsi="宋体"/>
          <w:szCs w:val="21"/>
        </w:rPr>
        <w:t>附件5：技术服务响应/偏离表</w:t>
      </w:r>
      <w:bookmarkEnd w:id="80"/>
      <w:bookmarkEnd w:id="8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82" w:name="_Toc211248418"/>
      <w:r>
        <w:rPr>
          <w:rFonts w:hint="eastAsia" w:ascii="方正小标宋_GBK" w:hAnsi="方正小标宋_GBK" w:eastAsia="方正小标宋_GBK"/>
          <w:b/>
          <w:sz w:val="32"/>
          <w:szCs w:val="32"/>
        </w:rPr>
        <w:t>技术服务响应/偏离表</w:t>
      </w:r>
      <w:bookmarkEnd w:id="8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83"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83"/>
      <w:bookmarkStart w:id="84" w:name="_Toc236803114"/>
      <w:bookmarkStart w:id="85" w:name="_Toc246480945"/>
      <w:r>
        <w:rPr>
          <w:rFonts w:ascii="仿宋" w:hAnsi="仿宋" w:eastAsia="仿宋"/>
          <w:sz w:val="28"/>
          <w:szCs w:val="28"/>
        </w:rPr>
        <w:br w:type="page"/>
      </w:r>
    </w:p>
    <w:p>
      <w:pPr>
        <w:spacing w:line="0" w:lineRule="atLeast"/>
        <w:outlineLvl w:val="1"/>
        <w:rPr>
          <w:rFonts w:ascii="宋体" w:hAnsi="宋体"/>
          <w:szCs w:val="21"/>
        </w:rPr>
      </w:pPr>
      <w:bookmarkStart w:id="86" w:name="_Toc116550365"/>
      <w:bookmarkStart w:id="87" w:name="_Toc26500"/>
      <w:r>
        <w:rPr>
          <w:rFonts w:hint="eastAsia" w:ascii="宋体" w:hAnsi="宋体"/>
          <w:szCs w:val="21"/>
        </w:rPr>
        <w:t>附件6：商务条款响应/偏离表</w:t>
      </w:r>
      <w:bookmarkEnd w:id="84"/>
      <w:bookmarkEnd w:id="85"/>
      <w:bookmarkEnd w:id="86"/>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88" w:name="_Toc211248420"/>
      <w:r>
        <w:rPr>
          <w:rFonts w:hint="eastAsia" w:ascii="方正小标宋_GBK" w:hAnsi="方正小标宋_GBK" w:eastAsia="方正小标宋_GBK"/>
          <w:b/>
          <w:sz w:val="32"/>
          <w:szCs w:val="32"/>
        </w:rPr>
        <w:t>商务条款响应/偏离表</w:t>
      </w:r>
      <w:bookmarkEnd w:id="8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89" w:name="_Toc478387764"/>
      <w:bookmarkStart w:id="90" w:name="_Toc236803111"/>
      <w:bookmarkStart w:id="91" w:name="_Toc395883088"/>
      <w:r>
        <w:rPr>
          <w:rFonts w:ascii="仿宋" w:hAnsi="仿宋" w:eastAsia="仿宋"/>
          <w:sz w:val="28"/>
          <w:szCs w:val="28"/>
        </w:rPr>
        <w:br w:type="page"/>
      </w:r>
    </w:p>
    <w:p>
      <w:pPr>
        <w:spacing w:line="0" w:lineRule="atLeast"/>
        <w:outlineLvl w:val="1"/>
        <w:rPr>
          <w:rFonts w:ascii="宋体" w:hAnsi="宋体"/>
          <w:szCs w:val="21"/>
        </w:rPr>
      </w:pPr>
      <w:bookmarkStart w:id="92" w:name="_Toc116550366"/>
      <w:bookmarkStart w:id="93" w:name="_Toc14883"/>
      <w:r>
        <w:rPr>
          <w:rFonts w:hint="eastAsia" w:ascii="宋体" w:hAnsi="宋体"/>
          <w:szCs w:val="21"/>
        </w:rPr>
        <w:t>附件7：报价一览表（货物）</w:t>
      </w:r>
      <w:r>
        <w:rPr>
          <w:rFonts w:hint="eastAsia" w:ascii="宋体" w:hAnsi="宋体"/>
          <w:color w:val="FF0000"/>
          <w:szCs w:val="21"/>
        </w:rPr>
        <w:t>（本项目不适用）</w:t>
      </w:r>
      <w:bookmarkEnd w:id="92"/>
      <w:bookmarkEnd w:id="93"/>
    </w:p>
    <w:bookmarkEnd w:id="89"/>
    <w:bookmarkEnd w:id="90"/>
    <w:bookmarkEnd w:id="91"/>
    <w:p>
      <w:pPr>
        <w:spacing w:before="120" w:after="240"/>
        <w:jc w:val="center"/>
        <w:rPr>
          <w:rFonts w:ascii="宋体" w:hAnsi="宋体"/>
          <w:b/>
          <w:sz w:val="32"/>
          <w:szCs w:val="32"/>
        </w:rPr>
      </w:pPr>
      <w:bookmarkStart w:id="94" w:name="_Toc211248412"/>
      <w:r>
        <w:rPr>
          <w:rFonts w:hint="eastAsia" w:ascii="方正小标宋_GBK" w:hAnsi="方正小标宋_GBK" w:eastAsia="方正小标宋_GBK"/>
          <w:b/>
          <w:sz w:val="32"/>
          <w:szCs w:val="32"/>
        </w:rPr>
        <w:t>报价一览表</w:t>
      </w:r>
      <w:bookmarkEnd w:id="9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2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2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2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2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95" w:name="_Toc82095917"/>
      <w:bookmarkStart w:id="96"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95"/>
    <w:bookmarkEnd w:id="96"/>
    <w:p>
      <w:pPr>
        <w:spacing w:line="0" w:lineRule="atLeast"/>
        <w:outlineLvl w:val="1"/>
        <w:rPr>
          <w:rFonts w:ascii="宋体" w:hAnsi="宋体"/>
          <w:szCs w:val="21"/>
        </w:rPr>
      </w:pPr>
      <w:bookmarkStart w:id="97" w:name="_Toc116550367"/>
      <w:bookmarkStart w:id="98" w:name="_Toc16052"/>
      <w:r>
        <w:rPr>
          <w:rFonts w:hint="eastAsia" w:ascii="宋体" w:hAnsi="宋体"/>
          <w:szCs w:val="21"/>
        </w:rPr>
        <w:t>附件8：报价一览表（服务）</w:t>
      </w:r>
      <w:bookmarkEnd w:id="97"/>
      <w:bookmarkEnd w:id="98"/>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highlight w:val="none"/>
          <w:u w:val="single"/>
        </w:rPr>
        <w:t>深圳会展中心第二十五届高交会投资商定向邀请宣传推广采购</w:t>
      </w:r>
      <w:r>
        <w:rPr>
          <w:rFonts w:hint="eastAsia" w:ascii="仿宋" w:hAnsi="仿宋" w:eastAsia="仿宋"/>
          <w:sz w:val="28"/>
          <w:szCs w:val="28"/>
          <w:highlight w:val="none"/>
          <w:u w:val="single"/>
          <w:lang w:val="en-US" w:eastAsia="zh-CN"/>
        </w:rPr>
        <w:t>项目</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2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2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2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hint="default" w:ascii="宋体" w:hAnsi="宋体" w:eastAsia="宋体"/>
          <w:szCs w:val="21"/>
          <w:highlight w:val="none"/>
          <w:lang w:val="en-US" w:eastAsia="zh-CN"/>
        </w:rPr>
      </w:pPr>
      <w:bookmarkStart w:id="99" w:name="_Toc116550368"/>
      <w:bookmarkStart w:id="100" w:name="_Toc9572"/>
      <w:r>
        <w:rPr>
          <w:rFonts w:hint="eastAsia" w:ascii="宋体" w:hAnsi="宋体"/>
          <w:szCs w:val="21"/>
        </w:rPr>
        <w:t>附件9：报价一览表（工程）</w:t>
      </w:r>
      <w:bookmarkEnd w:id="99"/>
      <w:r>
        <w:rPr>
          <w:rFonts w:hint="eastAsia" w:ascii="宋体" w:hAnsi="宋体"/>
          <w:szCs w:val="21"/>
          <w:highlight w:val="none"/>
          <w:lang w:eastAsia="zh-CN"/>
        </w:rPr>
        <w:t>（本项目不适用）</w:t>
      </w:r>
      <w:bookmarkEnd w:id="100"/>
    </w:p>
    <w:p>
      <w:pPr>
        <w:jc w:val="center"/>
        <w:rPr>
          <w:rFonts w:ascii="仿宋_GB2312" w:hAnsi="宋体" w:eastAsia="仿宋_GB2312"/>
          <w:b/>
          <w:sz w:val="30"/>
          <w:szCs w:val="30"/>
          <w:highlight w:val="none"/>
        </w:rPr>
      </w:pPr>
    </w:p>
    <w:p>
      <w:pPr>
        <w:spacing w:line="0" w:lineRule="atLeast"/>
        <w:outlineLvl w:val="1"/>
        <w:rPr>
          <w:rFonts w:ascii="宋体" w:hAnsi="宋体"/>
          <w:szCs w:val="21"/>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2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2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2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2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101" w:name="_Toc5913"/>
      <w:bookmarkStart w:id="102" w:name="_Toc116550369"/>
      <w:r>
        <w:rPr>
          <w:rFonts w:hint="eastAsia" w:ascii="宋体" w:hAnsi="宋体"/>
          <w:szCs w:val="21"/>
        </w:rPr>
        <w:t>附件10：法定代表人证明书</w:t>
      </w:r>
      <w:bookmarkEnd w:id="101"/>
      <w:bookmarkEnd w:id="10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103" w:name="_Toc116550370"/>
      <w:bookmarkStart w:id="104" w:name="_Toc2014"/>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103"/>
      <w:bookmarkEnd w:id="104"/>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2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2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2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544830</wp:posOffset>
                </wp:positionV>
                <wp:extent cx="2555875" cy="1609725"/>
                <wp:effectExtent l="4445" t="4445" r="11430" b="508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42.9pt;height:126.75pt;width:201.25pt;z-index:251661312;mso-width-relative:page;mso-height-relative:page;" fillcolor="#FFFFFF" filled="t" stroked="t" coordsize="21600,21600" o:gfxdata="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no4x2QAAAAoBAAAPAAAA&#10;AAAAAAEAIAAAACIAAABkcnMvZG93bnJldi54bWxQSwECFAAUAAAACACHTuJAq4TVABQCAAA5BAAA&#10;DgAAAAAAAAABACAAAAAoAQAAZHJzL2Uyb0RvYy54bWxQSwUGAAAAAAYABgBZAQAArgUAAAAA&#10;">
                <v:fill on="t" focussize="0,0"/>
                <v:stroke color="#000000" miterlimit="8" joinstyle="miter"/>
                <v:imagedata o:title=""/>
                <o:lock v:ext="edit" aspectratio="f"/>
                <v:textbox>
                  <w:txbxContent>
                    <w:p>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553720</wp:posOffset>
                </wp:positionV>
                <wp:extent cx="2517775" cy="1609725"/>
                <wp:effectExtent l="4445" t="4445" r="11430" b="508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43.6pt;height:126.75pt;width:198.25pt;z-index:251662336;mso-width-relative:page;mso-height-relative:page;" fillcolor="#FFFFFF" filled="t" stroked="t" coordsize="21600,21600" o:gfxdata="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w8Yi2QAAAAoBAAAPAAAA&#10;AAAAAAEAIAAAACIAAABkcnMvZG93bnJldi54bWxQSwECFAAUAAAACACHTuJAgvjciBQCAAA5BAAA&#10;DgAAAAAAAAABACAAAAAoAQAAZHJzL2Uyb0RvYy54bWxQSwUGAAAAAAYABgBZAQAArgUAAAAA&#10;">
                <v:fill on="t" focussize="0,0"/>
                <v:stroke color="#000000" miterlimit="8" joinstyle="miter"/>
                <v:imagedata o:title=""/>
                <o:lock v:ext="edit" aspectratio="f"/>
                <v:textbo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pPr>
        <w:spacing w:line="0" w:lineRule="atLeast"/>
        <w:outlineLvl w:val="1"/>
        <w:rPr>
          <w:rFonts w:ascii="宋体" w:hAnsi="宋体"/>
          <w:szCs w:val="21"/>
        </w:rPr>
      </w:pPr>
      <w:bookmarkStart w:id="105" w:name="_Toc32340"/>
      <w:bookmarkStart w:id="10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105"/>
      <w:bookmarkEnd w:id="10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107" w:name="_Toc12628"/>
      <w:bookmarkStart w:id="108"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107"/>
      <w:bookmarkEnd w:id="10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109" w:name="_Toc32341"/>
      <w:r>
        <w:rPr>
          <w:rFonts w:ascii="仿宋" w:hAnsi="仿宋" w:eastAsia="仿宋"/>
          <w:sz w:val="28"/>
          <w:szCs w:val="28"/>
        </w:rPr>
        <w:br w:type="page"/>
      </w:r>
    </w:p>
    <w:p>
      <w:pPr>
        <w:spacing w:line="0" w:lineRule="atLeast"/>
        <w:outlineLvl w:val="1"/>
        <w:rPr>
          <w:rFonts w:ascii="宋体" w:hAnsi="宋体"/>
          <w:szCs w:val="21"/>
        </w:rPr>
      </w:pPr>
      <w:bookmarkStart w:id="110" w:name="_Toc17181"/>
      <w:bookmarkStart w:id="11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109"/>
      <w:bookmarkEnd w:id="110"/>
      <w:bookmarkEnd w:id="11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112" w:name="_Toc100848654"/>
      <w:bookmarkStart w:id="113" w:name="_Toc922"/>
      <w:bookmarkStart w:id="114" w:name="_Toc116550374"/>
      <w:r>
        <w:rPr>
          <w:rFonts w:hint="eastAsia" w:ascii="宋体" w:hAnsi="宋体"/>
        </w:rPr>
        <w:t>附件15：投标文件密码</w:t>
      </w:r>
      <w:bookmarkEnd w:id="112"/>
      <w:r>
        <w:rPr>
          <w:rFonts w:hint="eastAsia" w:ascii="宋体" w:hAnsi="宋体"/>
        </w:rPr>
        <w:t>单</w:t>
      </w:r>
      <w:bookmarkEnd w:id="113"/>
      <w:bookmarkEnd w:id="11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11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115"/>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9"/>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29"/>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64" w:rightChars="-364"/>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A7FBC506"/>
    <w:multiLevelType w:val="singleLevel"/>
    <w:tmpl w:val="A7FBC506"/>
    <w:lvl w:ilvl="0" w:tentative="0">
      <w:start w:val="1"/>
      <w:numFmt w:val="decimal"/>
      <w:suff w:val="nothing"/>
      <w:lvlText w:val="（%1）"/>
      <w:lvlJc w:val="left"/>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AA5A57F"/>
    <w:multiLevelType w:val="singleLevel"/>
    <w:tmpl w:val="DAA5A57F"/>
    <w:lvl w:ilvl="0" w:tentative="0">
      <w:start w:val="1"/>
      <w:numFmt w:val="decimal"/>
      <w:suff w:val="space"/>
      <w:lvlText w:val="%1."/>
      <w:lvlJc w:val="left"/>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9">
    <w:nsid w:val="472D6470"/>
    <w:multiLevelType w:val="singleLevel"/>
    <w:tmpl w:val="472D6470"/>
    <w:lvl w:ilvl="0" w:tentative="0">
      <w:start w:val="1"/>
      <w:numFmt w:val="decimal"/>
      <w:lvlText w:val="%1."/>
      <w:lvlJc w:val="left"/>
      <w:pPr>
        <w:ind w:left="425" w:hanging="425"/>
      </w:pPr>
      <w:rPr>
        <w:rFonts w:hint="default"/>
      </w:rPr>
    </w:lvl>
  </w:abstractNum>
  <w:abstractNum w:abstractNumId="20">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2">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3">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10B3C71"/>
    <w:multiLevelType w:val="multilevel"/>
    <w:tmpl w:val="610B3C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7">
    <w:nsid w:val="7ED17433"/>
    <w:multiLevelType w:val="singleLevel"/>
    <w:tmpl w:val="7ED17433"/>
    <w:lvl w:ilvl="0" w:tentative="0">
      <w:start w:val="1"/>
      <w:numFmt w:val="decimal"/>
      <w:lvlText w:val="（%1）"/>
      <w:lvlJc w:val="left"/>
      <w:pPr>
        <w:ind w:left="420" w:hanging="420"/>
      </w:pPr>
      <w:rPr>
        <w:rFonts w:hint="eastAsia"/>
      </w:rPr>
    </w:lvl>
  </w:abstractNum>
  <w:num w:numId="1">
    <w:abstractNumId w:val="22"/>
  </w:num>
  <w:num w:numId="2">
    <w:abstractNumId w:val="26"/>
  </w:num>
  <w:num w:numId="3">
    <w:abstractNumId w:val="16"/>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17"/>
  </w:num>
  <w:num w:numId="9">
    <w:abstractNumId w:val="8"/>
  </w:num>
  <w:num w:numId="10">
    <w:abstractNumId w:val="27"/>
  </w:num>
  <w:num w:numId="11">
    <w:abstractNumId w:val="1"/>
  </w:num>
  <w:num w:numId="12">
    <w:abstractNumId w:val="19"/>
  </w:num>
  <w:num w:numId="13">
    <w:abstractNumId w:val="6"/>
  </w:num>
  <w:num w:numId="14">
    <w:abstractNumId w:val="10"/>
  </w:num>
  <w:num w:numId="15">
    <w:abstractNumId w:val="24"/>
  </w:num>
  <w:num w:numId="16">
    <w:abstractNumId w:val="15"/>
  </w:num>
  <w:num w:numId="17">
    <w:abstractNumId w:val="0"/>
  </w:num>
  <w:num w:numId="18">
    <w:abstractNumId w:val="3"/>
  </w:num>
  <w:num w:numId="19">
    <w:abstractNumId w:val="5"/>
  </w:num>
  <w:num w:numId="20">
    <w:abstractNumId w:val="4"/>
  </w:num>
  <w:num w:numId="21">
    <w:abstractNumId w:val="25"/>
  </w:num>
  <w:num w:numId="22">
    <w:abstractNumId w:val="18"/>
  </w:num>
  <w:num w:numId="23">
    <w:abstractNumId w:val="14"/>
  </w:num>
  <w:num w:numId="24">
    <w:abstractNumId w:val="12"/>
  </w:num>
  <w:num w:numId="25">
    <w:abstractNumId w:val="20"/>
  </w:num>
  <w:num w:numId="26">
    <w:abstractNumId w:val="11"/>
  </w:num>
  <w:num w:numId="27">
    <w:abstractNumId w:val="7"/>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MjRjNjM0OGNjZjRhY2ZiNzNhNjY1YjE1MTIwYTEifQ=="/>
  </w:docVars>
  <w:rsids>
    <w:rsidRoot w:val="00172A27"/>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379"/>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21BA5"/>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363C55"/>
    <w:rsid w:val="0183372F"/>
    <w:rsid w:val="02B47C4D"/>
    <w:rsid w:val="02FD765A"/>
    <w:rsid w:val="038E142C"/>
    <w:rsid w:val="04450729"/>
    <w:rsid w:val="047C3958"/>
    <w:rsid w:val="04D46768"/>
    <w:rsid w:val="04F90B5F"/>
    <w:rsid w:val="0505214F"/>
    <w:rsid w:val="0508501E"/>
    <w:rsid w:val="050B656C"/>
    <w:rsid w:val="053A1CC8"/>
    <w:rsid w:val="05557E2B"/>
    <w:rsid w:val="05B91C35"/>
    <w:rsid w:val="06856661"/>
    <w:rsid w:val="06F40B5B"/>
    <w:rsid w:val="077B4608"/>
    <w:rsid w:val="07BB74B6"/>
    <w:rsid w:val="08493DEA"/>
    <w:rsid w:val="084B2AF2"/>
    <w:rsid w:val="086E4EC9"/>
    <w:rsid w:val="08C8619B"/>
    <w:rsid w:val="08F04FDE"/>
    <w:rsid w:val="09266D81"/>
    <w:rsid w:val="0A20099D"/>
    <w:rsid w:val="0B4107EB"/>
    <w:rsid w:val="0B6D6512"/>
    <w:rsid w:val="0B734A64"/>
    <w:rsid w:val="0C4F7C55"/>
    <w:rsid w:val="0CDE01F2"/>
    <w:rsid w:val="0D925C18"/>
    <w:rsid w:val="0DD201F4"/>
    <w:rsid w:val="0F4526B6"/>
    <w:rsid w:val="0F625F95"/>
    <w:rsid w:val="10091618"/>
    <w:rsid w:val="13E92730"/>
    <w:rsid w:val="14977358"/>
    <w:rsid w:val="14BF4FE7"/>
    <w:rsid w:val="152B64B8"/>
    <w:rsid w:val="155D10F2"/>
    <w:rsid w:val="15740DA4"/>
    <w:rsid w:val="15A52DA9"/>
    <w:rsid w:val="18772861"/>
    <w:rsid w:val="18D07E98"/>
    <w:rsid w:val="195A6BC0"/>
    <w:rsid w:val="19E834CC"/>
    <w:rsid w:val="1A0B3364"/>
    <w:rsid w:val="1AE2456B"/>
    <w:rsid w:val="1B022D58"/>
    <w:rsid w:val="1B2F1F4F"/>
    <w:rsid w:val="1BCE2907"/>
    <w:rsid w:val="1C5670DA"/>
    <w:rsid w:val="1CA279E3"/>
    <w:rsid w:val="1DC22DF1"/>
    <w:rsid w:val="1E8D20D9"/>
    <w:rsid w:val="1F044472"/>
    <w:rsid w:val="1F377802"/>
    <w:rsid w:val="1F7074E6"/>
    <w:rsid w:val="21AC353B"/>
    <w:rsid w:val="227A4EED"/>
    <w:rsid w:val="228D0750"/>
    <w:rsid w:val="22E633ED"/>
    <w:rsid w:val="24091EF7"/>
    <w:rsid w:val="244A6761"/>
    <w:rsid w:val="24786106"/>
    <w:rsid w:val="25A5748F"/>
    <w:rsid w:val="25D85A3C"/>
    <w:rsid w:val="267E19B6"/>
    <w:rsid w:val="26CF3ADB"/>
    <w:rsid w:val="26E95967"/>
    <w:rsid w:val="29C02FE3"/>
    <w:rsid w:val="2A1D36D7"/>
    <w:rsid w:val="2B9E3425"/>
    <w:rsid w:val="2BC00137"/>
    <w:rsid w:val="2BD84FDD"/>
    <w:rsid w:val="2BFA4386"/>
    <w:rsid w:val="2CD73EA3"/>
    <w:rsid w:val="2D845ED0"/>
    <w:rsid w:val="2E577A32"/>
    <w:rsid w:val="2EC36774"/>
    <w:rsid w:val="2F526627"/>
    <w:rsid w:val="30381F4F"/>
    <w:rsid w:val="30F31F43"/>
    <w:rsid w:val="34A05B77"/>
    <w:rsid w:val="35DE2B9F"/>
    <w:rsid w:val="37097428"/>
    <w:rsid w:val="3829383E"/>
    <w:rsid w:val="38AC36F6"/>
    <w:rsid w:val="38BB43FF"/>
    <w:rsid w:val="392D4949"/>
    <w:rsid w:val="39B52A9B"/>
    <w:rsid w:val="3B9B4E58"/>
    <w:rsid w:val="3BA721A9"/>
    <w:rsid w:val="3BB26AC4"/>
    <w:rsid w:val="3C35255B"/>
    <w:rsid w:val="3C9B7C26"/>
    <w:rsid w:val="3D3679ED"/>
    <w:rsid w:val="3D3E3E24"/>
    <w:rsid w:val="3D614F7D"/>
    <w:rsid w:val="3DF22C50"/>
    <w:rsid w:val="3E4358E0"/>
    <w:rsid w:val="3E6328D0"/>
    <w:rsid w:val="408D7227"/>
    <w:rsid w:val="41407E51"/>
    <w:rsid w:val="416718EC"/>
    <w:rsid w:val="419E4B5C"/>
    <w:rsid w:val="41C07F72"/>
    <w:rsid w:val="439D7A21"/>
    <w:rsid w:val="43D97719"/>
    <w:rsid w:val="447267E8"/>
    <w:rsid w:val="44802681"/>
    <w:rsid w:val="44D567CA"/>
    <w:rsid w:val="44E431E5"/>
    <w:rsid w:val="458955DD"/>
    <w:rsid w:val="45CE3B5E"/>
    <w:rsid w:val="46B30DE6"/>
    <w:rsid w:val="492A4A83"/>
    <w:rsid w:val="492D5CB3"/>
    <w:rsid w:val="495C1F5C"/>
    <w:rsid w:val="4AF77150"/>
    <w:rsid w:val="4B8B03E4"/>
    <w:rsid w:val="4B9A16D0"/>
    <w:rsid w:val="4D9A3F67"/>
    <w:rsid w:val="4DC7192F"/>
    <w:rsid w:val="4DDF67CC"/>
    <w:rsid w:val="4EE12BFB"/>
    <w:rsid w:val="4F17764A"/>
    <w:rsid w:val="4FCB6999"/>
    <w:rsid w:val="50FA6A61"/>
    <w:rsid w:val="51794BC1"/>
    <w:rsid w:val="51916E74"/>
    <w:rsid w:val="53D25371"/>
    <w:rsid w:val="540F1FD2"/>
    <w:rsid w:val="54951563"/>
    <w:rsid w:val="561F6663"/>
    <w:rsid w:val="57231B7E"/>
    <w:rsid w:val="57315BF2"/>
    <w:rsid w:val="57594B93"/>
    <w:rsid w:val="57E12486"/>
    <w:rsid w:val="594A6990"/>
    <w:rsid w:val="5A2E0F40"/>
    <w:rsid w:val="5B2941D7"/>
    <w:rsid w:val="5B407481"/>
    <w:rsid w:val="5BDD23FE"/>
    <w:rsid w:val="5C4C5214"/>
    <w:rsid w:val="5D5D0D93"/>
    <w:rsid w:val="5E4E6BAA"/>
    <w:rsid w:val="5E8307E5"/>
    <w:rsid w:val="60475C3F"/>
    <w:rsid w:val="60785544"/>
    <w:rsid w:val="60A60070"/>
    <w:rsid w:val="60EE5E5F"/>
    <w:rsid w:val="61A26997"/>
    <w:rsid w:val="622C21AB"/>
    <w:rsid w:val="62D00ABF"/>
    <w:rsid w:val="630A13FF"/>
    <w:rsid w:val="640C25AF"/>
    <w:rsid w:val="64EF5A4D"/>
    <w:rsid w:val="65122B4F"/>
    <w:rsid w:val="67457773"/>
    <w:rsid w:val="68171C28"/>
    <w:rsid w:val="683A303D"/>
    <w:rsid w:val="68D5464B"/>
    <w:rsid w:val="68E97B63"/>
    <w:rsid w:val="69101AD1"/>
    <w:rsid w:val="6A5B2F9C"/>
    <w:rsid w:val="6B1E605C"/>
    <w:rsid w:val="6C5E0507"/>
    <w:rsid w:val="6C6B5505"/>
    <w:rsid w:val="6DF67C63"/>
    <w:rsid w:val="6E3F209B"/>
    <w:rsid w:val="6FBC0152"/>
    <w:rsid w:val="704609F4"/>
    <w:rsid w:val="70923D42"/>
    <w:rsid w:val="70F67819"/>
    <w:rsid w:val="725336E8"/>
    <w:rsid w:val="736C0D9A"/>
    <w:rsid w:val="74783A1C"/>
    <w:rsid w:val="74AB354D"/>
    <w:rsid w:val="74B05132"/>
    <w:rsid w:val="74D65587"/>
    <w:rsid w:val="76C52AAF"/>
    <w:rsid w:val="76E063E5"/>
    <w:rsid w:val="772A35DE"/>
    <w:rsid w:val="79200C24"/>
    <w:rsid w:val="798425C1"/>
    <w:rsid w:val="79A35F22"/>
    <w:rsid w:val="79BF662E"/>
    <w:rsid w:val="7A0F42A2"/>
    <w:rsid w:val="7A751935"/>
    <w:rsid w:val="7B2952F2"/>
    <w:rsid w:val="7B340227"/>
    <w:rsid w:val="7B9817BF"/>
    <w:rsid w:val="7C06599D"/>
    <w:rsid w:val="7CF46BD3"/>
    <w:rsid w:val="7D715981"/>
    <w:rsid w:val="7DA970AA"/>
    <w:rsid w:val="7DDC221B"/>
    <w:rsid w:val="7E6630FF"/>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unhideWhenUsed/>
    <w:qFormat/>
    <w:uiPriority w:val="34"/>
    <w:pPr>
      <w:spacing w:beforeLines="0" w:afterLines="0"/>
      <w:ind w:firstLine="420" w:firstLineChars="200"/>
    </w:pPr>
    <w:rPr>
      <w:rFonts w:hint="eastAsia" w:ascii="等线" w:hAnsi="等线" w:eastAsia="等线"/>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15121</Words>
  <Characters>16183</Characters>
  <Lines>139</Lines>
  <Paragraphs>39</Paragraphs>
  <TotalTime>1</TotalTime>
  <ScaleCrop>false</ScaleCrop>
  <LinksUpToDate>false</LinksUpToDate>
  <CharactersWithSpaces>18748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2023-08-25T07:36:26Z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70AD3B96F0E94F93A348E0D2D7EA6334</vt:lpwstr>
  </property>
</Properties>
</file>