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ind w:left="1484" w:leftChars="0" w:hanging="1484" w:hangingChars="462"/>
        <w:jc w:val="left"/>
        <w:rPr>
          <w:rFonts w:hint="eastAsia"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bookmarkStart w:id="0" w:name="_Hlk116548958"/>
      <w:r>
        <w:rPr>
          <w:rFonts w:hint="eastAsia" w:ascii="方正小标宋简体" w:hAnsi="方正小标宋_GBK" w:eastAsia="方正小标宋简体" w:cs="方正小标宋_GBK"/>
          <w:b/>
          <w:sz w:val="32"/>
          <w:szCs w:val="32"/>
          <w:lang w:val="en-US" w:eastAsia="zh-CN"/>
        </w:rPr>
        <w:t>深圳会展中心信息系统等级保护测评服务采购</w:t>
      </w:r>
      <w:r>
        <w:rPr>
          <w:rFonts w:hint="eastAsia" w:ascii="方正小标宋简体" w:hAnsi="方正小标宋_GBK" w:eastAsia="方正小标宋简体" w:cs="方正小标宋_GBK"/>
          <w:b/>
          <w:sz w:val="32"/>
          <w:szCs w:val="32"/>
        </w:rPr>
        <w:t>项目</w:t>
      </w:r>
      <w:bookmarkEnd w:id="0"/>
    </w:p>
    <w:p>
      <w:pPr>
        <w:spacing w:line="360" w:lineRule="auto"/>
        <w:jc w:val="center"/>
        <w:rPr>
          <w:rFonts w:hint="eastAsia" w:ascii="方正小标宋简体" w:hAnsi="方正小标宋_GBK" w:eastAsia="方正小标宋简体" w:cs="方正小标宋_GBK"/>
          <w:b/>
          <w:sz w:val="32"/>
          <w:szCs w:val="32"/>
        </w:rPr>
      </w:pPr>
    </w:p>
    <w:p>
      <w:pPr>
        <w:jc w:val="center"/>
        <w:rPr>
          <w:rFonts w:ascii="方正小标宋_GBK" w:hAnsi="方正小标宋_GBK" w:eastAsia="方正小标宋_GBK" w:cs="方正小标宋_GBK"/>
          <w:b/>
          <w:sz w:val="32"/>
          <w:szCs w:val="32"/>
        </w:rPr>
      </w:pPr>
    </w:p>
    <w:p>
      <w:pPr>
        <w:pStyle w:val="14"/>
        <w:rPr>
          <w:rFonts w:ascii="方正小标宋_GBK" w:hAnsi="方正小标宋_GBK" w:eastAsia="方正小标宋_GBK" w:cs="方正小标宋_GBK"/>
          <w:b/>
          <w:sz w:val="32"/>
          <w:szCs w:val="32"/>
        </w:rPr>
      </w:pPr>
    </w:p>
    <w:p>
      <w:pPr>
        <w:pStyle w:val="14"/>
        <w:rPr>
          <w:rFonts w:ascii="方正小标宋_GBK" w:hAnsi="方正小标宋_GBK" w:eastAsia="方正小标宋_GBK" w:cs="方正小标宋_GBK"/>
          <w:b/>
          <w:sz w:val="32"/>
          <w:szCs w:val="32"/>
        </w:rPr>
      </w:pPr>
    </w:p>
    <w:p>
      <w:pPr>
        <w:pStyle w:val="14"/>
        <w:rPr>
          <w:rFonts w:ascii="方正小标宋_GBK" w:hAnsi="方正小标宋_GBK" w:eastAsia="方正小标宋_GBK" w:cs="方正小标宋_GBK"/>
          <w:b/>
          <w:sz w:val="32"/>
          <w:szCs w:val="32"/>
        </w:rPr>
      </w:pPr>
    </w:p>
    <w:p>
      <w:pPr>
        <w:pStyle w:val="14"/>
        <w:rPr>
          <w:rFonts w:ascii="方正小标宋_GBK" w:hAnsi="方正小标宋_GBK" w:eastAsia="方正小标宋_GBK" w:cs="方正小标宋_GBK"/>
          <w:b/>
          <w:sz w:val="32"/>
          <w:szCs w:val="32"/>
        </w:rPr>
      </w:pPr>
    </w:p>
    <w:p>
      <w:pPr>
        <w:pStyle w:val="14"/>
        <w:rPr>
          <w:rFonts w:ascii="方正小标宋_GBK" w:hAnsi="方正小标宋_GBK" w:eastAsia="方正小标宋_GBK" w:cs="方正小标宋_GBK"/>
          <w:b/>
          <w:sz w:val="32"/>
          <w:szCs w:val="32"/>
        </w:rPr>
      </w:pPr>
    </w:p>
    <w:p>
      <w:pPr>
        <w:pStyle w:val="14"/>
        <w:rPr>
          <w:rFonts w:ascii="方正小标宋_GBK" w:hAnsi="方正小标宋_GBK" w:eastAsia="方正小标宋_GBK" w:cs="方正小标宋_GBK"/>
          <w:b/>
          <w:sz w:val="32"/>
          <w:szCs w:val="32"/>
        </w:rPr>
      </w:pPr>
    </w:p>
    <w:p>
      <w:pPr>
        <w:pStyle w:val="14"/>
        <w:rPr>
          <w:rFonts w:ascii="方正小标宋_GBK" w:hAnsi="方正小标宋_GBK" w:eastAsia="方正小标宋_GBK" w:cs="方正小标宋_GBK"/>
          <w:b/>
          <w:sz w:val="32"/>
          <w:szCs w:val="32"/>
        </w:rPr>
      </w:pPr>
    </w:p>
    <w:p>
      <w:pPr>
        <w:pStyle w:val="14"/>
        <w:rPr>
          <w:rFonts w:ascii="方正小标宋_GBK" w:hAnsi="方正小标宋_GBK" w:eastAsia="方正小标宋_GBK" w:cs="方正小标宋_GBK"/>
          <w:b/>
          <w:sz w:val="32"/>
          <w:szCs w:val="32"/>
        </w:rPr>
      </w:pPr>
    </w:p>
    <w:p>
      <w:pPr>
        <w:pStyle w:val="14"/>
        <w:rPr>
          <w:rFonts w:ascii="方正小标宋_GBK" w:hAnsi="方正小标宋_GBK" w:eastAsia="方正小标宋_GBK" w:cs="方正小标宋_GBK"/>
          <w:b/>
          <w:sz w:val="32"/>
          <w:szCs w:val="32"/>
        </w:rPr>
      </w:pPr>
    </w:p>
    <w:p>
      <w:pPr>
        <w:pStyle w:val="14"/>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3</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9</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11"/>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11"/>
        <w:tabs>
          <w:tab w:val="right" w:leader="dot" w:pos="8306"/>
        </w:tabs>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rPr>
          <w:rFonts w:hint="eastAsia" w:ascii="宋体" w:hAnsi="宋体" w:cs="仿宋"/>
          <w:szCs w:val="21"/>
        </w:rPr>
        <w:fldChar w:fldCharType="begin"/>
      </w:r>
      <w:r>
        <w:rPr>
          <w:rFonts w:hint="eastAsia" w:ascii="宋体" w:hAnsi="宋体" w:cs="仿宋"/>
          <w:szCs w:val="21"/>
        </w:rPr>
        <w:instrText xml:space="preserve"> HYPERLINK \l _Toc15687 </w:instrText>
      </w:r>
      <w:r>
        <w:rPr>
          <w:rFonts w:hint="eastAsia" w:ascii="宋体" w:hAnsi="宋体" w:cs="仿宋"/>
          <w:szCs w:val="21"/>
        </w:rPr>
        <w:fldChar w:fldCharType="separate"/>
      </w:r>
      <w:r>
        <w:rPr>
          <w:rFonts w:hint="eastAsia" w:ascii="宋体" w:hAnsi="宋体"/>
          <w:szCs w:val="32"/>
        </w:rPr>
        <w:t>第一部分 项目要求</w:t>
      </w:r>
      <w:r>
        <w:tab/>
      </w:r>
      <w:r>
        <w:fldChar w:fldCharType="begin"/>
      </w:r>
      <w:r>
        <w:instrText xml:space="preserve"> PAGEREF _Toc15687 \h </w:instrText>
      </w:r>
      <w:r>
        <w:fldChar w:fldCharType="separate"/>
      </w:r>
      <w:r>
        <w:t>3</w:t>
      </w:r>
      <w:r>
        <w:fldChar w:fldCharType="end"/>
      </w:r>
      <w:r>
        <w:rPr>
          <w:rFonts w:hint="eastAsia" w:ascii="宋体" w:hAnsi="宋体" w:cs="仿宋"/>
          <w:szCs w:val="21"/>
        </w:rPr>
        <w:fldChar w:fldCharType="end"/>
      </w:r>
    </w:p>
    <w:p>
      <w:pPr>
        <w:pStyle w:val="13"/>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_Toc22359 </w:instrText>
      </w:r>
      <w:r>
        <w:rPr>
          <w:rFonts w:hint="eastAsia" w:ascii="宋体" w:hAnsi="宋体" w:cs="仿宋"/>
          <w:szCs w:val="21"/>
        </w:rPr>
        <w:fldChar w:fldCharType="separate"/>
      </w:r>
      <w:r>
        <w:rPr>
          <w:rFonts w:hint="eastAsia" w:ascii="宋体" w:hAnsi="宋体" w:eastAsia="宋体" w:cs="仿宋"/>
          <w:bCs/>
          <w:szCs w:val="21"/>
        </w:rPr>
        <w:t xml:space="preserve">一、 </w:t>
      </w:r>
      <w:r>
        <w:rPr>
          <w:rFonts w:hint="eastAsia" w:ascii="宋体" w:hAnsi="宋体"/>
          <w:szCs w:val="21"/>
        </w:rPr>
        <w:t>投标人须知</w:t>
      </w:r>
      <w:r>
        <w:tab/>
      </w:r>
      <w:r>
        <w:fldChar w:fldCharType="begin"/>
      </w:r>
      <w:r>
        <w:instrText xml:space="preserve"> PAGEREF _Toc22359 \h </w:instrText>
      </w:r>
      <w:r>
        <w:fldChar w:fldCharType="separate"/>
      </w:r>
      <w:r>
        <w:t>3</w:t>
      </w:r>
      <w:r>
        <w:fldChar w:fldCharType="end"/>
      </w:r>
      <w:r>
        <w:rPr>
          <w:rFonts w:hint="eastAsia" w:ascii="宋体" w:hAnsi="宋体" w:cs="仿宋"/>
          <w:szCs w:val="21"/>
        </w:rPr>
        <w:fldChar w:fldCharType="end"/>
      </w:r>
    </w:p>
    <w:p>
      <w:pPr>
        <w:pStyle w:val="13"/>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_Toc17645 </w:instrText>
      </w:r>
      <w:r>
        <w:rPr>
          <w:rFonts w:hint="eastAsia" w:ascii="宋体" w:hAnsi="宋体" w:cs="仿宋"/>
          <w:szCs w:val="21"/>
        </w:rPr>
        <w:fldChar w:fldCharType="separate"/>
      </w:r>
      <w:r>
        <w:rPr>
          <w:rFonts w:hint="eastAsia" w:ascii="宋体" w:hAnsi="宋体" w:eastAsia="宋体" w:cs="仿宋"/>
          <w:bCs/>
          <w:szCs w:val="21"/>
        </w:rPr>
        <w:t xml:space="preserve">二、 </w:t>
      </w:r>
      <w:r>
        <w:rPr>
          <w:rFonts w:hint="eastAsia" w:ascii="宋体" w:hAnsi="宋体"/>
          <w:szCs w:val="21"/>
        </w:rPr>
        <w:t>特别说明</w:t>
      </w:r>
      <w:r>
        <w:tab/>
      </w:r>
      <w:r>
        <w:fldChar w:fldCharType="begin"/>
      </w:r>
      <w:r>
        <w:instrText xml:space="preserve"> PAGEREF _Toc17645 \h </w:instrText>
      </w:r>
      <w:r>
        <w:fldChar w:fldCharType="separate"/>
      </w:r>
      <w:r>
        <w:t>5</w:t>
      </w:r>
      <w:r>
        <w:fldChar w:fldCharType="end"/>
      </w:r>
      <w:r>
        <w:rPr>
          <w:rFonts w:hint="eastAsia" w:ascii="宋体" w:hAnsi="宋体" w:cs="仿宋"/>
          <w:szCs w:val="21"/>
        </w:rPr>
        <w:fldChar w:fldCharType="end"/>
      </w:r>
    </w:p>
    <w:p>
      <w:pPr>
        <w:pStyle w:val="13"/>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_Toc3400 </w:instrText>
      </w:r>
      <w:r>
        <w:rPr>
          <w:rFonts w:hint="eastAsia" w:ascii="宋体" w:hAnsi="宋体" w:cs="仿宋"/>
          <w:szCs w:val="21"/>
        </w:rPr>
        <w:fldChar w:fldCharType="separate"/>
      </w:r>
      <w:r>
        <w:rPr>
          <w:rFonts w:hint="eastAsia" w:ascii="宋体" w:hAnsi="宋体" w:eastAsia="宋体" w:cs="仿宋"/>
          <w:bCs/>
          <w:szCs w:val="21"/>
        </w:rPr>
        <w:t xml:space="preserve">三、 </w:t>
      </w:r>
      <w:r>
        <w:rPr>
          <w:rFonts w:hint="eastAsia" w:ascii="宋体" w:hAnsi="宋体"/>
          <w:szCs w:val="21"/>
        </w:rPr>
        <w:t>投标文件编制</w:t>
      </w:r>
      <w:r>
        <w:tab/>
      </w:r>
      <w:r>
        <w:fldChar w:fldCharType="begin"/>
      </w:r>
      <w:r>
        <w:instrText xml:space="preserve"> PAGEREF _Toc3400 \h </w:instrText>
      </w:r>
      <w:r>
        <w:fldChar w:fldCharType="separate"/>
      </w:r>
      <w:r>
        <w:t>6</w:t>
      </w:r>
      <w:r>
        <w:fldChar w:fldCharType="end"/>
      </w:r>
      <w:r>
        <w:rPr>
          <w:rFonts w:hint="eastAsia" w:ascii="宋体" w:hAnsi="宋体" w:cs="仿宋"/>
          <w:szCs w:val="21"/>
        </w:rPr>
        <w:fldChar w:fldCharType="end"/>
      </w:r>
    </w:p>
    <w:p>
      <w:pPr>
        <w:pStyle w:val="13"/>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_Toc29584 </w:instrText>
      </w:r>
      <w:r>
        <w:rPr>
          <w:rFonts w:hint="eastAsia" w:ascii="宋体" w:hAnsi="宋体" w:cs="仿宋"/>
          <w:szCs w:val="21"/>
        </w:rPr>
        <w:fldChar w:fldCharType="separate"/>
      </w:r>
      <w:r>
        <w:rPr>
          <w:rFonts w:hint="eastAsia" w:ascii="宋体" w:hAnsi="宋体" w:eastAsia="宋体" w:cs="仿宋"/>
          <w:bCs/>
          <w:szCs w:val="21"/>
        </w:rPr>
        <w:t xml:space="preserve">四、 </w:t>
      </w:r>
      <w:r>
        <w:rPr>
          <w:rFonts w:hint="eastAsia" w:ascii="宋体" w:hAnsi="宋体"/>
          <w:szCs w:val="21"/>
        </w:rPr>
        <w:t>项目要求</w:t>
      </w:r>
      <w:r>
        <w:tab/>
      </w:r>
      <w:r>
        <w:fldChar w:fldCharType="begin"/>
      </w:r>
      <w:r>
        <w:instrText xml:space="preserve"> PAGEREF _Toc29584 \h </w:instrText>
      </w:r>
      <w:r>
        <w:fldChar w:fldCharType="separate"/>
      </w:r>
      <w:r>
        <w:t>6</w:t>
      </w:r>
      <w:r>
        <w:fldChar w:fldCharType="end"/>
      </w:r>
      <w:r>
        <w:rPr>
          <w:rFonts w:hint="eastAsia" w:ascii="宋体" w:hAnsi="宋体" w:cs="仿宋"/>
          <w:szCs w:val="21"/>
        </w:rPr>
        <w:fldChar w:fldCharType="end"/>
      </w:r>
    </w:p>
    <w:p>
      <w:pPr>
        <w:pStyle w:val="13"/>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_Toc27293 </w:instrText>
      </w:r>
      <w:r>
        <w:rPr>
          <w:rFonts w:hint="eastAsia" w:ascii="宋体" w:hAnsi="宋体" w:cs="仿宋"/>
          <w:szCs w:val="21"/>
        </w:rPr>
        <w:fldChar w:fldCharType="separate"/>
      </w:r>
      <w:r>
        <w:rPr>
          <w:rFonts w:hint="eastAsia" w:ascii="宋体" w:hAnsi="宋体" w:eastAsia="宋体" w:cs="仿宋"/>
          <w:bCs/>
          <w:szCs w:val="21"/>
        </w:rPr>
        <w:t xml:space="preserve">五、 </w:t>
      </w:r>
      <w:r>
        <w:rPr>
          <w:rFonts w:hint="eastAsia" w:ascii="宋体" w:hAnsi="宋体"/>
          <w:szCs w:val="21"/>
        </w:rPr>
        <w:t>其他项目说明资料</w:t>
      </w:r>
      <w:r>
        <w:tab/>
      </w:r>
      <w:r>
        <w:fldChar w:fldCharType="begin"/>
      </w:r>
      <w:r>
        <w:instrText xml:space="preserve"> PAGEREF _Toc27293 \h </w:instrText>
      </w:r>
      <w:r>
        <w:fldChar w:fldCharType="separate"/>
      </w:r>
      <w:r>
        <w:t>9</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_Toc4089 </w:instrText>
      </w:r>
      <w:r>
        <w:rPr>
          <w:rFonts w:hint="eastAsia" w:ascii="宋体" w:hAnsi="宋体" w:cs="仿宋"/>
          <w:szCs w:val="21"/>
        </w:rPr>
        <w:fldChar w:fldCharType="separate"/>
      </w:r>
      <w:r>
        <w:rPr>
          <w:rFonts w:hint="eastAsia" w:ascii="宋体" w:hAnsi="宋体"/>
          <w:szCs w:val="32"/>
        </w:rPr>
        <w:t>第二部分：开标评标流程</w:t>
      </w:r>
      <w:r>
        <w:tab/>
      </w:r>
      <w:r>
        <w:fldChar w:fldCharType="begin"/>
      </w:r>
      <w:r>
        <w:instrText xml:space="preserve"> PAGEREF _Toc4089 \h </w:instrText>
      </w:r>
      <w:r>
        <w:fldChar w:fldCharType="separate"/>
      </w:r>
      <w:r>
        <w:t>1</w:t>
      </w:r>
      <w:r>
        <w:fldChar w:fldCharType="end"/>
      </w:r>
      <w:r>
        <w:rPr>
          <w:rFonts w:hint="eastAsia" w:ascii="宋体" w:hAnsi="宋体" w:cs="仿宋"/>
          <w:szCs w:val="21"/>
        </w:rPr>
        <w:fldChar w:fldCharType="end"/>
      </w:r>
    </w:p>
    <w:p>
      <w:pPr>
        <w:pStyle w:val="13"/>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_Toc10189 </w:instrText>
      </w:r>
      <w:r>
        <w:rPr>
          <w:rFonts w:hint="eastAsia" w:ascii="宋体" w:hAnsi="宋体" w:cs="仿宋"/>
          <w:szCs w:val="21"/>
        </w:rPr>
        <w:fldChar w:fldCharType="separate"/>
      </w:r>
      <w:r>
        <w:rPr>
          <w:rFonts w:hint="eastAsia" w:ascii="宋体" w:hAnsi="宋体" w:eastAsia="宋体" w:cs="仿宋"/>
          <w:bCs/>
        </w:rPr>
        <w:t xml:space="preserve">六、 </w:t>
      </w:r>
      <w:r>
        <w:rPr>
          <w:rFonts w:hint="eastAsia"/>
        </w:rPr>
        <w:t>开标阶段</w:t>
      </w:r>
      <w:r>
        <w:tab/>
      </w:r>
      <w:r>
        <w:fldChar w:fldCharType="begin"/>
      </w:r>
      <w:r>
        <w:instrText xml:space="preserve"> PAGEREF _Toc10189 \h </w:instrText>
      </w:r>
      <w:r>
        <w:fldChar w:fldCharType="separate"/>
      </w:r>
      <w:r>
        <w:t>1</w:t>
      </w:r>
      <w:r>
        <w:fldChar w:fldCharType="end"/>
      </w:r>
      <w:r>
        <w:rPr>
          <w:rFonts w:hint="eastAsia" w:ascii="宋体" w:hAnsi="宋体" w:cs="仿宋"/>
          <w:szCs w:val="21"/>
        </w:rPr>
        <w:fldChar w:fldCharType="end"/>
      </w:r>
    </w:p>
    <w:p>
      <w:pPr>
        <w:pStyle w:val="13"/>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_Toc4685 </w:instrText>
      </w:r>
      <w:r>
        <w:rPr>
          <w:rFonts w:hint="eastAsia" w:ascii="宋体" w:hAnsi="宋体" w:cs="仿宋"/>
          <w:szCs w:val="21"/>
        </w:rPr>
        <w:fldChar w:fldCharType="separate"/>
      </w:r>
      <w:r>
        <w:rPr>
          <w:rFonts w:hint="eastAsia" w:ascii="宋体" w:hAnsi="宋体" w:eastAsia="宋体" w:cs="仿宋"/>
          <w:bCs/>
        </w:rPr>
        <w:t xml:space="preserve">七、 </w:t>
      </w:r>
      <w:r>
        <w:rPr>
          <w:rFonts w:hint="eastAsia"/>
        </w:rPr>
        <w:t>评标阶段</w:t>
      </w:r>
      <w:r>
        <w:tab/>
      </w:r>
      <w:r>
        <w:fldChar w:fldCharType="begin"/>
      </w:r>
      <w:r>
        <w:instrText xml:space="preserve"> PAGEREF _Toc4685 \h </w:instrText>
      </w:r>
      <w:r>
        <w:fldChar w:fldCharType="separate"/>
      </w:r>
      <w:r>
        <w:t>1</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_Toc8137 </w:instrText>
      </w:r>
      <w:r>
        <w:rPr>
          <w:rFonts w:hint="eastAsia" w:ascii="宋体" w:hAnsi="宋体" w:cs="仿宋"/>
          <w:szCs w:val="21"/>
        </w:rPr>
        <w:fldChar w:fldCharType="separate"/>
      </w:r>
      <w:r>
        <w:rPr>
          <w:rFonts w:hint="eastAsia" w:ascii="宋体" w:hAnsi="宋体"/>
          <w:szCs w:val="32"/>
        </w:rPr>
        <w:t>第三部分：评审办法</w:t>
      </w:r>
      <w:r>
        <w:tab/>
      </w:r>
      <w:r>
        <w:fldChar w:fldCharType="begin"/>
      </w:r>
      <w:r>
        <w:instrText xml:space="preserve"> PAGEREF _Toc8137 \h </w:instrText>
      </w:r>
      <w:r>
        <w:fldChar w:fldCharType="separate"/>
      </w:r>
      <w:r>
        <w:t>2</w:t>
      </w:r>
      <w:r>
        <w:fldChar w:fldCharType="end"/>
      </w:r>
      <w:r>
        <w:rPr>
          <w:rFonts w:hint="eastAsia" w:ascii="宋体" w:hAnsi="宋体" w:cs="仿宋"/>
          <w:szCs w:val="21"/>
        </w:rPr>
        <w:fldChar w:fldCharType="end"/>
      </w:r>
    </w:p>
    <w:p>
      <w:pPr>
        <w:pStyle w:val="13"/>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_Toc10129 </w:instrText>
      </w:r>
      <w:r>
        <w:rPr>
          <w:rFonts w:hint="eastAsia" w:ascii="宋体" w:hAnsi="宋体" w:cs="仿宋"/>
          <w:szCs w:val="21"/>
        </w:rPr>
        <w:fldChar w:fldCharType="separate"/>
      </w:r>
      <w:r>
        <w:rPr>
          <w:rFonts w:hint="eastAsia" w:ascii="宋体" w:hAnsi="宋体" w:eastAsia="宋体" w:cs="仿宋"/>
          <w:bCs/>
          <w:szCs w:val="21"/>
        </w:rPr>
        <w:t xml:space="preserve">八、 </w:t>
      </w:r>
      <w:r>
        <w:rPr>
          <w:rFonts w:hint="eastAsia" w:ascii="宋体" w:hAnsi="宋体"/>
          <w:bCs/>
          <w:szCs w:val="21"/>
        </w:rPr>
        <w:t>评审办法</w:t>
      </w:r>
      <w:r>
        <w:tab/>
      </w:r>
      <w:r>
        <w:fldChar w:fldCharType="begin"/>
      </w:r>
      <w:r>
        <w:instrText xml:space="preserve"> PAGEREF _Toc10129 \h </w:instrText>
      </w:r>
      <w:r>
        <w:fldChar w:fldCharType="separate"/>
      </w:r>
      <w:r>
        <w:t>2</w:t>
      </w:r>
      <w:r>
        <w:fldChar w:fldCharType="end"/>
      </w:r>
      <w:r>
        <w:rPr>
          <w:rFonts w:hint="eastAsia" w:ascii="宋体" w:hAnsi="宋体" w:cs="仿宋"/>
          <w:szCs w:val="21"/>
        </w:rPr>
        <w:fldChar w:fldCharType="end"/>
      </w:r>
    </w:p>
    <w:p>
      <w:pPr>
        <w:pStyle w:val="7"/>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_Toc31220 </w:instrText>
      </w:r>
      <w:r>
        <w:rPr>
          <w:rFonts w:hint="eastAsia" w:ascii="宋体" w:hAnsi="宋体" w:cs="仿宋"/>
          <w:szCs w:val="21"/>
        </w:rPr>
        <w:fldChar w:fldCharType="separate"/>
      </w:r>
      <w:r>
        <w:rPr>
          <w:rFonts w:hint="default" w:ascii="宋体" w:hAnsi="宋体"/>
          <w:szCs w:val="21"/>
        </w:rPr>
        <w:t xml:space="preserve">（一） </w:t>
      </w:r>
      <w:r>
        <w:rPr>
          <w:rFonts w:hint="eastAsia" w:ascii="宋体" w:hAnsi="宋体"/>
          <w:bCs/>
          <w:szCs w:val="21"/>
        </w:rPr>
        <w:t>符合性检查</w:t>
      </w:r>
      <w:r>
        <w:tab/>
      </w:r>
      <w:r>
        <w:fldChar w:fldCharType="begin"/>
      </w:r>
      <w:r>
        <w:instrText xml:space="preserve"> PAGEREF _Toc31220 \h </w:instrText>
      </w:r>
      <w:r>
        <w:fldChar w:fldCharType="separate"/>
      </w:r>
      <w:r>
        <w:t>2</w:t>
      </w:r>
      <w:r>
        <w:fldChar w:fldCharType="end"/>
      </w:r>
      <w:r>
        <w:rPr>
          <w:rFonts w:hint="eastAsia" w:ascii="宋体" w:hAnsi="宋体" w:cs="仿宋"/>
          <w:szCs w:val="21"/>
        </w:rPr>
        <w:fldChar w:fldCharType="end"/>
      </w:r>
    </w:p>
    <w:p>
      <w:pPr>
        <w:pStyle w:val="7"/>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_Toc5702 </w:instrText>
      </w:r>
      <w:r>
        <w:rPr>
          <w:rFonts w:hint="eastAsia" w:ascii="宋体" w:hAnsi="宋体" w:cs="仿宋"/>
          <w:szCs w:val="21"/>
        </w:rPr>
        <w:fldChar w:fldCharType="separate"/>
      </w:r>
      <w:r>
        <w:rPr>
          <w:rFonts w:hint="default" w:ascii="宋体" w:hAnsi="宋体"/>
          <w:bCs/>
          <w:szCs w:val="21"/>
        </w:rPr>
        <w:t xml:space="preserve">（二） </w:t>
      </w:r>
      <w:r>
        <w:rPr>
          <w:rFonts w:hint="eastAsia" w:ascii="宋体" w:hAnsi="宋体"/>
          <w:bCs/>
          <w:szCs w:val="21"/>
        </w:rPr>
        <w:t>不可偏离项检查</w:t>
      </w:r>
      <w:r>
        <w:tab/>
      </w:r>
      <w:r>
        <w:fldChar w:fldCharType="begin"/>
      </w:r>
      <w:r>
        <w:instrText xml:space="preserve"> PAGEREF _Toc5702 \h </w:instrText>
      </w:r>
      <w:r>
        <w:fldChar w:fldCharType="separate"/>
      </w:r>
      <w:r>
        <w:t>2</w:t>
      </w:r>
      <w:r>
        <w:fldChar w:fldCharType="end"/>
      </w:r>
      <w:r>
        <w:rPr>
          <w:rFonts w:hint="eastAsia" w:ascii="宋体" w:hAnsi="宋体" w:cs="仿宋"/>
          <w:szCs w:val="21"/>
        </w:rPr>
        <w:fldChar w:fldCharType="end"/>
      </w:r>
    </w:p>
    <w:p>
      <w:pPr>
        <w:pStyle w:val="7"/>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_Toc21711 </w:instrText>
      </w:r>
      <w:r>
        <w:rPr>
          <w:rFonts w:hint="eastAsia" w:ascii="宋体" w:hAnsi="宋体" w:cs="仿宋"/>
          <w:szCs w:val="21"/>
        </w:rPr>
        <w:fldChar w:fldCharType="separate"/>
      </w:r>
      <w:r>
        <w:rPr>
          <w:rFonts w:hint="default" w:ascii="宋体" w:hAnsi="宋体"/>
          <w:bCs/>
          <w:szCs w:val="21"/>
        </w:rPr>
        <w:t xml:space="preserve">（三） </w:t>
      </w:r>
      <w:r>
        <w:rPr>
          <w:rFonts w:hint="eastAsia" w:ascii="宋体" w:hAnsi="宋体"/>
          <w:bCs/>
          <w:szCs w:val="21"/>
        </w:rPr>
        <w:t>综合评议指标表</w:t>
      </w:r>
      <w:r>
        <w:tab/>
      </w:r>
      <w:r>
        <w:fldChar w:fldCharType="begin"/>
      </w:r>
      <w:r>
        <w:instrText xml:space="preserve"> PAGEREF _Toc21711 \h </w:instrText>
      </w:r>
      <w:r>
        <w:fldChar w:fldCharType="separate"/>
      </w:r>
      <w:r>
        <w:t>2</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_Toc13542 </w:instrText>
      </w:r>
      <w:r>
        <w:rPr>
          <w:rFonts w:hint="eastAsia" w:ascii="宋体" w:hAnsi="宋体" w:cs="仿宋"/>
          <w:szCs w:val="21"/>
        </w:rPr>
        <w:fldChar w:fldCharType="separate"/>
      </w:r>
      <w:r>
        <w:rPr>
          <w:rFonts w:hint="eastAsia" w:ascii="宋体" w:hAnsi="宋体"/>
          <w:szCs w:val="32"/>
        </w:rPr>
        <w:t>第四部分：合同条款及格式</w:t>
      </w:r>
      <w:r>
        <w:tab/>
      </w:r>
      <w:r>
        <w:fldChar w:fldCharType="begin"/>
      </w:r>
      <w:r>
        <w:instrText xml:space="preserve"> PAGEREF _Toc13542 \h </w:instrText>
      </w:r>
      <w:r>
        <w:fldChar w:fldCharType="separate"/>
      </w:r>
      <w:r>
        <w:t>5</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_Toc32511 </w:instrText>
      </w:r>
      <w:r>
        <w:rPr>
          <w:rFonts w:hint="eastAsia" w:ascii="宋体" w:hAnsi="宋体" w:cs="仿宋"/>
          <w:szCs w:val="21"/>
        </w:rPr>
        <w:fldChar w:fldCharType="separate"/>
      </w:r>
      <w:r>
        <w:rPr>
          <w:rFonts w:hint="eastAsia"/>
          <w:szCs w:val="32"/>
        </w:rPr>
        <w:t>第五部分：参考附件</w:t>
      </w:r>
      <w:r>
        <w:tab/>
      </w:r>
      <w:r>
        <w:fldChar w:fldCharType="begin"/>
      </w:r>
      <w:r>
        <w:instrText xml:space="preserve"> PAGEREF _Toc32511 \h </w:instrText>
      </w:r>
      <w:r>
        <w:fldChar w:fldCharType="separate"/>
      </w:r>
      <w:r>
        <w:t>9</w:t>
      </w:r>
      <w:r>
        <w:fldChar w:fldCharType="end"/>
      </w:r>
      <w:r>
        <w:rPr>
          <w:rFonts w:hint="eastAsia" w:ascii="宋体" w:hAnsi="宋体" w:cs="仿宋"/>
          <w:szCs w:val="21"/>
        </w:rPr>
        <w:fldChar w:fldCharType="end"/>
      </w:r>
    </w:p>
    <w:p>
      <w:pPr>
        <w:pStyle w:val="13"/>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_Toc26952 </w:instrText>
      </w:r>
      <w:r>
        <w:rPr>
          <w:rFonts w:hint="eastAsia" w:ascii="宋体" w:hAnsi="宋体" w:cs="仿宋"/>
          <w:szCs w:val="21"/>
        </w:rPr>
        <w:fldChar w:fldCharType="separate"/>
      </w:r>
      <w:r>
        <w:rPr>
          <w:rFonts w:hint="eastAsia" w:ascii="宋体" w:hAnsi="宋体"/>
          <w:szCs w:val="21"/>
        </w:rPr>
        <w:t>附件1：</w:t>
      </w:r>
      <w:r>
        <w:rPr>
          <w:rFonts w:hint="eastAsia" w:ascii="宋体" w:hAnsi="宋体"/>
        </w:rPr>
        <w:t>报名回函</w:t>
      </w:r>
      <w:r>
        <w:tab/>
      </w:r>
      <w:r>
        <w:fldChar w:fldCharType="begin"/>
      </w:r>
      <w:r>
        <w:instrText xml:space="preserve"> PAGEREF _Toc26952 \h </w:instrText>
      </w:r>
      <w:r>
        <w:fldChar w:fldCharType="separate"/>
      </w:r>
      <w:r>
        <w:t>9</w:t>
      </w:r>
      <w:r>
        <w:fldChar w:fldCharType="end"/>
      </w:r>
      <w:r>
        <w:rPr>
          <w:rFonts w:hint="eastAsia" w:ascii="宋体" w:hAnsi="宋体" w:cs="仿宋"/>
          <w:szCs w:val="21"/>
        </w:rPr>
        <w:fldChar w:fldCharType="end"/>
      </w:r>
    </w:p>
    <w:p>
      <w:pPr>
        <w:pStyle w:val="13"/>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_Toc31135 </w:instrText>
      </w:r>
      <w:r>
        <w:rPr>
          <w:rFonts w:hint="eastAsia" w:ascii="宋体" w:hAnsi="宋体" w:cs="仿宋"/>
          <w:szCs w:val="21"/>
        </w:rPr>
        <w:fldChar w:fldCharType="separate"/>
      </w:r>
      <w:r>
        <w:rPr>
          <w:rFonts w:hint="eastAsia" w:ascii="宋体" w:hAnsi="宋体"/>
          <w:szCs w:val="21"/>
        </w:rPr>
        <w:t>附件2：投标函</w:t>
      </w:r>
      <w:r>
        <w:tab/>
      </w:r>
      <w:r>
        <w:fldChar w:fldCharType="begin"/>
      </w:r>
      <w:r>
        <w:instrText xml:space="preserve"> PAGEREF _Toc31135 \h </w:instrText>
      </w:r>
      <w:r>
        <w:fldChar w:fldCharType="separate"/>
      </w:r>
      <w:r>
        <w:t>10</w:t>
      </w:r>
      <w:r>
        <w:fldChar w:fldCharType="end"/>
      </w:r>
      <w:r>
        <w:rPr>
          <w:rFonts w:hint="eastAsia" w:ascii="宋体" w:hAnsi="宋体" w:cs="仿宋"/>
          <w:szCs w:val="21"/>
        </w:rPr>
        <w:fldChar w:fldCharType="end"/>
      </w:r>
    </w:p>
    <w:p>
      <w:pPr>
        <w:pStyle w:val="13"/>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_Toc8250 </w:instrText>
      </w:r>
      <w:r>
        <w:rPr>
          <w:rFonts w:hint="eastAsia" w:ascii="宋体" w:hAnsi="宋体" w:cs="仿宋"/>
          <w:szCs w:val="21"/>
        </w:rPr>
        <w:fldChar w:fldCharType="separate"/>
      </w:r>
      <w:r>
        <w:rPr>
          <w:rFonts w:hint="eastAsia" w:ascii="宋体" w:hAnsi="宋体"/>
          <w:szCs w:val="21"/>
        </w:rPr>
        <w:t>附件3：投标一览表</w:t>
      </w:r>
      <w:r>
        <w:tab/>
      </w:r>
      <w:r>
        <w:fldChar w:fldCharType="begin"/>
      </w:r>
      <w:r>
        <w:instrText xml:space="preserve"> PAGEREF _Toc8250 \h </w:instrText>
      </w:r>
      <w:r>
        <w:fldChar w:fldCharType="separate"/>
      </w:r>
      <w:r>
        <w:t>11</w:t>
      </w:r>
      <w:r>
        <w:fldChar w:fldCharType="end"/>
      </w:r>
      <w:r>
        <w:rPr>
          <w:rFonts w:hint="eastAsia" w:ascii="宋体" w:hAnsi="宋体" w:cs="仿宋"/>
          <w:szCs w:val="21"/>
        </w:rPr>
        <w:fldChar w:fldCharType="end"/>
      </w:r>
    </w:p>
    <w:p>
      <w:pPr>
        <w:pStyle w:val="13"/>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_Toc5620 </w:instrText>
      </w:r>
      <w:r>
        <w:rPr>
          <w:rFonts w:hint="eastAsia" w:ascii="宋体" w:hAnsi="宋体" w:cs="仿宋"/>
          <w:szCs w:val="21"/>
        </w:rPr>
        <w:fldChar w:fldCharType="separate"/>
      </w:r>
      <w:r>
        <w:rPr>
          <w:rFonts w:hint="eastAsia" w:ascii="宋体" w:hAnsi="宋体"/>
          <w:szCs w:val="21"/>
        </w:rPr>
        <w:t>附件4：考察证明</w:t>
      </w:r>
      <w:r>
        <w:tab/>
      </w:r>
      <w:r>
        <w:fldChar w:fldCharType="begin"/>
      </w:r>
      <w:r>
        <w:instrText xml:space="preserve"> PAGEREF _Toc5620 \h </w:instrText>
      </w:r>
      <w:r>
        <w:fldChar w:fldCharType="separate"/>
      </w:r>
      <w:r>
        <w:t>12</w:t>
      </w:r>
      <w:r>
        <w:fldChar w:fldCharType="end"/>
      </w:r>
      <w:r>
        <w:rPr>
          <w:rFonts w:hint="eastAsia" w:ascii="宋体" w:hAnsi="宋体" w:cs="仿宋"/>
          <w:szCs w:val="21"/>
        </w:rPr>
        <w:fldChar w:fldCharType="end"/>
      </w:r>
    </w:p>
    <w:p>
      <w:pPr>
        <w:pStyle w:val="13"/>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_Toc26322 </w:instrText>
      </w:r>
      <w:r>
        <w:rPr>
          <w:rFonts w:hint="eastAsia" w:ascii="宋体" w:hAnsi="宋体" w:cs="仿宋"/>
          <w:szCs w:val="21"/>
        </w:rPr>
        <w:fldChar w:fldCharType="separate"/>
      </w:r>
      <w:r>
        <w:rPr>
          <w:rFonts w:hint="eastAsia" w:ascii="宋体" w:hAnsi="宋体"/>
          <w:szCs w:val="21"/>
        </w:rPr>
        <w:t>附件5：技术服务响应/偏离表</w:t>
      </w:r>
      <w:r>
        <w:tab/>
      </w:r>
      <w:r>
        <w:fldChar w:fldCharType="begin"/>
      </w:r>
      <w:r>
        <w:instrText xml:space="preserve"> PAGEREF _Toc26322 \h </w:instrText>
      </w:r>
      <w:r>
        <w:fldChar w:fldCharType="separate"/>
      </w:r>
      <w:r>
        <w:t>13</w:t>
      </w:r>
      <w:r>
        <w:fldChar w:fldCharType="end"/>
      </w:r>
      <w:r>
        <w:rPr>
          <w:rFonts w:hint="eastAsia" w:ascii="宋体" w:hAnsi="宋体" w:cs="仿宋"/>
          <w:szCs w:val="21"/>
        </w:rPr>
        <w:fldChar w:fldCharType="end"/>
      </w:r>
    </w:p>
    <w:p>
      <w:pPr>
        <w:pStyle w:val="13"/>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_Toc20997 </w:instrText>
      </w:r>
      <w:r>
        <w:rPr>
          <w:rFonts w:hint="eastAsia" w:ascii="宋体" w:hAnsi="宋体" w:cs="仿宋"/>
          <w:szCs w:val="21"/>
        </w:rPr>
        <w:fldChar w:fldCharType="separate"/>
      </w:r>
      <w:r>
        <w:rPr>
          <w:rFonts w:hint="eastAsia" w:ascii="宋体" w:hAnsi="宋体"/>
          <w:szCs w:val="21"/>
        </w:rPr>
        <w:t>附件6：商务条款响应/偏离表</w:t>
      </w:r>
      <w:r>
        <w:tab/>
      </w:r>
      <w:r>
        <w:fldChar w:fldCharType="begin"/>
      </w:r>
      <w:r>
        <w:instrText xml:space="preserve"> PAGEREF _Toc20997 \h </w:instrText>
      </w:r>
      <w:r>
        <w:fldChar w:fldCharType="separate"/>
      </w:r>
      <w:r>
        <w:t>14</w:t>
      </w:r>
      <w:r>
        <w:fldChar w:fldCharType="end"/>
      </w:r>
      <w:r>
        <w:rPr>
          <w:rFonts w:hint="eastAsia" w:ascii="宋体" w:hAnsi="宋体" w:cs="仿宋"/>
          <w:szCs w:val="21"/>
        </w:rPr>
        <w:fldChar w:fldCharType="end"/>
      </w:r>
    </w:p>
    <w:p>
      <w:pPr>
        <w:pStyle w:val="13"/>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_Toc23354 </w:instrText>
      </w:r>
      <w:r>
        <w:rPr>
          <w:rFonts w:hint="eastAsia" w:ascii="宋体" w:hAnsi="宋体" w:cs="仿宋"/>
          <w:szCs w:val="21"/>
        </w:rPr>
        <w:fldChar w:fldCharType="separate"/>
      </w:r>
      <w:r>
        <w:rPr>
          <w:rFonts w:hint="eastAsia" w:ascii="宋体" w:hAnsi="宋体"/>
          <w:szCs w:val="21"/>
        </w:rPr>
        <w:t>附件7：报价一览表（货物）（本项目不适用）</w:t>
      </w:r>
      <w:r>
        <w:tab/>
      </w:r>
      <w:r>
        <w:fldChar w:fldCharType="begin"/>
      </w:r>
      <w:r>
        <w:instrText xml:space="preserve"> PAGEREF _Toc23354 \h </w:instrText>
      </w:r>
      <w:r>
        <w:fldChar w:fldCharType="separate"/>
      </w:r>
      <w:r>
        <w:t>15</w:t>
      </w:r>
      <w:r>
        <w:fldChar w:fldCharType="end"/>
      </w:r>
      <w:r>
        <w:rPr>
          <w:rFonts w:hint="eastAsia" w:ascii="宋体" w:hAnsi="宋体" w:cs="仿宋"/>
          <w:szCs w:val="21"/>
        </w:rPr>
        <w:fldChar w:fldCharType="end"/>
      </w:r>
    </w:p>
    <w:p>
      <w:pPr>
        <w:pStyle w:val="13"/>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_Toc29343 </w:instrText>
      </w:r>
      <w:r>
        <w:rPr>
          <w:rFonts w:hint="eastAsia" w:ascii="宋体" w:hAnsi="宋体" w:cs="仿宋"/>
          <w:szCs w:val="21"/>
        </w:rPr>
        <w:fldChar w:fldCharType="separate"/>
      </w:r>
      <w:r>
        <w:rPr>
          <w:rFonts w:hint="eastAsia" w:ascii="宋体" w:hAnsi="宋体"/>
          <w:szCs w:val="21"/>
        </w:rPr>
        <w:t>附件8：报价一览表（服务）</w:t>
      </w:r>
      <w:r>
        <w:tab/>
      </w:r>
      <w:r>
        <w:fldChar w:fldCharType="begin"/>
      </w:r>
      <w:r>
        <w:instrText xml:space="preserve"> PAGEREF _Toc29343 \h </w:instrText>
      </w:r>
      <w:r>
        <w:fldChar w:fldCharType="separate"/>
      </w:r>
      <w:r>
        <w:t>16</w:t>
      </w:r>
      <w:r>
        <w:fldChar w:fldCharType="end"/>
      </w:r>
      <w:r>
        <w:rPr>
          <w:rFonts w:hint="eastAsia" w:ascii="宋体" w:hAnsi="宋体" w:cs="仿宋"/>
          <w:szCs w:val="21"/>
        </w:rPr>
        <w:fldChar w:fldCharType="end"/>
      </w:r>
    </w:p>
    <w:p>
      <w:pPr>
        <w:pStyle w:val="13"/>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_Toc6417 </w:instrText>
      </w:r>
      <w:r>
        <w:rPr>
          <w:rFonts w:hint="eastAsia" w:ascii="宋体" w:hAnsi="宋体" w:cs="仿宋"/>
          <w:szCs w:val="21"/>
        </w:rPr>
        <w:fldChar w:fldCharType="separate"/>
      </w:r>
      <w:r>
        <w:rPr>
          <w:rFonts w:hint="eastAsia" w:ascii="宋体" w:hAnsi="宋体"/>
          <w:szCs w:val="21"/>
        </w:rPr>
        <w:t>附件9：报价一览表（工程）（本项目不适用）</w:t>
      </w:r>
      <w:r>
        <w:tab/>
      </w:r>
      <w:r>
        <w:fldChar w:fldCharType="begin"/>
      </w:r>
      <w:r>
        <w:instrText xml:space="preserve"> PAGEREF _Toc6417 \h </w:instrText>
      </w:r>
      <w:r>
        <w:fldChar w:fldCharType="separate"/>
      </w:r>
      <w:r>
        <w:t>17</w:t>
      </w:r>
      <w:r>
        <w:fldChar w:fldCharType="end"/>
      </w:r>
      <w:r>
        <w:rPr>
          <w:rFonts w:hint="eastAsia" w:ascii="宋体" w:hAnsi="宋体" w:cs="仿宋"/>
          <w:szCs w:val="21"/>
        </w:rPr>
        <w:fldChar w:fldCharType="end"/>
      </w:r>
    </w:p>
    <w:p>
      <w:pPr>
        <w:pStyle w:val="13"/>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_Toc3789 </w:instrText>
      </w:r>
      <w:r>
        <w:rPr>
          <w:rFonts w:hint="eastAsia" w:ascii="宋体" w:hAnsi="宋体" w:cs="仿宋"/>
          <w:szCs w:val="21"/>
        </w:rPr>
        <w:fldChar w:fldCharType="separate"/>
      </w:r>
      <w:r>
        <w:rPr>
          <w:rFonts w:hint="eastAsia" w:ascii="宋体" w:hAnsi="宋体"/>
          <w:szCs w:val="21"/>
        </w:rPr>
        <w:t>附件10：法定代表人证明书</w:t>
      </w:r>
      <w:r>
        <w:tab/>
      </w:r>
      <w:r>
        <w:fldChar w:fldCharType="begin"/>
      </w:r>
      <w:r>
        <w:instrText xml:space="preserve"> PAGEREF _Toc3789 \h </w:instrText>
      </w:r>
      <w:r>
        <w:fldChar w:fldCharType="separate"/>
      </w:r>
      <w:r>
        <w:t>18</w:t>
      </w:r>
      <w:r>
        <w:fldChar w:fldCharType="end"/>
      </w:r>
      <w:r>
        <w:rPr>
          <w:rFonts w:hint="eastAsia" w:ascii="宋体" w:hAnsi="宋体" w:cs="仿宋"/>
          <w:szCs w:val="21"/>
        </w:rPr>
        <w:fldChar w:fldCharType="end"/>
      </w:r>
    </w:p>
    <w:p>
      <w:pPr>
        <w:pStyle w:val="13"/>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_Toc9615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1：法人授权委托证明书</w:t>
      </w:r>
      <w:r>
        <w:tab/>
      </w:r>
      <w:r>
        <w:fldChar w:fldCharType="begin"/>
      </w:r>
      <w:r>
        <w:instrText xml:space="preserve"> PAGEREF _Toc9615 \h </w:instrText>
      </w:r>
      <w:r>
        <w:fldChar w:fldCharType="separate"/>
      </w:r>
      <w:r>
        <w:t>19</w:t>
      </w:r>
      <w:r>
        <w:fldChar w:fldCharType="end"/>
      </w:r>
      <w:r>
        <w:rPr>
          <w:rFonts w:hint="eastAsia" w:ascii="宋体" w:hAnsi="宋体" w:cs="仿宋"/>
          <w:szCs w:val="21"/>
        </w:rPr>
        <w:fldChar w:fldCharType="end"/>
      </w:r>
    </w:p>
    <w:p>
      <w:pPr>
        <w:pStyle w:val="13"/>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_Toc8150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2：经营业绩一览表</w:t>
      </w:r>
      <w:r>
        <w:tab/>
      </w:r>
      <w:r>
        <w:fldChar w:fldCharType="begin"/>
      </w:r>
      <w:r>
        <w:instrText xml:space="preserve"> PAGEREF _Toc8150 \h </w:instrText>
      </w:r>
      <w:r>
        <w:fldChar w:fldCharType="separate"/>
      </w:r>
      <w:r>
        <w:t>20</w:t>
      </w:r>
      <w:r>
        <w:fldChar w:fldCharType="end"/>
      </w:r>
      <w:r>
        <w:rPr>
          <w:rFonts w:hint="eastAsia" w:ascii="宋体" w:hAnsi="宋体" w:cs="仿宋"/>
          <w:szCs w:val="21"/>
        </w:rPr>
        <w:fldChar w:fldCharType="end"/>
      </w:r>
    </w:p>
    <w:p>
      <w:pPr>
        <w:pStyle w:val="13"/>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_Toc16910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r>
        <w:tab/>
      </w:r>
      <w:r>
        <w:fldChar w:fldCharType="begin"/>
      </w:r>
      <w:r>
        <w:instrText xml:space="preserve"> PAGEREF _Toc16910 \h </w:instrText>
      </w:r>
      <w:r>
        <w:fldChar w:fldCharType="separate"/>
      </w:r>
      <w:r>
        <w:t>21</w:t>
      </w:r>
      <w:r>
        <w:fldChar w:fldCharType="end"/>
      </w:r>
      <w:r>
        <w:rPr>
          <w:rFonts w:hint="eastAsia" w:ascii="宋体" w:hAnsi="宋体" w:cs="仿宋"/>
          <w:szCs w:val="21"/>
        </w:rPr>
        <w:fldChar w:fldCharType="end"/>
      </w:r>
    </w:p>
    <w:p>
      <w:pPr>
        <w:pStyle w:val="13"/>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_Toc556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4：履约情况及社会信誉承诺书</w:t>
      </w:r>
      <w:r>
        <w:tab/>
      </w:r>
      <w:r>
        <w:fldChar w:fldCharType="begin"/>
      </w:r>
      <w:r>
        <w:instrText xml:space="preserve"> PAGEREF _Toc556 \h </w:instrText>
      </w:r>
      <w:r>
        <w:fldChar w:fldCharType="separate"/>
      </w:r>
      <w:r>
        <w:t>22</w:t>
      </w:r>
      <w:r>
        <w:fldChar w:fldCharType="end"/>
      </w:r>
      <w:r>
        <w:rPr>
          <w:rFonts w:hint="eastAsia" w:ascii="宋体" w:hAnsi="宋体" w:cs="仿宋"/>
          <w:szCs w:val="21"/>
        </w:rPr>
        <w:fldChar w:fldCharType="end"/>
      </w:r>
    </w:p>
    <w:p>
      <w:pPr>
        <w:pStyle w:val="13"/>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_Toc32688 </w:instrText>
      </w:r>
      <w:r>
        <w:rPr>
          <w:rFonts w:hint="eastAsia" w:ascii="宋体" w:hAnsi="宋体" w:cs="仿宋"/>
          <w:szCs w:val="21"/>
        </w:rPr>
        <w:fldChar w:fldCharType="separate"/>
      </w:r>
      <w:r>
        <w:rPr>
          <w:rFonts w:hint="eastAsia" w:ascii="宋体" w:hAnsi="宋体"/>
        </w:rPr>
        <w:t>附件15：投标文件密码单</w:t>
      </w:r>
      <w:r>
        <w:tab/>
      </w:r>
      <w:r>
        <w:fldChar w:fldCharType="begin"/>
      </w:r>
      <w:r>
        <w:instrText xml:space="preserve"> PAGEREF _Toc32688 \h </w:instrText>
      </w:r>
      <w:r>
        <w:fldChar w:fldCharType="separate"/>
      </w:r>
      <w:r>
        <w:t>23</w:t>
      </w:r>
      <w:r>
        <w:fldChar w:fldCharType="end"/>
      </w:r>
      <w:r>
        <w:rPr>
          <w:rFonts w:hint="eastAsia" w:ascii="宋体" w:hAnsi="宋体" w:cs="仿宋"/>
          <w:szCs w:val="21"/>
        </w:rP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1" w:name="_Toc15687"/>
      <w:r>
        <w:rPr>
          <w:rFonts w:hint="eastAsia" w:ascii="宋体" w:hAnsi="宋体"/>
          <w:b/>
          <w:sz w:val="32"/>
          <w:szCs w:val="32"/>
        </w:rPr>
        <w:t>第一部分 项目要求</w:t>
      </w:r>
      <w:bookmarkEnd w:id="1"/>
    </w:p>
    <w:p>
      <w:pPr>
        <w:numPr>
          <w:ilvl w:val="0"/>
          <w:numId w:val="1"/>
        </w:numPr>
        <w:spacing w:before="156" w:beforeLines="50" w:line="360" w:lineRule="auto"/>
        <w:outlineLvl w:val="1"/>
        <w:rPr>
          <w:rFonts w:ascii="宋体" w:hAnsi="宋体"/>
          <w:b/>
          <w:szCs w:val="21"/>
        </w:rPr>
      </w:pPr>
      <w:bookmarkStart w:id="2" w:name="_Toc22359"/>
      <w:r>
        <w:rPr>
          <w:rFonts w:hint="eastAsia" w:ascii="宋体" w:hAnsi="宋体"/>
          <w:b/>
          <w:szCs w:val="21"/>
        </w:rPr>
        <w:t>投标人须知</w:t>
      </w:r>
      <w:bookmarkEnd w:id="2"/>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7"/>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hint="eastAsia" w:ascii="宋体" w:hAnsi="宋体" w:eastAsia="宋体"/>
                <w:szCs w:val="21"/>
                <w:lang w:val="en-US" w:eastAsia="zh-CN"/>
              </w:rPr>
            </w:pPr>
            <w:r>
              <w:rPr>
                <w:rFonts w:hint="eastAsia" w:ascii="宋体" w:hAnsi="宋体"/>
                <w:szCs w:val="21"/>
              </w:rPr>
              <w:t>联系人：</w:t>
            </w:r>
            <w:r>
              <w:rPr>
                <w:rFonts w:hint="eastAsia" w:ascii="宋体" w:hAnsi="宋体"/>
                <w:szCs w:val="21"/>
                <w:lang w:val="en-US" w:eastAsia="zh-CN"/>
              </w:rPr>
              <w:t>刘徐华</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电话：0755-8284</w:t>
            </w:r>
            <w:r>
              <w:rPr>
                <w:rFonts w:hint="eastAsia" w:ascii="宋体" w:hAnsi="宋体"/>
                <w:szCs w:val="21"/>
                <w:lang w:val="en-US" w:eastAsia="zh-CN"/>
              </w:rPr>
              <w:t>8826</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传真：0755-8284</w:t>
            </w:r>
            <w:r>
              <w:rPr>
                <w:rFonts w:hint="eastAsia" w:ascii="宋体" w:hAnsi="宋体"/>
                <w:szCs w:val="21"/>
                <w:lang w:val="en-US" w:eastAsia="zh-CN"/>
              </w:rPr>
              <w:t>8694</w:t>
            </w:r>
          </w:p>
          <w:p>
            <w:pPr>
              <w:wordWrap w:val="0"/>
              <w:autoSpaceDE w:val="0"/>
              <w:autoSpaceDN w:val="0"/>
              <w:adjustRightInd w:val="0"/>
              <w:snapToGrid w:val="0"/>
              <w:rPr>
                <w:rFonts w:hint="default" w:ascii="宋体" w:hAnsi="宋体" w:eastAsia="宋体"/>
                <w:kern w:val="0"/>
                <w:szCs w:val="21"/>
                <w:u w:val="single"/>
                <w:lang w:val="en-US" w:eastAsia="zh-CN"/>
              </w:rPr>
            </w:pPr>
            <w:r>
              <w:rPr>
                <w:rFonts w:hint="eastAsia" w:ascii="宋体" w:hAnsi="宋体"/>
                <w:szCs w:val="21"/>
              </w:rPr>
              <w:t>邮箱：</w:t>
            </w:r>
            <w:r>
              <w:fldChar w:fldCharType="begin"/>
            </w:r>
            <w:r>
              <w:instrText xml:space="preserve"> HYPERLINK "mailto:*@qq.com" </w:instrText>
            </w:r>
            <w:r>
              <w:fldChar w:fldCharType="separate"/>
            </w:r>
            <w:r>
              <w:rPr>
                <w:rFonts w:hint="eastAsia"/>
                <w:lang w:val="en-US" w:eastAsia="zh-CN"/>
              </w:rPr>
              <w:t>liuxh</w:t>
            </w:r>
            <w:r>
              <w:rPr>
                <w:rFonts w:hint="eastAsia" w:ascii="宋体" w:hAnsi="宋体"/>
                <w:szCs w:val="21"/>
              </w:rPr>
              <w:t>@</w:t>
            </w:r>
            <w:r>
              <w:rPr>
                <w:rFonts w:hint="eastAsia" w:ascii="宋体" w:hAnsi="宋体"/>
                <w:szCs w:val="21"/>
                <w:lang w:val="en-US" w:eastAsia="zh-CN"/>
              </w:rPr>
              <w:t>c</w:t>
            </w:r>
            <w:r>
              <w:rPr>
                <w:rFonts w:hint="eastAsia" w:ascii="宋体" w:hAnsi="宋体"/>
                <w:szCs w:val="21"/>
              </w:rPr>
              <w:fldChar w:fldCharType="end"/>
            </w:r>
            <w:r>
              <w:rPr>
                <w:rFonts w:hint="eastAsia" w:ascii="宋体" w:hAnsi="宋体"/>
                <w:szCs w:val="21"/>
                <w:lang w:val="en-US" w:eastAsia="zh-CN"/>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wordWrap w:val="0"/>
              <w:autoSpaceDE w:val="0"/>
              <w:autoSpaceDN w:val="0"/>
              <w:adjustRightInd w:val="0"/>
              <w:snapToGrid w:val="0"/>
              <w:rPr>
                <w:rFonts w:hint="eastAsia" w:ascii="宋体" w:hAnsi="宋体"/>
                <w:szCs w:val="21"/>
              </w:rPr>
            </w:pPr>
            <w:r>
              <w:rPr>
                <w:rFonts w:hint="eastAsia" w:ascii="宋体" w:hAnsi="宋体"/>
                <w:szCs w:val="21"/>
              </w:rPr>
              <w:t>深圳会展中心信息系统等级保护测评服务采购项目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wordWrap w:val="0"/>
              <w:autoSpaceDE w:val="0"/>
              <w:autoSpaceDN w:val="0"/>
              <w:adjustRightInd w:val="0"/>
              <w:snapToGrid w:val="0"/>
              <w:rPr>
                <w:rFonts w:hint="eastAsia" w:ascii="宋体" w:hAnsi="宋体"/>
                <w:szCs w:val="21"/>
              </w:rPr>
            </w:pPr>
            <w:r>
              <w:rPr>
                <w:rFonts w:hint="eastAsia" w:ascii="宋体" w:hAnsi="宋体"/>
                <w:szCs w:val="21"/>
                <w:lang w:val="en-US" w:eastAsia="zh-CN"/>
              </w:rPr>
              <w:t>服务</w:t>
            </w:r>
            <w:r>
              <w:rPr>
                <w:rFonts w:hint="eastAsia" w:ascii="宋体" w:hAnsi="宋体"/>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wordWrap w:val="0"/>
              <w:autoSpaceDE w:val="0"/>
              <w:autoSpaceDN w:val="0"/>
              <w:adjustRightInd w:val="0"/>
              <w:snapToGrid w:val="0"/>
              <w:rPr>
                <w:rFonts w:hint="eastAsia" w:ascii="宋体" w:hAnsi="宋体"/>
                <w:szCs w:val="21"/>
              </w:rPr>
            </w:pPr>
            <w:r>
              <w:rPr>
                <w:rFonts w:hint="eastAsia" w:ascii="宋体" w:hAnsi="宋体"/>
                <w:szCs w:val="21"/>
              </w:rPr>
              <w:t>根据《中华人民共和国网络安全法》、《中华人民共和国计算机信息系统安全保护条例》、《信息安全等级保护管理办法》</w:t>
            </w:r>
            <w:r>
              <w:rPr>
                <w:rFonts w:hint="eastAsia" w:ascii="宋体" w:hAnsi="宋体"/>
                <w:szCs w:val="21"/>
                <w:lang w:val="en-US" w:eastAsia="zh-CN"/>
              </w:rPr>
              <w:t>等法律法规</w:t>
            </w:r>
            <w:r>
              <w:rPr>
                <w:rFonts w:hint="eastAsia" w:ascii="宋体" w:hAnsi="宋体"/>
                <w:szCs w:val="21"/>
              </w:rPr>
              <w:t>，</w:t>
            </w:r>
            <w:r>
              <w:rPr>
                <w:rFonts w:hint="eastAsia" w:ascii="宋体" w:hAnsi="宋体"/>
                <w:szCs w:val="21"/>
                <w:lang w:eastAsia="zh-CN"/>
              </w:rPr>
              <w:t>招标人</w:t>
            </w:r>
            <w:r>
              <w:rPr>
                <w:rFonts w:hint="eastAsia" w:ascii="宋体" w:hAnsi="宋体"/>
                <w:szCs w:val="21"/>
              </w:rPr>
              <w:t>计划对公司网站开展二级等级保护</w:t>
            </w:r>
            <w:r>
              <w:rPr>
                <w:rFonts w:hint="eastAsia" w:ascii="宋体" w:hAnsi="宋体"/>
                <w:szCs w:val="21"/>
                <w:lang w:val="en-US" w:eastAsia="zh-CN"/>
              </w:rPr>
              <w:t>年度</w:t>
            </w:r>
            <w:r>
              <w:rPr>
                <w:rFonts w:hint="eastAsia" w:ascii="宋体" w:hAnsi="宋体"/>
                <w:szCs w:val="21"/>
              </w:rPr>
              <w:t>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wordWrap w:val="0"/>
              <w:autoSpaceDE w:val="0"/>
              <w:autoSpaceDN w:val="0"/>
              <w:adjustRightInd w:val="0"/>
              <w:snapToGrid w:val="0"/>
              <w:rPr>
                <w:rFonts w:hint="eastAsia" w:ascii="宋体" w:hAnsi="宋体"/>
                <w:szCs w:val="21"/>
              </w:rPr>
            </w:pPr>
            <w:r>
              <w:rPr>
                <w:rFonts w:hint="eastAsia" w:ascii="宋体" w:hAnsi="宋体"/>
                <w:szCs w:val="21"/>
              </w:rPr>
              <w:t>深圳市福田区福华三路深圳会展中心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wordWrap w:val="0"/>
              <w:autoSpaceDE w:val="0"/>
              <w:autoSpaceDN w:val="0"/>
              <w:adjustRightInd w:val="0"/>
              <w:snapToGrid w:val="0"/>
              <w:rPr>
                <w:rFonts w:hint="eastAsia" w:ascii="宋体" w:hAnsi="宋体"/>
                <w:szCs w:val="21"/>
              </w:rPr>
            </w:pPr>
            <w:r>
              <w:rPr>
                <w:rFonts w:hint="eastAsia" w:ascii="宋体" w:hAnsi="宋体"/>
                <w:szCs w:val="21"/>
                <w:lang w:val="en-US" w:eastAsia="zh-CN"/>
              </w:rPr>
              <w:t>截止12月31日</w:t>
            </w:r>
            <w:r>
              <w:rPr>
                <w:rFonts w:hint="eastAsia" w:ascii="宋体" w:hAnsi="宋体"/>
                <w:szCs w:val="21"/>
              </w:rPr>
              <w:t>（</w:t>
            </w:r>
            <w:r>
              <w:rPr>
                <w:rFonts w:hint="eastAsia" w:ascii="宋体" w:hAnsi="宋体"/>
                <w:szCs w:val="21"/>
                <w:lang w:val="en-US" w:eastAsia="zh-CN"/>
              </w:rPr>
              <w:t>2个测评服务年度，每个测评服务年度的12月31日前完成当年的等保测评事宜并向有关部门成功备案。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5</w:t>
            </w:r>
            <w:r>
              <w:rPr>
                <w:rFonts w:ascii="宋体" w:hAnsi="宋体"/>
                <w:szCs w:val="21"/>
              </w:rPr>
              <w:t xml:space="preserve"> </w:t>
            </w:r>
            <w:r>
              <w:rPr>
                <w:rFonts w:hint="eastAsia" w:ascii="宋体" w:hAnsi="宋体"/>
                <w:szCs w:val="21"/>
                <w:lang w:val="en-US" w:eastAsia="zh-CN"/>
              </w:rPr>
              <w:t>15</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https://cg.szcec.com/sharing/Re0pQ8Dht，</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21"/>
                <w:rFonts w:ascii="宋体" w:hAnsi="宋体"/>
                <w:szCs w:val="21"/>
              </w:rPr>
              <w:t>https://www.szcec.com/News/index/id/256.html</w:t>
            </w:r>
            <w:r>
              <w:rPr>
                <w:rStyle w:val="21"/>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13</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13</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14</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15</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https://cg.szcec.com/sharing/JYRH5yG5x，</w:t>
            </w:r>
            <w:r>
              <w:rPr>
                <w:rFonts w:hint="eastAsia" w:ascii="宋体" w:hAnsi="宋体"/>
                <w:szCs w:val="21"/>
              </w:rPr>
              <w:t>并致电确认</w:t>
            </w:r>
            <w:bookmarkStart w:id="3" w:name="_Toc478110532"/>
            <w:bookmarkStart w:id="4" w:name="_Toc478393187"/>
            <w:bookmarkStart w:id="5" w:name="_Toc478392822"/>
            <w:r>
              <w:rPr>
                <w:rFonts w:hint="eastAsia" w:ascii="宋体" w:hAnsi="宋体"/>
                <w:szCs w:val="21"/>
              </w:rPr>
              <w:t>。</w:t>
            </w:r>
            <w:r>
              <w:rPr>
                <w:rFonts w:hint="eastAsia" w:ascii="宋体" w:hAnsi="宋体"/>
              </w:rPr>
              <w:t>注意事项如下：</w:t>
            </w:r>
          </w:p>
          <w:p>
            <w:pPr>
              <w:pStyle w:val="25"/>
              <w:numPr>
                <w:ilvl w:val="0"/>
                <w:numId w:val="3"/>
              </w:numPr>
              <w:ind w:left="0" w:firstLine="0" w:firstLineChars="0"/>
              <w:rPr>
                <w:rFonts w:ascii="宋体" w:hAnsi="宋体" w:eastAsia="宋体"/>
                <w:szCs w:val="21"/>
              </w:rPr>
            </w:pPr>
            <w:bookmarkStart w:id="6"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6"/>
            <w:r>
              <w:rPr>
                <w:rFonts w:hint="eastAsia" w:ascii="宋体" w:hAnsi="宋体" w:eastAsia="宋体"/>
                <w:szCs w:val="21"/>
              </w:rPr>
              <w:t>。</w:t>
            </w:r>
          </w:p>
          <w:p>
            <w:pPr>
              <w:pStyle w:val="25"/>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5"/>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5"/>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18</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szCs w:val="21"/>
                <w:highlight w:val="yellow"/>
                <w:lang w:val="en-US" w:eastAsia="zh-CN"/>
              </w:rPr>
              <w:t>167841185</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Cs/>
                <w:color w:val="FF0000"/>
                <w:highlight w:val="yellow"/>
              </w:rPr>
              <w:t>https://cg.szcec.com/sharing/ep1yvLtc0。</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是否接受</w:t>
            </w:r>
          </w:p>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auto"/>
                <w:szCs w:val="21"/>
                <w:highlight w:val="none"/>
              </w:rPr>
            </w:pPr>
            <w:r>
              <w:rPr>
                <w:rFonts w:hint="eastAsia" w:ascii="宋体" w:hAnsi="宋体"/>
                <w:color w:val="auto"/>
                <w:kern w:val="0"/>
                <w:szCs w:val="21"/>
                <w:highlight w:val="none"/>
              </w:rPr>
              <w:sym w:font="Wingdings 2" w:char="0052"/>
            </w:r>
            <w:r>
              <w:rPr>
                <w:rFonts w:hint="eastAsia" w:ascii="宋体" w:hAnsi="宋体" w:cstheme="minorBidi"/>
                <w:color w:val="auto"/>
                <w:szCs w:val="21"/>
                <w:highlight w:val="none"/>
              </w:rPr>
              <w:t>不接受</w:t>
            </w:r>
          </w:p>
          <w:p>
            <w:pPr>
              <w:autoSpaceDE w:val="0"/>
              <w:autoSpaceDN w:val="0"/>
              <w:adjustRightInd w:val="0"/>
              <w:snapToGrid w:val="0"/>
              <w:rPr>
                <w:rFonts w:ascii="宋体" w:hAnsi="宋体"/>
                <w:color w:val="auto"/>
                <w:kern w:val="0"/>
                <w:szCs w:val="21"/>
                <w:highlight w:val="none"/>
              </w:rPr>
            </w:pP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color w:val="auto"/>
                <w:kern w:val="0"/>
                <w:szCs w:val="21"/>
                <w:highlight w:val="none"/>
              </w:rPr>
            </w:pPr>
            <w:r>
              <w:rPr>
                <w:rFonts w:hint="eastAsia" w:ascii="宋体" w:hAnsi="宋体" w:cstheme="minorBidi"/>
                <w:color w:val="auto"/>
                <w:kern w:val="0"/>
                <w:szCs w:val="21"/>
                <w:highlight w:val="none"/>
              </w:rPr>
              <w:t>现场踏勘</w:t>
            </w:r>
          </w:p>
        </w:tc>
        <w:tc>
          <w:tcPr>
            <w:tcW w:w="7029" w:type="dxa"/>
            <w:vAlign w:val="center"/>
          </w:tcPr>
          <w:p>
            <w:pPr>
              <w:numPr>
                <w:ilvl w:val="0"/>
                <w:numId w:val="4"/>
              </w:numPr>
              <w:tabs>
                <w:tab w:val="left" w:pos="281"/>
                <w:tab w:val="left" w:pos="541"/>
              </w:tabs>
              <w:snapToGrid w:val="0"/>
              <w:rPr>
                <w:rFonts w:ascii="宋体" w:hAnsi="宋体" w:cstheme="minorBidi"/>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theme="minorBidi"/>
                <w:color w:val="auto"/>
                <w:kern w:val="0"/>
                <w:szCs w:val="21"/>
                <w:highlight w:val="none"/>
              </w:rPr>
              <w:t>不组织,投标人可在本项目招标公告发布后至报名（文件获取）时间截止前自行踏勘。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color w:val="auto"/>
                <w:kern w:val="0"/>
                <w:szCs w:val="21"/>
                <w:highlight w:val="none"/>
              </w:rPr>
            </w:pPr>
            <w:r>
              <w:rPr>
                <w:rFonts w:hint="eastAsia" w:ascii="宋体" w:hAnsi="宋体" w:cstheme="minorBidi"/>
                <w:color w:val="auto"/>
                <w:kern w:val="0"/>
                <w:szCs w:val="21"/>
                <w:highlight w:val="none"/>
              </w:rPr>
              <w:t>□组织，踏勘要求：</w:t>
            </w:r>
          </w:p>
          <w:p>
            <w:pPr>
              <w:pStyle w:val="25"/>
              <w:numPr>
                <w:ilvl w:val="0"/>
                <w:numId w:val="5"/>
              </w:numPr>
              <w:tabs>
                <w:tab w:val="left" w:pos="541"/>
              </w:tabs>
              <w:snapToGrid w:val="0"/>
              <w:ind w:left="805" w:hanging="227"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投标人是否必须参加：</w:t>
            </w:r>
          </w:p>
          <w:p>
            <w:pPr>
              <w:pStyle w:val="25"/>
              <w:tabs>
                <w:tab w:val="left" w:pos="541"/>
              </w:tabs>
              <w:snapToGrid w:val="0"/>
              <w:ind w:left="805" w:firstLine="8" w:firstLineChars="4"/>
              <w:rPr>
                <w:rFonts w:ascii="宋体" w:hAnsi="宋体" w:eastAsia="宋体"/>
                <w:color w:val="auto"/>
                <w:kern w:val="0"/>
                <w:szCs w:val="21"/>
                <w:highlight w:val="none"/>
              </w:rPr>
            </w:pPr>
            <w:r>
              <w:rPr>
                <w:rFonts w:hint="eastAsia" w:ascii="宋体" w:hAnsi="宋体" w:eastAsia="宋体"/>
                <w:color w:val="auto"/>
                <w:kern w:val="0"/>
                <w:szCs w:val="21"/>
                <w:highlight w:val="none"/>
              </w:rPr>
              <w:t>□是（若不参加，将因投标文件不完整导致失去本项目投标资格）</w:t>
            </w:r>
          </w:p>
          <w:p>
            <w:pPr>
              <w:pStyle w:val="25"/>
              <w:tabs>
                <w:tab w:val="left" w:pos="541"/>
              </w:tabs>
              <w:snapToGrid w:val="0"/>
              <w:ind w:left="805" w:firstLine="8" w:firstLineChars="4"/>
              <w:rPr>
                <w:rFonts w:ascii="宋体" w:hAnsi="宋体" w:eastAsia="宋体"/>
                <w:color w:val="auto"/>
                <w:kern w:val="0"/>
                <w:szCs w:val="21"/>
                <w:highlight w:val="none"/>
              </w:rPr>
            </w:pPr>
            <w:r>
              <w:rPr>
                <w:rFonts w:hint="eastAsia" w:ascii="宋体" w:hAnsi="宋体" w:eastAsia="宋体"/>
                <w:color w:val="auto"/>
                <w:kern w:val="0"/>
                <w:szCs w:val="21"/>
                <w:highlight w:val="none"/>
              </w:rPr>
              <w:t>□否（可选择不参加，不影响投标资格但可能会产生不利后果）</w:t>
            </w:r>
          </w:p>
          <w:p>
            <w:pPr>
              <w:pStyle w:val="25"/>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招标人定于202×-××-×× ××: ××邀请投标人人员察看现场并讲解项目需求；投标人应指派符合要求的人员参加本项目的现场踏勘。</w:t>
            </w:r>
          </w:p>
          <w:p>
            <w:pPr>
              <w:pStyle w:val="25"/>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投标人须持《现场考察证明》（格式见附件）参加现场踏勘，并在完成现场踏勘后交由招标人管理人员签字确认，并附于投标文件中。</w:t>
            </w:r>
          </w:p>
          <w:p>
            <w:pPr>
              <w:pStyle w:val="25"/>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5"/>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highlight w:val="none"/>
              </w:rPr>
              <w:t>投标人须至少提前一天与踏勘联系人预约。否则，将可能导致投标人不能进入踏勘现场的不利后果。</w:t>
            </w:r>
          </w:p>
          <w:p>
            <w:pPr>
              <w:pStyle w:val="25"/>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踏勘联系人：×××</w:t>
            </w:r>
          </w:p>
          <w:p>
            <w:pPr>
              <w:pStyle w:val="25"/>
              <w:tabs>
                <w:tab w:val="left" w:pos="541"/>
              </w:tabs>
              <w:snapToGrid w:val="0"/>
              <w:ind w:left="805" w:firstLine="0"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电话：0755-8284××××，手机：XXXXX</w:t>
            </w:r>
          </w:p>
          <w:p>
            <w:pPr>
              <w:pStyle w:val="25"/>
              <w:tabs>
                <w:tab w:val="left" w:pos="541"/>
              </w:tabs>
              <w:snapToGrid w:val="0"/>
              <w:ind w:left="805" w:firstLine="0"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集合地点：××××××××××××××</w:t>
            </w:r>
          </w:p>
          <w:p>
            <w:pPr>
              <w:pStyle w:val="25"/>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履约</w:t>
            </w:r>
            <w:r>
              <w:rPr>
                <w:rFonts w:ascii="宋体" w:hAnsi="宋体"/>
                <w:color w:val="auto"/>
                <w:szCs w:val="21"/>
                <w:highlight w:val="none"/>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25"/>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25"/>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4</w:t>
            </w:r>
          </w:p>
        </w:tc>
        <w:tc>
          <w:tcPr>
            <w:tcW w:w="1990" w:type="dxa"/>
            <w:vAlign w:val="center"/>
          </w:tcPr>
          <w:p>
            <w:pPr>
              <w:autoSpaceDE w:val="0"/>
              <w:autoSpaceDN w:val="0"/>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推荐中标</w:t>
            </w:r>
          </w:p>
          <w:p>
            <w:pPr>
              <w:autoSpaceDE w:val="0"/>
              <w:autoSpaceDN w:val="0"/>
              <w:adjustRightInd w:val="0"/>
              <w:snapToGrid w:val="0"/>
              <w:jc w:val="center"/>
              <w:rPr>
                <w:rFonts w:ascii="宋体" w:hAnsi="宋体"/>
                <w:color w:val="auto"/>
                <w:szCs w:val="21"/>
                <w:highlight w:val="none"/>
              </w:rPr>
            </w:pPr>
            <w:r>
              <w:rPr>
                <w:rFonts w:hint="eastAsia" w:ascii="宋体" w:hAnsi="宋体" w:cs="宋体"/>
                <w:color w:val="auto"/>
                <w:szCs w:val="21"/>
                <w:highlight w:val="none"/>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color w:val="auto"/>
          <w:szCs w:val="21"/>
          <w:highlight w:val="none"/>
        </w:rPr>
      </w:pPr>
      <w:bookmarkStart w:id="7" w:name="_Toc82684589"/>
      <w:bookmarkEnd w:id="7"/>
      <w:bookmarkStart w:id="8" w:name="_Toc82591927"/>
      <w:bookmarkEnd w:id="8"/>
      <w:bookmarkStart w:id="9" w:name="_Toc82685541"/>
      <w:bookmarkEnd w:id="9"/>
      <w:bookmarkStart w:id="10" w:name="_Toc82684705"/>
      <w:bookmarkEnd w:id="10"/>
      <w:bookmarkStart w:id="11" w:name="_Toc82591925"/>
      <w:bookmarkEnd w:id="11"/>
      <w:bookmarkStart w:id="12" w:name="_Toc82591926"/>
      <w:bookmarkEnd w:id="12"/>
      <w:bookmarkStart w:id="13" w:name="_Toc82591928"/>
      <w:bookmarkEnd w:id="13"/>
      <w:bookmarkStart w:id="14" w:name="_Toc82684590"/>
      <w:bookmarkEnd w:id="14"/>
      <w:bookmarkStart w:id="15" w:name="_Toc82684703"/>
      <w:bookmarkEnd w:id="15"/>
      <w:bookmarkStart w:id="16" w:name="_Toc82684591"/>
      <w:bookmarkEnd w:id="16"/>
      <w:bookmarkStart w:id="17" w:name="_Toc82684704"/>
      <w:bookmarkEnd w:id="17"/>
      <w:bookmarkStart w:id="18" w:name="_Toc82685540"/>
      <w:bookmarkEnd w:id="18"/>
      <w:bookmarkStart w:id="19" w:name="_Toc82684588"/>
      <w:bookmarkEnd w:id="19"/>
      <w:bookmarkStart w:id="20" w:name="_Toc82685543"/>
      <w:bookmarkEnd w:id="20"/>
      <w:bookmarkStart w:id="21" w:name="_Toc82684706"/>
      <w:bookmarkEnd w:id="21"/>
      <w:bookmarkStart w:id="22" w:name="_Toc82685542"/>
      <w:bookmarkEnd w:id="22"/>
      <w:bookmarkStart w:id="23" w:name="_Toc17645"/>
      <w:r>
        <w:rPr>
          <w:rFonts w:hint="eastAsia" w:ascii="宋体" w:hAnsi="宋体"/>
          <w:b/>
          <w:color w:val="auto"/>
          <w:szCs w:val="21"/>
          <w:highlight w:val="none"/>
        </w:rPr>
        <w:t>特别说明</w:t>
      </w:r>
      <w:bookmarkEnd w:id="23"/>
    </w:p>
    <w:p>
      <w:pPr>
        <w:pStyle w:val="25"/>
        <w:numPr>
          <w:ilvl w:val="0"/>
          <w:numId w:val="9"/>
        </w:numPr>
        <w:spacing w:line="360" w:lineRule="auto"/>
        <w:ind w:left="0" w:firstLine="420" w:firstLineChars="0"/>
        <w:rPr>
          <w:rFonts w:ascii="宋体" w:hAnsi="宋体" w:eastAsia="宋体" w:cs="宋体"/>
          <w:szCs w:val="21"/>
        </w:rPr>
      </w:pPr>
      <w:bookmarkStart w:id="24" w:name="_Toc478387747"/>
      <w:bookmarkStart w:id="25" w:name="_Toc45028463"/>
      <w:bookmarkStart w:id="26" w:name="_Toc517278751"/>
      <w:r>
        <w:rPr>
          <w:rFonts w:hint="eastAsia" w:ascii="宋体" w:hAnsi="宋体" w:eastAsia="宋体" w:cs="宋体"/>
          <w:color w:val="auto"/>
          <w:szCs w:val="21"/>
          <w:highlight w:val="none"/>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4"/>
    <w:bookmarkEnd w:id="25"/>
    <w:bookmarkEnd w:id="26"/>
    <w:p>
      <w:pPr>
        <w:numPr>
          <w:ilvl w:val="0"/>
          <w:numId w:val="1"/>
        </w:numPr>
        <w:spacing w:line="560" w:lineRule="exact"/>
        <w:outlineLvl w:val="1"/>
        <w:rPr>
          <w:rFonts w:ascii="宋体" w:hAnsi="宋体"/>
          <w:b/>
          <w:szCs w:val="21"/>
        </w:rPr>
      </w:pPr>
      <w:bookmarkStart w:id="27" w:name="_Toc82684708"/>
      <w:bookmarkEnd w:id="27"/>
      <w:bookmarkStart w:id="28" w:name="_Toc82591986"/>
      <w:bookmarkEnd w:id="28"/>
      <w:bookmarkStart w:id="29" w:name="_Toc82685545"/>
      <w:bookmarkEnd w:id="29"/>
      <w:bookmarkStart w:id="30" w:name="_Toc82591989"/>
      <w:bookmarkEnd w:id="30"/>
      <w:bookmarkStart w:id="31" w:name="_Toc82591930"/>
      <w:bookmarkEnd w:id="31"/>
      <w:bookmarkStart w:id="32" w:name="_Toc82591988"/>
      <w:bookmarkEnd w:id="32"/>
      <w:bookmarkStart w:id="33" w:name="_Toc82591987"/>
      <w:bookmarkEnd w:id="33"/>
      <w:bookmarkStart w:id="34" w:name="_Toc82591985"/>
      <w:bookmarkEnd w:id="34"/>
      <w:bookmarkStart w:id="35" w:name="_Toc82684593"/>
      <w:bookmarkEnd w:id="35"/>
      <w:bookmarkStart w:id="36" w:name="_Toc3400"/>
      <w:r>
        <w:rPr>
          <w:rFonts w:hint="eastAsia" w:ascii="宋体" w:hAnsi="宋体"/>
          <w:b/>
          <w:szCs w:val="21"/>
        </w:rPr>
        <w:t>投标文件编制</w:t>
      </w:r>
      <w:bookmarkEnd w:id="36"/>
    </w:p>
    <w:tbl>
      <w:tblPr>
        <w:tblStyle w:val="17"/>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4"/>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7" w:name="_Toc29584"/>
      <w:r>
        <w:rPr>
          <w:rFonts w:hint="eastAsia" w:ascii="宋体" w:hAnsi="宋体"/>
          <w:b/>
          <w:szCs w:val="21"/>
        </w:rPr>
        <w:t>项目要求</w:t>
      </w:r>
      <w:bookmarkEnd w:id="37"/>
    </w:p>
    <w:tbl>
      <w:tblPr>
        <w:tblStyle w:val="17"/>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color w:val="auto"/>
                <w:szCs w:val="21"/>
                <w:highlight w:val="none"/>
              </w:rPr>
            </w:pPr>
            <w:r>
              <w:rPr>
                <w:rFonts w:hint="eastAsia" w:ascii="宋体" w:hAnsi="宋体" w:cs="宋体"/>
                <w:b/>
                <w:color w:val="auto"/>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ind w:firstLine="0" w:firstLineChars="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425" w:hanging="425"/>
              <w:rPr>
                <w:rFonts w:ascii="宋体"/>
                <w:color w:val="auto"/>
                <w:highlight w:val="none"/>
              </w:rPr>
            </w:pPr>
            <w:r>
              <w:rPr>
                <w:rFonts w:hint="eastAsia" w:ascii="宋体" w:hAnsi="宋体" w:cs="仿宋_GB2312"/>
                <w:color w:val="auto"/>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10"/>
              </w:numPr>
              <w:tabs>
                <w:tab w:val="left" w:pos="531"/>
              </w:tabs>
              <w:snapToGrid w:val="0"/>
              <w:ind w:left="425" w:hanging="425"/>
              <w:rPr>
                <w:color w:val="auto"/>
                <w:highlight w:val="none"/>
              </w:rPr>
            </w:pPr>
            <w:r>
              <w:rPr>
                <w:rFonts w:hint="eastAsia"/>
                <w:color w:val="auto"/>
                <w:highlight w:val="none"/>
              </w:rPr>
              <w:t>投标人代表必须是投标单位的法定代表人或持有法定代表人亲自签署的法人授权委托证明书的人员。（提供法定代表人证明书、法人授权委托证明书</w:t>
            </w:r>
            <w:r>
              <w:rPr>
                <w:rFonts w:hint="eastAsia" w:ascii="宋体" w:hAnsi="宋体" w:eastAsia="宋体" w:cs="宋体"/>
                <w:color w:val="auto"/>
                <w:sz w:val="21"/>
                <w:szCs w:val="21"/>
                <w:highlight w:val="none"/>
                <w:u w:val="none"/>
              </w:rPr>
              <w:t>及法定代表人、被委托人身份证扫描件</w:t>
            </w:r>
            <w:bookmarkStart w:id="98" w:name="_GoBack"/>
            <w:bookmarkEnd w:id="98"/>
            <w:r>
              <w:rPr>
                <w:rFonts w:hint="eastAsia"/>
                <w:color w:val="auto"/>
                <w:highlight w:val="none"/>
              </w:rPr>
              <w:t>，如单位法定代表人为本项目授权代表，则仅提供法定代表人证明书及身份证复印件，各证明书须加盖公章，身份证原件备查）。</w:t>
            </w:r>
          </w:p>
          <w:p>
            <w:pPr>
              <w:numPr>
                <w:ilvl w:val="0"/>
                <w:numId w:val="10"/>
              </w:numPr>
              <w:tabs>
                <w:tab w:val="left" w:pos="531"/>
              </w:tabs>
              <w:snapToGrid w:val="0"/>
              <w:ind w:left="425" w:hanging="425"/>
              <w:rPr>
                <w:rFonts w:ascii="宋体" w:hAns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具有由公安部第三研究所颁发的</w:t>
            </w:r>
            <w:r>
              <w:rPr>
                <w:rFonts w:hint="eastAsia" w:ascii="宋体" w:hAnsi="宋体" w:cs="宋体"/>
                <w:color w:val="auto"/>
                <w:szCs w:val="21"/>
                <w:highlight w:val="none"/>
                <w:lang w:val="en-US" w:eastAsia="zh-CN"/>
              </w:rPr>
              <w:t>有效的</w:t>
            </w:r>
            <w:r>
              <w:rPr>
                <w:rFonts w:hint="eastAsia" w:ascii="宋体" w:hAnsi="宋体" w:cs="宋体"/>
                <w:color w:val="auto"/>
                <w:szCs w:val="21"/>
                <w:highlight w:val="none"/>
              </w:rPr>
              <w:t>《网络安全等级测评与检测评估机构服务认证证书》。</w:t>
            </w:r>
          </w:p>
          <w:p>
            <w:pPr>
              <w:numPr>
                <w:ilvl w:val="0"/>
                <w:numId w:val="10"/>
              </w:numPr>
              <w:tabs>
                <w:tab w:val="left" w:pos="531"/>
              </w:tabs>
              <w:snapToGrid w:val="0"/>
              <w:ind w:left="425" w:hanging="425"/>
              <w:rPr>
                <w:rFonts w:ascii="宋体" w:hAnsi="宋体" w:cs="宋体"/>
                <w:color w:val="auto"/>
                <w:highlight w:val="none"/>
              </w:rPr>
            </w:pPr>
            <w:r>
              <w:rPr>
                <w:rFonts w:hint="eastAsia" w:ascii="宋体" w:hAnsi="宋体" w:cs="宋体"/>
                <w:color w:val="auto"/>
                <w:szCs w:val="21"/>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425" w:hanging="425"/>
              <w:rPr>
                <w:rFonts w:ascii="宋体" w:hAnsi="宋体"/>
                <w:color w:val="auto"/>
                <w:szCs w:val="21"/>
                <w:highlight w:val="none"/>
              </w:rPr>
            </w:pPr>
            <w:r>
              <w:rPr>
                <w:rFonts w:hint="eastAsia" w:ascii="宋体" w:hAnsi="宋体" w:cs="仿宋_GB2312"/>
                <w:color w:val="auto"/>
                <w:szCs w:val="21"/>
                <w:highlight w:val="none"/>
              </w:rPr>
              <w:t>报价以人民币为结算币种，《投标一览表》</w:t>
            </w:r>
            <w:r>
              <w:rPr>
                <w:rFonts w:hint="eastAsia" w:ascii="宋体" w:hAnsi="宋体"/>
                <w:color w:val="auto"/>
                <w:szCs w:val="21"/>
                <w:highlight w:val="none"/>
              </w:rPr>
              <w:t>应包含税率、税额、税前及税后总金额。</w:t>
            </w:r>
          </w:p>
          <w:p>
            <w:pPr>
              <w:numPr>
                <w:ilvl w:val="0"/>
                <w:numId w:val="11"/>
              </w:numPr>
              <w:tabs>
                <w:tab w:val="left" w:pos="531"/>
              </w:tabs>
              <w:snapToGrid w:val="0"/>
              <w:ind w:left="425" w:hanging="425"/>
              <w:rPr>
                <w:rFonts w:ascii="宋体" w:hAnsi="宋体" w:cs="仿宋_GB2312"/>
                <w:color w:val="auto"/>
                <w:szCs w:val="21"/>
                <w:highlight w:val="none"/>
              </w:rPr>
            </w:pPr>
            <w:r>
              <w:rPr>
                <w:rFonts w:hint="eastAsia" w:ascii="宋体" w:hAnsi="宋体" w:cs="仿宋_GB2312"/>
                <w:color w:val="auto"/>
                <w:szCs w:val="21"/>
                <w:highlight w:val="none"/>
              </w:rPr>
              <w:t>投标报价不得出现可选择性的报价,含有备选方案的报价将导致废标。</w:t>
            </w:r>
          </w:p>
          <w:p>
            <w:pPr>
              <w:numPr>
                <w:ilvl w:val="0"/>
                <w:numId w:val="11"/>
              </w:numPr>
              <w:tabs>
                <w:tab w:val="left" w:pos="531"/>
              </w:tabs>
              <w:snapToGrid w:val="0"/>
              <w:ind w:left="425" w:hanging="425"/>
              <w:rPr>
                <w:rFonts w:ascii="宋体" w:hAnsi="宋体" w:cs="仿宋_GB2312"/>
                <w:color w:val="auto"/>
                <w:szCs w:val="21"/>
                <w:highlight w:val="none"/>
              </w:rPr>
            </w:pPr>
            <w:r>
              <w:rPr>
                <w:rFonts w:hint="eastAsia" w:ascii="宋体" w:hAnsi="宋体" w:cs="仿宋_GB2312"/>
                <w:color w:val="auto"/>
                <w:szCs w:val="21"/>
                <w:highlight w:val="none"/>
              </w:rPr>
              <w:t>投标报价包括但不限于</w:t>
            </w:r>
            <w:r>
              <w:rPr>
                <w:rFonts w:hint="eastAsia" w:ascii="宋体" w:hAnsi="宋体"/>
                <w:color w:val="auto"/>
                <w:szCs w:val="21"/>
                <w:highlight w:val="none"/>
              </w:rPr>
              <w:t>本项目实施所需要的材料费、各种软（硬）件工具（设备）费、运输费、安全措施保障费、专家评审费、检测服务费、复测费（直至合格）</w:t>
            </w:r>
            <w:r>
              <w:rPr>
                <w:rFonts w:hint="eastAsia" w:ascii="宋体" w:hAnsi="宋体"/>
                <w:color w:val="auto"/>
                <w:szCs w:val="21"/>
                <w:highlight w:val="none"/>
                <w:lang w:eastAsia="zh-CN"/>
              </w:rPr>
              <w:t>、</w:t>
            </w:r>
            <w:r>
              <w:rPr>
                <w:rFonts w:hint="eastAsia" w:ascii="宋体" w:hAnsi="宋体"/>
                <w:color w:val="auto"/>
                <w:szCs w:val="21"/>
                <w:highlight w:val="none"/>
              </w:rPr>
              <w:t>增值税费等</w:t>
            </w:r>
            <w:r>
              <w:rPr>
                <w:rFonts w:hint="eastAsia" w:ascii="宋体" w:hAnsi="宋体" w:cs="仿宋_GB2312"/>
                <w:color w:val="auto"/>
                <w:szCs w:val="21"/>
                <w:highlight w:val="none"/>
              </w:rPr>
              <w:t>完成本项目所需的全部费用。</w:t>
            </w:r>
          </w:p>
          <w:p>
            <w:pPr>
              <w:numPr>
                <w:ilvl w:val="-1"/>
                <w:numId w:val="0"/>
              </w:numPr>
              <w:tabs>
                <w:tab w:val="left" w:pos="531"/>
              </w:tabs>
              <w:snapToGrid w:val="0"/>
              <w:ind w:left="0" w:firstLine="0"/>
              <w:rPr>
                <w:color w:val="auto"/>
                <w:highlight w:val="none"/>
              </w:rPr>
            </w:pP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highlight w:val="none"/>
              </w:rPr>
            </w:pPr>
            <w:r>
              <w:rPr>
                <w:rFonts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color w:val="auto"/>
                <w:szCs w:val="21"/>
                <w:highlight w:val="none"/>
              </w:rPr>
            </w:pPr>
            <w:r>
              <w:rPr>
                <w:rFonts w:hint="eastAsia" w:ascii="宋体" w:hAnsi="宋体" w:cs="宋体"/>
                <w:color w:val="auto"/>
                <w:szCs w:val="21"/>
                <w:highlight w:val="none"/>
              </w:rPr>
              <w:t>本项目采购控制金额为</w:t>
            </w:r>
            <w:r>
              <w:rPr>
                <w:rFonts w:hint="eastAsia" w:ascii="宋体" w:hAnsi="宋体" w:cs="宋体"/>
                <w:color w:val="auto"/>
                <w:szCs w:val="21"/>
                <w:highlight w:val="none"/>
                <w:lang w:val="en-US" w:eastAsia="zh-CN"/>
              </w:rPr>
              <w:t>两年合计</w:t>
            </w:r>
            <w:r>
              <w:rPr>
                <w:rFonts w:hint="eastAsia" w:ascii="宋体" w:hAnsi="宋体" w:cs="宋体"/>
                <w:color w:val="auto"/>
                <w:szCs w:val="21"/>
                <w:highlight w:val="none"/>
              </w:rPr>
              <w:t>人民币</w:t>
            </w:r>
            <w:r>
              <w:rPr>
                <w:rFonts w:hint="eastAsia" w:ascii="宋体" w:hAnsi="宋体" w:cs="宋体"/>
                <w:color w:val="auto"/>
                <w:szCs w:val="21"/>
                <w:highlight w:val="none"/>
                <w:lang w:val="en-US" w:eastAsia="zh-CN"/>
              </w:rPr>
              <w:t>19.2</w:t>
            </w:r>
            <w:r>
              <w:rPr>
                <w:rFonts w:ascii="宋体" w:hAnsi="宋体" w:cs="宋体"/>
                <w:color w:val="auto"/>
                <w:szCs w:val="21"/>
                <w:highlight w:val="none"/>
              </w:rPr>
              <w:t>万元（含税）</w:t>
            </w:r>
            <w:r>
              <w:rPr>
                <w:rFonts w:hint="eastAsia" w:ascii="宋体" w:hAnsi="宋体" w:cs="宋体"/>
                <w:color w:val="auto"/>
                <w:szCs w:val="21"/>
                <w:highlight w:val="none"/>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eastAsia" w:ascii="宋体" w:hAnsi="宋体" w:cs="宋体"/>
                <w:snapToGrid/>
                <w:color w:val="auto"/>
                <w:spacing w:val="0"/>
                <w:kern w:val="2"/>
                <w:sz w:val="21"/>
                <w:szCs w:val="21"/>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4"/>
              <w:numPr>
                <w:ilvl w:val="0"/>
                <w:numId w:val="12"/>
              </w:numPr>
              <w:ind w:left="425" w:hanging="425"/>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投标人对招标人网络安全等级保护测评服务的最终交付物是对应系统的《网络安全等级保护测评报告》。</w:t>
            </w:r>
          </w:p>
          <w:p>
            <w:pPr>
              <w:pStyle w:val="14"/>
              <w:numPr>
                <w:ilvl w:val="0"/>
                <w:numId w:val="12"/>
              </w:numPr>
              <w:ind w:left="425" w:hanging="425"/>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针对测评对象出具《网络安全等级保护测评报告》，上报深圳市公安机关，并《网络安全等级保护测评结果通知书》。</w:t>
            </w:r>
          </w:p>
          <w:p>
            <w:pPr>
              <w:pStyle w:val="14"/>
              <w:numPr>
                <w:ilvl w:val="0"/>
                <w:numId w:val="12"/>
              </w:numPr>
              <w:ind w:left="425" w:hanging="425"/>
              <w:rPr>
                <w:rFonts w:hint="eastAsia" w:ascii="宋体" w:hAnsi="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投标人协助招标人领取《网络安全等级保护测评结果通知书》。</w:t>
            </w:r>
          </w:p>
          <w:p>
            <w:pPr>
              <w:pStyle w:val="14"/>
              <w:numPr>
                <w:ilvl w:val="0"/>
                <w:numId w:val="12"/>
              </w:numPr>
              <w:ind w:left="425" w:hanging="425"/>
              <w:rPr>
                <w:rFonts w:hint="eastAsia" w:ascii="宋体" w:hAnsi="宋体"/>
                <w:color w:val="auto"/>
                <w:szCs w:val="21"/>
                <w:highlight w:val="none"/>
                <w:lang w:val="en-US" w:eastAsia="zh-CN"/>
              </w:rPr>
            </w:pPr>
            <w:r>
              <w:rPr>
                <w:rFonts w:hint="eastAsia" w:ascii="宋体" w:eastAsia="宋体"/>
                <w:color w:val="auto"/>
                <w:szCs w:val="21"/>
                <w:highlight w:val="none"/>
                <w:lang w:val="en-US" w:eastAsia="zh-CN"/>
              </w:rPr>
              <w:t>项目全部实施完毕由中标人向招标人提出验收申请，并提供验收报告（包括但不限于项目实施内容、实施证明文件、项目成果、结算清单等），由招标人组织验收。</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3"/>
              </w:numPr>
              <w:tabs>
                <w:tab w:val="left" w:pos="531"/>
              </w:tabs>
              <w:snapToGrid w:val="0"/>
              <w:rPr>
                <w:rFonts w:hint="eastAsia" w:ascii="宋体" w:hAnsi="宋体" w:cs="宋体"/>
                <w:color w:val="auto"/>
                <w:highlight w:val="none"/>
              </w:rPr>
            </w:pPr>
            <w:r>
              <w:rPr>
                <w:rFonts w:hint="eastAsia" w:ascii="宋体" w:hAnsi="宋体" w:cs="宋体"/>
                <w:color w:val="auto"/>
                <w:highlight w:val="none"/>
                <w:lang w:val="en-US" w:eastAsia="zh-CN"/>
              </w:rPr>
              <w:t>每年</w:t>
            </w:r>
            <w:r>
              <w:rPr>
                <w:rFonts w:hint="eastAsia" w:ascii="宋体" w:hAnsi="宋体" w:cs="宋体"/>
                <w:color w:val="auto"/>
                <w:highlight w:val="none"/>
              </w:rPr>
              <w:t>测评服务结束，</w:t>
            </w:r>
            <w:r>
              <w:rPr>
                <w:rFonts w:hint="eastAsia" w:ascii="宋体" w:hAnsi="宋体" w:cs="宋体"/>
                <w:color w:val="auto"/>
                <w:highlight w:val="none"/>
                <w:lang w:val="en-US" w:eastAsia="zh-CN"/>
              </w:rPr>
              <w:t>招标</w:t>
            </w:r>
            <w:r>
              <w:rPr>
                <w:rFonts w:hint="eastAsia" w:ascii="宋体" w:hAnsi="宋体" w:cs="宋体"/>
                <w:color w:val="auto"/>
                <w:highlight w:val="none"/>
              </w:rPr>
              <w:t>人收到正式网络安全等保测评报告并取得公安部门核发的等保合格的证明</w:t>
            </w:r>
            <w:r>
              <w:rPr>
                <w:rFonts w:hint="eastAsia" w:ascii="宋体" w:hAnsi="宋体" w:cs="宋体"/>
                <w:color w:val="auto"/>
                <w:highlight w:val="none"/>
                <w:lang w:val="en-US" w:eastAsia="zh-CN"/>
              </w:rPr>
              <w:t>和中标人提供测评服务验收报告经招标人验收通过后，</w:t>
            </w:r>
            <w:r>
              <w:rPr>
                <w:rFonts w:hint="eastAsia" w:ascii="宋体" w:hAnsi="宋体" w:cs="宋体"/>
                <w:color w:val="auto"/>
                <w:highlight w:val="none"/>
              </w:rPr>
              <w:t>支付</w:t>
            </w:r>
            <w:r>
              <w:rPr>
                <w:rFonts w:hint="eastAsia" w:ascii="宋体" w:hAnsi="宋体" w:cs="宋体"/>
                <w:color w:val="auto"/>
                <w:highlight w:val="none"/>
                <w:lang w:val="en-US" w:eastAsia="zh-CN"/>
              </w:rPr>
              <w:t>当年</w:t>
            </w:r>
            <w:r>
              <w:rPr>
                <w:rFonts w:hint="eastAsia" w:ascii="宋体" w:hAnsi="宋体" w:cs="宋体"/>
                <w:color w:val="auto"/>
                <w:highlight w:val="none"/>
              </w:rPr>
              <w:t>的</w:t>
            </w:r>
            <w:r>
              <w:rPr>
                <w:rFonts w:hint="eastAsia" w:ascii="宋体" w:hAnsi="宋体" w:cs="宋体"/>
                <w:color w:val="auto"/>
                <w:highlight w:val="none"/>
                <w:lang w:val="en-US" w:eastAsia="zh-CN"/>
              </w:rPr>
              <w:t>测评服务费（不计利息）</w:t>
            </w:r>
            <w:r>
              <w:rPr>
                <w:rFonts w:hint="eastAsia" w:ascii="宋体" w:hAnsi="宋体" w:cs="宋体"/>
                <w:color w:val="auto"/>
                <w:highlight w:val="none"/>
              </w:rPr>
              <w:t>。</w:t>
            </w:r>
          </w:p>
          <w:p>
            <w:pPr>
              <w:numPr>
                <w:ilvl w:val="0"/>
                <w:numId w:val="13"/>
              </w:numPr>
              <w:tabs>
                <w:tab w:val="left" w:pos="531"/>
              </w:tabs>
              <w:snapToGrid w:val="0"/>
              <w:ind w:left="0" w:firstLine="0"/>
              <w:rPr>
                <w:rFonts w:ascii="宋体" w:hAnsi="宋体" w:cs="宋体"/>
                <w:color w:val="auto"/>
                <w:highlight w:val="none"/>
              </w:rPr>
            </w:pPr>
            <w:r>
              <w:rPr>
                <w:rFonts w:hint="eastAsia" w:ascii="宋体" w:hAnsi="宋体" w:cs="宋体"/>
                <w:color w:val="auto"/>
                <w:highlight w:val="none"/>
              </w:rPr>
              <w:t>详细付款事宜以合同条款为准。</w:t>
            </w:r>
          </w:p>
          <w:p>
            <w:pPr>
              <w:pStyle w:val="14"/>
              <w:rPr>
                <w:rFonts w:hint="default" w:eastAsia="宋体"/>
                <w:color w:val="auto"/>
                <w:highlight w:val="none"/>
                <w:lang w:val="en-US" w:eastAsia="zh-CN"/>
              </w:rPr>
            </w:pPr>
            <w:r>
              <w:rPr>
                <w:rFonts w:hint="eastAsia" w:ascii="宋体" w:eastAsia="宋体" w:cs="宋体"/>
                <w:color w:val="auto"/>
                <w:highlight w:val="none"/>
                <w:lang w:eastAsia="zh-CN"/>
              </w:rPr>
              <w:t>（</w:t>
            </w:r>
            <w:r>
              <w:rPr>
                <w:rFonts w:hint="eastAsia" w:ascii="宋体" w:eastAsia="宋体" w:cs="宋体"/>
                <w:color w:val="auto"/>
                <w:highlight w:val="none"/>
                <w:lang w:val="en-US" w:eastAsia="zh-CN"/>
              </w:rPr>
              <w:t>5</w:t>
            </w:r>
            <w:r>
              <w:rPr>
                <w:rFonts w:hint="eastAsia" w:ascii="宋体" w:eastAsia="宋体" w:cs="宋体"/>
                <w:color w:val="auto"/>
                <w:highlight w:val="none"/>
                <w:lang w:eastAsia="zh-CN"/>
              </w:rPr>
              <w:t>）</w:t>
            </w:r>
            <w:r>
              <w:rPr>
                <w:rFonts w:hint="eastAsia" w:ascii="宋体" w:eastAsia="宋体" w:cs="宋体"/>
                <w:color w:val="auto"/>
                <w:highlight w:val="none"/>
                <w:lang w:val="en-US" w:eastAsia="zh-CN"/>
              </w:rPr>
              <w:t>付款时中标人需提供等额正规有效增值税专用发票。</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（二）技术</w:t>
            </w:r>
            <w:r>
              <w:rPr>
                <w:rFonts w:ascii="宋体" w:hAnsi="宋体" w:cs="宋体"/>
                <w:b/>
                <w:color w:val="auto"/>
                <w:szCs w:val="21"/>
                <w:highlight w:val="none"/>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color w:val="auto"/>
                <w:szCs w:val="21"/>
                <w:highlight w:val="none"/>
              </w:rPr>
            </w:pPr>
            <w:r>
              <w:rPr>
                <w:rFonts w:hint="eastAsia" w:ascii="宋体" w:hAnsi="宋体" w:cs="宋体"/>
                <w:b/>
                <w:color w:val="auto"/>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vMerge w:val="restart"/>
            <w:tcBorders>
              <w:top w:val="single" w:color="auto" w:sz="4" w:space="0"/>
              <w:left w:val="single" w:color="auto" w:sz="4" w:space="0"/>
              <w:right w:val="single" w:color="auto" w:sz="4" w:space="0"/>
            </w:tcBorders>
            <w:vAlign w:val="center"/>
          </w:tcPr>
          <w:p>
            <w:pPr>
              <w:pStyle w:val="28"/>
              <w:keepNext w:val="0"/>
              <w:adjustRightInd/>
              <w:spacing w:before="0" w:after="0" w:line="240" w:lineRule="auto"/>
              <w:rPr>
                <w:rFonts w:hint="eastAsia" w:ascii="宋体" w:hAnsi="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1</w:t>
            </w:r>
          </w:p>
          <w:p>
            <w:pPr>
              <w:pStyle w:val="28"/>
              <w:keepNext w:val="0"/>
              <w:adjustRightInd/>
              <w:spacing w:before="0" w:after="0" w:line="240" w:lineRule="auto"/>
              <w:rPr>
                <w:rFonts w:hint="eastAsia" w:ascii="宋体" w:hAnsi="宋体" w:eastAsia="宋体" w:cs="宋体"/>
                <w:snapToGrid/>
                <w:color w:val="auto"/>
                <w:spacing w:val="0"/>
                <w:kern w:val="2"/>
                <w:sz w:val="21"/>
                <w:szCs w:val="21"/>
                <w:highlight w:val="none"/>
                <w:lang w:val="en-US" w:eastAsia="zh-CN"/>
              </w:rPr>
            </w:pPr>
          </w:p>
        </w:tc>
        <w:tc>
          <w:tcPr>
            <w:tcW w:w="1341" w:type="dxa"/>
            <w:vMerge w:val="restart"/>
            <w:tcBorders>
              <w:top w:val="single" w:color="auto" w:sz="4" w:space="0"/>
              <w:left w:val="single" w:color="auto" w:sz="4" w:space="0"/>
              <w:right w:val="single" w:color="auto" w:sz="4" w:space="0"/>
            </w:tcBorders>
            <w:vAlign w:val="center"/>
          </w:tcPr>
          <w:p>
            <w:pPr>
              <w:jc w:val="center"/>
              <w:rPr>
                <w:rFonts w:hint="default" w:eastAsia="宋体"/>
                <w:color w:val="auto"/>
                <w:highlight w:val="none"/>
                <w:lang w:val="en-US" w:eastAsia="zh-CN"/>
              </w:rPr>
            </w:pPr>
            <w:r>
              <w:rPr>
                <w:rFonts w:hint="eastAsia"/>
                <w:color w:val="auto"/>
                <w:highlight w:val="none"/>
                <w:lang w:val="en-US" w:eastAsia="zh-CN"/>
              </w:rPr>
              <w:t>等级保护测评对象</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eastAsia"/>
                <w:color w:val="auto"/>
                <w:highlight w:val="none"/>
                <w:lang w:val="en-US" w:eastAsia="zh-CN"/>
              </w:rPr>
            </w:pPr>
            <w:r>
              <w:rPr>
                <w:rFonts w:hint="eastAsia"/>
                <w:color w:val="auto"/>
                <w:highlight w:val="none"/>
              </w:rPr>
              <w:t>深圳中国国际高新技术成果交易会官网</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宋体" w:hAnsi="宋体" w:eastAsia="宋体"/>
                <w:color w:val="auto"/>
                <w:szCs w:val="21"/>
                <w:highlight w:val="none"/>
                <w:lang w:val="en-US" w:eastAsia="zh-CN"/>
              </w:rPr>
            </w:pPr>
            <w:r>
              <w:rPr>
                <w:rFonts w:hint="eastAsia"/>
                <w:color w:val="auto"/>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vMerge w:val="continue"/>
            <w:tcBorders>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eastAsia" w:ascii="宋体" w:hAnsi="宋体" w:eastAsia="宋体" w:cs="宋体"/>
                <w:snapToGrid/>
                <w:color w:val="auto"/>
                <w:spacing w:val="0"/>
                <w:kern w:val="2"/>
                <w:sz w:val="21"/>
                <w:szCs w:val="21"/>
                <w:highlight w:val="none"/>
                <w:lang w:val="en-US" w:eastAsia="zh-CN"/>
              </w:rPr>
            </w:pPr>
          </w:p>
        </w:tc>
        <w:tc>
          <w:tcPr>
            <w:tcW w:w="1341" w:type="dxa"/>
            <w:vMerge w:val="continue"/>
            <w:tcBorders>
              <w:left w:val="single" w:color="auto" w:sz="4" w:space="0"/>
              <w:bottom w:val="single" w:color="auto" w:sz="4" w:space="0"/>
              <w:right w:val="single" w:color="auto" w:sz="4" w:space="0"/>
            </w:tcBorders>
            <w:vAlign w:val="center"/>
          </w:tcPr>
          <w:p>
            <w:pPr>
              <w:jc w:val="center"/>
              <w:rPr>
                <w:rFonts w:hint="eastAsia"/>
                <w:color w:val="auto"/>
                <w:highlight w:val="none"/>
              </w:rPr>
            </w:pP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eastAsia"/>
                <w:color w:val="auto"/>
                <w:highlight w:val="none"/>
                <w:lang w:val="en-US" w:eastAsia="zh-CN"/>
              </w:rPr>
            </w:pPr>
            <w:r>
              <w:rPr>
                <w:rFonts w:hint="eastAsia"/>
                <w:color w:val="auto"/>
                <w:highlight w:val="none"/>
              </w:rPr>
              <w:t>深圳会展中心管理有限责任公司官网</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olor w:val="auto"/>
                <w:szCs w:val="21"/>
                <w:highlight w:val="none"/>
              </w:rPr>
            </w:pPr>
            <w:r>
              <w:rPr>
                <w:rFonts w:hint="eastAsia"/>
                <w:color w:val="auto"/>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eastAsia"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auto"/>
                <w:highlight w:val="none"/>
                <w:lang w:val="en-US" w:eastAsia="zh-CN"/>
              </w:rPr>
            </w:pPr>
            <w:r>
              <w:rPr>
                <w:rFonts w:hint="eastAsia"/>
                <w:color w:val="auto"/>
                <w:highlight w:val="none"/>
                <w:lang w:val="en-US" w:eastAsia="zh-CN"/>
              </w:rPr>
              <w:t>等级保护测评等级</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default" w:eastAsia="宋体"/>
                <w:color w:val="auto"/>
                <w:highlight w:val="none"/>
                <w:lang w:val="en-US" w:eastAsia="zh-CN"/>
              </w:rPr>
            </w:pPr>
            <w:r>
              <w:rPr>
                <w:rFonts w:hint="eastAsia"/>
                <w:color w:val="auto"/>
                <w:highlight w:val="none"/>
                <w:lang w:val="en-US" w:eastAsia="zh-CN"/>
              </w:rPr>
              <w:t>二级</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olor w:val="auto"/>
                <w:szCs w:val="21"/>
                <w:highlight w:val="none"/>
              </w:rPr>
            </w:pPr>
            <w:r>
              <w:rPr>
                <w:rFonts w:hint="eastAsia"/>
                <w:color w:val="auto"/>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eastAsia"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auto"/>
                <w:highlight w:val="none"/>
                <w:lang w:val="en-US" w:eastAsia="zh-CN"/>
              </w:rPr>
            </w:pPr>
            <w:r>
              <w:rPr>
                <w:rFonts w:hint="eastAsia"/>
                <w:color w:val="auto"/>
                <w:highlight w:val="none"/>
                <w:lang w:val="en-US" w:eastAsia="zh-CN"/>
              </w:rPr>
              <w:t>等级保护测评数量</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default" w:eastAsia="宋体"/>
                <w:color w:val="auto"/>
                <w:highlight w:val="none"/>
                <w:lang w:val="en-US" w:eastAsia="zh-CN"/>
              </w:rPr>
            </w:pPr>
            <w:r>
              <w:rPr>
                <w:rFonts w:hint="eastAsia"/>
                <w:color w:val="auto"/>
                <w:highlight w:val="none"/>
                <w:lang w:val="en-US" w:eastAsia="zh-CN"/>
              </w:rPr>
              <w:t>2个</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olor w:val="auto"/>
                <w:szCs w:val="21"/>
                <w:highlight w:val="none"/>
              </w:rPr>
            </w:pPr>
            <w:r>
              <w:rPr>
                <w:rFonts w:hint="eastAsia"/>
                <w:color w:val="auto"/>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eastAsia"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highlight w:val="none"/>
                <w:lang w:val="en-US" w:eastAsia="zh-CN"/>
              </w:rPr>
            </w:pPr>
            <w:r>
              <w:rPr>
                <w:rFonts w:hint="eastAsia"/>
                <w:color w:val="auto"/>
                <w:highlight w:val="none"/>
                <w:lang w:val="en-US" w:eastAsia="zh-CN"/>
              </w:rPr>
              <w:t>等级保护测评服务数量</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default" w:eastAsia="宋体"/>
                <w:color w:val="auto"/>
                <w:highlight w:val="none"/>
                <w:lang w:val="en-US" w:eastAsia="zh-CN"/>
              </w:rPr>
            </w:pPr>
            <w:r>
              <w:rPr>
                <w:rFonts w:hint="eastAsia"/>
                <w:color w:val="auto"/>
                <w:highlight w:val="none"/>
                <w:lang w:val="en-US" w:eastAsia="zh-CN"/>
              </w:rPr>
              <w:t>2次（1次</w:t>
            </w:r>
            <w:r>
              <w:rPr>
                <w:rFonts w:hint="eastAsia" w:ascii="宋体" w:hAnsi="宋体" w:eastAsia="宋体" w:cs="宋体"/>
                <w:color w:val="auto"/>
                <w:highlight w:val="none"/>
                <w:lang w:val="en-US" w:eastAsia="zh-CN"/>
              </w:rPr>
              <w:t>·</w:t>
            </w:r>
            <w:r>
              <w:rPr>
                <w:rFonts w:hint="eastAsia"/>
                <w:color w:val="auto"/>
                <w:highlight w:val="none"/>
                <w:lang w:val="en-US" w:eastAsia="zh-CN"/>
              </w:rPr>
              <w:t>2个/年）</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color w:val="auto"/>
                <w:highlight w:val="none"/>
                <w:lang w:val="en-US" w:eastAsia="zh-CN"/>
              </w:rPr>
            </w:pPr>
            <w:r>
              <w:rPr>
                <w:rFonts w:hint="eastAsia"/>
                <w:color w:val="auto"/>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eastAsia"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highlight w:val="none"/>
                <w:lang w:val="en-US" w:eastAsia="zh-CN"/>
              </w:rPr>
            </w:pPr>
            <w:r>
              <w:rPr>
                <w:rFonts w:hint="eastAsia"/>
                <w:color w:val="auto"/>
                <w:highlight w:val="none"/>
                <w:lang w:val="en-US" w:eastAsia="zh-CN"/>
              </w:rPr>
              <w:t>等级保护测评依据</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eastAsia"/>
                <w:color w:val="auto"/>
                <w:highlight w:val="none"/>
              </w:rPr>
            </w:pPr>
            <w:r>
              <w:rPr>
                <w:rFonts w:hint="eastAsia"/>
                <w:color w:val="auto"/>
                <w:highlight w:val="none"/>
                <w:lang w:eastAsia="zh-CN"/>
              </w:rPr>
              <w:t>投标人</w:t>
            </w:r>
            <w:r>
              <w:rPr>
                <w:rFonts w:hint="eastAsia"/>
                <w:color w:val="auto"/>
                <w:highlight w:val="none"/>
                <w:lang w:val="en-US" w:eastAsia="zh-CN"/>
              </w:rPr>
              <w:t>必须严格按照国家及属地相关部门规定、</w:t>
            </w:r>
            <w:r>
              <w:rPr>
                <w:rFonts w:hint="eastAsia"/>
                <w:color w:val="auto"/>
                <w:highlight w:val="none"/>
              </w:rPr>
              <w:t>标准开展网络安全等级保护年度测评</w:t>
            </w:r>
            <w:r>
              <w:rPr>
                <w:rFonts w:hint="eastAsia"/>
                <w:color w:val="auto"/>
                <w:highlight w:val="none"/>
                <w:lang w:val="en-US" w:eastAsia="zh-CN"/>
              </w:rPr>
              <w:t>，所需参考</w:t>
            </w:r>
            <w:r>
              <w:rPr>
                <w:rFonts w:hint="eastAsia"/>
                <w:color w:val="auto"/>
                <w:highlight w:val="none"/>
              </w:rPr>
              <w:t>依据</w:t>
            </w:r>
            <w:r>
              <w:rPr>
                <w:rFonts w:hint="eastAsia"/>
                <w:color w:val="auto"/>
                <w:highlight w:val="none"/>
                <w:lang w:val="en-US" w:eastAsia="zh-CN"/>
              </w:rPr>
              <w:t>包括但不限于如下法律法规</w:t>
            </w:r>
            <w:r>
              <w:rPr>
                <w:rFonts w:hint="eastAsia"/>
                <w:color w:val="auto"/>
                <w:highlight w:val="none"/>
              </w:rPr>
              <w:t>：</w:t>
            </w:r>
          </w:p>
          <w:p>
            <w:pPr>
              <w:tabs>
                <w:tab w:val="left" w:pos="531"/>
              </w:tabs>
              <w:snapToGrid w:val="0"/>
              <w:rPr>
                <w:rFonts w:hint="eastAsia"/>
                <w:color w:val="auto"/>
                <w:highlight w:val="none"/>
                <w:lang w:val="en-US" w:eastAsia="zh-CN"/>
              </w:rPr>
            </w:pPr>
            <w:r>
              <w:rPr>
                <w:rFonts w:hint="eastAsia"/>
                <w:color w:val="auto"/>
                <w:highlight w:val="none"/>
              </w:rPr>
              <w:t>《信息安全等级保护管理办法》（公通字〔2007〕43号）、《GB/T 22239-2019 信息安全技术 网络安全等级保护基本要求》、《GB/T 28448-2019 信息安全技术 网络安全等级保护测评要求》、《GB/T 28449-2018 信息安全技术 网络安全等级保护测评过程指南》、《GB/T25070-2019 信息安全技术 网络安全等级保护安全设计技术要求》。</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color w:val="auto"/>
                <w:highlight w:val="none"/>
                <w:lang w:val="en-US" w:eastAsia="zh-CN"/>
              </w:rPr>
            </w:pPr>
            <w:r>
              <w:rPr>
                <w:rFonts w:hint="eastAsia"/>
                <w:color w:val="auto"/>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eastAsia"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highlight w:val="none"/>
                <w:lang w:val="en-US" w:eastAsia="zh-CN"/>
              </w:rPr>
            </w:pPr>
            <w:r>
              <w:rPr>
                <w:rFonts w:hint="eastAsia"/>
                <w:color w:val="auto"/>
                <w:highlight w:val="none"/>
                <w:lang w:val="en-US" w:eastAsia="zh-CN"/>
              </w:rPr>
              <w:t>等级保护测评主要内容</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eastAsia"/>
                <w:color w:val="auto"/>
                <w:highlight w:val="none"/>
              </w:rPr>
            </w:pPr>
            <w:r>
              <w:rPr>
                <w:rFonts w:hint="eastAsia"/>
                <w:color w:val="auto"/>
                <w:highlight w:val="none"/>
              </w:rPr>
              <w:t>等级保护测评主要内容包括安全技术和安全管理两大类，其中技术层面应包括安全物理环境、安全通信网络、安全区域边界、安全计算环境、安全管理中心方面的测评，管理层面应包括安全管理机构、安全人员管理、安全管理制度、安全建设管理和安全运维管理等方面的测评。</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color w:val="auto"/>
                <w:highlight w:val="none"/>
                <w:lang w:val="en-US" w:eastAsia="zh-CN"/>
              </w:rPr>
            </w:pPr>
            <w:r>
              <w:rPr>
                <w:rFonts w:hint="eastAsia"/>
                <w:color w:val="auto"/>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vMerge w:val="restart"/>
            <w:tcBorders>
              <w:top w:val="single" w:color="auto" w:sz="4" w:space="0"/>
              <w:left w:val="single" w:color="auto" w:sz="4" w:space="0"/>
              <w:right w:val="single" w:color="auto" w:sz="4" w:space="0"/>
            </w:tcBorders>
            <w:vAlign w:val="center"/>
          </w:tcPr>
          <w:p>
            <w:pPr>
              <w:pStyle w:val="28"/>
              <w:keepNext w:val="0"/>
              <w:adjustRightInd/>
              <w:spacing w:before="0" w:after="0" w:line="240" w:lineRule="auto"/>
              <w:rPr>
                <w:rFonts w:hint="default"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7</w:t>
            </w:r>
          </w:p>
        </w:tc>
        <w:tc>
          <w:tcPr>
            <w:tcW w:w="1341" w:type="dxa"/>
            <w:vMerge w:val="restart"/>
            <w:tcBorders>
              <w:top w:val="single" w:color="auto" w:sz="4" w:space="0"/>
              <w:left w:val="single" w:color="auto" w:sz="4" w:space="0"/>
              <w:right w:val="single" w:color="auto" w:sz="4" w:space="0"/>
            </w:tcBorders>
            <w:vAlign w:val="center"/>
          </w:tcPr>
          <w:p>
            <w:pPr>
              <w:jc w:val="center"/>
              <w:rPr>
                <w:rFonts w:hint="default"/>
                <w:color w:val="auto"/>
                <w:highlight w:val="none"/>
                <w:lang w:val="en-US" w:eastAsia="zh-CN"/>
              </w:rPr>
            </w:pPr>
            <w:r>
              <w:rPr>
                <w:rFonts w:hint="eastAsia"/>
                <w:color w:val="auto"/>
                <w:highlight w:val="none"/>
                <w:lang w:val="en-US" w:eastAsia="zh-CN"/>
              </w:rPr>
              <w:t>其他要求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eastAsia"/>
                <w:color w:val="auto"/>
                <w:highlight w:val="none"/>
              </w:rPr>
            </w:pPr>
            <w:r>
              <w:rPr>
                <w:rFonts w:hint="eastAsia"/>
                <w:color w:val="auto"/>
                <w:highlight w:val="none"/>
                <w:lang w:eastAsia="zh-CN"/>
              </w:rPr>
              <w:t>投标人</w:t>
            </w:r>
            <w:r>
              <w:rPr>
                <w:rFonts w:hint="eastAsia"/>
                <w:color w:val="auto"/>
                <w:highlight w:val="none"/>
              </w:rPr>
              <w:t>对</w:t>
            </w:r>
            <w:r>
              <w:rPr>
                <w:rFonts w:hint="eastAsia"/>
                <w:color w:val="auto"/>
                <w:highlight w:val="none"/>
                <w:lang w:eastAsia="zh-CN"/>
              </w:rPr>
              <w:t>招标人</w:t>
            </w:r>
            <w:r>
              <w:rPr>
                <w:rFonts w:hint="eastAsia"/>
                <w:color w:val="auto"/>
                <w:highlight w:val="none"/>
              </w:rPr>
              <w:t>网络安全等级保护年度测评服务按照等级保护二级等保标准提供测评，对不符合项提供相关指导意见，协助</w:t>
            </w:r>
            <w:r>
              <w:rPr>
                <w:rFonts w:hint="eastAsia"/>
                <w:color w:val="auto"/>
                <w:highlight w:val="none"/>
                <w:lang w:eastAsia="zh-CN"/>
              </w:rPr>
              <w:t>招标人</w:t>
            </w:r>
            <w:r>
              <w:rPr>
                <w:rFonts w:hint="eastAsia"/>
                <w:color w:val="auto"/>
                <w:highlight w:val="none"/>
              </w:rPr>
              <w:t>进行系统建设和整改。</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color w:val="auto"/>
                <w:highlight w:val="none"/>
                <w:lang w:val="en-US" w:eastAsia="zh-CN"/>
              </w:rPr>
            </w:pPr>
            <w:r>
              <w:rPr>
                <w:rFonts w:hint="eastAsia"/>
                <w:color w:val="auto"/>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vMerge w:val="continue"/>
            <w:tcBorders>
              <w:left w:val="single" w:color="auto" w:sz="4" w:space="0"/>
              <w:right w:val="single" w:color="auto" w:sz="4" w:space="0"/>
            </w:tcBorders>
            <w:vAlign w:val="center"/>
          </w:tcPr>
          <w:p>
            <w:pPr>
              <w:pStyle w:val="28"/>
              <w:keepNext w:val="0"/>
              <w:adjustRightInd/>
              <w:spacing w:before="0" w:after="0" w:line="240" w:lineRule="auto"/>
              <w:rPr>
                <w:rFonts w:hint="eastAsia" w:ascii="宋体" w:hAnsi="宋体" w:eastAsia="宋体" w:cs="宋体"/>
                <w:snapToGrid/>
                <w:color w:val="auto"/>
                <w:spacing w:val="0"/>
                <w:kern w:val="2"/>
                <w:sz w:val="21"/>
                <w:szCs w:val="21"/>
                <w:highlight w:val="none"/>
                <w:lang w:val="en-US" w:eastAsia="zh-CN"/>
              </w:rPr>
            </w:pPr>
          </w:p>
        </w:tc>
        <w:tc>
          <w:tcPr>
            <w:tcW w:w="1341" w:type="dxa"/>
            <w:vMerge w:val="continue"/>
            <w:tcBorders>
              <w:left w:val="single" w:color="auto" w:sz="4" w:space="0"/>
              <w:right w:val="single" w:color="auto" w:sz="4" w:space="0"/>
            </w:tcBorders>
            <w:vAlign w:val="center"/>
          </w:tcPr>
          <w:p>
            <w:pPr>
              <w:jc w:val="center"/>
              <w:rPr>
                <w:rFonts w:hint="eastAsia"/>
                <w:color w:val="auto"/>
                <w:highlight w:val="none"/>
                <w:lang w:val="en-US" w:eastAsia="zh-CN"/>
              </w:rPr>
            </w:pP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eastAsia"/>
                <w:color w:val="auto"/>
                <w:highlight w:val="none"/>
              </w:rPr>
            </w:pPr>
            <w:r>
              <w:rPr>
                <w:rFonts w:hint="eastAsia"/>
                <w:color w:val="auto"/>
                <w:highlight w:val="none"/>
                <w:lang w:val="en-US" w:eastAsia="zh-CN"/>
              </w:rPr>
              <w:t>指导并协助</w:t>
            </w:r>
            <w:r>
              <w:rPr>
                <w:rFonts w:hint="eastAsia"/>
                <w:color w:val="auto"/>
                <w:highlight w:val="none"/>
                <w:lang w:eastAsia="zh-CN"/>
              </w:rPr>
              <w:t>招标人</w:t>
            </w:r>
            <w:r>
              <w:rPr>
                <w:rFonts w:hint="eastAsia"/>
                <w:color w:val="auto"/>
                <w:highlight w:val="none"/>
              </w:rPr>
              <w:t>对不符合项</w:t>
            </w:r>
            <w:r>
              <w:rPr>
                <w:rFonts w:hint="eastAsia"/>
                <w:color w:val="auto"/>
                <w:highlight w:val="none"/>
                <w:lang w:val="en-US" w:eastAsia="zh-CN"/>
              </w:rPr>
              <w:t>进行</w:t>
            </w:r>
            <w:r>
              <w:rPr>
                <w:rFonts w:hint="eastAsia"/>
                <w:color w:val="auto"/>
                <w:highlight w:val="none"/>
              </w:rPr>
              <w:t>整改，直至达到取得《深圳市信息安全等级保护测评结果通知书》合格的条件为止。</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color w:val="auto"/>
                <w:highlight w:val="none"/>
                <w:lang w:val="en-US" w:eastAsia="zh-CN"/>
              </w:rPr>
            </w:pPr>
            <w:r>
              <w:rPr>
                <w:rFonts w:hint="eastAsia"/>
                <w:color w:val="auto"/>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vMerge w:val="continue"/>
            <w:tcBorders>
              <w:left w:val="single" w:color="auto" w:sz="4" w:space="0"/>
              <w:right w:val="single" w:color="auto" w:sz="4" w:space="0"/>
            </w:tcBorders>
            <w:vAlign w:val="center"/>
          </w:tcPr>
          <w:p>
            <w:pPr>
              <w:pStyle w:val="28"/>
              <w:keepNext w:val="0"/>
              <w:adjustRightInd/>
              <w:spacing w:before="0" w:after="0" w:line="240" w:lineRule="auto"/>
              <w:rPr>
                <w:rFonts w:hint="default" w:ascii="宋体" w:hAnsi="宋体" w:eastAsia="宋体" w:cs="宋体"/>
                <w:snapToGrid/>
                <w:color w:val="auto"/>
                <w:spacing w:val="0"/>
                <w:kern w:val="2"/>
                <w:sz w:val="21"/>
                <w:szCs w:val="21"/>
                <w:highlight w:val="none"/>
                <w:lang w:val="en-US" w:eastAsia="zh-CN"/>
              </w:rPr>
            </w:pPr>
          </w:p>
        </w:tc>
        <w:tc>
          <w:tcPr>
            <w:tcW w:w="1341" w:type="dxa"/>
            <w:vMerge w:val="continue"/>
            <w:tcBorders>
              <w:left w:val="single" w:color="auto" w:sz="4" w:space="0"/>
              <w:right w:val="single" w:color="auto" w:sz="4" w:space="0"/>
            </w:tcBorders>
            <w:vAlign w:val="center"/>
          </w:tcPr>
          <w:p>
            <w:pPr>
              <w:jc w:val="center"/>
              <w:rPr>
                <w:rFonts w:hint="eastAsia"/>
                <w:color w:val="auto"/>
                <w:highlight w:val="none"/>
                <w:lang w:val="en-US" w:eastAsia="zh-CN"/>
              </w:rPr>
            </w:pP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eastAsia"/>
                <w:color w:val="auto"/>
                <w:highlight w:val="none"/>
              </w:rPr>
            </w:pPr>
            <w:r>
              <w:rPr>
                <w:rFonts w:hint="eastAsia"/>
                <w:color w:val="auto"/>
                <w:highlight w:val="none"/>
                <w:lang w:eastAsia="zh-CN"/>
              </w:rPr>
              <w:t>投标人</w:t>
            </w:r>
            <w:r>
              <w:rPr>
                <w:rFonts w:hint="eastAsia"/>
                <w:color w:val="auto"/>
                <w:highlight w:val="none"/>
              </w:rPr>
              <w:t>在任何情况下都必须严格遵守职业操守和职业道德，不得向任何第三方泄露、使用或允许他人使用其所获知的</w:t>
            </w:r>
            <w:r>
              <w:rPr>
                <w:rFonts w:hint="eastAsia"/>
                <w:color w:val="auto"/>
                <w:highlight w:val="none"/>
                <w:lang w:eastAsia="zh-CN"/>
              </w:rPr>
              <w:t>招标人</w:t>
            </w:r>
            <w:r>
              <w:rPr>
                <w:rFonts w:hint="eastAsia"/>
                <w:color w:val="auto"/>
                <w:highlight w:val="none"/>
              </w:rPr>
              <w:t>的技术资料、任何可能危及</w:t>
            </w:r>
            <w:r>
              <w:rPr>
                <w:rFonts w:hint="eastAsia"/>
                <w:color w:val="auto"/>
                <w:highlight w:val="none"/>
                <w:lang w:eastAsia="zh-CN"/>
              </w:rPr>
              <w:t>招标人</w:t>
            </w:r>
            <w:r>
              <w:rPr>
                <w:rFonts w:hint="eastAsia"/>
                <w:color w:val="auto"/>
                <w:highlight w:val="none"/>
              </w:rPr>
              <w:t>网络安全的资料以及</w:t>
            </w:r>
            <w:r>
              <w:rPr>
                <w:rFonts w:hint="eastAsia"/>
                <w:color w:val="auto"/>
                <w:highlight w:val="none"/>
                <w:lang w:eastAsia="zh-CN"/>
              </w:rPr>
              <w:t>招标人</w:t>
            </w:r>
            <w:r>
              <w:rPr>
                <w:rFonts w:hint="eastAsia"/>
                <w:color w:val="auto"/>
                <w:highlight w:val="none"/>
              </w:rPr>
              <w:t>的任何非公开信息，也不能以任何方式对</w:t>
            </w:r>
            <w:r>
              <w:rPr>
                <w:rFonts w:hint="eastAsia"/>
                <w:color w:val="auto"/>
                <w:highlight w:val="none"/>
                <w:lang w:eastAsia="zh-CN"/>
              </w:rPr>
              <w:t>招标人</w:t>
            </w:r>
            <w:r>
              <w:rPr>
                <w:rFonts w:hint="eastAsia"/>
                <w:color w:val="auto"/>
                <w:highlight w:val="none"/>
              </w:rPr>
              <w:t>的系统进行破坏；否则</w:t>
            </w:r>
            <w:r>
              <w:rPr>
                <w:rFonts w:hint="eastAsia"/>
                <w:color w:val="auto"/>
                <w:highlight w:val="none"/>
                <w:lang w:eastAsia="zh-CN"/>
              </w:rPr>
              <w:t>招标人</w:t>
            </w:r>
            <w:r>
              <w:rPr>
                <w:rFonts w:hint="eastAsia"/>
                <w:color w:val="auto"/>
                <w:highlight w:val="none"/>
              </w:rPr>
              <w:t>将</w:t>
            </w:r>
            <w:r>
              <w:rPr>
                <w:rFonts w:hint="eastAsia"/>
                <w:color w:val="auto"/>
                <w:highlight w:val="none"/>
                <w:lang w:val="en-US" w:eastAsia="zh-CN"/>
              </w:rPr>
              <w:t>有权</w:t>
            </w:r>
            <w:r>
              <w:rPr>
                <w:rFonts w:hint="eastAsia"/>
                <w:color w:val="auto"/>
                <w:highlight w:val="none"/>
              </w:rPr>
              <w:t>追究</w:t>
            </w:r>
            <w:r>
              <w:rPr>
                <w:rFonts w:hint="eastAsia"/>
                <w:color w:val="auto"/>
                <w:highlight w:val="none"/>
                <w:lang w:eastAsia="zh-CN"/>
              </w:rPr>
              <w:t>投标人</w:t>
            </w:r>
            <w:r>
              <w:rPr>
                <w:rFonts w:hint="eastAsia"/>
                <w:color w:val="auto"/>
                <w:highlight w:val="none"/>
              </w:rPr>
              <w:t>的法律责任和</w:t>
            </w:r>
            <w:r>
              <w:rPr>
                <w:rFonts w:hint="eastAsia"/>
                <w:color w:val="auto"/>
                <w:highlight w:val="none"/>
                <w:lang w:val="en-US" w:eastAsia="zh-CN"/>
              </w:rPr>
              <w:t>追偿</w:t>
            </w:r>
            <w:r>
              <w:rPr>
                <w:rFonts w:hint="eastAsia"/>
                <w:color w:val="auto"/>
                <w:highlight w:val="none"/>
              </w:rPr>
              <w:t>经济损失。</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color w:val="auto"/>
                <w:highlight w:val="none"/>
                <w:lang w:val="en-US" w:eastAsia="zh-CN"/>
              </w:rPr>
            </w:pPr>
            <w:r>
              <w:rPr>
                <w:rFonts w:hint="eastAsia"/>
                <w:color w:val="auto"/>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tcBorders>
              <w:left w:val="single" w:color="auto" w:sz="4" w:space="0"/>
              <w:right w:val="single" w:color="auto" w:sz="4" w:space="0"/>
            </w:tcBorders>
            <w:vAlign w:val="center"/>
          </w:tcPr>
          <w:p>
            <w:pPr>
              <w:pStyle w:val="28"/>
              <w:keepNext w:val="0"/>
              <w:adjustRightInd/>
              <w:spacing w:before="0" w:after="0" w:line="240" w:lineRule="auto"/>
              <w:rPr>
                <w:rFonts w:hint="default" w:ascii="宋体" w:hAnsi="宋体" w:eastAsia="宋体" w:cs="宋体"/>
                <w:snapToGrid/>
                <w:color w:val="auto"/>
                <w:spacing w:val="0"/>
                <w:kern w:val="2"/>
                <w:sz w:val="21"/>
                <w:szCs w:val="21"/>
                <w:highlight w:val="none"/>
                <w:lang w:val="en-US" w:eastAsia="zh-CN"/>
              </w:rPr>
            </w:pPr>
          </w:p>
        </w:tc>
        <w:tc>
          <w:tcPr>
            <w:tcW w:w="1341" w:type="dxa"/>
            <w:vMerge w:val="continue"/>
            <w:tcBorders>
              <w:left w:val="single" w:color="auto" w:sz="4" w:space="0"/>
              <w:right w:val="single" w:color="auto" w:sz="4" w:space="0"/>
            </w:tcBorders>
            <w:vAlign w:val="center"/>
          </w:tcPr>
          <w:p>
            <w:pPr>
              <w:jc w:val="center"/>
              <w:rPr>
                <w:rFonts w:hint="eastAsia"/>
                <w:color w:val="auto"/>
                <w:highlight w:val="none"/>
                <w:lang w:val="en-US" w:eastAsia="zh-CN"/>
              </w:rPr>
            </w:pP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default" w:eastAsia="宋体"/>
                <w:color w:val="auto"/>
                <w:highlight w:val="none"/>
                <w:lang w:val="en-US" w:eastAsia="zh-CN"/>
              </w:rPr>
            </w:pPr>
            <w:r>
              <w:rPr>
                <w:rFonts w:hint="eastAsia"/>
                <w:color w:val="auto"/>
                <w:highlight w:val="none"/>
                <w:lang w:eastAsia="zh-CN"/>
              </w:rPr>
              <w:t>投标人</w:t>
            </w:r>
            <w:r>
              <w:rPr>
                <w:rFonts w:hint="eastAsia"/>
                <w:color w:val="auto"/>
                <w:highlight w:val="none"/>
                <w:lang w:val="en-US" w:eastAsia="zh-CN"/>
              </w:rPr>
              <w:t>需建立严格的保密制度，并</w:t>
            </w:r>
            <w:r>
              <w:rPr>
                <w:rFonts w:hint="eastAsia"/>
                <w:color w:val="auto"/>
                <w:highlight w:val="none"/>
              </w:rPr>
              <w:t>严格遵守保密协议，双方都有责任对对方提供的技术情报、资料数据及商业秘密保密。未经对方同意，任何一方不得以任何形式向第三方泄露本项目资料或在项目中接触到的资料，不得将其用于履行本合同之外的其他用途。。如果因为</w:t>
            </w:r>
            <w:r>
              <w:rPr>
                <w:rFonts w:hint="eastAsia"/>
                <w:color w:val="auto"/>
                <w:highlight w:val="none"/>
                <w:lang w:eastAsia="zh-CN"/>
              </w:rPr>
              <w:t>投标人</w:t>
            </w:r>
            <w:r>
              <w:rPr>
                <w:rFonts w:hint="eastAsia"/>
                <w:color w:val="auto"/>
                <w:highlight w:val="none"/>
              </w:rPr>
              <w:t>提供的专职测评人员泄密和疏忽导致的任何纠纷和责任，均由</w:t>
            </w:r>
            <w:r>
              <w:rPr>
                <w:rFonts w:hint="eastAsia"/>
                <w:color w:val="auto"/>
                <w:highlight w:val="none"/>
                <w:lang w:eastAsia="zh-CN"/>
              </w:rPr>
              <w:t>投标人</w:t>
            </w:r>
            <w:r>
              <w:rPr>
                <w:rFonts w:hint="eastAsia"/>
                <w:color w:val="auto"/>
                <w:highlight w:val="none"/>
              </w:rPr>
              <w:t>负责。本条约定的保密义务不因本合同的变更、解除、终止而受影响。</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color w:val="auto"/>
                <w:highlight w:val="none"/>
                <w:lang w:val="en-US" w:eastAsia="zh-CN"/>
              </w:rPr>
            </w:pPr>
            <w:r>
              <w:rPr>
                <w:rFonts w:hint="eastAsia"/>
                <w:color w:val="auto"/>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vMerge w:val="continue"/>
            <w:tcBorders>
              <w:left w:val="single" w:color="auto" w:sz="4" w:space="0"/>
              <w:right w:val="single" w:color="auto" w:sz="4" w:space="0"/>
            </w:tcBorders>
            <w:vAlign w:val="center"/>
          </w:tcPr>
          <w:p>
            <w:pPr>
              <w:pStyle w:val="28"/>
              <w:keepNext w:val="0"/>
              <w:adjustRightInd/>
              <w:spacing w:before="0" w:after="0" w:line="240" w:lineRule="auto"/>
              <w:rPr>
                <w:rFonts w:hint="default" w:ascii="宋体" w:hAnsi="宋体" w:eastAsia="宋体" w:cs="宋体"/>
                <w:snapToGrid/>
                <w:color w:val="auto"/>
                <w:spacing w:val="0"/>
                <w:kern w:val="2"/>
                <w:sz w:val="21"/>
                <w:szCs w:val="21"/>
                <w:highlight w:val="none"/>
                <w:lang w:val="en-US" w:eastAsia="zh-CN"/>
              </w:rPr>
            </w:pPr>
          </w:p>
        </w:tc>
        <w:tc>
          <w:tcPr>
            <w:tcW w:w="1341" w:type="dxa"/>
            <w:vMerge w:val="continue"/>
            <w:tcBorders>
              <w:left w:val="single" w:color="auto" w:sz="4" w:space="0"/>
              <w:right w:val="single" w:color="auto" w:sz="4" w:space="0"/>
            </w:tcBorders>
            <w:vAlign w:val="center"/>
          </w:tcPr>
          <w:p>
            <w:pPr>
              <w:jc w:val="center"/>
              <w:rPr>
                <w:rFonts w:hint="eastAsia"/>
                <w:color w:val="auto"/>
                <w:highlight w:val="none"/>
                <w:lang w:val="en-US" w:eastAsia="zh-CN"/>
              </w:rPr>
            </w:pP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eastAsia"/>
                <w:color w:val="auto"/>
                <w:highlight w:val="none"/>
              </w:rPr>
            </w:pPr>
            <w:r>
              <w:rPr>
                <w:rFonts w:hint="eastAsia"/>
                <w:color w:val="auto"/>
                <w:highlight w:val="none"/>
                <w:lang w:eastAsia="zh-CN"/>
              </w:rPr>
              <w:t>投标人</w:t>
            </w:r>
            <w:r>
              <w:rPr>
                <w:rFonts w:hint="eastAsia"/>
                <w:color w:val="auto"/>
                <w:highlight w:val="none"/>
              </w:rPr>
              <w:t>在</w:t>
            </w:r>
            <w:r>
              <w:rPr>
                <w:rFonts w:hint="eastAsia"/>
                <w:color w:val="auto"/>
                <w:highlight w:val="none"/>
                <w:lang w:eastAsia="zh-CN"/>
              </w:rPr>
              <w:t>招标人</w:t>
            </w:r>
            <w:r>
              <w:rPr>
                <w:rFonts w:hint="eastAsia"/>
                <w:color w:val="auto"/>
                <w:highlight w:val="none"/>
              </w:rPr>
              <w:t>的许可和配合下，将利用安全测评工具或相关技术手段，对</w:t>
            </w:r>
            <w:r>
              <w:rPr>
                <w:rFonts w:hint="eastAsia"/>
                <w:color w:val="auto"/>
                <w:highlight w:val="none"/>
                <w:lang w:eastAsia="zh-CN"/>
              </w:rPr>
              <w:t>招标人</w:t>
            </w:r>
            <w:r>
              <w:rPr>
                <w:rFonts w:hint="eastAsia"/>
                <w:color w:val="auto"/>
                <w:highlight w:val="none"/>
              </w:rPr>
              <w:t>的网络及信息系统进行安全测评。</w:t>
            </w:r>
            <w:r>
              <w:rPr>
                <w:rFonts w:hint="eastAsia"/>
                <w:color w:val="auto"/>
                <w:highlight w:val="none"/>
                <w:lang w:eastAsia="zh-CN"/>
              </w:rPr>
              <w:t>投标人</w:t>
            </w:r>
            <w:r>
              <w:rPr>
                <w:rFonts w:hint="eastAsia"/>
                <w:color w:val="auto"/>
                <w:highlight w:val="none"/>
              </w:rPr>
              <w:t>在测评前应向</w:t>
            </w:r>
            <w:r>
              <w:rPr>
                <w:rFonts w:hint="eastAsia"/>
                <w:color w:val="auto"/>
                <w:highlight w:val="none"/>
                <w:lang w:eastAsia="zh-CN"/>
              </w:rPr>
              <w:t>招标人</w:t>
            </w:r>
            <w:r>
              <w:rPr>
                <w:rFonts w:hint="eastAsia"/>
                <w:color w:val="auto"/>
                <w:highlight w:val="none"/>
              </w:rPr>
              <w:t>说明各项测评采用的工具、技术手段及对网络系统、信息系统可能带来的影响。</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color w:val="auto"/>
                <w:highlight w:val="none"/>
                <w:lang w:val="en-US" w:eastAsia="zh-CN"/>
              </w:rPr>
            </w:pPr>
            <w:r>
              <w:rPr>
                <w:rFonts w:hint="eastAsia"/>
                <w:color w:val="auto"/>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vMerge w:val="continue"/>
            <w:tcBorders>
              <w:left w:val="single" w:color="auto" w:sz="4" w:space="0"/>
              <w:right w:val="single" w:color="auto" w:sz="4" w:space="0"/>
            </w:tcBorders>
            <w:vAlign w:val="center"/>
          </w:tcPr>
          <w:p>
            <w:pPr>
              <w:pStyle w:val="28"/>
              <w:keepNext w:val="0"/>
              <w:adjustRightInd/>
              <w:spacing w:before="0" w:after="0" w:line="240" w:lineRule="auto"/>
              <w:rPr>
                <w:rFonts w:hint="default" w:ascii="宋体" w:hAnsi="宋体" w:eastAsia="宋体" w:cs="宋体"/>
                <w:snapToGrid/>
                <w:color w:val="auto"/>
                <w:spacing w:val="0"/>
                <w:kern w:val="2"/>
                <w:sz w:val="21"/>
                <w:szCs w:val="21"/>
                <w:highlight w:val="none"/>
                <w:lang w:val="en-US" w:eastAsia="zh-CN"/>
              </w:rPr>
            </w:pPr>
          </w:p>
        </w:tc>
        <w:tc>
          <w:tcPr>
            <w:tcW w:w="1341" w:type="dxa"/>
            <w:vMerge w:val="continue"/>
            <w:tcBorders>
              <w:left w:val="single" w:color="auto" w:sz="4" w:space="0"/>
              <w:right w:val="single" w:color="auto" w:sz="4" w:space="0"/>
            </w:tcBorders>
            <w:vAlign w:val="center"/>
          </w:tcPr>
          <w:p>
            <w:pPr>
              <w:jc w:val="center"/>
              <w:rPr>
                <w:rFonts w:hint="eastAsia"/>
                <w:color w:val="auto"/>
                <w:highlight w:val="none"/>
                <w:lang w:val="en-US" w:eastAsia="zh-CN"/>
              </w:rPr>
            </w:pP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eastAsia"/>
                <w:color w:val="auto"/>
                <w:highlight w:val="none"/>
              </w:rPr>
            </w:pPr>
            <w:r>
              <w:rPr>
                <w:rFonts w:hint="eastAsia"/>
                <w:color w:val="auto"/>
                <w:highlight w:val="none"/>
              </w:rPr>
              <w:t>如果在授权测试期间发生上述风险，</w:t>
            </w:r>
            <w:r>
              <w:rPr>
                <w:rFonts w:hint="eastAsia"/>
                <w:color w:val="auto"/>
                <w:highlight w:val="none"/>
                <w:lang w:eastAsia="zh-CN"/>
              </w:rPr>
              <w:t>投标人</w:t>
            </w:r>
            <w:r>
              <w:rPr>
                <w:rFonts w:hint="eastAsia"/>
                <w:color w:val="auto"/>
                <w:highlight w:val="none"/>
              </w:rPr>
              <w:t>应配合</w:t>
            </w:r>
            <w:r>
              <w:rPr>
                <w:rFonts w:hint="eastAsia"/>
                <w:color w:val="auto"/>
                <w:highlight w:val="none"/>
                <w:lang w:eastAsia="zh-CN"/>
              </w:rPr>
              <w:t>招标人</w:t>
            </w:r>
            <w:r>
              <w:rPr>
                <w:rFonts w:hint="eastAsia"/>
                <w:color w:val="auto"/>
                <w:highlight w:val="none"/>
              </w:rPr>
              <w:t>进行原因分析。如确认是现场测评导致上述风险的发生，</w:t>
            </w:r>
            <w:r>
              <w:rPr>
                <w:rFonts w:hint="eastAsia"/>
                <w:color w:val="auto"/>
                <w:highlight w:val="none"/>
                <w:lang w:eastAsia="zh-CN"/>
              </w:rPr>
              <w:t>投标人</w:t>
            </w:r>
            <w:r>
              <w:rPr>
                <w:rFonts w:hint="eastAsia"/>
                <w:color w:val="auto"/>
                <w:highlight w:val="none"/>
              </w:rPr>
              <w:t>将承担相应的法律责任并赔偿相应损失。</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color w:val="auto"/>
                <w:highlight w:val="none"/>
                <w:lang w:val="en-US" w:eastAsia="zh-CN"/>
              </w:rPr>
            </w:pPr>
            <w:r>
              <w:rPr>
                <w:rFonts w:hint="eastAsia"/>
                <w:color w:val="auto"/>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vMerge w:val="continue"/>
            <w:tcBorders>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default" w:ascii="宋体" w:hAnsi="宋体" w:eastAsia="宋体" w:cs="宋体"/>
                <w:snapToGrid/>
                <w:color w:val="auto"/>
                <w:spacing w:val="0"/>
                <w:kern w:val="2"/>
                <w:sz w:val="21"/>
                <w:szCs w:val="21"/>
                <w:highlight w:val="none"/>
                <w:lang w:val="en-US" w:eastAsia="zh-CN"/>
              </w:rPr>
            </w:pPr>
          </w:p>
        </w:tc>
        <w:tc>
          <w:tcPr>
            <w:tcW w:w="1341" w:type="dxa"/>
            <w:vMerge w:val="continue"/>
            <w:tcBorders>
              <w:left w:val="single" w:color="auto" w:sz="4" w:space="0"/>
              <w:bottom w:val="single" w:color="auto" w:sz="4" w:space="0"/>
              <w:right w:val="single" w:color="auto" w:sz="4" w:space="0"/>
            </w:tcBorders>
            <w:vAlign w:val="center"/>
          </w:tcPr>
          <w:p>
            <w:pPr>
              <w:jc w:val="center"/>
              <w:rPr>
                <w:rFonts w:hint="eastAsia"/>
                <w:color w:val="auto"/>
                <w:highlight w:val="none"/>
              </w:rPr>
            </w:pP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eastAsia"/>
                <w:lang w:val="en-US" w:eastAsia="zh-CN"/>
              </w:rPr>
            </w:pPr>
            <w:r>
              <w:rPr>
                <w:rFonts w:hint="eastAsia"/>
                <w:lang w:val="en-US" w:eastAsia="zh-CN"/>
              </w:rPr>
              <w:t>投标人完成本项目所使用的工具、软件等必须为正版或具有使用授权。投标人所提供的方案及相关资须不涉及侵权第三方权益。若因侵犯第三方合法权利（包括但不限于著作权、商标权、专利权、专有技术或商业秘密）所带来的法律责任以及造成的损失均由中标人承担，招标人不承担任何责任。若招标人因此造成损失的，由中标人承担赔偿责任。</w:t>
            </w:r>
          </w:p>
          <w:p>
            <w:pPr>
              <w:tabs>
                <w:tab w:val="left" w:pos="531"/>
              </w:tabs>
              <w:snapToGrid w:val="0"/>
              <w:rPr>
                <w:rFonts w:hint="default"/>
                <w:lang w:val="en-US" w:eastAsia="zh-CN"/>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eastAsia"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8</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合同履约要求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olor w:val="auto"/>
                <w:highlight w:val="none"/>
              </w:rPr>
            </w:pPr>
            <w:r>
              <w:rPr>
                <w:rFonts w:hint="eastAsia" w:ascii="宋体" w:hAnsi="宋体"/>
                <w:color w:val="auto"/>
                <w:highlight w:val="none"/>
              </w:rPr>
              <w:t>合同服务期限两年（1+1模式），在第一年服务期满前1个月，</w:t>
            </w:r>
            <w:r>
              <w:rPr>
                <w:rFonts w:hint="eastAsia" w:ascii="宋体" w:hAnsi="宋体"/>
                <w:color w:val="auto"/>
                <w:highlight w:val="none"/>
                <w:lang w:val="en-US" w:eastAsia="zh-CN"/>
              </w:rPr>
              <w:t>中标人向招标</w:t>
            </w:r>
            <w:r>
              <w:rPr>
                <w:rFonts w:hint="eastAsia" w:ascii="宋体" w:hAnsi="宋体"/>
                <w:color w:val="auto"/>
                <w:highlight w:val="none"/>
              </w:rPr>
              <w:t>人</w:t>
            </w:r>
            <w:r>
              <w:rPr>
                <w:rFonts w:hint="eastAsia" w:ascii="宋体" w:hAnsi="宋体"/>
                <w:color w:val="auto"/>
                <w:highlight w:val="none"/>
                <w:lang w:val="en-US" w:eastAsia="zh-CN"/>
              </w:rPr>
              <w:t>提出履约评价申请，招标人</w:t>
            </w:r>
            <w:r>
              <w:rPr>
                <w:rFonts w:hint="eastAsia" w:ascii="宋体" w:hAnsi="宋体"/>
                <w:color w:val="auto"/>
                <w:highlight w:val="none"/>
              </w:rPr>
              <w:t>根据中</w:t>
            </w:r>
            <w:r>
              <w:rPr>
                <w:rFonts w:hint="eastAsia" w:ascii="宋体" w:hAnsi="宋体"/>
                <w:color w:val="auto"/>
                <w:highlight w:val="none"/>
                <w:lang w:val="en-US" w:eastAsia="zh-CN"/>
              </w:rPr>
              <w:t>标人</w:t>
            </w:r>
            <w:r>
              <w:rPr>
                <w:rFonts w:hint="eastAsia" w:ascii="宋体" w:hAnsi="宋体"/>
                <w:color w:val="auto"/>
                <w:highlight w:val="none"/>
              </w:rPr>
              <w:t>的服务质量、各项承诺兑现情况等因素进行考核评估，如考核达到优良（即考核评分达到80分或以上），则执行第二年合同，如考核未达到优良，</w:t>
            </w:r>
            <w:r>
              <w:rPr>
                <w:rFonts w:hint="eastAsia" w:ascii="宋体" w:hAnsi="宋体"/>
                <w:color w:val="auto"/>
                <w:highlight w:val="none"/>
                <w:lang w:val="en-US" w:eastAsia="zh-CN"/>
              </w:rPr>
              <w:t>招标</w:t>
            </w:r>
            <w:r>
              <w:rPr>
                <w:rFonts w:hint="eastAsia" w:ascii="宋体" w:hAnsi="宋体"/>
                <w:color w:val="auto"/>
                <w:highlight w:val="none"/>
              </w:rPr>
              <w:t>人有权在第一年服务期满时终止合同。具体考核办法详见附件《服务机构履约评价表》。</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auto"/>
                <w:szCs w:val="21"/>
                <w:highlight w:val="none"/>
              </w:rPr>
            </w:pPr>
            <w:r>
              <w:rPr>
                <w:rFonts w:hint="eastAsia" w:ascii="宋体" w:hAnsi="宋体"/>
                <w:color w:val="auto"/>
                <w:szCs w:val="21"/>
                <w:highlight w:val="none"/>
                <w:lang w:val="en-US" w:eastAsia="zh-CN"/>
              </w:rPr>
              <w:t>不可偏离</w:t>
            </w:r>
            <w:r>
              <w:rPr>
                <w:rFonts w:hint="eastAsia" w:ascii="宋体" w:hAnsi="宋体"/>
                <w:color w:val="auto"/>
                <w:szCs w:val="21"/>
                <w:highlight w:val="none"/>
              </w:rPr>
              <w:t>×</w:t>
            </w:r>
          </w:p>
        </w:tc>
      </w:tr>
    </w:tbl>
    <w:p>
      <w:pPr>
        <w:numPr>
          <w:ilvl w:val="0"/>
          <w:numId w:val="1"/>
        </w:numPr>
        <w:jc w:val="left"/>
        <w:outlineLvl w:val="1"/>
        <w:rPr>
          <w:rFonts w:ascii="仿宋" w:hAnsi="仿宋" w:eastAsia="仿宋" w:cs="仿宋"/>
          <w:b/>
          <w:bCs/>
          <w:sz w:val="32"/>
          <w:szCs w:val="32"/>
        </w:rPr>
      </w:pPr>
      <w:bookmarkStart w:id="38" w:name="_Toc82684715"/>
      <w:bookmarkEnd w:id="38"/>
      <w:bookmarkStart w:id="39" w:name="_Toc82684600"/>
      <w:bookmarkEnd w:id="39"/>
      <w:bookmarkStart w:id="40" w:name="_Toc82591996"/>
      <w:bookmarkEnd w:id="40"/>
      <w:bookmarkStart w:id="41" w:name="_Toc82685552"/>
      <w:bookmarkEnd w:id="41"/>
      <w:bookmarkStart w:id="42" w:name="_Toc27293"/>
      <w:r>
        <w:rPr>
          <w:rFonts w:hint="eastAsia" w:ascii="宋体" w:hAnsi="宋体"/>
          <w:b/>
          <w:szCs w:val="21"/>
        </w:rPr>
        <w:t>其他项目说明资料</w:t>
      </w:r>
      <w:bookmarkEnd w:id="42"/>
    </w:p>
    <w:p>
      <w:pPr>
        <w:spacing w:line="44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服务机构履约评价表</w:t>
      </w:r>
    </w:p>
    <w:p>
      <w:pPr>
        <w:spacing w:line="560" w:lineRule="exact"/>
        <w:jc w:val="center"/>
        <w:rPr>
          <w:rFonts w:hint="eastAsia" w:ascii="黑体" w:hAnsi="黑体" w:eastAsia="黑体" w:cs="黑体"/>
          <w:spacing w:val="-6"/>
          <w:sz w:val="30"/>
          <w:szCs w:val="30"/>
        </w:rPr>
      </w:pPr>
      <w:r>
        <w:rPr>
          <w:rFonts w:hint="eastAsia" w:ascii="黑体" w:hAnsi="黑体" w:eastAsia="黑体" w:cs="黑体"/>
          <w:spacing w:val="-6"/>
          <w:sz w:val="30"/>
          <w:szCs w:val="30"/>
        </w:rPr>
        <w:t>（服务类适用）</w:t>
      </w:r>
    </w:p>
    <w:tbl>
      <w:tblPr>
        <w:tblStyle w:val="17"/>
        <w:tblW w:w="10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93"/>
        <w:gridCol w:w="708"/>
        <w:gridCol w:w="1142"/>
        <w:gridCol w:w="1976"/>
        <w:gridCol w:w="8"/>
        <w:gridCol w:w="1977"/>
        <w:gridCol w:w="1560"/>
        <w:gridCol w:w="42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0910"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555" w:type="dxa"/>
            <w:gridSpan w:val="2"/>
            <w:tcBorders>
              <w:tl2br w:val="nil"/>
              <w:tr2bl w:val="nil"/>
            </w:tcBorders>
            <w:vAlign w:val="center"/>
          </w:tcPr>
          <w:p>
            <w:pPr>
              <w:jc w:val="center"/>
              <w:rPr>
                <w:rFonts w:hint="eastAsia" w:ascii="宋体" w:hAnsi="宋体"/>
                <w:szCs w:val="21"/>
              </w:rPr>
            </w:pPr>
            <w:r>
              <w:rPr>
                <w:rFonts w:ascii="宋体" w:hAnsi="宋体"/>
                <w:szCs w:val="21"/>
              </w:rPr>
              <w:t>合同名称</w:t>
            </w:r>
          </w:p>
        </w:tc>
        <w:tc>
          <w:tcPr>
            <w:tcW w:w="3826" w:type="dxa"/>
            <w:gridSpan w:val="3"/>
            <w:tcBorders>
              <w:tl2br w:val="nil"/>
              <w:tr2bl w:val="nil"/>
            </w:tcBorders>
            <w:vAlign w:val="center"/>
          </w:tcPr>
          <w:p>
            <w:pPr>
              <w:rPr>
                <w:rFonts w:ascii="黑体" w:hAnsi="宋体" w:eastAsia="黑体" w:cs="宋体"/>
                <w:sz w:val="24"/>
              </w:rPr>
            </w:pPr>
          </w:p>
        </w:tc>
        <w:tc>
          <w:tcPr>
            <w:tcW w:w="1985" w:type="dxa"/>
            <w:gridSpan w:val="2"/>
            <w:tcBorders>
              <w:tl2br w:val="nil"/>
              <w:tr2bl w:val="nil"/>
            </w:tcBorders>
            <w:vAlign w:val="center"/>
          </w:tcPr>
          <w:p>
            <w:pPr>
              <w:jc w:val="center"/>
              <w:rPr>
                <w:rFonts w:hint="eastAsia" w:ascii="宋体" w:hAnsi="宋体"/>
                <w:szCs w:val="21"/>
              </w:rPr>
            </w:pPr>
            <w:r>
              <w:rPr>
                <w:rFonts w:hint="eastAsia" w:ascii="宋体" w:hAnsi="宋体"/>
                <w:szCs w:val="21"/>
              </w:rPr>
              <w:t>合同签订时间</w:t>
            </w:r>
          </w:p>
        </w:tc>
        <w:tc>
          <w:tcPr>
            <w:tcW w:w="3544" w:type="dxa"/>
            <w:gridSpan w:val="3"/>
            <w:tcBorders>
              <w:tl2br w:val="nil"/>
              <w:tr2bl w:val="nil"/>
            </w:tcBorders>
            <w:vAlign w:val="center"/>
          </w:tcPr>
          <w:p>
            <w:pPr>
              <w:rPr>
                <w:rFonts w:ascii="黑体" w:hAnsi="宋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jc w:val="center"/>
              <w:rPr>
                <w:rFonts w:hint="eastAsia" w:ascii="宋体" w:hAnsi="宋体"/>
                <w:szCs w:val="21"/>
              </w:rPr>
            </w:pPr>
            <w:r>
              <w:rPr>
                <w:rFonts w:hint="eastAsia" w:ascii="宋体" w:hAnsi="宋体"/>
                <w:szCs w:val="21"/>
              </w:rPr>
              <w:t>合同金额</w:t>
            </w:r>
          </w:p>
        </w:tc>
        <w:tc>
          <w:tcPr>
            <w:tcW w:w="3826" w:type="dxa"/>
            <w:gridSpan w:val="3"/>
            <w:tcBorders>
              <w:tl2br w:val="nil"/>
              <w:tr2bl w:val="nil"/>
            </w:tcBorders>
            <w:vAlign w:val="center"/>
          </w:tcPr>
          <w:p>
            <w:pPr>
              <w:rPr>
                <w:rFonts w:ascii="黑体" w:hAnsi="宋体" w:eastAsia="黑体" w:cs="宋体"/>
                <w:sz w:val="24"/>
              </w:rPr>
            </w:pPr>
            <w:r>
              <w:rPr>
                <w:rFonts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tc>
        <w:tc>
          <w:tcPr>
            <w:tcW w:w="1985" w:type="dxa"/>
            <w:gridSpan w:val="2"/>
            <w:tcBorders>
              <w:tl2br w:val="nil"/>
              <w:tr2bl w:val="nil"/>
            </w:tcBorders>
            <w:vAlign w:val="center"/>
          </w:tcPr>
          <w:p>
            <w:pPr>
              <w:jc w:val="center"/>
              <w:rPr>
                <w:rFonts w:hint="eastAsia" w:ascii="宋体" w:hAnsi="宋体"/>
                <w:szCs w:val="21"/>
              </w:rPr>
            </w:pPr>
            <w:r>
              <w:rPr>
                <w:rFonts w:hint="eastAsia" w:ascii="宋体" w:hAnsi="宋体"/>
                <w:szCs w:val="21"/>
              </w:rPr>
              <w:t>结算金额</w:t>
            </w:r>
          </w:p>
        </w:tc>
        <w:tc>
          <w:tcPr>
            <w:tcW w:w="3544" w:type="dxa"/>
            <w:gridSpan w:val="3"/>
            <w:tcBorders>
              <w:tl2br w:val="nil"/>
              <w:tr2bl w:val="nil"/>
            </w:tcBorders>
            <w:vAlign w:val="center"/>
          </w:tcPr>
          <w:p>
            <w:pPr>
              <w:rPr>
                <w:rFonts w:ascii="黑体" w:hAnsi="宋体" w:eastAsia="黑体" w:cs="宋体"/>
                <w:sz w:val="24"/>
              </w:rPr>
            </w:pPr>
            <w:r>
              <w:rPr>
                <w:rFonts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jc w:val="center"/>
              <w:rPr>
                <w:rFonts w:hint="eastAsia" w:ascii="宋体" w:hAnsi="宋体"/>
                <w:szCs w:val="21"/>
              </w:rPr>
            </w:pPr>
            <w:r>
              <w:rPr>
                <w:rFonts w:hint="eastAsia" w:ascii="宋体" w:hAnsi="宋体"/>
                <w:szCs w:val="21"/>
              </w:rPr>
              <w:t>合同服务期</w:t>
            </w:r>
          </w:p>
        </w:tc>
        <w:tc>
          <w:tcPr>
            <w:tcW w:w="3826" w:type="dxa"/>
            <w:gridSpan w:val="3"/>
            <w:tcBorders>
              <w:tl2br w:val="nil"/>
              <w:tr2bl w:val="nil"/>
            </w:tcBorders>
            <w:vAlign w:val="center"/>
          </w:tcPr>
          <w:p>
            <w:pPr>
              <w:rPr>
                <w:rFonts w:ascii="黑体" w:hAnsi="宋体" w:eastAsia="黑体" w:cs="宋体"/>
                <w:sz w:val="24"/>
              </w:rPr>
            </w:pP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日历</w:t>
            </w:r>
            <w:r>
              <w:rPr>
                <w:rFonts w:ascii="宋体" w:hAnsi="宋体"/>
                <w:szCs w:val="21"/>
              </w:rPr>
              <w:t>日</w:t>
            </w:r>
          </w:p>
        </w:tc>
        <w:tc>
          <w:tcPr>
            <w:tcW w:w="1985" w:type="dxa"/>
            <w:gridSpan w:val="2"/>
            <w:tcBorders>
              <w:tl2br w:val="nil"/>
              <w:tr2bl w:val="nil"/>
            </w:tcBorders>
            <w:vAlign w:val="center"/>
          </w:tcPr>
          <w:p>
            <w:pPr>
              <w:jc w:val="center"/>
              <w:rPr>
                <w:rFonts w:hint="eastAsia" w:ascii="宋体" w:hAnsi="宋体"/>
                <w:szCs w:val="21"/>
              </w:rPr>
            </w:pPr>
            <w:r>
              <w:rPr>
                <w:rFonts w:hint="eastAsia" w:ascii="宋体" w:hAnsi="宋体"/>
                <w:szCs w:val="21"/>
              </w:rPr>
              <w:t>验收时间</w:t>
            </w:r>
          </w:p>
        </w:tc>
        <w:tc>
          <w:tcPr>
            <w:tcW w:w="3544" w:type="dxa"/>
            <w:gridSpan w:val="3"/>
            <w:tcBorders>
              <w:tl2br w:val="nil"/>
              <w:tr2bl w:val="nil"/>
            </w:tcBorders>
            <w:vAlign w:val="center"/>
          </w:tcPr>
          <w:p>
            <w:pPr>
              <w:rPr>
                <w:rFonts w:ascii="黑体" w:hAnsi="宋体" w:eastAsia="黑体" w:cs="宋体"/>
                <w:sz w:val="24"/>
              </w:rPr>
            </w:pPr>
            <w:r>
              <w:rPr>
                <w:rFonts w:hint="eastAsia" w:ascii="宋体" w:hAnsi="宋体"/>
                <w:szCs w:val="21"/>
              </w:rPr>
              <w:t>_____年____月___日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55" w:type="dxa"/>
            <w:gridSpan w:val="2"/>
            <w:tcBorders>
              <w:tl2br w:val="nil"/>
              <w:tr2bl w:val="nil"/>
            </w:tcBorders>
            <w:vAlign w:val="center"/>
          </w:tcPr>
          <w:p>
            <w:pPr>
              <w:spacing w:line="240" w:lineRule="atLeast"/>
              <w:jc w:val="center"/>
              <w:rPr>
                <w:rFonts w:ascii="宋体" w:hAnsi="宋体"/>
                <w:szCs w:val="21"/>
              </w:rPr>
            </w:pPr>
            <w:r>
              <w:rPr>
                <w:rFonts w:hint="eastAsia" w:ascii="宋体" w:hAnsi="宋体"/>
                <w:szCs w:val="21"/>
              </w:rPr>
              <w:t>合同范围</w:t>
            </w:r>
          </w:p>
          <w:p>
            <w:pPr>
              <w:spacing w:line="240" w:lineRule="atLeast"/>
              <w:jc w:val="center"/>
              <w:rPr>
                <w:rFonts w:ascii="黑体" w:hAnsi="宋体" w:eastAsia="黑体" w:cs="宋体"/>
                <w:sz w:val="24"/>
              </w:rPr>
            </w:pPr>
            <w:r>
              <w:rPr>
                <w:rFonts w:hint="eastAsia" w:ascii="宋体" w:hAnsi="宋体"/>
                <w:szCs w:val="21"/>
              </w:rPr>
              <w:t>及内容概要</w:t>
            </w:r>
          </w:p>
        </w:tc>
        <w:tc>
          <w:tcPr>
            <w:tcW w:w="9355" w:type="dxa"/>
            <w:gridSpan w:val="8"/>
            <w:tcBorders>
              <w:tl2br w:val="nil"/>
              <w:tr2bl w:val="nil"/>
            </w:tcBorders>
            <w:vAlign w:val="center"/>
          </w:tcPr>
          <w:p>
            <w:pPr>
              <w:rPr>
                <w:rFonts w:ascii="黑体" w:hAnsi="宋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spacing w:line="240" w:lineRule="atLeast"/>
              <w:jc w:val="center"/>
              <w:rPr>
                <w:rFonts w:ascii="宋体" w:hAnsi="宋体"/>
                <w:szCs w:val="21"/>
              </w:rPr>
            </w:pPr>
            <w:r>
              <w:rPr>
                <w:rFonts w:hint="eastAsia" w:ascii="宋体" w:hAnsi="宋体"/>
                <w:szCs w:val="21"/>
              </w:rPr>
              <w:t>供应商名称</w:t>
            </w:r>
          </w:p>
        </w:tc>
        <w:tc>
          <w:tcPr>
            <w:tcW w:w="3826" w:type="dxa"/>
            <w:gridSpan w:val="3"/>
            <w:tcBorders>
              <w:tl2br w:val="nil"/>
              <w:tr2bl w:val="nil"/>
            </w:tcBorders>
            <w:vAlign w:val="center"/>
          </w:tcPr>
          <w:p>
            <w:pPr>
              <w:rPr>
                <w:rFonts w:ascii="黑体" w:hAnsi="宋体" w:eastAsia="黑体" w:cs="宋体"/>
                <w:sz w:val="24"/>
              </w:rPr>
            </w:pPr>
          </w:p>
        </w:tc>
        <w:tc>
          <w:tcPr>
            <w:tcW w:w="1985" w:type="dxa"/>
            <w:gridSpan w:val="2"/>
            <w:tcBorders>
              <w:tl2br w:val="nil"/>
              <w:tr2bl w:val="nil"/>
            </w:tcBorders>
            <w:vAlign w:val="center"/>
          </w:tcPr>
          <w:p>
            <w:pPr>
              <w:jc w:val="center"/>
              <w:rPr>
                <w:rFonts w:ascii="黑体" w:hAnsi="宋体" w:eastAsia="黑体" w:cs="宋体"/>
                <w:sz w:val="24"/>
              </w:rPr>
            </w:pPr>
            <w:r>
              <w:rPr>
                <w:rFonts w:hint="eastAsia" w:ascii="宋体" w:hAnsi="宋体"/>
                <w:szCs w:val="21"/>
              </w:rPr>
              <w:t>供应商项目组成员</w:t>
            </w:r>
          </w:p>
        </w:tc>
        <w:tc>
          <w:tcPr>
            <w:tcW w:w="3544" w:type="dxa"/>
            <w:gridSpan w:val="3"/>
            <w:tcBorders>
              <w:tl2br w:val="nil"/>
              <w:tr2bl w:val="nil"/>
            </w:tcBorders>
            <w:vAlign w:val="center"/>
          </w:tcPr>
          <w:p>
            <w:pPr>
              <w:rPr>
                <w:rFonts w:ascii="黑体" w:hAnsi="宋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spacing w:line="240" w:lineRule="atLeast"/>
              <w:jc w:val="center"/>
              <w:rPr>
                <w:rFonts w:hint="eastAsia" w:asciiTheme="minorEastAsia" w:hAnsiTheme="minorEastAsia"/>
                <w:szCs w:val="21"/>
              </w:rPr>
            </w:pPr>
            <w:r>
              <w:rPr>
                <w:rFonts w:hint="eastAsia" w:cs="仿宋_GB2312" w:asciiTheme="minorEastAsia" w:hAnsiTheme="minorEastAsia"/>
                <w:szCs w:val="21"/>
              </w:rPr>
              <w:t>履约评价单位</w:t>
            </w:r>
          </w:p>
        </w:tc>
        <w:tc>
          <w:tcPr>
            <w:tcW w:w="3826" w:type="dxa"/>
            <w:gridSpan w:val="3"/>
            <w:tcBorders>
              <w:tl2br w:val="nil"/>
              <w:tr2bl w:val="nil"/>
            </w:tcBorders>
            <w:vAlign w:val="center"/>
          </w:tcPr>
          <w:p>
            <w:pPr>
              <w:rPr>
                <w:rFonts w:cs="宋体" w:asciiTheme="minorEastAsia" w:hAnsiTheme="minorEastAsia"/>
                <w:szCs w:val="21"/>
              </w:rPr>
            </w:pPr>
          </w:p>
        </w:tc>
        <w:tc>
          <w:tcPr>
            <w:tcW w:w="1985" w:type="dxa"/>
            <w:gridSpan w:val="2"/>
            <w:tcBorders>
              <w:tl2br w:val="nil"/>
              <w:tr2bl w:val="nil"/>
            </w:tcBorders>
            <w:vAlign w:val="center"/>
          </w:tcPr>
          <w:p>
            <w:pPr>
              <w:jc w:val="center"/>
              <w:rPr>
                <w:rFonts w:cs="宋体" w:asciiTheme="minorEastAsia" w:hAnsiTheme="minorEastAsia"/>
                <w:szCs w:val="21"/>
              </w:rPr>
            </w:pPr>
            <w:r>
              <w:rPr>
                <w:rFonts w:hint="eastAsia" w:cs="仿宋_GB2312" w:asciiTheme="minorEastAsia" w:hAnsiTheme="minorEastAsia"/>
                <w:szCs w:val="21"/>
              </w:rPr>
              <w:t>评价小组成员</w:t>
            </w:r>
          </w:p>
        </w:tc>
        <w:tc>
          <w:tcPr>
            <w:tcW w:w="3544" w:type="dxa"/>
            <w:gridSpan w:val="3"/>
            <w:tcBorders>
              <w:tl2br w:val="nil"/>
              <w:tr2bl w:val="nil"/>
            </w:tcBorders>
            <w:vAlign w:val="center"/>
          </w:tcPr>
          <w:p>
            <w:pPr>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910"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2263" w:type="dxa"/>
            <w:gridSpan w:val="3"/>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评 价 指 标</w:t>
            </w:r>
          </w:p>
        </w:tc>
        <w:tc>
          <w:tcPr>
            <w:tcW w:w="6663" w:type="dxa"/>
            <w:gridSpan w:val="5"/>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评  分  内  容</w:t>
            </w:r>
          </w:p>
        </w:tc>
        <w:tc>
          <w:tcPr>
            <w:tcW w:w="425"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分值</w:t>
            </w:r>
          </w:p>
        </w:tc>
        <w:tc>
          <w:tcPr>
            <w:tcW w:w="1559"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得分</w:t>
            </w:r>
          </w:p>
          <w:p>
            <w:pPr>
              <w:spacing w:line="200" w:lineRule="exact"/>
              <w:jc w:val="center"/>
              <w:rPr>
                <w:rFonts w:ascii="宋体" w:hAnsi="宋体" w:cs="宋体"/>
                <w:szCs w:val="21"/>
              </w:rPr>
            </w:pPr>
            <w:r>
              <w:rPr>
                <w:rFonts w:hint="eastAsia" w:ascii="宋体" w:hAnsi="宋体" w:cs="宋体"/>
                <w:sz w:val="16"/>
                <w:szCs w:val="16"/>
              </w:rPr>
              <w:t>（以0.5分为得分单位，最低</w:t>
            </w:r>
            <w:r>
              <w:rPr>
                <w:rFonts w:hint="eastAsia" w:ascii="宋体" w:hAnsi="宋体" w:cs="宋体"/>
                <w:sz w:val="16"/>
                <w:szCs w:val="16"/>
                <w:lang w:val="en-US" w:eastAsia="zh-CN"/>
              </w:rPr>
              <w:t>得</w:t>
            </w:r>
            <w:r>
              <w:rPr>
                <w:rFonts w:hint="eastAsia" w:ascii="宋体" w:hAnsi="宋体" w:cs="宋体"/>
                <w:sz w:val="16"/>
                <w:szCs w:val="16"/>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562" w:type="dxa"/>
            <w:vMerge w:val="restart"/>
            <w:tcBorders>
              <w:tl2br w:val="nil"/>
              <w:tr2bl w:val="nil"/>
            </w:tcBorders>
            <w:textDirection w:val="tbRlV"/>
            <w:vAlign w:val="center"/>
          </w:tcPr>
          <w:p>
            <w:pPr>
              <w:spacing w:line="300" w:lineRule="exact"/>
              <w:ind w:firstLine="360"/>
              <w:jc w:val="center"/>
              <w:rPr>
                <w:rFonts w:ascii="黑体" w:hAnsi="宋体" w:eastAsia="黑体" w:cs="宋体"/>
                <w:sz w:val="24"/>
              </w:rPr>
            </w:pPr>
            <w:r>
              <w:rPr>
                <w:rFonts w:hint="eastAsia" w:ascii="黑体" w:hAnsi="宋体" w:eastAsia="黑体" w:cs="宋体"/>
                <w:sz w:val="24"/>
              </w:rPr>
              <w:t>服务过程（</w:t>
            </w:r>
            <w:r>
              <w:rPr>
                <w:rFonts w:ascii="黑体" w:hAnsi="宋体" w:eastAsia="黑体" w:cs="宋体"/>
                <w:sz w:val="24"/>
              </w:rPr>
              <w:t>82</w:t>
            </w:r>
            <w:r>
              <w:rPr>
                <w:rFonts w:hint="eastAsia" w:ascii="黑体" w:hAnsi="宋体" w:eastAsia="黑体" w:cs="宋体"/>
                <w:sz w:val="24"/>
              </w:rPr>
              <w:t>分）</w:t>
            </w:r>
          </w:p>
        </w:tc>
        <w:tc>
          <w:tcPr>
            <w:tcW w:w="993" w:type="dxa"/>
            <w:vMerge w:val="restart"/>
            <w:tcBorders>
              <w:tl2br w:val="nil"/>
              <w:tr2bl w:val="nil"/>
            </w:tcBorders>
            <w:vAlign w:val="center"/>
          </w:tcPr>
          <w:p>
            <w:pPr>
              <w:spacing w:line="300" w:lineRule="exact"/>
              <w:jc w:val="center"/>
              <w:rPr>
                <w:rFonts w:ascii="宋体" w:hAnsi="宋体" w:eastAsia="宋体" w:cs="宋体"/>
                <w:sz w:val="20"/>
              </w:rPr>
            </w:pPr>
            <w:r>
              <w:rPr>
                <w:rFonts w:hint="eastAsia" w:ascii="宋体" w:hAnsi="宋体" w:eastAsia="宋体" w:cs="宋体"/>
                <w:szCs w:val="21"/>
              </w:rPr>
              <w:t>工作能力</w:t>
            </w:r>
          </w:p>
        </w:tc>
        <w:tc>
          <w:tcPr>
            <w:tcW w:w="708" w:type="dxa"/>
            <w:vMerge w:val="restart"/>
            <w:tcBorders>
              <w:tl2br w:val="nil"/>
              <w:tr2bl w:val="nil"/>
            </w:tcBorders>
            <w:vAlign w:val="center"/>
          </w:tcPr>
          <w:p>
            <w:pPr>
              <w:spacing w:line="300" w:lineRule="exact"/>
              <w:jc w:val="center"/>
              <w:rPr>
                <w:rFonts w:ascii="宋体" w:hAnsi="宋体" w:eastAsia="宋体" w:cs="宋体"/>
                <w:szCs w:val="21"/>
              </w:rPr>
            </w:pPr>
            <w:r>
              <w:rPr>
                <w:rFonts w:hint="eastAsia" w:ascii="宋体" w:hAnsi="宋体" w:eastAsia="宋体" w:cs="宋体"/>
                <w:szCs w:val="21"/>
              </w:rPr>
              <w:t>工作效率</w:t>
            </w:r>
          </w:p>
        </w:tc>
        <w:tc>
          <w:tcPr>
            <w:tcW w:w="6663" w:type="dxa"/>
            <w:gridSpan w:val="5"/>
            <w:tcBorders>
              <w:tl2br w:val="nil"/>
              <w:tr2bl w:val="nil"/>
            </w:tcBorders>
            <w:vAlign w:val="center"/>
          </w:tcPr>
          <w:p>
            <w:pPr>
              <w:pStyle w:val="25"/>
              <w:numPr>
                <w:ilvl w:val="0"/>
                <w:numId w:val="14"/>
              </w:numPr>
              <w:spacing w:line="260" w:lineRule="exact"/>
              <w:ind w:left="0" w:firstLine="0" w:firstLineChars="0"/>
              <w:rPr>
                <w:rFonts w:ascii="宋体" w:hAnsi="宋体" w:cs="宋体"/>
                <w:szCs w:val="21"/>
              </w:rPr>
            </w:pPr>
            <w:r>
              <w:rPr>
                <w:rFonts w:hint="eastAsia" w:ascii="宋体" w:hAnsi="宋体" w:cs="宋体"/>
                <w:szCs w:val="21"/>
              </w:rPr>
              <w:t>是否按时完成各项工作任务</w:t>
            </w:r>
          </w:p>
        </w:tc>
        <w:tc>
          <w:tcPr>
            <w:tcW w:w="425" w:type="dxa"/>
            <w:tcBorders>
              <w:tl2br w:val="nil"/>
              <w:tr2bl w:val="nil"/>
            </w:tcBorders>
            <w:vAlign w:val="center"/>
          </w:tcPr>
          <w:p>
            <w:pPr>
              <w:spacing w:line="300" w:lineRule="exact"/>
              <w:jc w:val="center"/>
              <w:rPr>
                <w:rFonts w:ascii="宋体" w:hAnsi="宋体" w:cs="宋体"/>
                <w:szCs w:val="21"/>
              </w:rPr>
            </w:pPr>
            <w:r>
              <w:rPr>
                <w:rFonts w:ascii="宋体" w:hAnsi="宋体" w:cs="宋体"/>
                <w:szCs w:val="21"/>
              </w:rPr>
              <w:t>4</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1"/>
                <w:szCs w:val="21"/>
              </w:rPr>
            </w:pPr>
          </w:p>
        </w:tc>
        <w:tc>
          <w:tcPr>
            <w:tcW w:w="6663" w:type="dxa"/>
            <w:gridSpan w:val="5"/>
            <w:tcBorders>
              <w:tl2br w:val="nil"/>
              <w:tr2bl w:val="nil"/>
            </w:tcBorders>
            <w:vAlign w:val="center"/>
          </w:tcPr>
          <w:p>
            <w:pPr>
              <w:pStyle w:val="25"/>
              <w:numPr>
                <w:ilvl w:val="0"/>
                <w:numId w:val="14"/>
              </w:numPr>
              <w:spacing w:line="260" w:lineRule="exact"/>
              <w:ind w:left="0" w:firstLine="0" w:firstLineChars="0"/>
              <w:rPr>
                <w:rFonts w:ascii="宋体" w:hAnsi="宋体" w:cs="宋体"/>
                <w:szCs w:val="21"/>
              </w:rPr>
            </w:pPr>
            <w:r>
              <w:rPr>
                <w:rFonts w:hint="eastAsia" w:ascii="宋体" w:hAnsi="宋体" w:cs="宋体"/>
                <w:szCs w:val="21"/>
              </w:rPr>
              <w:t>能否按照计划进度开展工作</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4</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胜任能力</w:t>
            </w:r>
          </w:p>
        </w:tc>
        <w:tc>
          <w:tcPr>
            <w:tcW w:w="6663" w:type="dxa"/>
            <w:gridSpan w:val="5"/>
            <w:tcBorders>
              <w:tl2br w:val="nil"/>
              <w:tr2bl w:val="nil"/>
            </w:tcBorders>
            <w:vAlign w:val="center"/>
          </w:tcPr>
          <w:p>
            <w:pPr>
              <w:pStyle w:val="25"/>
              <w:numPr>
                <w:ilvl w:val="0"/>
                <w:numId w:val="14"/>
              </w:numPr>
              <w:spacing w:line="260" w:lineRule="exact"/>
              <w:ind w:left="0" w:firstLine="0" w:firstLineChars="0"/>
              <w:rPr>
                <w:rFonts w:ascii="宋体" w:hAnsi="宋体" w:cs="宋体"/>
                <w:szCs w:val="21"/>
              </w:rPr>
            </w:pPr>
            <w:r>
              <w:rPr>
                <w:rFonts w:hint="eastAsia" w:ascii="宋体" w:hAnsi="宋体" w:cs="宋体"/>
                <w:szCs w:val="21"/>
              </w:rPr>
              <w:t>现场工作期间，工作人数、人员资质等是否达到委托要求</w:t>
            </w:r>
          </w:p>
        </w:tc>
        <w:tc>
          <w:tcPr>
            <w:tcW w:w="425" w:type="dxa"/>
            <w:tcBorders>
              <w:tl2br w:val="nil"/>
              <w:tr2bl w:val="nil"/>
            </w:tcBorders>
            <w:vAlign w:val="center"/>
          </w:tcPr>
          <w:p>
            <w:pPr>
              <w:jc w:val="center"/>
              <w:rPr>
                <w:rFonts w:ascii="宋体" w:hAnsi="宋体" w:cs="宋体"/>
                <w:szCs w:val="21"/>
              </w:rPr>
            </w:pPr>
            <w:r>
              <w:rPr>
                <w:rFonts w:hint="eastAsia" w:ascii="宋体" w:hAnsi="宋体" w:cs="宋体"/>
                <w:szCs w:val="21"/>
              </w:rPr>
              <w:t>4</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0"/>
              </w:rPr>
            </w:pPr>
          </w:p>
        </w:tc>
        <w:tc>
          <w:tcPr>
            <w:tcW w:w="6663" w:type="dxa"/>
            <w:gridSpan w:val="5"/>
            <w:tcBorders>
              <w:tl2br w:val="nil"/>
              <w:tr2bl w:val="nil"/>
            </w:tcBorders>
            <w:vAlign w:val="center"/>
          </w:tcPr>
          <w:p>
            <w:pPr>
              <w:pStyle w:val="25"/>
              <w:numPr>
                <w:ilvl w:val="0"/>
                <w:numId w:val="14"/>
              </w:numPr>
              <w:spacing w:line="260" w:lineRule="exact"/>
              <w:ind w:left="0" w:firstLine="0" w:firstLineChars="0"/>
              <w:rPr>
                <w:rFonts w:ascii="宋体" w:hAnsi="宋体" w:cs="宋体"/>
                <w:szCs w:val="21"/>
              </w:rPr>
            </w:pPr>
            <w:r>
              <w:rPr>
                <w:rFonts w:hint="eastAsia" w:ascii="宋体" w:hAnsi="宋体" w:cs="宋体"/>
                <w:szCs w:val="21"/>
              </w:rPr>
              <w:t>每位工作人员是否具备与项目相匹配的专业知识或服务能力</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4</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0"/>
              </w:rPr>
            </w:pPr>
          </w:p>
        </w:tc>
        <w:tc>
          <w:tcPr>
            <w:tcW w:w="6663" w:type="dxa"/>
            <w:gridSpan w:val="5"/>
            <w:tcBorders>
              <w:tl2br w:val="nil"/>
              <w:tr2bl w:val="nil"/>
            </w:tcBorders>
            <w:vAlign w:val="center"/>
          </w:tcPr>
          <w:p>
            <w:pPr>
              <w:pStyle w:val="25"/>
              <w:numPr>
                <w:ilvl w:val="0"/>
                <w:numId w:val="14"/>
              </w:numPr>
              <w:spacing w:line="260" w:lineRule="exact"/>
              <w:ind w:left="0" w:firstLine="0" w:firstLineChars="0"/>
              <w:rPr>
                <w:rFonts w:ascii="宋体" w:hAnsi="宋体" w:cs="宋体"/>
                <w:szCs w:val="21"/>
              </w:rPr>
            </w:pPr>
            <w:r>
              <w:rPr>
                <w:rFonts w:hint="eastAsia" w:ascii="宋体" w:hAnsi="宋体" w:cs="宋体"/>
                <w:szCs w:val="21"/>
              </w:rPr>
              <w:t>是否存在对同一事项（如差错、修改意见、疑问及需进一步了解的情况、需进一步分析的事项、服务态度、服务事项、服务要求等）进行多次</w:t>
            </w:r>
            <w:r>
              <w:rPr>
                <w:rFonts w:hint="eastAsia" w:ascii="宋体" w:hAnsi="宋体" w:cs="宋体"/>
                <w:szCs w:val="21"/>
                <w:lang w:val="en-US" w:eastAsia="zh-CN"/>
              </w:rPr>
              <w:t>整</w:t>
            </w:r>
            <w:r>
              <w:rPr>
                <w:rFonts w:hint="eastAsia" w:ascii="宋体" w:hAnsi="宋体" w:cs="宋体"/>
                <w:szCs w:val="21"/>
              </w:rPr>
              <w:t>改才能得到最终结果或改正的情况</w:t>
            </w:r>
          </w:p>
        </w:tc>
        <w:tc>
          <w:tcPr>
            <w:tcW w:w="425" w:type="dxa"/>
            <w:tcBorders>
              <w:tl2br w:val="nil"/>
              <w:tr2bl w:val="nil"/>
            </w:tcBorders>
            <w:vAlign w:val="center"/>
          </w:tcPr>
          <w:p>
            <w:pPr>
              <w:jc w:val="center"/>
              <w:rPr>
                <w:rFonts w:ascii="宋体" w:hAnsi="宋体" w:cs="宋体"/>
                <w:szCs w:val="21"/>
              </w:rPr>
            </w:pPr>
            <w:r>
              <w:rPr>
                <w:rFonts w:hint="eastAsia" w:ascii="宋体" w:hAnsi="宋体" w:cs="宋体"/>
                <w:szCs w:val="21"/>
              </w:rPr>
              <w:t>6</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配合程度</w:t>
            </w:r>
          </w:p>
        </w:tc>
        <w:tc>
          <w:tcPr>
            <w:tcW w:w="708"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沟通主动性</w:t>
            </w:r>
          </w:p>
        </w:tc>
        <w:tc>
          <w:tcPr>
            <w:tcW w:w="6663" w:type="dxa"/>
            <w:gridSpan w:val="5"/>
            <w:tcBorders>
              <w:tl2br w:val="nil"/>
              <w:tr2bl w:val="nil"/>
            </w:tcBorders>
            <w:vAlign w:val="center"/>
          </w:tcPr>
          <w:p>
            <w:pPr>
              <w:pStyle w:val="25"/>
              <w:numPr>
                <w:ilvl w:val="0"/>
                <w:numId w:val="14"/>
              </w:numPr>
              <w:spacing w:line="260" w:lineRule="exact"/>
              <w:ind w:left="0" w:firstLine="0" w:firstLineChars="0"/>
              <w:rPr>
                <w:rFonts w:ascii="宋体" w:hAnsi="宋体" w:cs="宋体"/>
                <w:szCs w:val="21"/>
              </w:rPr>
            </w:pPr>
            <w:r>
              <w:rPr>
                <w:rFonts w:hint="eastAsia" w:ascii="宋体" w:hAnsi="宋体" w:cs="宋体"/>
                <w:szCs w:val="21"/>
              </w:rPr>
              <w:t>是否及时就项目开展进度、情况进行沟通</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1"/>
                <w:szCs w:val="21"/>
              </w:rPr>
            </w:pPr>
          </w:p>
        </w:tc>
        <w:tc>
          <w:tcPr>
            <w:tcW w:w="708" w:type="dxa"/>
            <w:vMerge w:val="continue"/>
            <w:tcBorders>
              <w:tl2br w:val="nil"/>
              <w:tr2bl w:val="nil"/>
            </w:tcBorders>
            <w:vAlign w:val="center"/>
          </w:tcPr>
          <w:p>
            <w:pPr>
              <w:widowControl/>
              <w:jc w:val="left"/>
              <w:rPr>
                <w:rFonts w:ascii="宋体" w:hAnsi="宋体" w:eastAsia="宋体" w:cs="宋体"/>
                <w:sz w:val="21"/>
                <w:szCs w:val="21"/>
              </w:rPr>
            </w:pPr>
          </w:p>
        </w:tc>
        <w:tc>
          <w:tcPr>
            <w:tcW w:w="6663" w:type="dxa"/>
            <w:gridSpan w:val="5"/>
            <w:tcBorders>
              <w:tl2br w:val="nil"/>
              <w:tr2bl w:val="nil"/>
            </w:tcBorders>
            <w:vAlign w:val="center"/>
          </w:tcPr>
          <w:p>
            <w:pPr>
              <w:pStyle w:val="25"/>
              <w:numPr>
                <w:ilvl w:val="0"/>
                <w:numId w:val="14"/>
              </w:numPr>
              <w:spacing w:line="260" w:lineRule="exact"/>
              <w:ind w:left="0" w:firstLine="0" w:firstLineChars="0"/>
              <w:rPr>
                <w:rFonts w:ascii="宋体" w:hAnsi="宋体" w:cs="宋体"/>
                <w:szCs w:val="21"/>
              </w:rPr>
            </w:pPr>
            <w:r>
              <w:rPr>
                <w:rFonts w:hint="eastAsia" w:ascii="宋体" w:hAnsi="宋体" w:cs="宋体"/>
                <w:szCs w:val="21"/>
              </w:rPr>
              <w:t>对甲方提出的意见、问题等是否及时回馈，并主动提供有关解决方案等</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1"/>
                <w:szCs w:val="21"/>
              </w:rPr>
            </w:pPr>
          </w:p>
        </w:tc>
        <w:tc>
          <w:tcPr>
            <w:tcW w:w="708" w:type="dxa"/>
            <w:vMerge w:val="continue"/>
            <w:tcBorders>
              <w:tl2br w:val="nil"/>
              <w:tr2bl w:val="nil"/>
            </w:tcBorders>
            <w:vAlign w:val="center"/>
          </w:tcPr>
          <w:p>
            <w:pPr>
              <w:widowControl/>
              <w:jc w:val="left"/>
              <w:rPr>
                <w:rFonts w:ascii="宋体" w:hAnsi="宋体" w:eastAsia="宋体" w:cs="宋体"/>
                <w:sz w:val="21"/>
                <w:szCs w:val="21"/>
              </w:rPr>
            </w:pPr>
          </w:p>
        </w:tc>
        <w:tc>
          <w:tcPr>
            <w:tcW w:w="6663" w:type="dxa"/>
            <w:gridSpan w:val="5"/>
            <w:tcBorders>
              <w:tl2br w:val="nil"/>
              <w:tr2bl w:val="nil"/>
            </w:tcBorders>
            <w:vAlign w:val="center"/>
          </w:tcPr>
          <w:p>
            <w:pPr>
              <w:pStyle w:val="25"/>
              <w:numPr>
                <w:ilvl w:val="0"/>
                <w:numId w:val="14"/>
              </w:numPr>
              <w:spacing w:line="260" w:lineRule="exact"/>
              <w:ind w:left="0" w:firstLine="0" w:firstLineChars="0"/>
              <w:rPr>
                <w:rFonts w:ascii="宋体" w:hAnsi="宋体" w:cs="宋体"/>
                <w:szCs w:val="21"/>
              </w:rPr>
            </w:pPr>
            <w:r>
              <w:rPr>
                <w:rFonts w:hint="eastAsia" w:ascii="宋体" w:hAnsi="宋体" w:cs="宋体"/>
                <w:szCs w:val="21"/>
              </w:rPr>
              <w:t>在对重大事项得出结论前或在服务过程中遇到重大问题时，是否与有关方面进行了充分的沟通或提出了可行的处置议案</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1"/>
                <w:szCs w:val="21"/>
              </w:rPr>
            </w:pPr>
          </w:p>
        </w:tc>
        <w:tc>
          <w:tcPr>
            <w:tcW w:w="708"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沟通能力</w:t>
            </w:r>
          </w:p>
        </w:tc>
        <w:tc>
          <w:tcPr>
            <w:tcW w:w="6663" w:type="dxa"/>
            <w:gridSpan w:val="5"/>
            <w:tcBorders>
              <w:tl2br w:val="nil"/>
              <w:tr2bl w:val="nil"/>
            </w:tcBorders>
            <w:vAlign w:val="center"/>
          </w:tcPr>
          <w:p>
            <w:pPr>
              <w:pStyle w:val="25"/>
              <w:numPr>
                <w:ilvl w:val="0"/>
                <w:numId w:val="14"/>
              </w:numPr>
              <w:spacing w:line="260" w:lineRule="exact"/>
              <w:ind w:left="0" w:firstLine="0" w:firstLineChars="0"/>
              <w:rPr>
                <w:rFonts w:ascii="宋体" w:hAnsi="宋体" w:cs="宋体"/>
                <w:szCs w:val="21"/>
              </w:rPr>
            </w:pPr>
            <w:r>
              <w:rPr>
                <w:rFonts w:hint="eastAsia" w:ascii="宋体" w:hAnsi="宋体" w:cs="宋体"/>
                <w:szCs w:val="21"/>
              </w:rPr>
              <w:t>乙方工作人员能否准确理解甲方的意图</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6</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0"/>
              </w:rPr>
            </w:pPr>
          </w:p>
        </w:tc>
        <w:tc>
          <w:tcPr>
            <w:tcW w:w="6663" w:type="dxa"/>
            <w:gridSpan w:val="5"/>
            <w:tcBorders>
              <w:tl2br w:val="nil"/>
              <w:tr2bl w:val="nil"/>
            </w:tcBorders>
            <w:vAlign w:val="center"/>
          </w:tcPr>
          <w:p>
            <w:pPr>
              <w:pStyle w:val="25"/>
              <w:numPr>
                <w:ilvl w:val="0"/>
                <w:numId w:val="14"/>
              </w:numPr>
              <w:spacing w:line="260" w:lineRule="exact"/>
              <w:ind w:left="0" w:firstLine="0" w:firstLineChars="0"/>
              <w:rPr>
                <w:rFonts w:ascii="宋体" w:hAnsi="宋体" w:cs="宋体"/>
                <w:szCs w:val="21"/>
              </w:rPr>
            </w:pPr>
            <w:r>
              <w:rPr>
                <w:rFonts w:hint="eastAsia" w:ascii="宋体" w:hAnsi="宋体" w:cs="宋体"/>
                <w:szCs w:val="21"/>
              </w:rPr>
              <w:t>乙方工作人员表达或表述是否清晰无误，善于沟通</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职业操守</w:t>
            </w:r>
          </w:p>
        </w:tc>
        <w:tc>
          <w:tcPr>
            <w:tcW w:w="708"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工作态度</w:t>
            </w:r>
          </w:p>
        </w:tc>
        <w:tc>
          <w:tcPr>
            <w:tcW w:w="6663" w:type="dxa"/>
            <w:gridSpan w:val="5"/>
            <w:tcBorders>
              <w:tl2br w:val="nil"/>
              <w:tr2bl w:val="nil"/>
            </w:tcBorders>
            <w:vAlign w:val="center"/>
          </w:tcPr>
          <w:p>
            <w:pPr>
              <w:pStyle w:val="25"/>
              <w:numPr>
                <w:ilvl w:val="0"/>
                <w:numId w:val="14"/>
              </w:numPr>
              <w:spacing w:line="260" w:lineRule="exact"/>
              <w:ind w:left="0" w:firstLine="0" w:firstLineChars="0"/>
              <w:rPr>
                <w:rFonts w:ascii="宋体" w:hAnsi="宋体" w:cs="宋体"/>
                <w:szCs w:val="21"/>
              </w:rPr>
            </w:pPr>
            <w:r>
              <w:rPr>
                <w:rFonts w:hint="eastAsia" w:ascii="宋体" w:hAnsi="宋体" w:cs="宋体"/>
                <w:szCs w:val="21"/>
              </w:rPr>
              <w:t>乙方工作团队对事项的描述、问题的定性和数据的确定等是否合理谨慎、客观真实</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1"/>
                <w:szCs w:val="21"/>
              </w:rPr>
            </w:pPr>
          </w:p>
        </w:tc>
        <w:tc>
          <w:tcPr>
            <w:tcW w:w="708" w:type="dxa"/>
            <w:vMerge w:val="continue"/>
            <w:tcBorders>
              <w:tl2br w:val="nil"/>
              <w:tr2bl w:val="nil"/>
            </w:tcBorders>
            <w:vAlign w:val="center"/>
          </w:tcPr>
          <w:p>
            <w:pPr>
              <w:widowControl/>
              <w:jc w:val="left"/>
              <w:rPr>
                <w:rFonts w:ascii="宋体" w:hAnsi="宋体" w:eastAsia="宋体" w:cs="宋体"/>
                <w:sz w:val="21"/>
                <w:szCs w:val="21"/>
              </w:rPr>
            </w:pPr>
          </w:p>
        </w:tc>
        <w:tc>
          <w:tcPr>
            <w:tcW w:w="6663" w:type="dxa"/>
            <w:gridSpan w:val="5"/>
            <w:tcBorders>
              <w:tl2br w:val="nil"/>
              <w:tr2bl w:val="nil"/>
            </w:tcBorders>
            <w:vAlign w:val="center"/>
          </w:tcPr>
          <w:p>
            <w:pPr>
              <w:pStyle w:val="25"/>
              <w:numPr>
                <w:ilvl w:val="0"/>
                <w:numId w:val="14"/>
              </w:numPr>
              <w:spacing w:line="260" w:lineRule="exact"/>
              <w:ind w:left="0" w:firstLine="0" w:firstLineChars="0"/>
              <w:rPr>
                <w:rFonts w:ascii="宋体" w:hAnsi="宋体" w:cs="宋体"/>
                <w:szCs w:val="21"/>
              </w:rPr>
            </w:pPr>
            <w:r>
              <w:rPr>
                <w:rFonts w:hint="eastAsia" w:ascii="宋体" w:hAnsi="宋体" w:cs="宋体"/>
                <w:szCs w:val="21"/>
              </w:rPr>
              <w:t>乙方工作团队对项目的服务标准、服务要素等是否清晰明确</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1"/>
                <w:szCs w:val="21"/>
              </w:rPr>
            </w:pPr>
          </w:p>
        </w:tc>
        <w:tc>
          <w:tcPr>
            <w:tcW w:w="708" w:type="dxa"/>
            <w:vMerge w:val="restart"/>
            <w:tcBorders>
              <w:tl2br w:val="nil"/>
              <w:tr2bl w:val="nil"/>
            </w:tcBorders>
            <w:vAlign w:val="center"/>
          </w:tcPr>
          <w:p>
            <w:pPr>
              <w:widowControl/>
              <w:jc w:val="left"/>
              <w:rPr>
                <w:rFonts w:ascii="宋体" w:hAnsi="宋体" w:eastAsia="宋体" w:cs="宋体"/>
                <w:szCs w:val="21"/>
              </w:rPr>
            </w:pPr>
            <w:r>
              <w:rPr>
                <w:rFonts w:hint="eastAsia" w:ascii="宋体" w:hAnsi="宋体" w:eastAsia="宋体" w:cs="宋体"/>
                <w:szCs w:val="21"/>
              </w:rPr>
              <w:t>职业道德</w:t>
            </w:r>
          </w:p>
        </w:tc>
        <w:tc>
          <w:tcPr>
            <w:tcW w:w="6663" w:type="dxa"/>
            <w:gridSpan w:val="5"/>
            <w:tcBorders>
              <w:tl2br w:val="nil"/>
              <w:tr2bl w:val="nil"/>
            </w:tcBorders>
            <w:vAlign w:val="center"/>
          </w:tcPr>
          <w:p>
            <w:pPr>
              <w:pStyle w:val="25"/>
              <w:numPr>
                <w:ilvl w:val="0"/>
                <w:numId w:val="14"/>
              </w:numPr>
              <w:spacing w:line="260" w:lineRule="exact"/>
              <w:ind w:left="0" w:firstLine="0" w:firstLineChars="0"/>
              <w:rPr>
                <w:rFonts w:ascii="宋体" w:hAnsi="宋体" w:cs="宋体"/>
                <w:szCs w:val="21"/>
              </w:rPr>
            </w:pPr>
            <w:r>
              <w:rPr>
                <w:rFonts w:hint="eastAsia" w:ascii="宋体" w:hAnsi="宋体" w:cs="宋体"/>
                <w:szCs w:val="21"/>
              </w:rPr>
              <w:t>乙方工作人员能否对服务过程中获得的信息保密</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6</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0"/>
              </w:rPr>
            </w:pPr>
          </w:p>
        </w:tc>
        <w:tc>
          <w:tcPr>
            <w:tcW w:w="6663" w:type="dxa"/>
            <w:gridSpan w:val="5"/>
            <w:tcBorders>
              <w:tl2br w:val="nil"/>
              <w:tr2bl w:val="nil"/>
            </w:tcBorders>
            <w:vAlign w:val="center"/>
          </w:tcPr>
          <w:p>
            <w:pPr>
              <w:pStyle w:val="25"/>
              <w:numPr>
                <w:ilvl w:val="0"/>
                <w:numId w:val="14"/>
              </w:numPr>
              <w:spacing w:line="260" w:lineRule="exact"/>
              <w:ind w:left="0" w:firstLine="0" w:firstLineChars="0"/>
              <w:rPr>
                <w:rFonts w:ascii="宋体" w:hAnsi="宋体" w:cs="宋体"/>
                <w:szCs w:val="21"/>
              </w:rPr>
            </w:pPr>
            <w:r>
              <w:rPr>
                <w:rFonts w:hint="eastAsia" w:ascii="宋体" w:hAnsi="宋体" w:cs="宋体"/>
                <w:szCs w:val="21"/>
              </w:rPr>
              <w:t>乙方工作人员能否坚持独立、客观、公正的立场</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 xml:space="preserve">6 </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jc w:val="center"/>
              <w:rPr>
                <w:rFonts w:ascii="宋体" w:hAnsi="宋体" w:eastAsia="宋体" w:cs="宋体"/>
                <w:szCs w:val="21"/>
              </w:rPr>
            </w:pPr>
          </w:p>
        </w:tc>
        <w:tc>
          <w:tcPr>
            <w:tcW w:w="708" w:type="dxa"/>
            <w:vMerge w:val="continue"/>
            <w:tcBorders>
              <w:tl2br w:val="nil"/>
              <w:tr2bl w:val="nil"/>
            </w:tcBorders>
            <w:vAlign w:val="center"/>
          </w:tcPr>
          <w:p>
            <w:pPr>
              <w:jc w:val="center"/>
              <w:rPr>
                <w:rFonts w:ascii="宋体" w:hAnsi="宋体" w:eastAsia="宋体" w:cs="宋体"/>
                <w:szCs w:val="21"/>
              </w:rPr>
            </w:pPr>
          </w:p>
        </w:tc>
        <w:tc>
          <w:tcPr>
            <w:tcW w:w="6663" w:type="dxa"/>
            <w:gridSpan w:val="5"/>
            <w:tcBorders>
              <w:tl2br w:val="nil"/>
              <w:tr2bl w:val="nil"/>
            </w:tcBorders>
            <w:vAlign w:val="center"/>
          </w:tcPr>
          <w:p>
            <w:pPr>
              <w:pStyle w:val="25"/>
              <w:numPr>
                <w:ilvl w:val="0"/>
                <w:numId w:val="14"/>
              </w:numPr>
              <w:spacing w:line="260" w:lineRule="exact"/>
              <w:ind w:left="0" w:firstLine="0" w:firstLineChars="0"/>
              <w:rPr>
                <w:rFonts w:ascii="宋体" w:hAnsi="宋体" w:cs="宋体"/>
                <w:szCs w:val="21"/>
              </w:rPr>
            </w:pPr>
            <w:r>
              <w:rPr>
                <w:rFonts w:hint="eastAsia" w:ascii="宋体" w:hAnsi="宋体" w:cs="宋体"/>
                <w:szCs w:val="21"/>
              </w:rPr>
              <w:t>是否完成合同规定的具体服务内容</w:t>
            </w:r>
          </w:p>
        </w:tc>
        <w:tc>
          <w:tcPr>
            <w:tcW w:w="425"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Cs w:val="21"/>
              </w:rPr>
            </w:pPr>
          </w:p>
        </w:tc>
        <w:tc>
          <w:tcPr>
            <w:tcW w:w="708" w:type="dxa"/>
            <w:vMerge w:val="continue"/>
            <w:tcBorders>
              <w:tl2br w:val="nil"/>
              <w:tr2bl w:val="nil"/>
            </w:tcBorders>
            <w:vAlign w:val="center"/>
          </w:tcPr>
          <w:p>
            <w:pPr>
              <w:widowControl/>
              <w:jc w:val="left"/>
              <w:rPr>
                <w:rFonts w:ascii="宋体" w:hAnsi="宋体" w:eastAsia="宋体" w:cs="宋体"/>
                <w:szCs w:val="21"/>
              </w:rPr>
            </w:pPr>
          </w:p>
        </w:tc>
        <w:tc>
          <w:tcPr>
            <w:tcW w:w="6663" w:type="dxa"/>
            <w:gridSpan w:val="5"/>
            <w:tcBorders>
              <w:tl2br w:val="nil"/>
              <w:tr2bl w:val="nil"/>
            </w:tcBorders>
            <w:vAlign w:val="center"/>
          </w:tcPr>
          <w:p>
            <w:pPr>
              <w:pStyle w:val="25"/>
              <w:numPr>
                <w:ilvl w:val="0"/>
                <w:numId w:val="14"/>
              </w:numPr>
              <w:spacing w:line="260" w:lineRule="exact"/>
              <w:ind w:left="0" w:firstLine="0" w:firstLineChars="0"/>
              <w:rPr>
                <w:rFonts w:ascii="宋体" w:hAnsi="宋体" w:cs="宋体"/>
                <w:szCs w:val="21"/>
              </w:rPr>
            </w:pPr>
            <w:r>
              <w:rPr>
                <w:rFonts w:hint="eastAsia" w:ascii="宋体" w:hAnsi="宋体" w:cs="宋体"/>
                <w:color w:val="FF0000"/>
                <w:szCs w:val="21"/>
              </w:rPr>
              <w:t>是否按要求提交相关的工作成果或服务总结报告</w:t>
            </w:r>
          </w:p>
        </w:tc>
        <w:tc>
          <w:tcPr>
            <w:tcW w:w="425"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restart"/>
            <w:tcBorders>
              <w:tl2br w:val="nil"/>
              <w:tr2bl w:val="nil"/>
            </w:tcBorders>
            <w:textDirection w:val="tbRlV"/>
            <w:vAlign w:val="center"/>
          </w:tcPr>
          <w:p>
            <w:pPr>
              <w:widowControl w:val="0"/>
              <w:spacing w:line="300" w:lineRule="exact"/>
              <w:jc w:val="both"/>
              <w:rPr>
                <w:rFonts w:ascii="黑体" w:hAnsi="宋体" w:eastAsia="黑体" w:cs="宋体"/>
                <w:sz w:val="24"/>
              </w:rPr>
            </w:pPr>
            <w:r>
              <w:rPr>
                <w:rFonts w:hint="eastAsia" w:ascii="黑体" w:hAnsi="宋体" w:eastAsia="黑体" w:cs="宋体"/>
                <w:sz w:val="24"/>
              </w:rPr>
              <w:t>服务</w:t>
            </w:r>
            <w:r>
              <w:rPr>
                <w:rFonts w:hint="eastAsia" w:ascii="黑体" w:hAnsi="宋体" w:eastAsia="黑体" w:cs="宋体"/>
                <w:sz w:val="24"/>
                <w:lang w:val="en-US" w:eastAsia="zh-CN"/>
              </w:rPr>
              <w:t>细则</w:t>
            </w:r>
            <w:r>
              <w:rPr>
                <w:rFonts w:hint="eastAsia" w:ascii="黑体" w:hAnsi="宋体" w:eastAsia="黑体" w:cs="宋体"/>
                <w:sz w:val="24"/>
              </w:rPr>
              <w:t>（</w:t>
            </w:r>
            <w:r>
              <w:rPr>
                <w:rFonts w:ascii="黑体" w:hAnsi="宋体" w:eastAsia="黑体" w:cs="宋体"/>
                <w:sz w:val="24"/>
              </w:rPr>
              <w:t>18</w:t>
            </w:r>
            <w:r>
              <w:rPr>
                <w:rFonts w:hint="eastAsia" w:ascii="黑体" w:hAnsi="宋体" w:eastAsia="黑体" w:cs="宋体"/>
                <w:sz w:val="24"/>
              </w:rPr>
              <w:t>分）</w:t>
            </w:r>
          </w:p>
        </w:tc>
        <w:tc>
          <w:tcPr>
            <w:tcW w:w="993"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lang w:val="en-US" w:eastAsia="zh-CN"/>
              </w:rPr>
              <w:t>专用条款</w:t>
            </w:r>
          </w:p>
        </w:tc>
        <w:tc>
          <w:tcPr>
            <w:tcW w:w="708" w:type="dxa"/>
            <w:vMerge w:val="restart"/>
            <w:tcBorders>
              <w:tl2br w:val="nil"/>
              <w:tr2bl w:val="nil"/>
            </w:tcBorders>
            <w:vAlign w:val="center"/>
          </w:tcPr>
          <w:p>
            <w:pPr>
              <w:jc w:val="center"/>
              <w:rPr>
                <w:rFonts w:ascii="宋体" w:hAnsi="宋体" w:eastAsia="宋体" w:cs="宋体"/>
                <w:szCs w:val="21"/>
              </w:rPr>
            </w:pPr>
          </w:p>
        </w:tc>
        <w:tc>
          <w:tcPr>
            <w:tcW w:w="6663" w:type="dxa"/>
            <w:gridSpan w:val="5"/>
            <w:tcBorders>
              <w:tl2br w:val="nil"/>
              <w:tr2bl w:val="nil"/>
            </w:tcBorders>
            <w:vAlign w:val="center"/>
          </w:tcPr>
          <w:p>
            <w:pPr>
              <w:pStyle w:val="25"/>
              <w:numPr>
                <w:ilvl w:val="0"/>
                <w:numId w:val="14"/>
              </w:numPr>
              <w:spacing w:line="260" w:lineRule="exact"/>
              <w:ind w:left="0" w:firstLine="0" w:firstLineChars="0"/>
              <w:rPr>
                <w:rFonts w:ascii="宋体" w:hAnsi="宋体" w:cs="宋体"/>
                <w:szCs w:val="21"/>
              </w:rPr>
            </w:pPr>
            <w:r>
              <w:rPr>
                <w:rFonts w:hint="eastAsia" w:ascii="宋体" w:hAnsi="宋体" w:cs="宋体"/>
                <w:szCs w:val="21"/>
              </w:rPr>
              <w:t>是否发生过涉及</w:t>
            </w:r>
            <w:r>
              <w:rPr>
                <w:rFonts w:hint="eastAsia" w:ascii="宋体" w:hAnsi="宋体" w:cs="宋体"/>
                <w:szCs w:val="21"/>
                <w:lang w:val="en-US" w:eastAsia="zh-CN"/>
              </w:rPr>
              <w:t>操作不当导致</w:t>
            </w:r>
            <w:r>
              <w:rPr>
                <w:rFonts w:hint="eastAsia" w:ascii="宋体" w:hAnsi="宋体" w:cs="宋体"/>
                <w:szCs w:val="21"/>
              </w:rPr>
              <w:t>的责任事故</w:t>
            </w:r>
          </w:p>
        </w:tc>
        <w:tc>
          <w:tcPr>
            <w:tcW w:w="425" w:type="dxa"/>
            <w:tcBorders>
              <w:tl2br w:val="nil"/>
              <w:tr2bl w:val="nil"/>
            </w:tcBorders>
            <w:vAlign w:val="center"/>
          </w:tcPr>
          <w:p>
            <w:pPr>
              <w:spacing w:line="260" w:lineRule="exact"/>
              <w:jc w:val="center"/>
              <w:rPr>
                <w:rFonts w:hint="eastAsia" w:ascii="宋体" w:hAnsi="宋体" w:cs="宋体" w:eastAsiaTheme="minorEastAsia"/>
                <w:szCs w:val="21"/>
                <w:lang w:eastAsia="zh-CN"/>
              </w:rPr>
            </w:pPr>
            <w:r>
              <w:rPr>
                <w:rFonts w:hint="eastAsia" w:ascii="宋体" w:hAnsi="宋体" w:cs="宋体"/>
                <w:szCs w:val="21"/>
                <w:lang w:val="en-US" w:eastAsia="zh-CN"/>
              </w:rPr>
              <w:t>5</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gridSpan w:val="5"/>
            <w:tcBorders>
              <w:tl2br w:val="nil"/>
              <w:tr2bl w:val="nil"/>
            </w:tcBorders>
            <w:vAlign w:val="center"/>
          </w:tcPr>
          <w:p>
            <w:pPr>
              <w:pStyle w:val="25"/>
              <w:numPr>
                <w:ilvl w:val="0"/>
                <w:numId w:val="14"/>
              </w:numPr>
              <w:spacing w:line="260" w:lineRule="exact"/>
              <w:ind w:left="0" w:firstLine="0" w:firstLineChars="0"/>
              <w:rPr>
                <w:rFonts w:ascii="宋体" w:hAnsi="宋体" w:cs="宋体"/>
                <w:szCs w:val="21"/>
              </w:rPr>
            </w:pPr>
            <w:r>
              <w:rPr>
                <w:rFonts w:hint="eastAsia" w:ascii="宋体" w:hAnsi="宋体" w:cs="宋体"/>
                <w:szCs w:val="21"/>
                <w:lang w:val="en-US" w:eastAsia="zh-CN"/>
              </w:rPr>
              <w:t>不符合项的整改是否提供具体有效的整改意见和建议</w:t>
            </w:r>
          </w:p>
        </w:tc>
        <w:tc>
          <w:tcPr>
            <w:tcW w:w="425" w:type="dxa"/>
            <w:tcBorders>
              <w:tl2br w:val="nil"/>
              <w:tr2bl w:val="nil"/>
            </w:tcBorders>
            <w:vAlign w:val="center"/>
          </w:tcPr>
          <w:p>
            <w:pPr>
              <w:spacing w:line="260" w:lineRule="exact"/>
              <w:jc w:val="center"/>
              <w:rPr>
                <w:rFonts w:hint="eastAsia" w:ascii="宋体" w:hAnsi="宋体" w:cs="宋体" w:eastAsiaTheme="minorEastAsia"/>
                <w:szCs w:val="21"/>
                <w:lang w:eastAsia="zh-CN"/>
              </w:rPr>
            </w:pPr>
            <w:r>
              <w:rPr>
                <w:rFonts w:hint="eastAsia" w:ascii="宋体" w:hAnsi="宋体" w:cs="宋体"/>
                <w:szCs w:val="21"/>
                <w:lang w:val="en-US" w:eastAsia="zh-CN"/>
              </w:rPr>
              <w:t>7</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gridSpan w:val="5"/>
            <w:tcBorders>
              <w:tl2br w:val="nil"/>
              <w:tr2bl w:val="nil"/>
            </w:tcBorders>
            <w:vAlign w:val="center"/>
          </w:tcPr>
          <w:p>
            <w:pPr>
              <w:pStyle w:val="25"/>
              <w:numPr>
                <w:ilvl w:val="0"/>
                <w:numId w:val="14"/>
              </w:numPr>
              <w:spacing w:line="260" w:lineRule="exact"/>
              <w:ind w:left="0" w:firstLine="0" w:firstLineChars="0"/>
              <w:rPr>
                <w:rFonts w:ascii="宋体" w:hAnsi="宋体" w:cs="宋体"/>
                <w:szCs w:val="21"/>
              </w:rPr>
            </w:pPr>
            <w:r>
              <w:rPr>
                <w:rFonts w:hint="eastAsia" w:ascii="宋体" w:hAnsi="宋体" w:cs="宋体"/>
                <w:szCs w:val="21"/>
                <w:lang w:val="en-US" w:eastAsia="zh-CN"/>
              </w:rPr>
              <w:t>是否存在合同约定外的非法扫描、渗透等行为</w:t>
            </w:r>
          </w:p>
        </w:tc>
        <w:tc>
          <w:tcPr>
            <w:tcW w:w="425"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3" w:type="dxa"/>
            <w:gridSpan w:val="3"/>
            <w:tcBorders>
              <w:tl2br w:val="nil"/>
              <w:tr2bl w:val="nil"/>
            </w:tcBorders>
            <w:vAlign w:val="center"/>
          </w:tcPr>
          <w:p>
            <w:pPr>
              <w:widowControl/>
              <w:jc w:val="center"/>
              <w:rPr>
                <w:rFonts w:ascii="宋体" w:hAnsi="宋体" w:cs="宋体"/>
                <w:szCs w:val="21"/>
              </w:rPr>
            </w:pPr>
            <w:r>
              <w:rPr>
                <w:rFonts w:hint="eastAsia" w:ascii="宋体" w:hAnsi="宋体" w:cs="宋体"/>
                <w:b/>
                <w:bCs/>
                <w:szCs w:val="21"/>
              </w:rPr>
              <w:t>一票否决项</w:t>
            </w:r>
          </w:p>
        </w:tc>
        <w:tc>
          <w:tcPr>
            <w:tcW w:w="6663" w:type="dxa"/>
            <w:gridSpan w:val="5"/>
            <w:tcBorders>
              <w:tl2br w:val="nil"/>
              <w:tr2bl w:val="nil"/>
            </w:tcBorders>
            <w:vAlign w:val="center"/>
          </w:tcPr>
          <w:p>
            <w:pPr>
              <w:pStyle w:val="25"/>
              <w:numPr>
                <w:ilvl w:val="0"/>
                <w:numId w:val="14"/>
              </w:numPr>
              <w:spacing w:line="260" w:lineRule="exact"/>
              <w:ind w:left="0" w:firstLine="0" w:firstLineChars="0"/>
              <w:rPr>
                <w:rFonts w:ascii="宋体" w:hAnsi="宋体" w:cs="宋体"/>
                <w:szCs w:val="21"/>
              </w:rPr>
            </w:pPr>
            <w:r>
              <w:rPr>
                <w:rFonts w:hint="eastAsia" w:ascii="宋体" w:hAnsi="宋体" w:cs="宋体"/>
                <w:szCs w:val="21"/>
              </w:rPr>
              <w:t>乙方工作人员存在违反采购管理办法中明确禁止事项的行为（</w:t>
            </w:r>
            <w:r>
              <w:rPr>
                <w:rFonts w:hint="eastAsia" w:ascii="宋体" w:hAnsi="宋体" w:cs="宋体"/>
                <w:sz w:val="20"/>
              </w:rPr>
              <w:t>如有则直接评定为差</w:t>
            </w:r>
            <w:r>
              <w:rPr>
                <w:rFonts w:hint="eastAsia" w:ascii="宋体" w:hAnsi="宋体" w:cs="宋体"/>
                <w:szCs w:val="21"/>
              </w:rPr>
              <w:t>）</w:t>
            </w:r>
          </w:p>
        </w:tc>
        <w:tc>
          <w:tcPr>
            <w:tcW w:w="425" w:type="dxa"/>
            <w:tcBorders>
              <w:tl2br w:val="nil"/>
              <w:tr2bl w:val="nil"/>
            </w:tcBorders>
            <w:vAlign w:val="center"/>
          </w:tcPr>
          <w:p>
            <w:pPr>
              <w:jc w:val="center"/>
              <w:rPr>
                <w:rFonts w:ascii="宋体" w:hAnsi="宋体" w:cs="宋体"/>
                <w:color w:val="000000"/>
                <w:szCs w:val="21"/>
              </w:rPr>
            </w:pPr>
            <w:r>
              <w:rPr>
                <w:rFonts w:hint="eastAsia" w:ascii="宋体" w:hAnsi="宋体" w:cs="宋体"/>
                <w:color w:val="000000"/>
                <w:szCs w:val="21"/>
              </w:rPr>
              <w:t>是</w:t>
            </w:r>
          </w:p>
        </w:tc>
        <w:tc>
          <w:tcPr>
            <w:tcW w:w="1559" w:type="dxa"/>
            <w:tcBorders>
              <w:tl2br w:val="nil"/>
              <w:tr2bl w:val="nil"/>
            </w:tcBorders>
            <w:vAlign w:val="center"/>
          </w:tcPr>
          <w:p>
            <w:pPr>
              <w:spacing w:line="300" w:lineRule="exact"/>
              <w:ind w:firstLine="0"/>
              <w:jc w:val="center"/>
              <w:rPr>
                <w:rFonts w:ascii="宋体" w:hAnsi="宋体" w:cs="宋体"/>
                <w:sz w:val="20"/>
              </w:rPr>
            </w:pPr>
            <w:r>
              <w:rPr>
                <w:rFonts w:hint="eastAsia" w:ascii="宋体" w:hAnsi="宋体" w:cs="宋体"/>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926" w:type="dxa"/>
            <w:gridSpan w:val="8"/>
            <w:tcBorders>
              <w:tl2br w:val="nil"/>
              <w:tr2bl w:val="nil"/>
            </w:tcBorders>
            <w:vAlign w:val="center"/>
          </w:tcPr>
          <w:p>
            <w:pPr>
              <w:wordWrap w:val="0"/>
              <w:spacing w:line="260" w:lineRule="exact"/>
              <w:ind w:firstLine="360"/>
              <w:jc w:val="right"/>
              <w:rPr>
                <w:rFonts w:ascii="黑体" w:hAnsi="宋体" w:cs="宋体"/>
                <w:sz w:val="24"/>
              </w:rPr>
            </w:pPr>
            <w:r>
              <w:rPr>
                <w:rFonts w:hint="eastAsia" w:ascii="宋体" w:hAnsi="宋体" w:cs="宋体"/>
                <w:sz w:val="24"/>
              </w:rPr>
              <w:t xml:space="preserve">合计得分： </w:t>
            </w:r>
          </w:p>
        </w:tc>
        <w:tc>
          <w:tcPr>
            <w:tcW w:w="1984" w:type="dxa"/>
            <w:gridSpan w:val="2"/>
            <w:tcBorders>
              <w:tl2br w:val="nil"/>
              <w:tr2bl w:val="nil"/>
            </w:tcBorders>
            <w:vAlign w:val="center"/>
          </w:tcPr>
          <w:p>
            <w:pPr>
              <w:spacing w:line="2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55" w:type="dxa"/>
            <w:gridSpan w:val="2"/>
            <w:vMerge w:val="restart"/>
            <w:tcBorders>
              <w:tl2br w:val="nil"/>
              <w:tr2bl w:val="nil"/>
            </w:tcBorders>
            <w:vAlign w:val="center"/>
          </w:tcPr>
          <w:p>
            <w:pPr>
              <w:jc w:val="center"/>
              <w:rPr>
                <w:rFonts w:ascii="黑体" w:hAnsi="宋体" w:eastAsia="黑体" w:cs="宋体"/>
                <w:sz w:val="24"/>
              </w:rPr>
            </w:pPr>
            <w:r>
              <w:rPr>
                <w:rFonts w:hint="eastAsia" w:ascii="黑体" w:hAnsi="宋体" w:eastAsia="黑体" w:cs="宋体"/>
                <w:sz w:val="24"/>
              </w:rPr>
              <w:t>评价档次</w:t>
            </w:r>
          </w:p>
        </w:tc>
        <w:tc>
          <w:tcPr>
            <w:tcW w:w="1850"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优秀（</w:t>
            </w:r>
            <w:r>
              <w:rPr>
                <w:rFonts w:ascii="宋体" w:hAnsi="宋体"/>
                <w:szCs w:val="21"/>
              </w:rPr>
              <w:t>≥</w:t>
            </w:r>
            <w:r>
              <w:rPr>
                <w:rFonts w:hint="eastAsia" w:ascii="宋体" w:hAnsi="宋体" w:cs="宋体"/>
                <w:szCs w:val="21"/>
              </w:rPr>
              <w:t>90分）</w:t>
            </w:r>
          </w:p>
        </w:tc>
        <w:tc>
          <w:tcPr>
            <w:tcW w:w="1984"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良好（</w:t>
            </w:r>
            <w:r>
              <w:rPr>
                <w:rFonts w:hint="eastAsia" w:ascii="宋体" w:hAnsi="宋体"/>
                <w:szCs w:val="21"/>
              </w:rPr>
              <w:t>90&gt;X</w:t>
            </w:r>
            <w:r>
              <w:rPr>
                <w:rFonts w:ascii="宋体" w:hAnsi="宋体"/>
                <w:szCs w:val="21"/>
              </w:rPr>
              <w:t>≥80</w:t>
            </w:r>
            <w:r>
              <w:rPr>
                <w:rFonts w:hint="eastAsia" w:ascii="宋体" w:hAnsi="宋体" w:cs="宋体"/>
                <w:szCs w:val="21"/>
              </w:rPr>
              <w:t>）</w:t>
            </w:r>
          </w:p>
        </w:tc>
        <w:tc>
          <w:tcPr>
            <w:tcW w:w="3537"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合格（</w:t>
            </w:r>
            <w:r>
              <w:rPr>
                <w:rFonts w:hint="eastAsia" w:ascii="宋体" w:hAnsi="宋体"/>
                <w:szCs w:val="21"/>
              </w:rPr>
              <w:t>80&gt;</w:t>
            </w:r>
            <w:r>
              <w:rPr>
                <w:rFonts w:ascii="宋体" w:hAnsi="宋体"/>
                <w:szCs w:val="21"/>
              </w:rPr>
              <w:t>X≥6</w:t>
            </w:r>
            <w:r>
              <w:rPr>
                <w:rFonts w:hint="eastAsia" w:ascii="宋体" w:hAnsi="宋体"/>
                <w:szCs w:val="21"/>
              </w:rPr>
              <w:t>0</w:t>
            </w:r>
            <w:r>
              <w:rPr>
                <w:rFonts w:hint="eastAsia" w:ascii="宋体" w:hAnsi="宋体" w:cs="宋体"/>
                <w:szCs w:val="21"/>
              </w:rPr>
              <w:t>）</w:t>
            </w:r>
          </w:p>
        </w:tc>
        <w:tc>
          <w:tcPr>
            <w:tcW w:w="1984" w:type="dxa"/>
            <w:gridSpan w:val="2"/>
            <w:tcBorders>
              <w:tl2br w:val="nil"/>
              <w:tr2bl w:val="nil"/>
            </w:tcBorders>
            <w:vAlign w:val="center"/>
          </w:tcPr>
          <w:p>
            <w:pPr>
              <w:rPr>
                <w:rFonts w:ascii="宋体" w:hAnsi="宋体" w:cs="宋体"/>
                <w:szCs w:val="21"/>
              </w:rPr>
            </w:pPr>
            <w:r>
              <w:rPr>
                <w:rFonts w:hint="eastAsia" w:ascii="宋体" w:hAnsi="宋体" w:cs="宋体"/>
                <w:szCs w:val="21"/>
              </w:rPr>
              <w:t>不合格（</w:t>
            </w:r>
            <w:r>
              <w:rPr>
                <w:rFonts w:ascii="宋体" w:hAnsi="宋体" w:cs="宋体"/>
                <w:szCs w:val="21"/>
              </w:rPr>
              <w:t>＜60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5" w:type="dxa"/>
            <w:gridSpan w:val="2"/>
            <w:vMerge w:val="continue"/>
            <w:tcBorders>
              <w:tl2br w:val="nil"/>
              <w:tr2bl w:val="nil"/>
            </w:tcBorders>
            <w:vAlign w:val="center"/>
          </w:tcPr>
          <w:p>
            <w:pPr>
              <w:widowControl/>
              <w:jc w:val="left"/>
              <w:rPr>
                <w:rFonts w:ascii="黑体" w:hAnsi="宋体" w:eastAsia="黑体" w:cs="宋体"/>
                <w:sz w:val="24"/>
              </w:rPr>
            </w:pPr>
          </w:p>
        </w:tc>
        <w:tc>
          <w:tcPr>
            <w:tcW w:w="1850" w:type="dxa"/>
            <w:gridSpan w:val="2"/>
            <w:tcBorders>
              <w:tl2br w:val="nil"/>
              <w:tr2bl w:val="nil"/>
            </w:tcBorders>
            <w:vAlign w:val="center"/>
          </w:tcPr>
          <w:p>
            <w:pPr>
              <w:ind w:firstLine="360"/>
              <w:jc w:val="center"/>
              <w:rPr>
                <w:rFonts w:ascii="黑体" w:hAnsi="宋体" w:eastAsia="黑体" w:cs="宋体"/>
                <w:sz w:val="24"/>
              </w:rPr>
            </w:pPr>
            <w:r>
              <w:rPr>
                <w:rFonts w:hint="eastAsia" w:ascii="黑体" w:hAnsi="宋体" w:eastAsia="黑体" w:cs="宋体"/>
                <w:sz w:val="24"/>
              </w:rPr>
              <w:t>　</w:t>
            </w:r>
          </w:p>
        </w:tc>
        <w:tc>
          <w:tcPr>
            <w:tcW w:w="1984" w:type="dxa"/>
            <w:gridSpan w:val="2"/>
            <w:tcBorders>
              <w:tl2br w:val="nil"/>
              <w:tr2bl w:val="nil"/>
            </w:tcBorders>
            <w:vAlign w:val="center"/>
          </w:tcPr>
          <w:p>
            <w:pPr>
              <w:ind w:firstLine="360"/>
              <w:jc w:val="center"/>
              <w:rPr>
                <w:szCs w:val="21"/>
              </w:rPr>
            </w:pPr>
          </w:p>
        </w:tc>
        <w:tc>
          <w:tcPr>
            <w:tcW w:w="3537" w:type="dxa"/>
            <w:gridSpan w:val="2"/>
            <w:tcBorders>
              <w:tl2br w:val="nil"/>
              <w:tr2bl w:val="nil"/>
            </w:tcBorders>
            <w:vAlign w:val="center"/>
          </w:tcPr>
          <w:p>
            <w:pPr>
              <w:ind w:firstLine="360"/>
              <w:jc w:val="center"/>
              <w:rPr>
                <w:szCs w:val="21"/>
              </w:rPr>
            </w:pPr>
            <w:r>
              <w:rPr>
                <w:rFonts w:hint="eastAsia"/>
                <w:szCs w:val="21"/>
              </w:rPr>
              <w:t>　</w:t>
            </w:r>
          </w:p>
        </w:tc>
        <w:tc>
          <w:tcPr>
            <w:tcW w:w="1984" w:type="dxa"/>
            <w:gridSpan w:val="2"/>
            <w:tcBorders>
              <w:tl2br w:val="nil"/>
              <w:tr2bl w:val="nil"/>
            </w:tcBorders>
            <w:vAlign w:val="center"/>
          </w:tcPr>
          <w:p>
            <w:pPr>
              <w:ind w:firstLine="360"/>
              <w:jc w:val="center"/>
              <w:rPr>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910"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0910" w:type="dxa"/>
            <w:gridSpan w:val="10"/>
            <w:tcBorders>
              <w:tl2br w:val="nil"/>
              <w:tr2bl w:val="nil"/>
            </w:tcBorders>
            <w:vAlign w:val="center"/>
          </w:tcPr>
          <w:p>
            <w:pPr>
              <w:tabs>
                <w:tab w:val="left" w:pos="1695"/>
              </w:tabs>
              <w:spacing w:line="240" w:lineRule="atLeast"/>
              <w:jc w:val="center"/>
              <w:rPr>
                <w:rFonts w:ascii="宋体" w:hAnsi="宋体"/>
                <w:bCs/>
                <w:szCs w:val="21"/>
              </w:rPr>
            </w:pPr>
            <w:r>
              <w:rPr>
                <w:rFonts w:hint="eastAsia" w:ascii="宋体" w:hAnsi="宋体"/>
                <w:color w:val="767171"/>
                <w:szCs w:val="21"/>
              </w:rPr>
              <w:t>（如有，请填写）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910"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555" w:type="dxa"/>
            <w:gridSpan w:val="2"/>
            <w:tcBorders>
              <w:tl2br w:val="nil"/>
              <w:tr2bl w:val="nil"/>
            </w:tcBorders>
            <w:vAlign w:val="center"/>
          </w:tcPr>
          <w:p>
            <w:pPr>
              <w:spacing w:line="240" w:lineRule="atLeast"/>
              <w:rPr>
                <w:rFonts w:ascii="宋体" w:hAnsi="宋体"/>
                <w:szCs w:val="21"/>
              </w:rPr>
            </w:pPr>
            <w:r>
              <w:rPr>
                <w:rFonts w:hint="eastAsia" w:ascii="宋体" w:hAnsi="宋体"/>
                <w:szCs w:val="21"/>
              </w:rPr>
              <w:t>评价结论</w:t>
            </w:r>
          </w:p>
        </w:tc>
        <w:tc>
          <w:tcPr>
            <w:tcW w:w="9355" w:type="dxa"/>
            <w:gridSpan w:val="8"/>
            <w:tcBorders>
              <w:tl2br w:val="nil"/>
              <w:tr2bl w:val="nil"/>
            </w:tcBorders>
            <w:vAlign w:val="center"/>
          </w:tcPr>
          <w:p>
            <w:pPr>
              <w:spacing w:line="240" w:lineRule="atLeast"/>
              <w:jc w:val="left"/>
              <w:rPr>
                <w:rFonts w:ascii="宋体" w:hAnsi="宋体"/>
                <w:bCs/>
                <w:szCs w:val="21"/>
              </w:rPr>
            </w:pPr>
            <w:r>
              <w:rPr>
                <w:rFonts w:hint="eastAsia" w:ascii="宋体" w:hAnsi="宋体"/>
                <w:bCs/>
                <w:szCs w:val="21"/>
              </w:rPr>
              <w:t>总体评价意见：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240" w:lineRule="atLeast"/>
              <w:jc w:val="left"/>
              <w:rPr>
                <w:rFonts w:ascii="宋体" w:hAnsi="宋体"/>
                <w:bCs/>
                <w:szCs w:val="21"/>
              </w:rPr>
            </w:pPr>
          </w:p>
          <w:p>
            <w:pPr>
              <w:spacing w:line="240" w:lineRule="atLeast"/>
              <w:jc w:val="left"/>
              <w:rPr>
                <w:rFonts w:ascii="宋体" w:hAnsi="宋体"/>
                <w:szCs w:val="21"/>
                <w:u w:val="single"/>
              </w:rPr>
            </w:pPr>
            <w:r>
              <w:rPr>
                <w:rFonts w:hint="eastAsia" w:ascii="宋体" w:hAnsi="宋体"/>
                <w:szCs w:val="21"/>
              </w:rPr>
              <w:t>履约评价小组成员</w:t>
            </w:r>
            <w:r>
              <w:rPr>
                <w:rFonts w:hint="eastAsia" w:ascii="宋体" w:hAnsi="宋体"/>
                <w:bCs/>
                <w:szCs w:val="21"/>
              </w:rPr>
              <w:t>签字：</w:t>
            </w:r>
            <w:r>
              <w:rPr>
                <w:rFonts w:hint="eastAsia" w:ascii="宋体" w:hAnsi="宋体"/>
                <w:szCs w:val="21"/>
                <w:u w:val="single"/>
              </w:rPr>
              <w:t xml:space="preserve">     </w:t>
            </w:r>
            <w:r>
              <w:rPr>
                <w:rFonts w:ascii="宋体" w:hAnsi="宋体"/>
                <w:szCs w:val="21"/>
                <w:u w:val="single"/>
              </w:rPr>
              <w:t xml:space="preserve">               </w:t>
            </w:r>
          </w:p>
          <w:p>
            <w:pPr>
              <w:pStyle w:val="2"/>
            </w:pPr>
          </w:p>
          <w:p>
            <w:pPr>
              <w:tabs>
                <w:tab w:val="center" w:pos="3817"/>
              </w:tabs>
              <w:spacing w:line="240" w:lineRule="atLeast"/>
              <w:jc w:val="left"/>
              <w:rPr>
                <w:rFonts w:ascii="宋体" w:hAnsi="宋体"/>
                <w:bCs/>
                <w:szCs w:val="21"/>
              </w:rPr>
            </w:pPr>
            <w:r>
              <w:rPr>
                <w:rFonts w:hint="eastAsia" w:ascii="宋体" w:hAnsi="宋体"/>
                <w:szCs w:val="21"/>
              </w:rPr>
              <w:t>日期：        年    月     日</w:t>
            </w:r>
          </w:p>
        </w:tc>
      </w:tr>
    </w:tbl>
    <w:p>
      <w:pPr>
        <w:pStyle w:val="6"/>
        <w:ind w:left="0"/>
        <w:rPr>
          <w:rFonts w:hint="eastAsia" w:ascii="仿宋" w:hAnsi="仿宋" w:eastAsia="仿宋" w:cs="仿宋"/>
          <w:sz w:val="28"/>
          <w:szCs w:val="28"/>
        </w:rPr>
        <w:sectPr>
          <w:pgSz w:w="11906" w:h="16838"/>
          <w:pgMar w:top="1440" w:right="1689" w:bottom="1440" w:left="1689" w:header="851" w:footer="992" w:gutter="0"/>
          <w:pgBorders>
            <w:top w:val="none" w:sz="0" w:space="0"/>
            <w:left w:val="none" w:sz="0" w:space="0"/>
            <w:bottom w:val="none" w:sz="0" w:space="0"/>
            <w:right w:val="none" w:sz="0" w:space="0"/>
          </w:pgBorders>
          <w:cols w:space="425" w:num="1"/>
          <w:docGrid w:type="lines" w:linePitch="312" w:charSpace="0"/>
        </w:sectPr>
      </w:pPr>
    </w:p>
    <w:p>
      <w:pPr>
        <w:widowControl/>
        <w:jc w:val="center"/>
        <w:rPr>
          <w:rFonts w:ascii="宋体" w:hAnsi="宋体"/>
          <w:b/>
          <w:sz w:val="32"/>
          <w:szCs w:val="32"/>
        </w:rPr>
      </w:pPr>
      <w:bookmarkStart w:id="43" w:name="_Toc4089"/>
      <w:r>
        <w:rPr>
          <w:rFonts w:hint="eastAsia" w:ascii="宋体" w:hAnsi="宋体"/>
          <w:b/>
          <w:sz w:val="32"/>
          <w:szCs w:val="32"/>
        </w:rPr>
        <w:t>第二部分：开标评标流程</w:t>
      </w:r>
      <w:bookmarkEnd w:id="43"/>
    </w:p>
    <w:p>
      <w:pPr>
        <w:numPr>
          <w:ilvl w:val="0"/>
          <w:numId w:val="1"/>
        </w:numPr>
        <w:spacing w:line="360" w:lineRule="auto"/>
        <w:outlineLvl w:val="1"/>
        <w:rPr>
          <w:b/>
        </w:rPr>
      </w:pPr>
      <w:bookmarkStart w:id="44" w:name="_Toc10189"/>
      <w:bookmarkStart w:id="45" w:name="_Toc104994641"/>
      <w:bookmarkStart w:id="46" w:name="_Hlk104908581"/>
      <w:bookmarkStart w:id="47" w:name="_Hlk104908397"/>
      <w:r>
        <w:rPr>
          <w:rFonts w:hint="eastAsia"/>
          <w:b/>
        </w:rPr>
        <w:t>开标阶段</w:t>
      </w:r>
      <w:bookmarkEnd w:id="44"/>
      <w:bookmarkEnd w:id="45"/>
    </w:p>
    <w:bookmarkEnd w:id="46"/>
    <w:p>
      <w:pPr>
        <w:pStyle w:val="25"/>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5"/>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5"/>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5"/>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5"/>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5"/>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5"/>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5"/>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8" w:name="_Toc4685"/>
      <w:bookmarkStart w:id="49" w:name="_Toc104994642"/>
      <w:r>
        <w:rPr>
          <w:rFonts w:hint="eastAsia"/>
          <w:b/>
        </w:rPr>
        <w:t>评标阶段</w:t>
      </w:r>
      <w:bookmarkEnd w:id="48"/>
      <w:bookmarkEnd w:id="49"/>
    </w:p>
    <w:p>
      <w:pPr>
        <w:pStyle w:val="25"/>
        <w:numPr>
          <w:ilvl w:val="0"/>
          <w:numId w:val="16"/>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5"/>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5"/>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5"/>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5"/>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5"/>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5"/>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5"/>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7"/>
    <w:p>
      <w:pPr>
        <w:widowControl/>
        <w:jc w:val="left"/>
        <w:rPr>
          <w:rFonts w:ascii="仿宋_GB2312" w:hAnsi="宋体" w:eastAsia="仿宋_GB2312"/>
        </w:rPr>
      </w:pPr>
      <w:r>
        <w:br w:type="page"/>
      </w:r>
    </w:p>
    <w:p>
      <w:pPr>
        <w:pStyle w:val="14"/>
        <w:rPr>
          <w:rFonts w:ascii="宋体"/>
          <w:b/>
          <w:sz w:val="28"/>
        </w:rPr>
      </w:pPr>
    </w:p>
    <w:p>
      <w:pPr>
        <w:spacing w:line="360" w:lineRule="auto"/>
        <w:jc w:val="center"/>
        <w:outlineLvl w:val="0"/>
        <w:rPr>
          <w:rFonts w:ascii="宋体" w:hAnsi="宋体"/>
          <w:b/>
          <w:sz w:val="32"/>
          <w:szCs w:val="32"/>
        </w:rPr>
      </w:pPr>
      <w:bookmarkStart w:id="50" w:name="_Toc8137"/>
      <w:r>
        <w:rPr>
          <w:rFonts w:hint="eastAsia" w:ascii="宋体" w:hAnsi="宋体"/>
          <w:b/>
          <w:sz w:val="32"/>
          <w:szCs w:val="32"/>
        </w:rPr>
        <w:t>第三部分：评审办法</w:t>
      </w:r>
      <w:bookmarkEnd w:id="50"/>
    </w:p>
    <w:p>
      <w:pPr>
        <w:numPr>
          <w:ilvl w:val="0"/>
          <w:numId w:val="1"/>
        </w:numPr>
        <w:spacing w:line="360" w:lineRule="auto"/>
        <w:outlineLvl w:val="1"/>
        <w:rPr>
          <w:rFonts w:ascii="宋体" w:hAnsi="宋体"/>
          <w:szCs w:val="21"/>
        </w:rPr>
      </w:pPr>
      <w:bookmarkStart w:id="51" w:name="_Toc10129"/>
      <w:r>
        <w:rPr>
          <w:rFonts w:hint="eastAsia" w:ascii="宋体" w:hAnsi="宋体"/>
          <w:b/>
          <w:bCs/>
          <w:szCs w:val="21"/>
        </w:rPr>
        <w:t>评审办法</w:t>
      </w:r>
      <w:bookmarkEnd w:id="51"/>
    </w:p>
    <w:p>
      <w:pPr>
        <w:spacing w:line="360" w:lineRule="auto"/>
        <w:ind w:firstLine="420" w:firstLineChars="200"/>
        <w:rPr>
          <w:rFonts w:ascii="宋体" w:hAnsi="宋体"/>
          <w:color w:val="auto"/>
          <w:szCs w:val="21"/>
          <w:highlight w:val="none"/>
        </w:rPr>
      </w:pPr>
      <w:r>
        <w:rPr>
          <w:rFonts w:hint="eastAsia" w:ascii="宋体" w:hAnsi="宋体"/>
          <w:szCs w:val="21"/>
        </w:rPr>
        <w:t>首先对各投标人进行符合性审查，然后进行不可偏离项检查。对通过符合性审查及不可偏</w:t>
      </w:r>
      <w:r>
        <w:rPr>
          <w:rFonts w:hint="eastAsia" w:ascii="宋体" w:hAnsi="宋体"/>
          <w:color w:val="auto"/>
          <w:szCs w:val="21"/>
          <w:highlight w:val="none"/>
        </w:rPr>
        <w:t>离项检查的投标人，采用</w:t>
      </w:r>
      <w:r>
        <w:rPr>
          <w:rFonts w:hint="eastAsia" w:ascii="宋体" w:hAnsi="宋体"/>
          <w:b/>
          <w:color w:val="auto"/>
          <w:szCs w:val="21"/>
          <w:highlight w:val="none"/>
        </w:rPr>
        <w:t>100分制综合评分法</w:t>
      </w:r>
      <w:r>
        <w:rPr>
          <w:rFonts w:hint="eastAsia" w:ascii="宋体" w:hAnsi="宋体"/>
          <w:color w:val="auto"/>
          <w:szCs w:val="21"/>
          <w:highlight w:val="none"/>
        </w:rPr>
        <w:t>进行评分。</w:t>
      </w:r>
    </w:p>
    <w:tbl>
      <w:tblPr>
        <w:tblStyle w:val="18"/>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90" w:type="dxa"/>
            <w:gridSpan w:val="4"/>
            <w:vAlign w:val="center"/>
          </w:tcPr>
          <w:p>
            <w:pPr>
              <w:pStyle w:val="6"/>
              <w:spacing w:after="0" w:line="240" w:lineRule="auto"/>
              <w:jc w:val="center"/>
              <w:rPr>
                <w:color w:val="auto"/>
                <w:sz w:val="21"/>
                <w:szCs w:val="21"/>
                <w:highlight w:val="none"/>
              </w:rPr>
            </w:pPr>
            <w:r>
              <w:rPr>
                <w:rFonts w:hint="eastAsia" w:ascii="宋体" w:hAnsi="宋体" w:cs="仿宋"/>
                <w:b/>
                <w:bCs/>
                <w:color w:val="auto"/>
                <w:sz w:val="21"/>
                <w:szCs w:val="21"/>
                <w:highlight w:val="none"/>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权重名称</w:t>
            </w:r>
          </w:p>
        </w:tc>
        <w:tc>
          <w:tcPr>
            <w:tcW w:w="2130"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商务标权重</w:t>
            </w:r>
          </w:p>
        </w:tc>
        <w:tc>
          <w:tcPr>
            <w:tcW w:w="2131"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技术标权重</w:t>
            </w:r>
          </w:p>
        </w:tc>
        <w:tc>
          <w:tcPr>
            <w:tcW w:w="2585"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权重</w:t>
            </w:r>
          </w:p>
        </w:tc>
        <w:tc>
          <w:tcPr>
            <w:tcW w:w="2130" w:type="dxa"/>
            <w:vAlign w:val="center"/>
          </w:tcPr>
          <w:p>
            <w:pPr>
              <w:autoSpaceDE w:val="0"/>
              <w:autoSpaceDN w:val="0"/>
              <w:adjustRightInd w:val="0"/>
              <w:snapToGrid w:val="0"/>
              <w:jc w:val="center"/>
              <w:rPr>
                <w:rFonts w:ascii="宋体" w:hAnsi="宋体"/>
                <w:color w:val="auto"/>
                <w:szCs w:val="21"/>
                <w:highlight w:val="none"/>
              </w:rPr>
            </w:pPr>
            <w:r>
              <w:rPr>
                <w:rFonts w:hint="default" w:ascii="宋体" w:hAnsi="宋体"/>
                <w:color w:val="auto"/>
                <w:szCs w:val="21"/>
                <w:highlight w:val="none"/>
                <w:lang w:val="en-US" w:eastAsia="zh-CN"/>
              </w:rPr>
              <w:t>30</w:t>
            </w:r>
            <w:r>
              <w:rPr>
                <w:rFonts w:hint="eastAsia" w:ascii="宋体" w:hAnsi="宋体"/>
                <w:color w:val="auto"/>
                <w:szCs w:val="21"/>
                <w:highlight w:val="none"/>
              </w:rPr>
              <w:t>%</w:t>
            </w:r>
          </w:p>
        </w:tc>
        <w:tc>
          <w:tcPr>
            <w:tcW w:w="2131"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w:t>
            </w:r>
          </w:p>
        </w:tc>
        <w:tc>
          <w:tcPr>
            <w:tcW w:w="2585" w:type="dxa"/>
            <w:vAlign w:val="center"/>
          </w:tcPr>
          <w:p>
            <w:pPr>
              <w:autoSpaceDE w:val="0"/>
              <w:autoSpaceDN w:val="0"/>
              <w:adjustRightInd w:val="0"/>
              <w:snapToGrid w:val="0"/>
              <w:jc w:val="center"/>
              <w:rPr>
                <w:rFonts w:ascii="宋体" w:hAnsi="宋体"/>
                <w:color w:val="auto"/>
                <w:szCs w:val="21"/>
                <w:highlight w:val="none"/>
              </w:rPr>
            </w:pPr>
            <w:r>
              <w:rPr>
                <w:rFonts w:hint="default" w:ascii="宋体" w:hAnsi="宋体"/>
                <w:color w:val="auto"/>
                <w:szCs w:val="21"/>
                <w:highlight w:val="none"/>
                <w:lang w:val="en-US" w:eastAsia="zh-CN"/>
              </w:rPr>
              <w:t>4</w:t>
            </w:r>
            <w:r>
              <w:rPr>
                <w:rFonts w:hint="eastAsia" w:ascii="宋体" w:hAnsi="宋体"/>
                <w:color w:val="auto"/>
                <w:szCs w:val="21"/>
                <w:highlight w:val="none"/>
                <w:lang w:val="en-US" w:eastAsia="zh-CN"/>
              </w:rPr>
              <w:t>0</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6"/>
              <w:spacing w:after="0" w:line="240" w:lineRule="auto"/>
              <w:ind w:left="0"/>
              <w:jc w:val="center"/>
              <w:rPr>
                <w:color w:val="auto"/>
                <w:sz w:val="21"/>
                <w:szCs w:val="21"/>
                <w:highlight w:val="none"/>
              </w:rPr>
            </w:pPr>
            <w:r>
              <w:rPr>
                <w:rFonts w:hint="eastAsia" w:ascii="宋体" w:hAnsi="宋体"/>
                <w:color w:val="auto"/>
                <w:sz w:val="21"/>
                <w:szCs w:val="21"/>
                <w:highlight w:val="none"/>
              </w:rPr>
              <w:t>投标人综合得分</w:t>
            </w:r>
          </w:p>
        </w:tc>
        <w:tc>
          <w:tcPr>
            <w:tcW w:w="6846" w:type="dxa"/>
            <w:gridSpan w:val="3"/>
            <w:vAlign w:val="center"/>
          </w:tcPr>
          <w:p>
            <w:pPr>
              <w:pStyle w:val="6"/>
              <w:spacing w:after="0" w:line="240" w:lineRule="auto"/>
              <w:jc w:val="center"/>
              <w:rPr>
                <w:color w:val="auto"/>
                <w:sz w:val="21"/>
                <w:szCs w:val="21"/>
                <w:highlight w:val="none"/>
              </w:rPr>
            </w:pPr>
            <w:r>
              <w:rPr>
                <w:rFonts w:hint="eastAsia" w:ascii="宋体" w:hAnsi="宋体"/>
                <w:color w:val="auto"/>
                <w:sz w:val="21"/>
                <w:szCs w:val="21"/>
                <w:highlight w:val="none"/>
              </w:rPr>
              <w:t>商务标得分+技术标得分+价格标得分=100</w:t>
            </w:r>
          </w:p>
        </w:tc>
      </w:tr>
    </w:tbl>
    <w:p>
      <w:pPr>
        <w:numPr>
          <w:ilvl w:val="0"/>
          <w:numId w:val="17"/>
        </w:numPr>
        <w:spacing w:before="156" w:beforeLines="50"/>
        <w:jc w:val="left"/>
        <w:outlineLvl w:val="2"/>
        <w:rPr>
          <w:rStyle w:val="32"/>
          <w:rFonts w:ascii="宋体" w:hAnsi="宋体"/>
          <w:b/>
          <w:color w:val="auto"/>
          <w:szCs w:val="21"/>
          <w:highlight w:val="none"/>
        </w:rPr>
      </w:pPr>
      <w:bookmarkStart w:id="52" w:name="_Toc31220"/>
      <w:r>
        <w:rPr>
          <w:rStyle w:val="32"/>
          <w:rFonts w:hint="eastAsia" w:ascii="宋体" w:hAnsi="宋体"/>
          <w:b/>
          <w:bCs/>
          <w:color w:val="auto"/>
          <w:szCs w:val="21"/>
          <w:highlight w:val="none"/>
        </w:rPr>
        <w:t>符合性检查</w:t>
      </w:r>
      <w:bookmarkEnd w:id="52"/>
    </w:p>
    <w:tbl>
      <w:tblPr>
        <w:tblStyle w:val="17"/>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color w:val="auto"/>
                <w:szCs w:val="21"/>
              </w:rPr>
            </w:pPr>
            <w:r>
              <w:rPr>
                <w:rFonts w:hint="eastAsia" w:ascii="宋体" w:hAnsi="宋体" w:cs="仿宋"/>
                <w:color w:val="auto"/>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numPr>
                <w:ilvl w:val="-1"/>
                <w:numId w:val="0"/>
              </w:numPr>
              <w:tabs>
                <w:tab w:val="left" w:pos="531"/>
              </w:tabs>
              <w:snapToGrid w:val="0"/>
              <w:spacing w:line="240" w:lineRule="auto"/>
              <w:ind w:left="0" w:firstLine="0"/>
              <w:rPr>
                <w:rFonts w:ascii="宋体" w:hAnsi="宋体" w:cs="仿宋"/>
                <w:color w:val="auto"/>
                <w:szCs w:val="21"/>
                <w:highlight w:val="none"/>
              </w:rPr>
            </w:pPr>
            <w:r>
              <w:rPr>
                <w:rFonts w:hint="eastAsia" w:ascii="宋体" w:hAnsi="宋体" w:cs="仿宋"/>
                <w:color w:val="auto"/>
                <w:szCs w:val="21"/>
                <w:highlight w:val="none"/>
              </w:rPr>
              <w:t>投标人是否提供以下证明文件：</w:t>
            </w:r>
          </w:p>
          <w:p>
            <w:pPr>
              <w:numPr>
                <w:ilvl w:val="0"/>
                <w:numId w:val="18"/>
              </w:numPr>
              <w:tabs>
                <w:tab w:val="left" w:pos="531"/>
              </w:tabs>
              <w:snapToGrid w:val="0"/>
              <w:ind w:left="0" w:firstLine="425"/>
              <w:rPr>
                <w:rFonts w:ascii="宋体"/>
                <w:color w:val="auto"/>
                <w:highlight w:val="none"/>
              </w:rPr>
            </w:pPr>
            <w:r>
              <w:rPr>
                <w:rFonts w:hint="eastAsia" w:ascii="宋体" w:hAnsi="宋体" w:cs="仿宋_GB2312"/>
                <w:color w:val="auto"/>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18"/>
              </w:numPr>
              <w:tabs>
                <w:tab w:val="left" w:pos="531"/>
              </w:tabs>
              <w:snapToGrid w:val="0"/>
              <w:spacing w:line="240" w:lineRule="auto"/>
              <w:ind w:left="0" w:firstLine="425"/>
              <w:rPr>
                <w:rFonts w:ascii="宋体" w:hAnsi="宋体" w:cs="仿宋"/>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具有由公安部第三研究所颁发的</w:t>
            </w:r>
            <w:r>
              <w:rPr>
                <w:rFonts w:hint="eastAsia" w:ascii="宋体" w:hAnsi="宋体" w:cs="宋体"/>
                <w:color w:val="auto"/>
                <w:szCs w:val="21"/>
                <w:highlight w:val="none"/>
                <w:lang w:val="en-US" w:eastAsia="zh-CN"/>
              </w:rPr>
              <w:t>有效的</w:t>
            </w:r>
            <w:r>
              <w:rPr>
                <w:rFonts w:hint="eastAsia" w:ascii="宋体" w:hAnsi="宋体" w:cs="宋体"/>
                <w:color w:val="auto"/>
                <w:szCs w:val="21"/>
                <w:highlight w:val="none"/>
              </w:rPr>
              <w:t>《网络安全等级测评与检测评估机构服务认证证书》。</w:t>
            </w:r>
          </w:p>
          <w:p>
            <w:pPr>
              <w:numPr>
                <w:ilvl w:val="-1"/>
                <w:numId w:val="0"/>
              </w:numPr>
              <w:tabs>
                <w:tab w:val="left" w:pos="531"/>
              </w:tabs>
              <w:snapToGrid w:val="0"/>
              <w:spacing w:line="240" w:lineRule="auto"/>
              <w:ind w:left="0" w:firstLine="0"/>
              <w:rPr>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本项目不接受联合体投标，严禁转包或非法分包。</w:t>
            </w:r>
            <w:r>
              <w:rPr>
                <w:rFonts w:hint="eastAsia" w:ascii="宋体" w:hAnsi="宋体" w:cs="仿宋"/>
                <w:color w:val="auto"/>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color w:val="auto"/>
                <w:szCs w:val="21"/>
                <w:highlight w:val="none"/>
              </w:rPr>
            </w:pPr>
            <w:r>
              <w:rPr>
                <w:rFonts w:hint="eastAsia" w:ascii="宋体" w:hAnsi="宋体" w:cs="仿宋"/>
                <w:color w:val="auto"/>
                <w:szCs w:val="21"/>
                <w:highlight w:val="none"/>
              </w:rPr>
              <w:t>本项目报价是否高于</w:t>
            </w:r>
            <w:r>
              <w:rPr>
                <w:rFonts w:hint="eastAsia" w:ascii="宋体" w:hAnsi="宋体" w:cs="仿宋"/>
                <w:color w:val="auto"/>
                <w:szCs w:val="21"/>
                <w:highlight w:val="none"/>
                <w:lang w:val="en-US" w:eastAsia="zh-CN"/>
              </w:rPr>
              <w:t>两年合计19.2</w:t>
            </w:r>
            <w:r>
              <w:rPr>
                <w:rFonts w:ascii="宋体" w:hAnsi="宋体" w:cs="仿宋"/>
                <w:color w:val="auto"/>
                <w:szCs w:val="21"/>
                <w:highlight w:val="none"/>
              </w:rPr>
              <w:t>万元（含税）</w:t>
            </w:r>
            <w:r>
              <w:rPr>
                <w:rFonts w:hint="eastAsia" w:ascii="宋体" w:hAnsi="宋体" w:cs="仿宋"/>
                <w:color w:val="auto"/>
                <w:szCs w:val="21"/>
                <w:highlight w:val="none"/>
              </w:rPr>
              <w:t>，超过上述控制金额的视为无效报价。</w:t>
            </w:r>
          </w:p>
        </w:tc>
      </w:tr>
    </w:tbl>
    <w:p>
      <w:pPr>
        <w:numPr>
          <w:ilvl w:val="0"/>
          <w:numId w:val="17"/>
        </w:numPr>
        <w:spacing w:before="156" w:beforeLines="50"/>
        <w:jc w:val="left"/>
        <w:outlineLvl w:val="2"/>
        <w:rPr>
          <w:rStyle w:val="32"/>
          <w:rFonts w:ascii="宋体" w:hAnsi="宋体"/>
          <w:b/>
          <w:bCs/>
          <w:szCs w:val="21"/>
        </w:rPr>
      </w:pPr>
      <w:bookmarkStart w:id="53" w:name="_Toc114675512"/>
      <w:bookmarkStart w:id="54" w:name="_Toc5702"/>
      <w:r>
        <w:rPr>
          <w:rStyle w:val="32"/>
          <w:rFonts w:hint="eastAsia" w:ascii="宋体" w:hAnsi="宋体"/>
          <w:b/>
          <w:bCs/>
          <w:szCs w:val="21"/>
        </w:rPr>
        <w:t>不可偏离项检查</w:t>
      </w:r>
      <w:bookmarkEnd w:id="53"/>
      <w:bookmarkEnd w:id="54"/>
    </w:p>
    <w:p>
      <w:pPr>
        <w:pStyle w:val="6"/>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17"/>
        </w:numPr>
        <w:spacing w:before="156" w:beforeLines="50"/>
        <w:jc w:val="left"/>
        <w:outlineLvl w:val="2"/>
        <w:rPr>
          <w:rFonts w:ascii="宋体" w:hAnsi="宋体"/>
          <w:b/>
          <w:bCs/>
          <w:szCs w:val="21"/>
        </w:rPr>
      </w:pPr>
      <w:bookmarkStart w:id="55" w:name="_Toc21711"/>
      <w:bookmarkStart w:id="56" w:name="_Toc114675513"/>
      <w:r>
        <w:rPr>
          <w:rStyle w:val="32"/>
          <w:rFonts w:hint="eastAsia" w:ascii="宋体" w:hAnsi="宋体"/>
          <w:b/>
          <w:bCs/>
          <w:szCs w:val="21"/>
        </w:rPr>
        <w:t>综合评议指标表</w:t>
      </w:r>
      <w:bookmarkEnd w:id="55"/>
      <w:bookmarkEnd w:id="56"/>
    </w:p>
    <w:p>
      <w:pPr>
        <w:pStyle w:val="6"/>
      </w:pPr>
    </w:p>
    <w:tbl>
      <w:tblPr>
        <w:tblStyle w:val="17"/>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color w:val="auto"/>
                <w:szCs w:val="21"/>
                <w:highlight w:val="none"/>
              </w:rPr>
            </w:pPr>
            <w:r>
              <w:rPr>
                <w:rFonts w:ascii="宋体" w:hAnsi="宋体"/>
                <w:b/>
                <w:color w:val="auto"/>
                <w:szCs w:val="21"/>
                <w:highlight w:val="none"/>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color w:val="auto"/>
                <w:szCs w:val="21"/>
                <w:highlight w:val="none"/>
              </w:rPr>
            </w:pPr>
            <w:r>
              <w:rPr>
                <w:rFonts w:hint="eastAsia" w:ascii="宋体" w:hAnsi="宋体"/>
                <w:b/>
                <w:color w:val="auto"/>
                <w:szCs w:val="21"/>
                <w:highlight w:val="none"/>
              </w:rPr>
              <w:t>商务评议项（</w:t>
            </w:r>
            <w:r>
              <w:rPr>
                <w:rFonts w:hint="eastAsia" w:ascii="宋体" w:hAnsi="宋体"/>
                <w:color w:val="auto"/>
                <w:szCs w:val="21"/>
                <w:highlight w:val="none"/>
                <w:lang w:val="en-US" w:eastAsia="zh-CN"/>
              </w:rPr>
              <w:t>30</w:t>
            </w:r>
            <w:r>
              <w:rPr>
                <w:rFonts w:hint="eastAsia"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5"/>
              <w:numPr>
                <w:ilvl w:val="0"/>
                <w:numId w:val="19"/>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default" w:eastAsia="宋体"/>
                <w:color w:val="auto"/>
                <w:highlight w:val="none"/>
                <w:lang w:val="en-US" w:eastAsia="zh-CN"/>
              </w:rPr>
            </w:pPr>
            <w:r>
              <w:rPr>
                <w:rFonts w:hint="eastAsia"/>
                <w:color w:val="auto"/>
                <w:highlight w:val="none"/>
                <w:lang w:val="en-US" w:eastAsia="zh-CN"/>
              </w:rPr>
              <w:t>资质证书</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18</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numPr>
                <w:ilvl w:val="-1"/>
                <w:numId w:val="0"/>
              </w:numPr>
              <w:tabs>
                <w:tab w:val="left" w:pos="531"/>
              </w:tabs>
              <w:snapToGrid w:val="0"/>
              <w:ind w:left="0" w:leftChars="0" w:firstLine="0"/>
              <w:rPr>
                <w:rFonts w:hint="default"/>
                <w:color w:val="auto"/>
                <w:lang w:val="en-US" w:eastAsia="zh-Hans"/>
              </w:rPr>
            </w:pPr>
            <w:r>
              <w:rPr>
                <w:rFonts w:hint="eastAsia"/>
                <w:color w:val="auto"/>
              </w:rPr>
              <w:t>投标人具有以下资质证书（</w:t>
            </w:r>
            <w:r>
              <w:rPr>
                <w:rFonts w:hint="eastAsia"/>
                <w:color w:val="auto"/>
                <w:lang w:val="en-US" w:eastAsia="zh-CN"/>
              </w:rPr>
              <w:t>须</w:t>
            </w:r>
            <w:r>
              <w:rPr>
                <w:rFonts w:hint="eastAsia"/>
                <w:color w:val="auto"/>
              </w:rPr>
              <w:t>提供复印件</w:t>
            </w:r>
            <w:r>
              <w:rPr>
                <w:rFonts w:hint="eastAsia"/>
                <w:color w:val="auto"/>
                <w:lang w:val="en-US" w:eastAsia="zh-CN"/>
              </w:rPr>
              <w:t>加盖公章</w:t>
            </w:r>
            <w:r>
              <w:rPr>
                <w:rFonts w:hint="eastAsia"/>
                <w:color w:val="auto"/>
              </w:rPr>
              <w:t>）的，每项得</w:t>
            </w:r>
            <w:r>
              <w:rPr>
                <w:rFonts w:hint="eastAsia"/>
                <w:color w:val="auto"/>
                <w:lang w:val="en-US" w:eastAsia="zh-CN"/>
              </w:rPr>
              <w:t>2</w:t>
            </w:r>
            <w:r>
              <w:rPr>
                <w:rFonts w:hint="eastAsia"/>
                <w:color w:val="auto"/>
              </w:rPr>
              <w:t>分，满分</w:t>
            </w:r>
            <w:r>
              <w:rPr>
                <w:rFonts w:hint="eastAsia"/>
                <w:color w:val="auto"/>
                <w:lang w:val="en-US" w:eastAsia="zh-CN"/>
              </w:rPr>
              <w:t>18</w:t>
            </w:r>
            <w:r>
              <w:rPr>
                <w:rFonts w:hint="eastAsia"/>
                <w:color w:val="auto"/>
              </w:rPr>
              <w:t>分：</w:t>
            </w:r>
          </w:p>
          <w:p>
            <w:pPr>
              <w:numPr>
                <w:ilvl w:val="0"/>
                <w:numId w:val="20"/>
              </w:numPr>
              <w:tabs>
                <w:tab w:val="left" w:pos="531"/>
              </w:tabs>
              <w:snapToGrid w:val="0"/>
              <w:rPr>
                <w:rFonts w:hint="eastAsia"/>
                <w:color w:val="auto"/>
              </w:rPr>
            </w:pPr>
            <w:r>
              <w:rPr>
                <w:rFonts w:hint="eastAsia"/>
                <w:color w:val="auto"/>
              </w:rPr>
              <w:t>市场监督管理局颁发的</w:t>
            </w:r>
            <w:r>
              <w:rPr>
                <w:rFonts w:hint="eastAsia"/>
                <w:color w:val="auto"/>
                <w:lang w:val="en-US" w:eastAsia="zh-CN"/>
              </w:rPr>
              <w:t>有效</w:t>
            </w:r>
            <w:r>
              <w:rPr>
                <w:rFonts w:hint="eastAsia"/>
                <w:color w:val="auto"/>
              </w:rPr>
              <w:t>CMA证书（检验检测机构资质认定证书）</w:t>
            </w:r>
          </w:p>
          <w:p>
            <w:pPr>
              <w:numPr>
                <w:ilvl w:val="0"/>
                <w:numId w:val="20"/>
              </w:numPr>
              <w:tabs>
                <w:tab w:val="left" w:pos="531"/>
              </w:tabs>
              <w:snapToGrid w:val="0"/>
              <w:rPr>
                <w:rFonts w:hint="eastAsia"/>
                <w:color w:val="auto"/>
                <w:lang w:eastAsia="zh-CN"/>
              </w:rPr>
            </w:pPr>
            <w:r>
              <w:rPr>
                <w:rFonts w:hint="eastAsia"/>
                <w:color w:val="auto"/>
                <w:lang w:val="en-US" w:eastAsia="zh-CN"/>
              </w:rPr>
              <w:t>有效的</w:t>
            </w:r>
            <w:r>
              <w:rPr>
                <w:rFonts w:hint="eastAsia"/>
                <w:color w:val="auto"/>
              </w:rPr>
              <w:t>中国网络安全审查技术与认证中心认证的网络安全审计服务资质证书</w:t>
            </w:r>
            <w:r>
              <w:rPr>
                <w:rFonts w:hint="eastAsia"/>
                <w:color w:val="auto"/>
                <w:lang w:eastAsia="zh-CN"/>
              </w:rPr>
              <w:t>。</w:t>
            </w:r>
          </w:p>
          <w:p>
            <w:pPr>
              <w:numPr>
                <w:ilvl w:val="0"/>
                <w:numId w:val="20"/>
              </w:numPr>
              <w:tabs>
                <w:tab w:val="left" w:pos="531"/>
              </w:tabs>
              <w:snapToGrid w:val="0"/>
              <w:rPr>
                <w:color w:val="auto"/>
              </w:rPr>
            </w:pPr>
            <w:r>
              <w:rPr>
                <w:rFonts w:hint="eastAsia"/>
                <w:color w:val="auto"/>
                <w:lang w:val="en-US" w:eastAsia="zh-CN"/>
              </w:rPr>
              <w:t>有效的</w:t>
            </w:r>
            <w:r>
              <w:rPr>
                <w:rFonts w:hint="eastAsia"/>
                <w:color w:val="auto"/>
              </w:rPr>
              <w:t>中国网络安全审查技术与认证中心认证的信息安全风险评估服务资质</w:t>
            </w:r>
            <w:r>
              <w:rPr>
                <w:rFonts w:hint="eastAsia"/>
                <w:color w:val="auto"/>
                <w:lang w:eastAsia="zh-CN"/>
              </w:rPr>
              <w:t>。</w:t>
            </w:r>
          </w:p>
          <w:p>
            <w:pPr>
              <w:numPr>
                <w:ilvl w:val="0"/>
                <w:numId w:val="20"/>
              </w:numPr>
              <w:tabs>
                <w:tab w:val="left" w:pos="531"/>
              </w:tabs>
              <w:snapToGrid w:val="0"/>
              <w:rPr>
                <w:color w:val="auto"/>
              </w:rPr>
            </w:pPr>
            <w:r>
              <w:rPr>
                <w:rFonts w:hint="eastAsia"/>
                <w:color w:val="auto"/>
                <w:lang w:val="en-US" w:eastAsia="zh-CN"/>
              </w:rPr>
              <w:t>有效的</w:t>
            </w:r>
            <w:r>
              <w:rPr>
                <w:rFonts w:hint="eastAsia"/>
                <w:color w:val="auto"/>
              </w:rPr>
              <w:t>中国网络安全审查技术与认证中心认证的</w:t>
            </w:r>
            <w:r>
              <w:rPr>
                <w:color w:val="auto"/>
              </w:rPr>
              <w:t>信息安全应急处理服务资质</w:t>
            </w:r>
            <w:r>
              <w:rPr>
                <w:rFonts w:hint="eastAsia"/>
                <w:color w:val="auto"/>
                <w:lang w:eastAsia="zh-CN"/>
              </w:rPr>
              <w:t>。</w:t>
            </w:r>
          </w:p>
          <w:p>
            <w:pPr>
              <w:numPr>
                <w:ilvl w:val="0"/>
                <w:numId w:val="20"/>
              </w:numPr>
              <w:tabs>
                <w:tab w:val="left" w:pos="531"/>
              </w:tabs>
              <w:snapToGrid w:val="0"/>
              <w:rPr>
                <w:color w:val="auto"/>
              </w:rPr>
            </w:pPr>
            <w:r>
              <w:rPr>
                <w:rFonts w:hint="eastAsia"/>
                <w:color w:val="auto"/>
                <w:lang w:val="en-US" w:eastAsia="zh-CN"/>
              </w:rPr>
              <w:t>有效的</w:t>
            </w:r>
            <w:r>
              <w:rPr>
                <w:rFonts w:hint="eastAsia"/>
                <w:color w:val="auto"/>
              </w:rPr>
              <w:t>中国网络安全审查技术与认证中心认证的</w:t>
            </w:r>
            <w:r>
              <w:rPr>
                <w:color w:val="auto"/>
              </w:rPr>
              <w:t>信息系统安全运维服务资质</w:t>
            </w:r>
            <w:r>
              <w:rPr>
                <w:rFonts w:hint="eastAsia"/>
                <w:color w:val="auto"/>
                <w:lang w:eastAsia="zh-CN"/>
              </w:rPr>
              <w:t>。</w:t>
            </w:r>
          </w:p>
          <w:p>
            <w:pPr>
              <w:numPr>
                <w:ilvl w:val="0"/>
                <w:numId w:val="20"/>
              </w:numPr>
              <w:tabs>
                <w:tab w:val="left" w:pos="531"/>
              </w:tabs>
              <w:snapToGrid w:val="0"/>
              <w:rPr>
                <w:color w:val="auto"/>
              </w:rPr>
            </w:pPr>
            <w:r>
              <w:rPr>
                <w:rFonts w:hint="eastAsia"/>
                <w:color w:val="auto"/>
                <w:lang w:val="en-US" w:eastAsia="zh-CN"/>
              </w:rPr>
              <w:t>有效的</w:t>
            </w:r>
            <w:r>
              <w:rPr>
                <w:color w:val="auto"/>
              </w:rPr>
              <w:t>ISO/IEC27001信息安全管理体系认证证书</w:t>
            </w:r>
            <w:r>
              <w:rPr>
                <w:rFonts w:hint="eastAsia"/>
                <w:color w:val="auto"/>
                <w:lang w:eastAsia="zh-CN"/>
              </w:rPr>
              <w:t>。</w:t>
            </w:r>
          </w:p>
          <w:p>
            <w:pPr>
              <w:numPr>
                <w:ilvl w:val="0"/>
                <w:numId w:val="20"/>
              </w:numPr>
              <w:tabs>
                <w:tab w:val="left" w:pos="531"/>
              </w:tabs>
              <w:snapToGrid w:val="0"/>
              <w:ind w:left="0" w:firstLine="0"/>
              <w:rPr>
                <w:color w:val="auto"/>
              </w:rPr>
            </w:pPr>
            <w:r>
              <w:rPr>
                <w:rFonts w:hint="eastAsia"/>
                <w:color w:val="auto"/>
                <w:lang w:val="en-US" w:eastAsia="zh-CN"/>
              </w:rPr>
              <w:t>有效的</w:t>
            </w:r>
            <w:r>
              <w:rPr>
                <w:color w:val="auto"/>
              </w:rPr>
              <w:t>ISO20000信息技术服务管理体系认证证书</w:t>
            </w:r>
            <w:r>
              <w:rPr>
                <w:rFonts w:hint="eastAsia"/>
                <w:color w:val="auto"/>
                <w:lang w:eastAsia="zh-CN"/>
              </w:rPr>
              <w:t>。</w:t>
            </w:r>
          </w:p>
          <w:p>
            <w:pPr>
              <w:numPr>
                <w:ilvl w:val="0"/>
                <w:numId w:val="20"/>
              </w:numPr>
              <w:tabs>
                <w:tab w:val="left" w:pos="531"/>
              </w:tabs>
              <w:snapToGrid w:val="0"/>
              <w:ind w:left="0" w:firstLine="0"/>
              <w:rPr>
                <w:color w:val="auto"/>
              </w:rPr>
            </w:pPr>
            <w:r>
              <w:rPr>
                <w:rFonts w:hint="eastAsia"/>
                <w:color w:val="auto"/>
                <w:lang w:val="en-US" w:eastAsia="zh-CN"/>
              </w:rPr>
              <w:t>有效的</w:t>
            </w:r>
            <w:r>
              <w:rPr>
                <w:color w:val="auto"/>
              </w:rPr>
              <w:t>ISO27701隐私信息管理体系认证证书</w:t>
            </w:r>
            <w:r>
              <w:rPr>
                <w:rFonts w:hint="eastAsia"/>
                <w:color w:val="auto"/>
                <w:lang w:eastAsia="zh-CN"/>
              </w:rPr>
              <w:t>。</w:t>
            </w:r>
          </w:p>
          <w:p>
            <w:pPr>
              <w:numPr>
                <w:ilvl w:val="0"/>
                <w:numId w:val="20"/>
              </w:numPr>
              <w:tabs>
                <w:tab w:val="left" w:pos="531"/>
              </w:tabs>
              <w:snapToGrid w:val="0"/>
              <w:ind w:left="0" w:firstLine="0"/>
              <w:rPr>
                <w:rFonts w:hint="eastAsia"/>
                <w:color w:val="auto"/>
              </w:rPr>
            </w:pPr>
            <w:r>
              <w:rPr>
                <w:rFonts w:hint="eastAsia"/>
                <w:color w:val="auto"/>
              </w:rPr>
              <w:t>投标人</w:t>
            </w:r>
            <w:r>
              <w:rPr>
                <w:rFonts w:hint="eastAsia"/>
                <w:color w:val="auto"/>
                <w:lang w:val="en-US" w:eastAsia="zh-CN"/>
              </w:rPr>
              <w:t>使用自主研发的测评工具软件，并</w:t>
            </w:r>
            <w:r>
              <w:rPr>
                <w:rFonts w:hint="eastAsia"/>
                <w:color w:val="auto"/>
              </w:rPr>
              <w:t>获得由中华人民共和国国家版权局颁发的计算机软件著作权登记证书的（</w:t>
            </w:r>
            <w:r>
              <w:rPr>
                <w:rFonts w:hint="eastAsia"/>
                <w:color w:val="auto"/>
                <w:lang w:val="en-US" w:eastAsia="zh-CN"/>
              </w:rPr>
              <w:t>须</w:t>
            </w:r>
            <w:r>
              <w:rPr>
                <w:rFonts w:hint="eastAsia"/>
                <w:color w:val="auto"/>
              </w:rPr>
              <w:t>提供复印件</w:t>
            </w:r>
            <w:r>
              <w:rPr>
                <w:rFonts w:hint="eastAsia"/>
                <w:color w:val="auto"/>
                <w:lang w:val="en-US" w:eastAsia="zh-CN"/>
              </w:rPr>
              <w:t>加盖公章</w:t>
            </w:r>
            <w:r>
              <w:rPr>
                <w:rFonts w:hint="eastAsia"/>
                <w:color w:val="auto"/>
              </w:rPr>
              <w:t>且证书有效期不早于投标截止日期），且登记的软件内容必须是网络安全等级保护测评相关</w:t>
            </w:r>
            <w:r>
              <w:rPr>
                <w:rFonts w:hint="eastAsia"/>
                <w:color w:val="auto"/>
                <w:lang w:eastAsia="zh-CN"/>
              </w:rPr>
              <w:t>。</w:t>
            </w:r>
          </w:p>
          <w:p>
            <w:pPr>
              <w:pStyle w:val="2"/>
              <w:ind w:leftChars="0" w:hanging="420" w:hangingChars="200"/>
              <w:rPr>
                <w:rFonts w:hint="default"/>
                <w:color w:val="auto"/>
                <w:lang w:val="en-US"/>
              </w:rPr>
            </w:pPr>
            <w:r>
              <w:rPr>
                <w:rFonts w:hint="eastAsia" w:ascii="宋体" w:cs="Times New Roman"/>
                <w:color w:val="auto"/>
                <w:sz w:val="21"/>
                <w:szCs w:val="21"/>
                <w:highlight w:val="none"/>
                <w:lang w:val="en-US" w:eastAsia="zh-CN"/>
              </w:rPr>
              <w:t>备注：投标人提供以上证书复印件或扫描件加盖投标人公章。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5"/>
              <w:numPr>
                <w:ilvl w:val="0"/>
                <w:numId w:val="19"/>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color w:val="auto"/>
                <w:highlight w:val="none"/>
                <w:lang w:val="en-US" w:eastAsia="zh-CN"/>
              </w:rPr>
              <w:t>业绩</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12</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numPr>
                <w:ilvl w:val="0"/>
                <w:numId w:val="21"/>
              </w:numPr>
              <w:tabs>
                <w:tab w:val="left" w:pos="531"/>
              </w:tabs>
              <w:snapToGrid w:val="0"/>
              <w:ind w:left="425" w:hanging="425"/>
              <w:rPr>
                <w:rFonts w:ascii="宋体" w:hAnsi="宋体"/>
                <w:color w:val="auto"/>
                <w:szCs w:val="21"/>
                <w:highlight w:val="none"/>
              </w:rPr>
            </w:pPr>
            <w:r>
              <w:rPr>
                <w:rFonts w:hint="eastAsia" w:ascii="宋体" w:hAnsi="宋体"/>
                <w:color w:val="auto"/>
                <w:szCs w:val="21"/>
                <w:highlight w:val="none"/>
              </w:rPr>
              <w:t>近三年（以投标截止日</w:t>
            </w:r>
            <w:r>
              <w:rPr>
                <w:rFonts w:hint="eastAsia" w:ascii="宋体" w:hAnsi="宋体"/>
                <w:color w:val="auto"/>
                <w:szCs w:val="21"/>
                <w:highlight w:val="none"/>
                <w:lang w:val="en-US" w:eastAsia="zh-CN"/>
              </w:rPr>
              <w:t>期往</w:t>
            </w:r>
            <w:r>
              <w:rPr>
                <w:rFonts w:hint="eastAsia" w:ascii="宋体" w:hAnsi="宋体"/>
                <w:color w:val="auto"/>
                <w:szCs w:val="21"/>
                <w:highlight w:val="none"/>
              </w:rPr>
              <w:t>前推），具有深圳区域网络安全等级保护测评服务等同类项目的</w:t>
            </w:r>
            <w:r>
              <w:rPr>
                <w:rFonts w:hint="eastAsia" w:ascii="宋体" w:hAnsi="宋体"/>
                <w:color w:val="auto"/>
                <w:szCs w:val="21"/>
                <w:highlight w:val="none"/>
                <w:lang w:val="en-US" w:eastAsia="zh-CN"/>
              </w:rPr>
              <w:t>业绩</w:t>
            </w:r>
            <w:r>
              <w:rPr>
                <w:rFonts w:hint="eastAsia" w:ascii="宋体" w:hAnsi="宋体"/>
                <w:color w:val="auto"/>
                <w:szCs w:val="21"/>
                <w:highlight w:val="none"/>
              </w:rPr>
              <w:t>，提供有效合同的关键页面复印件</w:t>
            </w:r>
            <w:r>
              <w:rPr>
                <w:rFonts w:hint="eastAsia" w:ascii="宋体" w:hAnsi="宋体"/>
                <w:color w:val="auto"/>
                <w:szCs w:val="21"/>
                <w:highlight w:val="none"/>
                <w:lang w:val="en-US" w:eastAsia="zh-CN"/>
              </w:rPr>
              <w:t>或</w:t>
            </w:r>
            <w:r>
              <w:rPr>
                <w:rFonts w:hint="eastAsia" w:ascii="宋体" w:hAnsi="宋体"/>
                <w:color w:val="auto"/>
                <w:szCs w:val="21"/>
                <w:highlight w:val="none"/>
              </w:rPr>
              <w:t>验收证明材料（验收材料需要甲乙双方盖章确认），并</w:t>
            </w:r>
            <w:r>
              <w:rPr>
                <w:rFonts w:hint="eastAsia" w:ascii="宋体" w:hAnsi="宋体"/>
                <w:color w:val="auto"/>
                <w:szCs w:val="21"/>
                <w:highlight w:val="none"/>
                <w:lang w:eastAsia="zh-CN"/>
              </w:rPr>
              <w:t>加盖公章</w:t>
            </w:r>
            <w:r>
              <w:rPr>
                <w:rFonts w:hint="eastAsia" w:ascii="宋体" w:hAnsi="宋体"/>
                <w:color w:val="auto"/>
                <w:szCs w:val="21"/>
                <w:highlight w:val="none"/>
              </w:rPr>
              <w:t>；同时出现一个用户单位多份合同的情况只算一次，每个</w:t>
            </w:r>
            <w:r>
              <w:rPr>
                <w:rFonts w:hint="eastAsia" w:ascii="宋体" w:hAnsi="宋体"/>
                <w:color w:val="auto"/>
                <w:szCs w:val="21"/>
                <w:highlight w:val="none"/>
                <w:lang w:val="en-US" w:eastAsia="zh-CN"/>
              </w:rPr>
              <w:t>业绩</w:t>
            </w:r>
            <w:r>
              <w:rPr>
                <w:rFonts w:hint="eastAsia" w:ascii="宋体" w:hAnsi="宋体"/>
                <w:color w:val="auto"/>
                <w:szCs w:val="21"/>
                <w:highlight w:val="none"/>
              </w:rPr>
              <w:t>得</w:t>
            </w:r>
            <w:r>
              <w:rPr>
                <w:rFonts w:hint="eastAsia" w:ascii="宋体" w:hAnsi="宋体"/>
                <w:color w:val="auto"/>
                <w:szCs w:val="21"/>
                <w:highlight w:val="none"/>
                <w:lang w:val="en-US" w:eastAsia="zh-CN"/>
              </w:rPr>
              <w:t>2</w:t>
            </w:r>
            <w:r>
              <w:rPr>
                <w:rFonts w:hint="eastAsia" w:ascii="宋体" w:hAnsi="宋体"/>
                <w:color w:val="auto"/>
                <w:szCs w:val="21"/>
                <w:highlight w:val="none"/>
              </w:rPr>
              <w:t>分，满分</w:t>
            </w:r>
            <w:r>
              <w:rPr>
                <w:rFonts w:hint="eastAsia" w:ascii="宋体" w:hAnsi="宋体"/>
                <w:color w:val="auto"/>
                <w:szCs w:val="21"/>
                <w:highlight w:val="none"/>
                <w:lang w:val="en-US" w:eastAsia="zh-CN"/>
              </w:rPr>
              <w:t>8</w:t>
            </w:r>
            <w:r>
              <w:rPr>
                <w:rFonts w:hint="eastAsia" w:ascii="宋体" w:hAnsi="宋体"/>
                <w:color w:val="auto"/>
                <w:szCs w:val="21"/>
                <w:highlight w:val="none"/>
              </w:rPr>
              <w:t>分。</w:t>
            </w:r>
          </w:p>
          <w:p>
            <w:pPr>
              <w:numPr>
                <w:ilvl w:val="0"/>
                <w:numId w:val="21"/>
              </w:numPr>
              <w:tabs>
                <w:tab w:val="left" w:pos="531"/>
              </w:tabs>
              <w:snapToGrid w:val="0"/>
              <w:ind w:left="425" w:hanging="425"/>
              <w:rPr>
                <w:rFonts w:ascii="宋体" w:hAnsi="宋体"/>
                <w:color w:val="auto"/>
                <w:szCs w:val="21"/>
                <w:highlight w:val="none"/>
              </w:rPr>
            </w:pPr>
            <w:r>
              <w:rPr>
                <w:rFonts w:hint="eastAsia" w:ascii="宋体" w:hAnsi="宋体"/>
                <w:color w:val="auto"/>
                <w:szCs w:val="21"/>
                <w:highlight w:val="none"/>
              </w:rPr>
              <w:t>近三年（以投标截止日期为准，前推三年），</w:t>
            </w:r>
            <w:r>
              <w:rPr>
                <w:rFonts w:hint="eastAsia" w:ascii="宋体" w:hAnsi="宋体"/>
                <w:color w:val="auto"/>
                <w:szCs w:val="21"/>
                <w:highlight w:val="none"/>
                <w:lang w:val="en-US" w:eastAsia="zh-CN"/>
              </w:rPr>
              <w:t>在网络安全服务领域</w:t>
            </w:r>
            <w:r>
              <w:rPr>
                <w:rFonts w:hint="eastAsia" w:ascii="宋体" w:hAnsi="宋体"/>
                <w:color w:val="auto"/>
                <w:szCs w:val="21"/>
                <w:highlight w:val="none"/>
              </w:rPr>
              <w:t>获得省级及以上</w:t>
            </w:r>
            <w:r>
              <w:rPr>
                <w:rFonts w:hint="eastAsia" w:ascii="宋体" w:hAnsi="宋体"/>
                <w:color w:val="auto"/>
                <w:szCs w:val="21"/>
                <w:highlight w:val="none"/>
                <w:lang w:val="en-US" w:eastAsia="zh-CN"/>
              </w:rPr>
              <w:t>政府部门</w:t>
            </w:r>
            <w:r>
              <w:rPr>
                <w:rFonts w:hint="eastAsia" w:ascii="宋体" w:hAnsi="宋体"/>
                <w:color w:val="auto"/>
                <w:szCs w:val="21"/>
                <w:highlight w:val="none"/>
              </w:rPr>
              <w:t>的感谢信、表彰等的，每</w:t>
            </w:r>
            <w:r>
              <w:rPr>
                <w:rFonts w:hint="eastAsia" w:ascii="宋体" w:hAnsi="宋体"/>
                <w:color w:val="auto"/>
                <w:szCs w:val="21"/>
                <w:highlight w:val="none"/>
                <w:lang w:val="en-US" w:eastAsia="zh-CN"/>
              </w:rPr>
              <w:t>项</w:t>
            </w:r>
            <w:r>
              <w:rPr>
                <w:rFonts w:hint="eastAsia" w:ascii="宋体" w:hAnsi="宋体"/>
                <w:color w:val="auto"/>
                <w:szCs w:val="21"/>
                <w:highlight w:val="none"/>
              </w:rPr>
              <w:t>得</w:t>
            </w:r>
            <w:r>
              <w:rPr>
                <w:rFonts w:hint="eastAsia" w:ascii="宋体" w:hAnsi="宋体"/>
                <w:color w:val="auto"/>
                <w:szCs w:val="21"/>
                <w:highlight w:val="none"/>
                <w:lang w:val="en-US" w:eastAsia="zh-CN"/>
              </w:rPr>
              <w:t>2</w:t>
            </w:r>
            <w:r>
              <w:rPr>
                <w:rFonts w:hint="eastAsia" w:ascii="宋体" w:hAnsi="宋体"/>
                <w:color w:val="auto"/>
                <w:szCs w:val="21"/>
                <w:highlight w:val="none"/>
              </w:rPr>
              <w:t>分（同一</w:t>
            </w:r>
            <w:r>
              <w:rPr>
                <w:rFonts w:hint="eastAsia" w:ascii="宋体" w:hAnsi="宋体"/>
                <w:color w:val="auto"/>
                <w:szCs w:val="21"/>
                <w:highlight w:val="none"/>
                <w:lang w:val="en-US" w:eastAsia="zh-CN"/>
              </w:rPr>
              <w:t>政府部门</w:t>
            </w:r>
            <w:r>
              <w:rPr>
                <w:rFonts w:hint="eastAsia" w:ascii="宋体" w:hAnsi="宋体"/>
                <w:color w:val="auto"/>
                <w:szCs w:val="21"/>
                <w:highlight w:val="none"/>
              </w:rPr>
              <w:t>不重复得分），满分</w:t>
            </w:r>
            <w:r>
              <w:rPr>
                <w:rFonts w:hint="eastAsia" w:ascii="宋体" w:hAnsi="宋体"/>
                <w:color w:val="auto"/>
                <w:szCs w:val="21"/>
                <w:highlight w:val="none"/>
                <w:lang w:val="en-US" w:eastAsia="zh-CN"/>
              </w:rPr>
              <w:t>4</w:t>
            </w:r>
            <w:r>
              <w:rPr>
                <w:rFonts w:hint="eastAsia" w:ascii="宋体" w:hAnsi="宋体"/>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color w:val="auto"/>
                <w:szCs w:val="21"/>
                <w:highlight w:val="none"/>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技术服务评议项（</w:t>
            </w:r>
            <w:r>
              <w:rPr>
                <w:rFonts w:hint="eastAsia" w:ascii="宋体" w:hAnsi="宋体"/>
                <w:color w:val="auto"/>
                <w:szCs w:val="21"/>
                <w:highlight w:val="none"/>
                <w:lang w:val="en-US" w:eastAsia="zh-CN"/>
              </w:rPr>
              <w:t>30</w:t>
            </w:r>
            <w:r>
              <w:rPr>
                <w:rFonts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5"/>
              <w:numPr>
                <w:ilvl w:val="0"/>
                <w:numId w:val="22"/>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color w:val="auto"/>
                <w:highlight w:val="none"/>
                <w:lang w:val="en-US" w:eastAsia="zh-CN"/>
              </w:rPr>
              <w:t>实施方案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numPr>
                <w:ilvl w:val="0"/>
                <w:numId w:val="23"/>
              </w:numPr>
              <w:tabs>
                <w:tab w:val="left" w:pos="531"/>
              </w:tabs>
              <w:snapToGrid w:val="0"/>
              <w:rPr>
                <w:rFonts w:ascii="宋体" w:hAnsi="宋体" w:cs="宋体"/>
                <w:color w:val="auto"/>
                <w:kern w:val="0"/>
                <w:szCs w:val="21"/>
                <w:highlight w:val="none"/>
              </w:rPr>
            </w:pPr>
            <w:r>
              <w:rPr>
                <w:rFonts w:hint="eastAsia" w:ascii="宋体" w:hAnsi="宋体"/>
                <w:color w:val="auto"/>
                <w:szCs w:val="21"/>
                <w:highlight w:val="none"/>
              </w:rPr>
              <w:t>投标人对投标项目深入了解，并充分理解项目服务内容、实施要求、政策要求，无论是政策因素还是实施因素等都充分考虑。</w:t>
            </w:r>
          </w:p>
          <w:p>
            <w:pPr>
              <w:numPr>
                <w:ilvl w:val="0"/>
                <w:numId w:val="23"/>
              </w:numPr>
              <w:tabs>
                <w:tab w:val="left" w:pos="531"/>
              </w:tabs>
              <w:snapToGrid w:val="0"/>
              <w:rPr>
                <w:rFonts w:ascii="宋体" w:hAnsi="宋体" w:cs="宋体"/>
                <w:color w:val="auto"/>
                <w:kern w:val="0"/>
                <w:szCs w:val="21"/>
                <w:highlight w:val="none"/>
              </w:rPr>
            </w:pPr>
            <w:r>
              <w:rPr>
                <w:rFonts w:hint="eastAsia" w:ascii="宋体" w:hAnsi="宋体"/>
                <w:color w:val="auto"/>
                <w:szCs w:val="21"/>
                <w:highlight w:val="none"/>
              </w:rPr>
              <w:t>投标人的方案思路清晰明确、描述严谨科学。对服务需求、服务内容、实施流程、实施进度、实施工期、实施管理、项目验收做出实质性响应，能给出合理的解决方案或思路</w:t>
            </w:r>
            <w:r>
              <w:rPr>
                <w:rFonts w:hint="eastAsia" w:ascii="宋体" w:hAnsi="宋体"/>
                <w:color w:val="auto"/>
                <w:szCs w:val="21"/>
                <w:highlight w:val="none"/>
                <w:lang w:eastAsia="zh-CN"/>
              </w:rPr>
              <w:t>。</w:t>
            </w:r>
          </w:p>
          <w:p>
            <w:pPr>
              <w:numPr>
                <w:ilvl w:val="0"/>
                <w:numId w:val="0"/>
              </w:numPr>
              <w:tabs>
                <w:tab w:val="left" w:pos="531"/>
              </w:tabs>
              <w:snapToGrid w:val="0"/>
              <w:ind w:leftChars="0"/>
              <w:rPr>
                <w:rFonts w:ascii="宋体" w:hAnsi="宋体" w:cs="宋体"/>
                <w:color w:val="auto"/>
                <w:kern w:val="0"/>
                <w:szCs w:val="21"/>
                <w:highlight w:val="none"/>
              </w:rPr>
            </w:pPr>
            <w:r>
              <w:rPr>
                <w:rFonts w:hint="eastAsia" w:ascii="宋体" w:hAnsi="宋体"/>
                <w:color w:val="auto"/>
                <w:szCs w:val="21"/>
                <w:highlight w:val="none"/>
                <w:lang w:val="en-US" w:eastAsia="zh-CN"/>
              </w:rPr>
              <w:t>评优得10分，良得7分，一般得3分，差不得分</w:t>
            </w:r>
            <w:r>
              <w:rPr>
                <w:rFonts w:hint="eastAsia" w:ascii="宋体" w:hAnsi="宋体"/>
                <w:color w:val="auto"/>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5"/>
              <w:numPr>
                <w:ilvl w:val="0"/>
                <w:numId w:val="22"/>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color w:val="auto"/>
                <w:highlight w:val="none"/>
              </w:rPr>
              <w:t>项目质量保障措施</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numPr>
                <w:ilvl w:val="0"/>
                <w:numId w:val="0"/>
              </w:numPr>
              <w:tabs>
                <w:tab w:val="left" w:pos="531"/>
              </w:tabs>
              <w:snapToGrid w:val="0"/>
              <w:ind w:leftChars="0"/>
              <w:rPr>
                <w:rFonts w:ascii="宋体" w:hAnsi="宋体" w:cs="宋体"/>
                <w:color w:val="auto"/>
                <w:kern w:val="0"/>
                <w:szCs w:val="21"/>
                <w:highlight w:val="none"/>
              </w:rPr>
            </w:pPr>
            <w:r>
              <w:rPr>
                <w:rFonts w:hint="eastAsia" w:ascii="宋体" w:hAnsi="宋体"/>
                <w:color w:val="auto"/>
                <w:szCs w:val="21"/>
                <w:highlight w:val="none"/>
              </w:rPr>
              <w:t>投标人对本项目制定质量安全保障方案，按照进度要求控制好各环节工作，确保服务质量和响应速度，项目进度和质量的保障措施具体、合理。</w:t>
            </w:r>
          </w:p>
          <w:p>
            <w:pPr>
              <w:numPr>
                <w:ilvl w:val="0"/>
                <w:numId w:val="0"/>
              </w:numPr>
              <w:tabs>
                <w:tab w:val="left" w:pos="531"/>
              </w:tabs>
              <w:snapToGrid w:val="0"/>
              <w:ind w:leftChars="0"/>
              <w:rPr>
                <w:rFonts w:ascii="宋体" w:hAnsi="宋体" w:cs="宋体"/>
                <w:color w:val="auto"/>
                <w:kern w:val="0"/>
                <w:szCs w:val="21"/>
                <w:highlight w:val="none"/>
              </w:rPr>
            </w:pPr>
            <w:r>
              <w:rPr>
                <w:rFonts w:hint="eastAsia" w:ascii="宋体" w:hAnsi="宋体"/>
                <w:color w:val="auto"/>
                <w:szCs w:val="21"/>
                <w:highlight w:val="none"/>
                <w:lang w:val="en-US" w:eastAsia="zh-CN"/>
              </w:rPr>
              <w:t>评优得5分，良得3分，一般得1分，差不得分</w:t>
            </w:r>
            <w:r>
              <w:rPr>
                <w:rFonts w:hint="eastAsia" w:ascii="宋体" w:hAnsi="宋体"/>
                <w:color w:val="auto"/>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5"/>
              <w:numPr>
                <w:ilvl w:val="0"/>
                <w:numId w:val="22"/>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ascii="Times New Roman" w:hAnsi="Times New Roman" w:eastAsia="宋体" w:cs="Times New Roman"/>
                <w:color w:val="auto"/>
                <w:kern w:val="2"/>
                <w:sz w:val="21"/>
                <w:szCs w:val="24"/>
                <w:highlight w:val="none"/>
                <w:lang w:val="en-US" w:eastAsia="zh-CN" w:bidi="ar-SA"/>
              </w:rPr>
            </w:pPr>
            <w:r>
              <w:rPr>
                <w:rFonts w:hint="eastAsia" w:ascii="宋体" w:hAnsi="宋体"/>
                <w:color w:val="auto"/>
                <w:szCs w:val="21"/>
                <w:highlight w:val="none"/>
              </w:rPr>
              <w:t>拟安排的项目负责人</w:t>
            </w:r>
            <w:r>
              <w:rPr>
                <w:rFonts w:hint="eastAsia" w:ascii="宋体" w:hAnsi="宋体"/>
                <w:color w:val="auto"/>
                <w:szCs w:val="21"/>
                <w:highlight w:val="none"/>
                <w:lang w:val="en-US" w:eastAsia="zh-CN"/>
              </w:rPr>
              <w:t>技术能力</w:t>
            </w:r>
            <w:r>
              <w:rPr>
                <w:rFonts w:hint="eastAsia" w:ascii="宋体" w:hAnsi="宋体"/>
                <w:color w:val="auto"/>
                <w:szCs w:val="21"/>
                <w:highlight w:val="none"/>
              </w:rPr>
              <w:t>（仅限一人）</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5分</w:t>
            </w:r>
          </w:p>
        </w:tc>
        <w:tc>
          <w:tcPr>
            <w:tcW w:w="6804" w:type="dxa"/>
            <w:gridSpan w:val="2"/>
            <w:tcBorders>
              <w:tl2br w:val="nil"/>
              <w:tr2bl w:val="nil"/>
            </w:tcBorders>
            <w:tcMar>
              <w:top w:w="15" w:type="dxa"/>
              <w:left w:w="15" w:type="dxa"/>
              <w:bottom w:w="15" w:type="dxa"/>
              <w:right w:w="15" w:type="dxa"/>
            </w:tcMar>
            <w:vAlign w:val="center"/>
          </w:tcPr>
          <w:p>
            <w:pPr>
              <w:tabs>
                <w:tab w:val="left" w:pos="531"/>
              </w:tabs>
              <w:snapToGrid w:val="0"/>
              <w:rPr>
                <w:rFonts w:hint="eastAsia" w:eastAsia="宋体"/>
                <w:lang w:eastAsia="zh-CN"/>
              </w:rPr>
            </w:pPr>
            <w:r>
              <w:rPr>
                <w:rFonts w:hint="eastAsia"/>
              </w:rPr>
              <w:t>项目负责人（必须提供该人员身份证复印件和最近3个月的</w:t>
            </w:r>
            <w:r>
              <w:rPr>
                <w:rFonts w:hint="eastAsia"/>
                <w:lang w:val="en-US" w:eastAsia="zh-CN"/>
              </w:rPr>
              <w:t>由投标人为其缴纳的</w:t>
            </w:r>
            <w:r>
              <w:rPr>
                <w:rFonts w:hint="eastAsia"/>
              </w:rPr>
              <w:t>社保证明）具有以下证书的（</w:t>
            </w:r>
            <w:r>
              <w:rPr>
                <w:rFonts w:hint="eastAsia"/>
                <w:lang w:val="en-US" w:eastAsia="zh-CN"/>
              </w:rPr>
              <w:t>须</w:t>
            </w:r>
            <w:r>
              <w:rPr>
                <w:rFonts w:hint="eastAsia"/>
              </w:rPr>
              <w:t>提供</w:t>
            </w:r>
            <w:r>
              <w:rPr>
                <w:rFonts w:hint="eastAsia"/>
                <w:lang w:val="en-US" w:eastAsia="zh-CN"/>
              </w:rPr>
              <w:t>证书</w:t>
            </w:r>
            <w:r>
              <w:rPr>
                <w:rFonts w:hint="eastAsia"/>
              </w:rPr>
              <w:t>复印件</w:t>
            </w:r>
            <w:r>
              <w:rPr>
                <w:rFonts w:hint="eastAsia"/>
                <w:lang w:val="en-US" w:eastAsia="zh-CN"/>
              </w:rPr>
              <w:t>加盖公章</w:t>
            </w:r>
            <w:r>
              <w:rPr>
                <w:rFonts w:hint="eastAsia"/>
              </w:rPr>
              <w:t>）</w:t>
            </w:r>
            <w:r>
              <w:rPr>
                <w:rFonts w:hint="eastAsia"/>
                <w:lang w:eastAsia="zh-CN"/>
              </w:rPr>
              <w:t>。</w:t>
            </w:r>
          </w:p>
          <w:p>
            <w:pPr>
              <w:numPr>
                <w:ilvl w:val="0"/>
                <w:numId w:val="24"/>
              </w:numPr>
              <w:tabs>
                <w:tab w:val="left" w:pos="531"/>
              </w:tabs>
              <w:snapToGrid w:val="0"/>
              <w:rPr>
                <w:rFonts w:hint="eastAsia"/>
              </w:rPr>
            </w:pPr>
            <w:r>
              <w:rPr>
                <w:rFonts w:hint="eastAsia"/>
              </w:rPr>
              <w:t>中关村信息安全测评联盟颁发的</w:t>
            </w:r>
            <w:r>
              <w:rPr>
                <w:rFonts w:hint="eastAsia"/>
                <w:lang w:val="en-US" w:eastAsia="zh-CN"/>
              </w:rPr>
              <w:t>中级或高级</w:t>
            </w:r>
            <w:r>
              <w:rPr>
                <w:rFonts w:hint="eastAsia"/>
              </w:rPr>
              <w:t>信息安全等级测评师证书</w:t>
            </w:r>
            <w:r>
              <w:rPr>
                <w:rFonts w:hint="eastAsia"/>
                <w:lang w:eastAsia="zh-CN"/>
              </w:rPr>
              <w:t>，</w:t>
            </w:r>
            <w:r>
              <w:rPr>
                <w:rFonts w:hint="eastAsia"/>
                <w:lang w:val="en-US" w:eastAsia="zh-CN"/>
              </w:rPr>
              <w:t>中级证书得1.5分，高级证书得3分。</w:t>
            </w:r>
          </w:p>
          <w:p>
            <w:pPr>
              <w:numPr>
                <w:ilvl w:val="0"/>
                <w:numId w:val="24"/>
              </w:numPr>
              <w:tabs>
                <w:tab w:val="left" w:pos="531"/>
              </w:tabs>
              <w:snapToGrid w:val="0"/>
              <w:rPr>
                <w:rFonts w:hint="eastAsia"/>
              </w:rPr>
            </w:pPr>
            <w:r>
              <w:rPr>
                <w:rFonts w:hint="eastAsia"/>
              </w:rPr>
              <w:t>中国网络安全审查技术与认证中心颁发的信息安全保障人员认证证书即CISAW证书</w:t>
            </w:r>
            <w:r>
              <w:rPr>
                <w:rFonts w:hint="eastAsia"/>
                <w:lang w:eastAsia="zh-CN"/>
              </w:rPr>
              <w:t>，</w:t>
            </w:r>
            <w:r>
              <w:rPr>
                <w:rFonts w:hint="eastAsia"/>
                <w:lang w:val="en-US" w:eastAsia="zh-CN"/>
              </w:rPr>
              <w:t>得2分。</w:t>
            </w:r>
          </w:p>
          <w:p>
            <w:pPr>
              <w:pStyle w:val="14"/>
              <w:rPr>
                <w:rFonts w:hint="eastAsia" w:eastAsia="仿宋_GB2312"/>
                <w:lang w:val="en-US" w:eastAsia="zh-CN"/>
              </w:rPr>
            </w:pPr>
            <w:r>
              <w:rPr>
                <w:rFonts w:hint="eastAsia" w:ascii="Times New Roman" w:hAnsi="Times New Roman" w:eastAsia="宋体" w:cs="Times New Roman"/>
                <w:kern w:val="2"/>
                <w:sz w:val="21"/>
                <w:szCs w:val="24"/>
                <w:lang w:val="en-US" w:eastAsia="zh-CN" w:bidi="ar-SA"/>
              </w:rPr>
              <w:t>备注：如证书具有有效期，需提供处于有效期内的证书，过期证书不得分。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5"/>
              <w:numPr>
                <w:ilvl w:val="0"/>
                <w:numId w:val="22"/>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olor w:val="auto"/>
                <w:highlight w:val="none"/>
              </w:rPr>
              <w:t>拟安排的项目团队成员</w:t>
            </w:r>
            <w:r>
              <w:rPr>
                <w:rFonts w:hint="eastAsia" w:ascii="宋体" w:hAnsi="宋体"/>
                <w:color w:val="auto"/>
                <w:highlight w:val="none"/>
                <w:lang w:val="en-US" w:eastAsia="zh-CN"/>
              </w:rPr>
              <w:t>能力</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10分</w:t>
            </w:r>
          </w:p>
        </w:tc>
        <w:tc>
          <w:tcPr>
            <w:tcW w:w="6804" w:type="dxa"/>
            <w:gridSpan w:val="2"/>
            <w:tcBorders>
              <w:tl2br w:val="nil"/>
              <w:tr2bl w:val="nil"/>
            </w:tcBorders>
            <w:tcMar>
              <w:top w:w="15" w:type="dxa"/>
              <w:left w:w="15" w:type="dxa"/>
              <w:bottom w:w="15" w:type="dxa"/>
              <w:right w:w="15" w:type="dxa"/>
            </w:tcMar>
            <w:vAlign w:val="center"/>
          </w:tcPr>
          <w:p>
            <w:pPr>
              <w:tabs>
                <w:tab w:val="left" w:pos="531"/>
              </w:tabs>
              <w:snapToGrid w:val="0"/>
              <w:rPr>
                <w:rFonts w:hint="eastAsia"/>
              </w:rPr>
            </w:pPr>
            <w:r>
              <w:rPr>
                <w:rFonts w:hint="eastAsia"/>
              </w:rPr>
              <w:t>拟派项目团队成员不低于</w:t>
            </w:r>
            <w:r>
              <w:rPr>
                <w:rFonts w:hint="eastAsia"/>
                <w:lang w:val="en-US" w:eastAsia="zh-CN"/>
              </w:rPr>
              <w:t>5</w:t>
            </w:r>
            <w:r>
              <w:rPr>
                <w:rFonts w:hint="eastAsia"/>
              </w:rPr>
              <w:t>人（必须提供全部成员身份证复印件和最近3个月</w:t>
            </w:r>
            <w:r>
              <w:rPr>
                <w:rFonts w:hint="eastAsia"/>
                <w:lang w:val="en-US" w:eastAsia="zh-CN"/>
              </w:rPr>
              <w:t>由投标人为其缴纳的</w:t>
            </w:r>
            <w:r>
              <w:rPr>
                <w:rFonts w:hint="eastAsia"/>
              </w:rPr>
              <w:t>社保证明），且同时具有中关村信息安全测评联盟颁发的网络安全等级测评师证书（</w:t>
            </w:r>
            <w:r>
              <w:rPr>
                <w:rFonts w:hint="eastAsia"/>
                <w:lang w:val="en-US" w:eastAsia="zh-CN"/>
              </w:rPr>
              <w:t>须</w:t>
            </w:r>
            <w:r>
              <w:rPr>
                <w:rFonts w:hint="eastAsia"/>
              </w:rPr>
              <w:t>提供复印件</w:t>
            </w:r>
            <w:r>
              <w:rPr>
                <w:rFonts w:hint="eastAsia"/>
                <w:lang w:val="en-US" w:eastAsia="zh-CN"/>
              </w:rPr>
              <w:t>加盖公章</w:t>
            </w:r>
            <w:r>
              <w:rPr>
                <w:rFonts w:hint="eastAsia"/>
              </w:rPr>
              <w:t>）；不满足的本项不得分。满足条件的，项目团队成员</w:t>
            </w:r>
            <w:r>
              <w:rPr>
                <w:rFonts w:hint="eastAsia"/>
                <w:lang w:val="en-US" w:eastAsia="zh-CN"/>
              </w:rPr>
              <w:t>还</w:t>
            </w:r>
            <w:r>
              <w:rPr>
                <w:rFonts w:hint="eastAsia"/>
              </w:rPr>
              <w:t>具有以下证书的（</w:t>
            </w:r>
            <w:r>
              <w:rPr>
                <w:rFonts w:hint="eastAsia"/>
                <w:lang w:val="en-US" w:eastAsia="zh-CN"/>
              </w:rPr>
              <w:t>须</w:t>
            </w:r>
            <w:r>
              <w:rPr>
                <w:rFonts w:hint="eastAsia"/>
              </w:rPr>
              <w:t>提供复印件</w:t>
            </w:r>
            <w:r>
              <w:rPr>
                <w:rFonts w:hint="eastAsia"/>
                <w:lang w:val="en-US" w:eastAsia="zh-CN"/>
              </w:rPr>
              <w:t>加盖公章</w:t>
            </w:r>
            <w:r>
              <w:rPr>
                <w:rFonts w:hint="eastAsia"/>
              </w:rPr>
              <w:t>），每</w:t>
            </w:r>
            <w:r>
              <w:rPr>
                <w:rFonts w:hint="eastAsia"/>
                <w:lang w:val="en-US" w:eastAsia="zh-CN"/>
              </w:rPr>
              <w:t>人每</w:t>
            </w:r>
            <w:r>
              <w:rPr>
                <w:rFonts w:hint="eastAsia"/>
              </w:rPr>
              <w:t>项得</w:t>
            </w:r>
            <w:r>
              <w:rPr>
                <w:rFonts w:hint="eastAsia"/>
                <w:lang w:val="en-US" w:eastAsia="zh-CN"/>
              </w:rPr>
              <w:t>2</w:t>
            </w:r>
            <w:r>
              <w:rPr>
                <w:rFonts w:hint="eastAsia"/>
              </w:rPr>
              <w:t>分，最高</w:t>
            </w:r>
            <w:r>
              <w:rPr>
                <w:rFonts w:hint="eastAsia"/>
                <w:lang w:val="en-US" w:eastAsia="zh-CN"/>
              </w:rPr>
              <w:t>10</w:t>
            </w:r>
            <w:r>
              <w:rPr>
                <w:rFonts w:hint="eastAsia"/>
              </w:rPr>
              <w:t>分</w:t>
            </w:r>
            <w:r>
              <w:rPr>
                <w:rFonts w:hint="eastAsia"/>
                <w:lang w:eastAsia="zh-CN"/>
              </w:rPr>
              <w:t>。</w:t>
            </w:r>
          </w:p>
          <w:p>
            <w:pPr>
              <w:numPr>
                <w:ilvl w:val="0"/>
                <w:numId w:val="25"/>
              </w:numPr>
              <w:tabs>
                <w:tab w:val="left" w:pos="531"/>
              </w:tabs>
              <w:snapToGrid w:val="0"/>
              <w:rPr>
                <w:rFonts w:hint="eastAsia"/>
              </w:rPr>
            </w:pPr>
            <w:r>
              <w:rPr>
                <w:rFonts w:hint="eastAsia"/>
              </w:rPr>
              <w:t>中关村信息安全测评联盟颁发的信息安全等级中级</w:t>
            </w:r>
            <w:r>
              <w:rPr>
                <w:rFonts w:hint="eastAsia"/>
                <w:lang w:val="en-US" w:eastAsia="zh-CN"/>
              </w:rPr>
              <w:t>或以上</w:t>
            </w:r>
            <w:r>
              <w:rPr>
                <w:rFonts w:hint="eastAsia"/>
              </w:rPr>
              <w:t>测评师证书</w:t>
            </w:r>
            <w:r>
              <w:rPr>
                <w:rFonts w:hint="eastAsia"/>
                <w:lang w:eastAsia="zh-CN"/>
              </w:rPr>
              <w:t>。</w:t>
            </w:r>
          </w:p>
          <w:p>
            <w:pPr>
              <w:numPr>
                <w:ilvl w:val="0"/>
                <w:numId w:val="25"/>
              </w:numPr>
              <w:tabs>
                <w:tab w:val="left" w:pos="531"/>
              </w:tabs>
              <w:snapToGrid w:val="0"/>
              <w:rPr>
                <w:rFonts w:hint="eastAsia"/>
              </w:rPr>
            </w:pPr>
            <w:r>
              <w:rPr>
                <w:rFonts w:hint="eastAsia"/>
              </w:rPr>
              <w:t xml:space="preserve">中国信息安全测评中心颁发的注册信息安全专业人员证书即CISP证书（包含4个类别：CISE、CISO </w:t>
            </w:r>
            <w:r>
              <w:rPr>
                <w:rFonts w:hint="eastAsia"/>
                <w:lang w:eastAsia="zh-CN"/>
              </w:rPr>
              <w:t>、</w:t>
            </w:r>
            <w:r>
              <w:rPr>
                <w:rFonts w:hint="eastAsia"/>
              </w:rPr>
              <w:t>CISA、CISD）</w:t>
            </w:r>
            <w:r>
              <w:rPr>
                <w:rFonts w:hint="eastAsia"/>
                <w:lang w:eastAsia="zh-CN"/>
              </w:rPr>
              <w:t>。</w:t>
            </w:r>
          </w:p>
          <w:p>
            <w:pPr>
              <w:numPr>
                <w:ilvl w:val="0"/>
                <w:numId w:val="25"/>
              </w:numPr>
              <w:tabs>
                <w:tab w:val="left" w:pos="531"/>
              </w:tabs>
              <w:snapToGrid w:val="0"/>
              <w:rPr>
                <w:rFonts w:hint="eastAsia"/>
              </w:rPr>
            </w:pPr>
            <w:r>
              <w:rPr>
                <w:rFonts w:hint="eastAsia"/>
              </w:rPr>
              <w:t>中国信息安全测评中心颁发的注册渗透测试工程师证书即CISP-PTE证书</w:t>
            </w:r>
            <w:r>
              <w:rPr>
                <w:rFonts w:hint="eastAsia"/>
                <w:lang w:eastAsia="zh-CN"/>
              </w:rPr>
              <w:t>。</w:t>
            </w:r>
          </w:p>
          <w:p>
            <w:pPr>
              <w:pStyle w:val="14"/>
              <w:rPr>
                <w:rFonts w:hint="default"/>
                <w:lang w:val="en-US" w:eastAsia="zh-CN"/>
              </w:rPr>
            </w:pPr>
            <w:r>
              <w:rPr>
                <w:rFonts w:hint="eastAsia" w:ascii="Times New Roman" w:hAnsi="Times New Roman" w:eastAsia="宋体" w:cs="Times New Roman"/>
                <w:kern w:val="2"/>
                <w:sz w:val="21"/>
                <w:szCs w:val="24"/>
                <w:lang w:val="en-US" w:eastAsia="zh-CN" w:bidi="ar-SA"/>
              </w:rPr>
              <w:t>备注：如证书具有有效期，需提供处于有效期内的证书，过期证书不得分。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b/>
                <w:bCs/>
                <w:color w:val="auto"/>
                <w:highlight w:val="none"/>
              </w:rPr>
            </w:pPr>
            <w:r>
              <w:rPr>
                <w:rFonts w:hint="eastAsia"/>
                <w:b/>
                <w:bCs/>
                <w:color w:val="auto"/>
                <w:highlight w:val="none"/>
              </w:rPr>
              <w:t>价格评议项（</w:t>
            </w:r>
            <w:r>
              <w:rPr>
                <w:rFonts w:hint="eastAsia" w:ascii="宋体" w:hAnsi="宋体"/>
                <w:color w:val="auto"/>
                <w:szCs w:val="21"/>
                <w:highlight w:val="none"/>
                <w:lang w:val="en-US" w:eastAsia="zh-CN"/>
              </w:rPr>
              <w:t>40</w:t>
            </w:r>
            <w:r>
              <w:rPr>
                <w:rFonts w:hint="eastAsia"/>
                <w:b/>
                <w:bCs/>
                <w:color w:val="auto"/>
                <w:highlight w:val="none"/>
              </w:rPr>
              <w:t>分）</w:t>
            </w:r>
          </w:p>
          <w:p>
            <w:pPr>
              <w:jc w:val="center"/>
              <w:rPr>
                <w:color w:val="auto"/>
                <w:highlight w:val="none"/>
              </w:rPr>
            </w:pPr>
            <w:r>
              <w:rPr>
                <w:rFonts w:hint="eastAsia"/>
                <w:b/>
                <w:bCs/>
                <w:color w:val="auto"/>
                <w:highlight w:val="none"/>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color w:val="auto"/>
                <w:szCs w:val="21"/>
                <w:highlight w:val="none"/>
              </w:rPr>
            </w:pPr>
            <w:r>
              <w:rPr>
                <w:rFonts w:hint="eastAsia" w:ascii="宋体" w:hAnsi="宋体"/>
                <w:b/>
                <w:color w:val="auto"/>
                <w:szCs w:val="21"/>
                <w:highlight w:val="none"/>
              </w:rPr>
              <w:t>基准价</w:t>
            </w:r>
            <w:r>
              <w:rPr>
                <w:rFonts w:ascii="宋体" w:hAnsi="宋体"/>
                <w:b/>
                <w:color w:val="auto"/>
                <w:szCs w:val="21"/>
                <w:highlight w:val="none"/>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bCs/>
                <w:color w:val="auto"/>
                <w:szCs w:val="21"/>
                <w:highlight w:val="none"/>
              </w:rPr>
              <w:t>基准价</w:t>
            </w:r>
          </w:p>
        </w:tc>
        <w:tc>
          <w:tcPr>
            <w:tcW w:w="7513" w:type="dxa"/>
            <w:gridSpan w:val="3"/>
            <w:tcBorders>
              <w:tl2br w:val="nil"/>
              <w:tr2bl w:val="nil"/>
            </w:tcBorders>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□各有效</w:t>
            </w:r>
            <w:r>
              <w:rPr>
                <w:rFonts w:ascii="宋体" w:hAnsi="宋体"/>
                <w:color w:val="auto"/>
                <w:szCs w:val="21"/>
                <w:highlight w:val="none"/>
              </w:rPr>
              <w:t>投</w:t>
            </w:r>
            <w:r>
              <w:rPr>
                <w:rFonts w:hint="eastAsia" w:ascii="宋体" w:hAnsi="宋体"/>
                <w:color w:val="auto"/>
                <w:szCs w:val="21"/>
                <w:highlight w:val="none"/>
              </w:rPr>
              <w:t>标报价大于n家时，去掉一个最高和最低报价后的算术平均值乘以</w:t>
            </w:r>
            <w:r>
              <w:rPr>
                <w:rFonts w:ascii="宋体" w:hAnsi="宋体"/>
                <w:color w:val="auto"/>
                <w:szCs w:val="21"/>
                <w:highlight w:val="none"/>
                <w:u w:val="single"/>
              </w:rPr>
              <w:t xml:space="preserve">    </w:t>
            </w:r>
            <w:r>
              <w:rPr>
                <w:rFonts w:hint="eastAsia" w:ascii="宋体" w:hAnsi="宋体"/>
                <w:color w:val="auto"/>
                <w:szCs w:val="21"/>
                <w:highlight w:val="none"/>
              </w:rPr>
              <w:t>％。当有效投标报价少于n（含）家时，则以所有有效投标报价的算术平均值乘以</w:t>
            </w:r>
            <w:r>
              <w:rPr>
                <w:rFonts w:ascii="宋体" w:hAnsi="宋体"/>
                <w:color w:val="auto"/>
                <w:szCs w:val="21"/>
                <w:highlight w:val="none"/>
                <w:u w:val="single"/>
              </w:rPr>
              <w:t xml:space="preserve">    </w:t>
            </w:r>
            <w:r>
              <w:rPr>
                <w:rFonts w:hint="eastAsia" w:ascii="宋体" w:hAnsi="宋体"/>
                <w:color w:val="auto"/>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513" w:type="dxa"/>
            <w:gridSpan w:val="3"/>
            <w:tcBorders>
              <w:tl2br w:val="nil"/>
              <w:tr2bl w:val="nil"/>
            </w:tcBorders>
            <w:vAlign w:val="center"/>
          </w:tcPr>
          <w:p>
            <w:pPr>
              <w:spacing w:line="240" w:lineRule="atLeast"/>
              <w:jc w:val="left"/>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513" w:type="dxa"/>
            <w:gridSpan w:val="3"/>
            <w:tcBorders>
              <w:tl2br w:val="nil"/>
              <w:tr2bl w:val="nil"/>
            </w:tcBorders>
            <w:vAlign w:val="center"/>
          </w:tcPr>
          <w:p>
            <w:pPr>
              <w:spacing w:line="240" w:lineRule="atLeast"/>
              <w:jc w:val="left"/>
              <w:rPr>
                <w:rFonts w:ascii="宋体" w:hAnsi="宋体"/>
                <w:color w:val="auto"/>
                <w:szCs w:val="21"/>
                <w:highlight w:val="none"/>
              </w:rPr>
            </w:pPr>
            <w:r>
              <w:rPr>
                <w:rFonts w:hint="eastAsia" w:ascii="宋体" w:hAnsi="宋体"/>
                <w:color w:val="auto"/>
                <w:szCs w:val="21"/>
                <w:highlight w:val="none"/>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bCs/>
                <w:color w:val="auto"/>
                <w:szCs w:val="21"/>
                <w:highlight w:val="none"/>
              </w:rPr>
              <w:t>算</w:t>
            </w:r>
            <w:r>
              <w:rPr>
                <w:rFonts w:ascii="宋体" w:hAnsi="宋体"/>
                <w:bCs/>
                <w:color w:val="auto"/>
                <w:szCs w:val="21"/>
                <w:highlight w:val="none"/>
              </w:rPr>
              <w:t>法类型</w:t>
            </w:r>
          </w:p>
        </w:tc>
        <w:tc>
          <w:tcPr>
            <w:tcW w:w="1563" w:type="dxa"/>
            <w:gridSpan w:val="2"/>
            <w:tcBorders>
              <w:tl2br w:val="nil"/>
              <w:tr2bl w:val="nil"/>
            </w:tcBorders>
            <w:vAlign w:val="center"/>
          </w:tcPr>
          <w:p>
            <w:pPr>
              <w:spacing w:line="240" w:lineRule="atLeast"/>
              <w:jc w:val="center"/>
              <w:rPr>
                <w:rFonts w:ascii="宋体" w:cs="宋体"/>
                <w:color w:val="auto"/>
                <w:kern w:val="0"/>
                <w:szCs w:val="21"/>
                <w:highlight w:val="none"/>
              </w:rPr>
            </w:pPr>
            <w:r>
              <w:rPr>
                <w:rFonts w:hint="eastAsia" w:ascii="宋体" w:hAnsi="宋体"/>
                <w:color w:val="auto"/>
                <w:szCs w:val="21"/>
                <w:highlight w:val="none"/>
              </w:rPr>
              <w:sym w:font="Wingdings 2" w:char="00A3"/>
            </w:r>
            <w:r>
              <w:rPr>
                <w:rFonts w:hint="eastAsia" w:ascii="宋体" w:hAnsi="宋体"/>
                <w:color w:val="auto"/>
                <w:szCs w:val="21"/>
                <w:highlight w:val="none"/>
              </w:rPr>
              <w:t>固定</w:t>
            </w:r>
            <w:r>
              <w:rPr>
                <w:rFonts w:ascii="宋体" w:hAnsi="宋体"/>
                <w:color w:val="auto"/>
                <w:szCs w:val="21"/>
                <w:highlight w:val="none"/>
              </w:rPr>
              <w:t>比例</w:t>
            </w:r>
            <w:r>
              <w:rPr>
                <w:rFonts w:hint="eastAsia" w:ascii="宋体" w:hAnsi="宋体"/>
                <w:color w:val="auto"/>
                <w:szCs w:val="21"/>
                <w:highlight w:val="none"/>
              </w:rPr>
              <w:t>法</w:t>
            </w:r>
          </w:p>
        </w:tc>
        <w:tc>
          <w:tcPr>
            <w:tcW w:w="5950" w:type="dxa"/>
            <w:tcBorders>
              <w:tl2br w:val="nil"/>
              <w:tr2bl w:val="nil"/>
            </w:tcBorders>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价格得分=M-[（｜投标价格-基准价｜/基准价）*100/</w:t>
            </w:r>
            <w:r>
              <w:rPr>
                <w:rFonts w:ascii="宋体" w:hAnsi="宋体"/>
                <w:color w:val="auto"/>
                <w:szCs w:val="21"/>
                <w:highlight w:val="none"/>
              </w:rPr>
              <w:t>N]*</w:t>
            </w:r>
            <w:r>
              <w:rPr>
                <w:rFonts w:hint="eastAsia" w:ascii="宋体" w:hAnsi="宋体"/>
                <w:color w:val="auto"/>
                <w:szCs w:val="21"/>
                <w:highlight w:val="none"/>
              </w:rPr>
              <w:t>扣分值</w:t>
            </w:r>
          </w:p>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M=</w:t>
            </w:r>
            <w:r>
              <w:rPr>
                <w:rFonts w:ascii="宋体" w:hAnsi="宋体"/>
                <w:color w:val="auto"/>
                <w:szCs w:val="21"/>
                <w:highlight w:val="none"/>
                <w:u w:val="single"/>
              </w:rPr>
              <w:t xml:space="preserve">    </w:t>
            </w:r>
            <w:r>
              <w:rPr>
                <w:rFonts w:hint="eastAsia" w:ascii="宋体" w:hAnsi="宋体"/>
                <w:color w:val="auto"/>
                <w:szCs w:val="21"/>
                <w:highlight w:val="none"/>
              </w:rPr>
              <w:t>（价格评价分项满分值），N=</w:t>
            </w:r>
            <w:r>
              <w:rPr>
                <w:rFonts w:ascii="宋体" w:hAnsi="宋体"/>
                <w:color w:val="auto"/>
                <w:szCs w:val="21"/>
                <w:highlight w:val="none"/>
                <w:u w:val="single"/>
              </w:rPr>
              <w:t xml:space="preserve">    </w:t>
            </w:r>
            <w:r>
              <w:rPr>
                <w:rFonts w:hint="eastAsia" w:ascii="宋体" w:hAnsi="宋体"/>
                <w:color w:val="auto"/>
                <w:szCs w:val="21"/>
                <w:highlight w:val="none"/>
              </w:rPr>
              <w:t>，投标价格每高于N％时，扣</w:t>
            </w:r>
            <w:r>
              <w:rPr>
                <w:rFonts w:ascii="宋体" w:hAnsi="宋体"/>
                <w:color w:val="auto"/>
                <w:szCs w:val="21"/>
                <w:highlight w:val="none"/>
                <w:u w:val="single"/>
              </w:rPr>
              <w:t xml:space="preserve">    </w:t>
            </w:r>
            <w:r>
              <w:rPr>
                <w:rFonts w:hint="eastAsia" w:ascii="宋体" w:hAnsi="宋体"/>
                <w:color w:val="auto"/>
                <w:szCs w:val="21"/>
                <w:highlight w:val="none"/>
              </w:rPr>
              <w:t>分；每低于N％时，扣</w:t>
            </w:r>
            <w:r>
              <w:rPr>
                <w:rFonts w:ascii="宋体" w:hAnsi="宋体"/>
                <w:color w:val="auto"/>
                <w:szCs w:val="21"/>
                <w:highlight w:val="none"/>
                <w:u w:val="single"/>
              </w:rPr>
              <w:t xml:space="preserve">    </w:t>
            </w:r>
            <w:r>
              <w:rPr>
                <w:rFonts w:hint="eastAsia" w:ascii="宋体" w:hAnsi="宋体"/>
                <w:color w:val="auto"/>
                <w:szCs w:val="21"/>
                <w:highlight w:val="none"/>
              </w:rPr>
              <w:t>分；</w:t>
            </w:r>
          </w:p>
          <w:p>
            <w:pPr>
              <w:spacing w:line="240" w:lineRule="atLeast"/>
              <w:jc w:val="left"/>
              <w:rPr>
                <w:rFonts w:ascii="宋体" w:cs="宋体"/>
                <w:color w:val="auto"/>
                <w:kern w:val="0"/>
                <w:szCs w:val="21"/>
                <w:highlight w:val="none"/>
              </w:rPr>
            </w:pPr>
            <w:r>
              <w:rPr>
                <w:rFonts w:hint="eastAsia" w:ascii="宋体" w:hAnsi="宋体"/>
                <w:color w:val="auto"/>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1563" w:type="dxa"/>
            <w:gridSpan w:val="2"/>
            <w:tcBorders>
              <w:tl2br w:val="nil"/>
              <w:tr2bl w:val="nil"/>
            </w:tcBorders>
            <w:vAlign w:val="center"/>
          </w:tcPr>
          <w:p>
            <w:pPr>
              <w:spacing w:line="240" w:lineRule="atLeast"/>
              <w:jc w:val="center"/>
              <w:rPr>
                <w:rFonts w:ascii="宋体" w:cs="宋体"/>
                <w:color w:val="auto"/>
                <w:kern w:val="0"/>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固定乘积法</w:t>
            </w:r>
          </w:p>
        </w:tc>
        <w:tc>
          <w:tcPr>
            <w:tcW w:w="5950" w:type="dxa"/>
            <w:tcBorders>
              <w:tl2br w:val="nil"/>
              <w:tr2bl w:val="nil"/>
            </w:tcBorders>
            <w:vAlign w:val="center"/>
          </w:tcPr>
          <w:p>
            <w:pPr>
              <w:autoSpaceDE w:val="0"/>
              <w:autoSpaceDN w:val="0"/>
              <w:adjustRightInd w:val="0"/>
              <w:snapToGrid w:val="0"/>
              <w:jc w:val="left"/>
              <w:rPr>
                <w:rStyle w:val="22"/>
                <w:rFonts w:ascii="宋体" w:hAnsi="宋体"/>
                <w:color w:val="auto"/>
                <w:highlight w:val="none"/>
              </w:rPr>
            </w:pPr>
            <w:r>
              <w:rPr>
                <w:rStyle w:val="22"/>
                <w:rFonts w:hint="eastAsia" w:ascii="宋体" w:hAnsi="宋体"/>
                <w:color w:val="auto"/>
                <w:highlight w:val="none"/>
              </w:rPr>
              <w:t>价格得分=（1-A×｜1-投标报价/Z｜）×M</w:t>
            </w:r>
          </w:p>
          <w:p>
            <w:pPr>
              <w:numPr>
                <w:ilvl w:val="0"/>
                <w:numId w:val="26"/>
              </w:numPr>
              <w:autoSpaceDE w:val="0"/>
              <w:autoSpaceDN w:val="0"/>
              <w:adjustRightInd w:val="0"/>
              <w:snapToGrid w:val="0"/>
              <w:jc w:val="left"/>
              <w:rPr>
                <w:rStyle w:val="22"/>
                <w:rFonts w:ascii="宋体" w:hAnsi="宋体"/>
                <w:color w:val="auto"/>
                <w:highlight w:val="none"/>
              </w:rPr>
            </w:pPr>
            <w:r>
              <w:rPr>
                <w:rStyle w:val="22"/>
                <w:rFonts w:hint="eastAsia" w:ascii="宋体" w:hAnsi="宋体"/>
                <w:color w:val="auto"/>
                <w:highlight w:val="none"/>
              </w:rPr>
              <w:t xml:space="preserve">M= </w:t>
            </w:r>
            <w:r>
              <w:rPr>
                <w:rStyle w:val="22"/>
                <w:rFonts w:hint="eastAsia" w:ascii="宋体" w:hAnsi="宋体"/>
                <w:color w:val="auto"/>
                <w:highlight w:val="none"/>
                <w:lang w:val="en-US" w:eastAsia="zh-CN"/>
              </w:rPr>
              <w:t>40</w:t>
            </w:r>
            <w:r>
              <w:rPr>
                <w:rStyle w:val="22"/>
                <w:rFonts w:hint="eastAsia" w:ascii="宋体" w:hAnsi="宋体"/>
                <w:color w:val="auto"/>
                <w:highlight w:val="none"/>
              </w:rPr>
              <w:t xml:space="preserve"> （价格评价分项满分值），Z为本次招标基准价；</w:t>
            </w:r>
          </w:p>
          <w:p>
            <w:pPr>
              <w:numPr>
                <w:ilvl w:val="0"/>
                <w:numId w:val="26"/>
              </w:numPr>
              <w:autoSpaceDE w:val="0"/>
              <w:autoSpaceDN w:val="0"/>
              <w:adjustRightInd w:val="0"/>
              <w:snapToGrid w:val="0"/>
              <w:jc w:val="left"/>
              <w:rPr>
                <w:rStyle w:val="22"/>
                <w:rFonts w:ascii="宋体" w:hAnsi="宋体"/>
                <w:color w:val="auto"/>
                <w:highlight w:val="none"/>
              </w:rPr>
            </w:pPr>
            <w:r>
              <w:rPr>
                <w:rStyle w:val="22"/>
                <w:rFonts w:hint="eastAsia" w:ascii="宋体" w:hAnsi="宋体"/>
                <w:color w:val="auto"/>
                <w:highlight w:val="none"/>
              </w:rPr>
              <w:t>A为价格调整系数，当投标报价低于本次招标最佳报价（即基准价）时，A=0.5；当投标报价高于次招标基准价时，取A=1；</w:t>
            </w:r>
          </w:p>
          <w:p>
            <w:pPr>
              <w:numPr>
                <w:ilvl w:val="0"/>
                <w:numId w:val="26"/>
              </w:numPr>
              <w:jc w:val="left"/>
              <w:rPr>
                <w:rFonts w:ascii="宋体" w:cs="宋体"/>
                <w:color w:val="auto"/>
                <w:kern w:val="0"/>
                <w:szCs w:val="21"/>
                <w:highlight w:val="none"/>
              </w:rPr>
            </w:pPr>
            <w:r>
              <w:rPr>
                <w:rStyle w:val="22"/>
                <w:rFonts w:hint="eastAsia" w:ascii="宋体" w:hAnsi="宋体"/>
                <w:color w:val="auto"/>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1563" w:type="dxa"/>
            <w:gridSpan w:val="2"/>
            <w:tcBorders>
              <w:tl2br w:val="nil"/>
              <w:tr2bl w:val="nil"/>
            </w:tcBorders>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□其他</w:t>
            </w:r>
            <w:r>
              <w:rPr>
                <w:rFonts w:ascii="宋体" w:hAnsi="宋体"/>
                <w:color w:val="auto"/>
                <w:szCs w:val="21"/>
                <w:highlight w:val="none"/>
              </w:rPr>
              <w:t>方法</w:t>
            </w:r>
          </w:p>
        </w:tc>
        <w:tc>
          <w:tcPr>
            <w:tcW w:w="5950" w:type="dxa"/>
            <w:tcBorders>
              <w:tl2br w:val="nil"/>
              <w:tr2bl w:val="nil"/>
            </w:tcBorders>
            <w:vAlign w:val="center"/>
          </w:tcPr>
          <w:p>
            <w:pPr>
              <w:spacing w:line="240" w:lineRule="atLeast"/>
              <w:jc w:val="center"/>
              <w:rPr>
                <w:rFonts w:ascii="宋体" w:cs="宋体"/>
                <w:color w:val="auto"/>
                <w:kern w:val="0"/>
                <w:szCs w:val="21"/>
                <w:highlight w:val="none"/>
              </w:rPr>
            </w:pP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7"/>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7"/>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7" w:name="_Toc13542"/>
      <w:r>
        <w:rPr>
          <w:rFonts w:hint="eastAsia" w:ascii="宋体" w:hAnsi="宋体"/>
          <w:b/>
          <w:sz w:val="32"/>
          <w:szCs w:val="32"/>
        </w:rPr>
        <w:t>第四部分：合同条款及格式</w:t>
      </w:r>
      <w:bookmarkEnd w:id="57"/>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bookmarkStart w:id="58" w:name="_Hlk116549198"/>
      <w:r>
        <w:rPr>
          <w:rFonts w:hint="eastAsia" w:ascii="宋体" w:hAnsi="宋体"/>
          <w:color w:val="FF0000"/>
          <w:szCs w:val="21"/>
          <w:highlight w:val="yellow"/>
        </w:rPr>
        <w:t>××××××××××××××××××××××××××××××</w:t>
      </w:r>
      <w:r>
        <w:rPr>
          <w:rFonts w:hint="eastAsia" w:ascii="方正小标宋简体" w:hAnsi="方正小标宋简体" w:eastAsia="方正小标宋简体" w:cs="方正小标宋简体"/>
          <w:bCs/>
          <w:kern w:val="0"/>
          <w:sz w:val="28"/>
          <w:szCs w:val="28"/>
        </w:rPr>
        <w:t>合同</w:t>
      </w:r>
    </w:p>
    <w:bookmarkEnd w:id="58"/>
    <w:p>
      <w:pPr>
        <w:jc w:val="center"/>
        <w:rPr>
          <w:rFonts w:ascii="宋体" w:hAnsi="宋体"/>
          <w:szCs w:val="21"/>
        </w:rPr>
      </w:pPr>
      <w:bookmarkStart w:id="59" w:name="_Hlk116549211"/>
      <w:r>
        <w:rPr>
          <w:rFonts w:hint="eastAsia" w:ascii="方正小标宋简体" w:hAnsi="方正小标宋简体" w:eastAsia="方正小标宋简体" w:cs="方正小标宋简体"/>
          <w:bCs/>
          <w:kern w:val="0"/>
          <w:sz w:val="28"/>
          <w:szCs w:val="28"/>
        </w:rPr>
        <w:t>（仅供参考）</w:t>
      </w:r>
    </w:p>
    <w:bookmarkEnd w:id="59"/>
    <w:p>
      <w:pPr>
        <w:ind w:firstLine="420" w:firstLineChars="200"/>
        <w:jc w:val="left"/>
        <w:rPr>
          <w:rFonts w:ascii="宋体" w:hAnsi="宋体"/>
          <w:szCs w:val="21"/>
        </w:rPr>
      </w:pPr>
    </w:p>
    <w:p>
      <w:pPr>
        <w:spacing w:line="360" w:lineRule="auto"/>
        <w:rPr>
          <w:rFonts w:ascii="宋体" w:hAnsi="宋体"/>
          <w:szCs w:val="21"/>
        </w:rPr>
      </w:pPr>
    </w:p>
    <w:p>
      <w:pPr>
        <w:widowControl/>
        <w:snapToGrid w:val="0"/>
        <w:spacing w:line="360" w:lineRule="auto"/>
        <w:jc w:val="left"/>
        <w:rPr>
          <w:rFonts w:ascii="宋体" w:hAnsi="宋体" w:cs="宋体"/>
          <w:b/>
          <w:kern w:val="0"/>
          <w:szCs w:val="21"/>
        </w:rPr>
      </w:pPr>
      <w:r>
        <w:rPr>
          <w:rFonts w:hint="eastAsia" w:ascii="宋体" w:hAnsi="宋体" w:cs="宋体"/>
          <w:b/>
          <w:kern w:val="0"/>
          <w:szCs w:val="21"/>
        </w:rPr>
        <w:t>甲方：深圳会展中心管理有限责任公司（简称“会展中心”）</w:t>
      </w:r>
    </w:p>
    <w:p>
      <w:pPr>
        <w:widowControl/>
        <w:snapToGrid w:val="0"/>
        <w:spacing w:line="360" w:lineRule="auto"/>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pPr>
        <w:widowControl/>
        <w:snapToGrid w:val="0"/>
        <w:spacing w:line="360" w:lineRule="auto"/>
        <w:rPr>
          <w:rFonts w:ascii="宋体" w:hAnsi="宋体" w:cs="宋体"/>
          <w:kern w:val="0"/>
          <w:szCs w:val="21"/>
        </w:rPr>
      </w:pPr>
      <w:r>
        <w:rPr>
          <w:rFonts w:hint="eastAsia" w:ascii="宋体" w:hAnsi="宋体" w:cs="宋体"/>
          <w:kern w:val="0"/>
          <w:szCs w:val="21"/>
        </w:rPr>
        <w:t>地址：深圳市福田区福华三路深圳会展中心</w:t>
      </w:r>
    </w:p>
    <w:p>
      <w:pPr>
        <w:widowControl/>
        <w:snapToGrid w:val="0"/>
        <w:spacing w:line="360" w:lineRule="auto"/>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p>
    <w:p>
      <w:pPr>
        <w:autoSpaceDE w:val="0"/>
        <w:autoSpaceDN w:val="0"/>
        <w:adjustRightInd w:val="0"/>
        <w:snapToGrid w:val="0"/>
        <w:spacing w:line="360" w:lineRule="auto"/>
        <w:rPr>
          <w:rFonts w:ascii="宋体" w:hAnsi="宋体" w:cs="宋体"/>
          <w:kern w:val="0"/>
          <w:szCs w:val="21"/>
          <w:highlight w:val="yellow"/>
        </w:rPr>
      </w:pPr>
      <w:r>
        <w:rPr>
          <w:rFonts w:hint="eastAsia" w:ascii="宋体" w:hAnsi="宋体" w:cs="宋体"/>
          <w:kern w:val="0"/>
          <w:szCs w:val="21"/>
        </w:rPr>
        <w:t>电话：0755-8284</w:t>
      </w:r>
      <w:r>
        <w:rPr>
          <w:rFonts w:hint="eastAsia" w:ascii="宋体" w:hAnsi="宋体" w:cs="宋体"/>
          <w:kern w:val="0"/>
          <w:szCs w:val="21"/>
          <w:highlight w:val="yellow"/>
        </w:rPr>
        <w:t>XXXX</w:t>
      </w:r>
      <w:r>
        <w:rPr>
          <w:rFonts w:ascii="宋体" w:hAnsi="宋体" w:cs="宋体"/>
          <w:kern w:val="0"/>
          <w:szCs w:val="21"/>
          <w:highlight w:val="yellow"/>
        </w:rPr>
        <w:t xml:space="preserve"> </w:t>
      </w:r>
    </w:p>
    <w:p>
      <w:pPr>
        <w:pStyle w:val="6"/>
        <w:spacing w:line="360" w:lineRule="auto"/>
        <w:ind w:left="0"/>
        <w:rPr>
          <w:rFonts w:ascii="宋体" w:hAnsi="宋体"/>
          <w:sz w:val="21"/>
          <w:szCs w:val="21"/>
        </w:rPr>
      </w:pPr>
      <w:r>
        <w:rPr>
          <w:rFonts w:hint="eastAsia" w:ascii="宋体" w:hAnsi="宋体" w:cs="宋体"/>
          <w:sz w:val="21"/>
          <w:szCs w:val="21"/>
          <w:highlight w:val="yellow"/>
        </w:rPr>
        <w:t>电子邮件：</w:t>
      </w:r>
    </w:p>
    <w:p>
      <w:pPr>
        <w:widowControl/>
        <w:snapToGrid w:val="0"/>
        <w:spacing w:line="360" w:lineRule="auto"/>
        <w:ind w:firstLine="560"/>
        <w:rPr>
          <w:rFonts w:ascii="宋体" w:hAnsi="宋体" w:cs="宋体"/>
          <w:kern w:val="0"/>
          <w:szCs w:val="21"/>
        </w:rPr>
      </w:pPr>
    </w:p>
    <w:p>
      <w:pPr>
        <w:widowControl/>
        <w:snapToGrid w:val="0"/>
        <w:spacing w:line="360" w:lineRule="auto"/>
        <w:rPr>
          <w:rFonts w:ascii="宋体" w:hAnsi="宋体" w:cs="宋体"/>
          <w:b/>
          <w:kern w:val="0"/>
          <w:szCs w:val="21"/>
        </w:rPr>
      </w:pPr>
      <w:r>
        <w:rPr>
          <w:rFonts w:hint="eastAsia" w:ascii="宋体" w:hAnsi="宋体" w:cs="宋体"/>
          <w:b/>
          <w:kern w:val="0"/>
          <w:szCs w:val="21"/>
        </w:rPr>
        <w:t>乙方：</w:t>
      </w:r>
      <w:r>
        <w:rPr>
          <w:rFonts w:hint="eastAsia" w:ascii="宋体" w:hAnsi="宋体" w:cs="宋体"/>
          <w:b/>
          <w:kern w:val="0"/>
          <w:szCs w:val="21"/>
          <w:highlight w:val="yellow"/>
        </w:rPr>
        <w:t>XXXX</w:t>
      </w:r>
      <w:r>
        <w:rPr>
          <w:rFonts w:hint="eastAsia" w:ascii="宋体" w:hAnsi="宋体" w:cs="宋体"/>
          <w:b/>
          <w:kern w:val="0"/>
          <w:szCs w:val="21"/>
        </w:rPr>
        <w:t>公司（简称“</w:t>
      </w:r>
      <w:r>
        <w:rPr>
          <w:rFonts w:hint="eastAsia" w:ascii="宋体" w:hAnsi="宋体" w:cs="宋体"/>
          <w:b/>
          <w:kern w:val="0"/>
          <w:szCs w:val="21"/>
          <w:highlight w:val="yellow"/>
        </w:rPr>
        <w:t>XXXX</w:t>
      </w:r>
      <w:r>
        <w:rPr>
          <w:rFonts w:hint="eastAsia" w:ascii="宋体" w:hAnsi="宋体" w:cs="宋体"/>
          <w:b/>
          <w:kern w:val="0"/>
          <w:szCs w:val="21"/>
        </w:rPr>
        <w:t>”）</w:t>
      </w:r>
    </w:p>
    <w:p>
      <w:pPr>
        <w:widowControl/>
        <w:snapToGrid w:val="0"/>
        <w:spacing w:line="360" w:lineRule="auto"/>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pPr>
        <w:widowControl/>
        <w:snapToGrid w:val="0"/>
        <w:spacing w:line="360" w:lineRule="auto"/>
        <w:rPr>
          <w:rFonts w:ascii="宋体" w:hAnsi="宋体" w:cs="宋体"/>
          <w:kern w:val="0"/>
          <w:szCs w:val="21"/>
        </w:rPr>
      </w:pPr>
      <w:r>
        <w:rPr>
          <w:rFonts w:hint="eastAsia" w:ascii="宋体" w:hAnsi="宋体" w:cs="宋体"/>
          <w:kern w:val="0"/>
          <w:szCs w:val="21"/>
        </w:rPr>
        <w:t>地址：</w:t>
      </w:r>
      <w:r>
        <w:rPr>
          <w:rFonts w:hint="eastAsia" w:ascii="宋体" w:hAnsi="宋体" w:cs="宋体"/>
          <w:kern w:val="0"/>
          <w:szCs w:val="21"/>
          <w:highlight w:val="yellow"/>
        </w:rPr>
        <w:t>XXXXXXXXXXXX</w:t>
      </w:r>
    </w:p>
    <w:p>
      <w:pPr>
        <w:widowControl/>
        <w:snapToGrid w:val="0"/>
        <w:spacing w:line="360" w:lineRule="auto"/>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r>
        <w:rPr>
          <w:rFonts w:ascii="宋体" w:hAnsi="宋体" w:cs="宋体"/>
          <w:kern w:val="0"/>
          <w:szCs w:val="21"/>
        </w:rPr>
        <w:t xml:space="preserve"> </w:t>
      </w:r>
      <w:r>
        <w:rPr>
          <w:rFonts w:hint="eastAsia" w:ascii="宋体" w:hAnsi="宋体" w:cs="宋体"/>
          <w:kern w:val="0"/>
          <w:szCs w:val="21"/>
        </w:rPr>
        <w:t xml:space="preserve">  </w:t>
      </w:r>
    </w:p>
    <w:p>
      <w:pPr>
        <w:widowControl/>
        <w:snapToGrid w:val="0"/>
        <w:spacing w:line="360" w:lineRule="auto"/>
        <w:rPr>
          <w:rFonts w:ascii="宋体" w:hAnsi="宋体" w:cs="宋体"/>
          <w:kern w:val="0"/>
          <w:szCs w:val="21"/>
          <w:highlight w:val="yellow"/>
        </w:rPr>
      </w:pPr>
      <w:r>
        <w:rPr>
          <w:rFonts w:hint="eastAsia" w:ascii="宋体" w:hAnsi="宋体" w:cs="宋体"/>
          <w:kern w:val="0"/>
          <w:szCs w:val="21"/>
        </w:rPr>
        <w:t>电话：0755-</w:t>
      </w:r>
      <w:r>
        <w:rPr>
          <w:rFonts w:hint="eastAsia" w:ascii="宋体" w:hAnsi="宋体" w:cs="宋体"/>
          <w:kern w:val="0"/>
          <w:szCs w:val="21"/>
          <w:highlight w:val="yellow"/>
        </w:rPr>
        <w:t>XXXXXX</w:t>
      </w:r>
    </w:p>
    <w:p>
      <w:pPr>
        <w:pStyle w:val="6"/>
        <w:spacing w:line="360" w:lineRule="auto"/>
        <w:ind w:left="0"/>
        <w:rPr>
          <w:rFonts w:ascii="宋体" w:hAnsi="宋体"/>
          <w:sz w:val="21"/>
          <w:szCs w:val="21"/>
        </w:rPr>
      </w:pPr>
      <w:r>
        <w:rPr>
          <w:rFonts w:hint="eastAsia" w:ascii="宋体" w:hAnsi="宋体" w:cs="宋体"/>
          <w:sz w:val="21"/>
          <w:szCs w:val="21"/>
          <w:highlight w:val="yellow"/>
        </w:rPr>
        <w:t>电子邮件：</w:t>
      </w:r>
    </w:p>
    <w:p>
      <w:pPr>
        <w:pStyle w:val="6"/>
        <w:spacing w:after="0" w:line="360" w:lineRule="auto"/>
        <w:ind w:left="0" w:firstLine="400" w:firstLineChars="200"/>
        <w:rPr>
          <w:rFonts w:ascii="宋体" w:hAnsi="宋体"/>
          <w:sz w:val="21"/>
          <w:szCs w:val="21"/>
        </w:rPr>
      </w:pPr>
    </w:p>
    <w:p>
      <w:pPr>
        <w:pStyle w:val="6"/>
        <w:spacing w:after="0" w:line="360" w:lineRule="auto"/>
        <w:ind w:left="0" w:firstLine="400" w:firstLineChars="200"/>
        <w:rPr>
          <w:rFonts w:ascii="宋体" w:hAnsi="宋体" w:cs="Arial"/>
          <w:sz w:val="21"/>
          <w:szCs w:val="21"/>
        </w:rPr>
      </w:pPr>
      <w:r>
        <w:rPr>
          <w:rFonts w:hint="eastAsia" w:ascii="宋体" w:hAnsi="宋体" w:cs="Arial"/>
          <w:sz w:val="21"/>
          <w:szCs w:val="21"/>
        </w:rPr>
        <w:t>依据《中华人民共和国民法典》及相关法律、法规的规定及行业规范，</w:t>
      </w:r>
      <w:r>
        <w:rPr>
          <w:rFonts w:hint="eastAsia" w:ascii="宋体" w:hAnsi="宋体" w:cs="仿宋"/>
          <w:sz w:val="21"/>
          <w:szCs w:val="21"/>
        </w:rPr>
        <w:t>甲、乙双方本着公平合理、平等互利、诚信自愿的原则，</w:t>
      </w:r>
      <w:r>
        <w:rPr>
          <w:rFonts w:hint="eastAsia" w:ascii="宋体" w:hAnsi="宋体" w:cs="Arial"/>
          <w:sz w:val="21"/>
          <w:szCs w:val="21"/>
        </w:rPr>
        <w:t>乙方受甲方委托为甲方提供</w:t>
      </w:r>
      <w:r>
        <w:rPr>
          <w:rFonts w:hint="eastAsia" w:ascii="宋体" w:hAnsi="宋体" w:cs="宋体"/>
          <w:sz w:val="21"/>
          <w:szCs w:val="21"/>
          <w:highlight w:val="yellow"/>
        </w:rPr>
        <w:t>XXXXXXXXXXXX</w:t>
      </w:r>
      <w:r>
        <w:rPr>
          <w:rFonts w:hint="eastAsia" w:ascii="宋体" w:hAnsi="宋体" w:cs="Arial"/>
          <w:sz w:val="21"/>
          <w:szCs w:val="21"/>
        </w:rPr>
        <w:t>服务，甲乙双方经协商一致，签订本合同，双方保证严格遵守和执行。</w:t>
      </w:r>
    </w:p>
    <w:p>
      <w:pPr>
        <w:pStyle w:val="6"/>
        <w:numPr>
          <w:ilvl w:val="0"/>
          <w:numId w:val="28"/>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服务内容及要求</w:t>
      </w:r>
    </w:p>
    <w:p>
      <w:pPr>
        <w:pStyle w:val="6"/>
        <w:numPr>
          <w:ilvl w:val="0"/>
          <w:numId w:val="29"/>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项目名称：</w:t>
      </w:r>
      <w:r>
        <w:rPr>
          <w:rFonts w:hint="eastAsia" w:ascii="宋体" w:hAnsi="宋体" w:cs="宋体"/>
          <w:sz w:val="21"/>
          <w:szCs w:val="21"/>
          <w:highlight w:val="yellow"/>
        </w:rPr>
        <w:t>XXXXXXXXXXXX</w:t>
      </w:r>
    </w:p>
    <w:p>
      <w:pPr>
        <w:pStyle w:val="6"/>
        <w:numPr>
          <w:ilvl w:val="0"/>
          <w:numId w:val="29"/>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项目实施地点：深圳会展中心</w:t>
      </w:r>
    </w:p>
    <w:p>
      <w:pPr>
        <w:pStyle w:val="6"/>
        <w:numPr>
          <w:ilvl w:val="0"/>
          <w:numId w:val="29"/>
        </w:numPr>
        <w:spacing w:after="0" w:line="360" w:lineRule="auto"/>
        <w:ind w:left="0" w:firstLine="400" w:firstLineChars="200"/>
        <w:rPr>
          <w:rFonts w:ascii="宋体" w:hAnsi="宋体" w:cs="仿宋"/>
          <w:sz w:val="21"/>
          <w:szCs w:val="21"/>
        </w:rPr>
      </w:pPr>
      <w:r>
        <w:rPr>
          <w:rFonts w:hint="eastAsia" w:ascii="宋体" w:hAnsi="宋体" w:cs="仿宋"/>
          <w:sz w:val="21"/>
          <w:szCs w:val="21"/>
        </w:rPr>
        <w:t>服务内容</w:t>
      </w:r>
    </w:p>
    <w:p>
      <w:pPr>
        <w:pStyle w:val="6"/>
        <w:numPr>
          <w:ilvl w:val="0"/>
          <w:numId w:val="30"/>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6"/>
        <w:numPr>
          <w:ilvl w:val="0"/>
          <w:numId w:val="30"/>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pPr>
        <w:pStyle w:val="6"/>
        <w:numPr>
          <w:ilvl w:val="0"/>
          <w:numId w:val="29"/>
        </w:numPr>
        <w:spacing w:after="0" w:line="360" w:lineRule="auto"/>
        <w:ind w:left="0" w:firstLine="400" w:firstLineChars="200"/>
        <w:rPr>
          <w:rFonts w:ascii="宋体" w:hAnsi="宋体" w:cs="仿宋"/>
          <w:sz w:val="21"/>
          <w:szCs w:val="21"/>
        </w:rPr>
      </w:pPr>
      <w:r>
        <w:rPr>
          <w:rFonts w:hint="eastAsia" w:ascii="宋体" w:hAnsi="宋体" w:cs="仿宋"/>
          <w:sz w:val="21"/>
          <w:szCs w:val="21"/>
        </w:rPr>
        <w:t>增值服务</w:t>
      </w:r>
      <w:r>
        <w:rPr>
          <w:rFonts w:hint="eastAsia" w:ascii="宋体" w:hAnsi="宋体" w:cs="仿宋"/>
          <w:sz w:val="21"/>
          <w:szCs w:val="21"/>
          <w:highlight w:val="yellow"/>
        </w:rPr>
        <w:t>（如有）</w:t>
      </w:r>
    </w:p>
    <w:p>
      <w:pPr>
        <w:pStyle w:val="6"/>
        <w:numPr>
          <w:ilvl w:val="0"/>
          <w:numId w:val="31"/>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6"/>
        <w:numPr>
          <w:ilvl w:val="0"/>
          <w:numId w:val="31"/>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w:t>
      </w:r>
    </w:p>
    <w:p>
      <w:pPr>
        <w:pStyle w:val="6"/>
        <w:numPr>
          <w:ilvl w:val="0"/>
          <w:numId w:val="29"/>
        </w:numPr>
        <w:spacing w:after="0" w:line="360" w:lineRule="auto"/>
        <w:ind w:left="0" w:firstLine="400" w:firstLineChars="200"/>
        <w:rPr>
          <w:rFonts w:ascii="宋体" w:hAnsi="宋体" w:cs="仿宋"/>
          <w:sz w:val="21"/>
          <w:szCs w:val="21"/>
        </w:rPr>
      </w:pPr>
      <w:r>
        <w:rPr>
          <w:rFonts w:hint="eastAsia" w:ascii="宋体" w:hAnsi="宋体" w:cs="仿宋"/>
          <w:sz w:val="21"/>
          <w:szCs w:val="21"/>
        </w:rPr>
        <w:t>服务要求</w:t>
      </w:r>
    </w:p>
    <w:p>
      <w:pPr>
        <w:pStyle w:val="6"/>
        <w:numPr>
          <w:ilvl w:val="0"/>
          <w:numId w:val="32"/>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6"/>
        <w:numPr>
          <w:ilvl w:val="0"/>
          <w:numId w:val="32"/>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pPr>
        <w:pStyle w:val="6"/>
        <w:numPr>
          <w:ilvl w:val="0"/>
          <w:numId w:val="28"/>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服务期限</w:t>
      </w:r>
    </w:p>
    <w:p>
      <w:pPr>
        <w:pStyle w:val="6"/>
        <w:spacing w:after="0" w:line="360" w:lineRule="auto"/>
        <w:ind w:left="0" w:firstLine="400" w:firstLineChars="200"/>
        <w:rPr>
          <w:rFonts w:ascii="宋体" w:hAnsi="宋体" w:cs="仿宋"/>
          <w:b/>
          <w:bCs/>
          <w:sz w:val="21"/>
          <w:szCs w:val="21"/>
        </w:rPr>
      </w:pPr>
      <w:r>
        <w:rPr>
          <w:rFonts w:hint="eastAsia" w:ascii="宋体" w:hAnsi="宋体" w:cs="仿宋"/>
          <w:sz w:val="21"/>
          <w:szCs w:val="21"/>
        </w:rPr>
        <w:t>本项目服务期限为</w:t>
      </w:r>
      <w:r>
        <w:rPr>
          <w:rFonts w:hint="eastAsia" w:ascii="宋体" w:hAnsi="宋体" w:cs="仿宋"/>
          <w:sz w:val="21"/>
          <w:szCs w:val="21"/>
          <w:highlight w:val="yellow"/>
        </w:rPr>
        <w:t>XX年，</w:t>
      </w:r>
      <w:r>
        <w:rPr>
          <w:rFonts w:hint="eastAsia" w:ascii="宋体" w:hAnsi="宋体" w:cs="仿宋"/>
          <w:sz w:val="21"/>
          <w:szCs w:val="21"/>
        </w:rPr>
        <w:t>从本合同签订生效之日起至</w:t>
      </w:r>
      <w:r>
        <w:rPr>
          <w:rFonts w:hint="eastAsia" w:ascii="宋体" w:hAnsi="宋体" w:cs="仿宋"/>
          <w:sz w:val="21"/>
          <w:szCs w:val="21"/>
          <w:highlight w:val="yellow"/>
        </w:rPr>
        <w:t>XXXX年X月X</w:t>
      </w:r>
      <w:r>
        <w:rPr>
          <w:rFonts w:hint="eastAsia" w:ascii="宋体" w:hAnsi="宋体" w:cs="仿宋"/>
          <w:sz w:val="21"/>
          <w:szCs w:val="21"/>
        </w:rPr>
        <w:t>日止。</w:t>
      </w:r>
      <w:r>
        <w:rPr>
          <w:rFonts w:hint="eastAsia" w:ascii="宋体" w:hAnsi="宋体" w:cs="仿宋"/>
          <w:sz w:val="21"/>
          <w:szCs w:val="21"/>
          <w:highlight w:val="yellow"/>
        </w:rPr>
        <w:t>年度服务期满前两个月，乙方应主动向甲方申请对其本年度服务情况进行评审，经甲方综合考核评审服务达到优良（综合得分</w:t>
      </w:r>
      <w:r>
        <w:rPr>
          <w:rFonts w:ascii="宋体" w:hAnsi="宋体" w:cs="仿宋"/>
          <w:sz w:val="21"/>
          <w:szCs w:val="21"/>
          <w:highlight w:val="yellow"/>
        </w:rPr>
        <w:t>≥</w:t>
      </w:r>
      <w:r>
        <w:rPr>
          <w:rFonts w:hint="eastAsia" w:ascii="宋体" w:hAnsi="宋体" w:cs="仿宋"/>
          <w:sz w:val="21"/>
          <w:szCs w:val="21"/>
          <w:highlight w:val="yellow"/>
        </w:rPr>
        <w:t>80分），则执行下一年度服务合同。如综合考核评审服务未达到优良，甲方有权终止下一年度服务合同。综合考核评审细则详见附件《XXXX考核评审细则》。</w:t>
      </w:r>
    </w:p>
    <w:p>
      <w:pPr>
        <w:pStyle w:val="6"/>
        <w:numPr>
          <w:ilvl w:val="0"/>
          <w:numId w:val="28"/>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合同金额及付款要求</w:t>
      </w:r>
    </w:p>
    <w:p>
      <w:pPr>
        <w:pStyle w:val="25"/>
        <w:numPr>
          <w:ilvl w:val="1"/>
          <w:numId w:val="33"/>
        </w:numPr>
        <w:spacing w:line="360" w:lineRule="auto"/>
        <w:ind w:left="0" w:firstLine="420"/>
        <w:rPr>
          <w:rFonts w:ascii="宋体" w:hAnsi="宋体" w:eastAsia="宋体" w:cs="仿宋"/>
          <w:spacing w:val="-2"/>
          <w:szCs w:val="21"/>
        </w:rPr>
      </w:pPr>
      <w:r>
        <w:rPr>
          <w:rFonts w:hint="eastAsia" w:ascii="宋体" w:hAnsi="宋体" w:eastAsia="宋体" w:cs="仿宋"/>
          <w:szCs w:val="21"/>
        </w:rPr>
        <w:t>合同金额</w:t>
      </w:r>
    </w:p>
    <w:p>
      <w:pPr>
        <w:pStyle w:val="25"/>
        <w:numPr>
          <w:ilvl w:val="0"/>
          <w:numId w:val="34"/>
        </w:numPr>
        <w:spacing w:line="360" w:lineRule="auto"/>
        <w:rPr>
          <w:rFonts w:ascii="宋体" w:hAnsi="宋体" w:eastAsia="宋体" w:cs="仿宋"/>
          <w:spacing w:val="-2"/>
          <w:szCs w:val="21"/>
        </w:rPr>
      </w:pPr>
      <w:r>
        <w:rPr>
          <w:rFonts w:hint="eastAsia" w:ascii="宋体" w:hAnsi="宋体" w:eastAsia="宋体" w:cs="仿宋"/>
          <w:bCs/>
          <w:szCs w:val="21"/>
        </w:rPr>
        <w:t>本项</w:t>
      </w:r>
      <w:r>
        <w:rPr>
          <w:rFonts w:hint="eastAsia" w:ascii="宋体" w:hAnsi="宋体" w:eastAsia="宋体" w:cs="仿宋"/>
          <w:szCs w:val="21"/>
        </w:rPr>
        <w:t>目合同金额</w:t>
      </w:r>
      <w:r>
        <w:rPr>
          <w:rFonts w:hint="eastAsia" w:ascii="宋体" w:hAnsi="宋体" w:eastAsia="宋体" w:cs="仿宋"/>
          <w:bCs/>
          <w:szCs w:val="21"/>
        </w:rPr>
        <w:t>为¥</w:t>
      </w:r>
      <w:r>
        <w:rPr>
          <w:rFonts w:hint="eastAsia" w:ascii="宋体" w:hAnsi="宋体" w:eastAsia="宋体" w:cs="仿宋"/>
          <w:bCs/>
          <w:szCs w:val="21"/>
          <w:highlight w:val="yellow"/>
        </w:rPr>
        <w:t>XXX</w:t>
      </w:r>
      <w:r>
        <w:rPr>
          <w:rFonts w:hint="eastAsia" w:ascii="宋体" w:hAnsi="宋体" w:eastAsia="宋体" w:cs="仿宋"/>
          <w:bCs/>
          <w:szCs w:val="21"/>
        </w:rPr>
        <w:t>万元（</w:t>
      </w:r>
      <w:r>
        <w:rPr>
          <w:rFonts w:hint="eastAsia" w:ascii="宋体" w:hAnsi="宋体" w:eastAsia="宋体" w:cs="仿宋"/>
          <w:szCs w:val="21"/>
        </w:rPr>
        <w:t>大写人民币：</w:t>
      </w:r>
      <w:r>
        <w:rPr>
          <w:rFonts w:hint="eastAsia" w:ascii="宋体" w:hAnsi="宋体" w:eastAsia="宋体" w:cs="仿宋"/>
          <w:szCs w:val="21"/>
          <w:highlight w:val="yellow"/>
          <w:u w:val="single"/>
        </w:rPr>
        <w:t>XXXX</w:t>
      </w:r>
      <w:r>
        <w:rPr>
          <w:rFonts w:hint="eastAsia" w:ascii="宋体" w:hAnsi="宋体" w:eastAsia="宋体" w:cs="仿宋"/>
          <w:szCs w:val="21"/>
          <w:u w:val="single"/>
        </w:rPr>
        <w:t>元整</w:t>
      </w:r>
      <w:r>
        <w:rPr>
          <w:rFonts w:ascii="宋体" w:hAnsi="宋体" w:eastAsia="宋体" w:cs="仿宋"/>
          <w:szCs w:val="21"/>
          <w:u w:val="single"/>
        </w:rPr>
        <w:t xml:space="preserve"> </w:t>
      </w:r>
      <w:r>
        <w:rPr>
          <w:rFonts w:hint="eastAsia" w:ascii="宋体" w:hAnsi="宋体" w:eastAsia="宋体" w:cs="仿宋"/>
          <w:szCs w:val="21"/>
        </w:rPr>
        <w:t>），税率为</w:t>
      </w:r>
      <w:r>
        <w:rPr>
          <w:rFonts w:hint="eastAsia" w:ascii="宋体" w:hAnsi="宋体" w:eastAsia="宋体" w:cs="仿宋"/>
          <w:szCs w:val="21"/>
          <w:highlight w:val="yellow"/>
        </w:rPr>
        <w:t>X%</w:t>
      </w:r>
      <w:r>
        <w:rPr>
          <w:rFonts w:hint="eastAsia" w:ascii="宋体" w:hAnsi="宋体" w:eastAsia="宋体" w:cs="仿宋"/>
          <w:spacing w:val="-2"/>
          <w:szCs w:val="21"/>
        </w:rPr>
        <w:t>。</w:t>
      </w:r>
    </w:p>
    <w:p>
      <w:pPr>
        <w:pStyle w:val="25"/>
        <w:numPr>
          <w:ilvl w:val="0"/>
          <w:numId w:val="34"/>
        </w:numPr>
        <w:spacing w:line="360" w:lineRule="auto"/>
        <w:rPr>
          <w:rFonts w:ascii="宋体" w:hAnsi="宋体" w:eastAsia="宋体" w:cs="仿宋"/>
          <w:spacing w:val="-2"/>
          <w:szCs w:val="21"/>
        </w:rPr>
      </w:pPr>
      <w:r>
        <w:rPr>
          <w:rFonts w:hint="eastAsia" w:ascii="宋体" w:hAnsi="宋体" w:eastAsia="宋体" w:cs="仿宋"/>
          <w:bCs/>
          <w:szCs w:val="21"/>
        </w:rPr>
        <w:t>以上金额已经包含项目费用开具增值税</w:t>
      </w:r>
      <w:r>
        <w:rPr>
          <w:rFonts w:hint="eastAsia" w:ascii="宋体" w:hAnsi="宋体" w:eastAsia="宋体" w:cs="仿宋"/>
          <w:bCs/>
          <w:szCs w:val="21"/>
          <w:highlight w:val="yellow"/>
        </w:rPr>
        <w:t>专用</w:t>
      </w:r>
      <w:r>
        <w:rPr>
          <w:rFonts w:hint="eastAsia" w:ascii="宋体" w:hAnsi="宋体" w:eastAsia="宋体" w:cs="仿宋"/>
          <w:bCs/>
          <w:szCs w:val="21"/>
        </w:rPr>
        <w:t>发票所产生的税费及乙方完成本项目服务所发生的</w:t>
      </w:r>
      <w:r>
        <w:rPr>
          <w:rFonts w:hint="eastAsia" w:ascii="宋体" w:hAnsi="宋体" w:eastAsia="宋体" w:cs="仿宋"/>
          <w:szCs w:val="21"/>
        </w:rPr>
        <w:t>全部费用。</w:t>
      </w:r>
    </w:p>
    <w:p>
      <w:pPr>
        <w:pStyle w:val="25"/>
        <w:numPr>
          <w:ilvl w:val="1"/>
          <w:numId w:val="33"/>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rPr>
        <w:t>付款要求</w:t>
      </w:r>
    </w:p>
    <w:p>
      <w:pPr>
        <w:pStyle w:val="25"/>
        <w:numPr>
          <w:ilvl w:val="0"/>
          <w:numId w:val="35"/>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rPr>
        <w:t xml:space="preserve"> 合同签订，乙方完成</w:t>
      </w:r>
      <w:r>
        <w:rPr>
          <w:rFonts w:hint="eastAsia" w:ascii="宋体" w:hAnsi="宋体" w:eastAsia="宋体" w:cs="仿宋"/>
          <w:spacing w:val="-2"/>
          <w:szCs w:val="21"/>
          <w:highlight w:val="yellow"/>
        </w:rPr>
        <w:t>XXX</w:t>
      </w:r>
      <w:r>
        <w:rPr>
          <w:rFonts w:hint="eastAsia" w:ascii="宋体" w:hAnsi="宋体" w:eastAsia="宋体" w:cs="仿宋"/>
          <w:spacing w:val="-2"/>
          <w:szCs w:val="21"/>
        </w:rPr>
        <w:t>后，1甲方向乙方支付合同金额</w:t>
      </w:r>
      <w:r>
        <w:rPr>
          <w:rFonts w:hint="eastAsia" w:ascii="宋体" w:hAnsi="宋体" w:eastAsia="宋体" w:cs="仿宋"/>
          <w:spacing w:val="-2"/>
          <w:szCs w:val="21"/>
          <w:highlight w:val="yellow"/>
        </w:rPr>
        <w:t>XX％</w:t>
      </w:r>
      <w:r>
        <w:rPr>
          <w:rFonts w:hint="eastAsia" w:ascii="宋体" w:hAnsi="宋体" w:eastAsia="宋体" w:cs="仿宋"/>
          <w:spacing w:val="-2"/>
          <w:szCs w:val="21"/>
        </w:rPr>
        <w:t>款项，即人民币</w:t>
      </w:r>
      <w:r>
        <w:rPr>
          <w:rFonts w:hint="eastAsia" w:ascii="宋体" w:hAnsi="宋体" w:eastAsia="宋体" w:cs="仿宋"/>
          <w:spacing w:val="-2"/>
          <w:szCs w:val="21"/>
          <w:highlight w:val="yellow"/>
        </w:rPr>
        <w:t>XXXX</w:t>
      </w:r>
      <w:r>
        <w:rPr>
          <w:rFonts w:hint="eastAsia" w:ascii="宋体" w:hAnsi="宋体" w:eastAsia="宋体" w:cs="仿宋"/>
          <w:spacing w:val="-2"/>
          <w:szCs w:val="21"/>
        </w:rPr>
        <w:t>元（大写：</w:t>
      </w:r>
      <w:r>
        <w:rPr>
          <w:rFonts w:hint="eastAsia" w:ascii="宋体" w:hAnsi="宋体" w:eastAsia="宋体" w:cs="仿宋"/>
          <w:spacing w:val="-2"/>
          <w:szCs w:val="21"/>
          <w:highlight w:val="yellow"/>
        </w:rPr>
        <w:t>XXXX</w:t>
      </w:r>
      <w:r>
        <w:rPr>
          <w:rFonts w:hint="eastAsia" w:ascii="宋体" w:hAnsi="宋体" w:eastAsia="宋体" w:cs="仿宋"/>
          <w:spacing w:val="-2"/>
          <w:szCs w:val="21"/>
        </w:rPr>
        <w:t>元整）；</w:t>
      </w:r>
    </w:p>
    <w:p>
      <w:pPr>
        <w:pStyle w:val="25"/>
        <w:numPr>
          <w:ilvl w:val="0"/>
          <w:numId w:val="35"/>
        </w:numPr>
        <w:spacing w:line="360" w:lineRule="auto"/>
        <w:ind w:left="0" w:firstLine="412"/>
        <w:rPr>
          <w:rFonts w:ascii="宋体" w:hAnsi="宋体" w:eastAsia="宋体" w:cs="仿宋"/>
          <w:szCs w:val="21"/>
        </w:rPr>
      </w:pPr>
      <w:r>
        <w:rPr>
          <w:rFonts w:hint="eastAsia" w:ascii="宋体" w:hAnsi="宋体" w:eastAsia="宋体" w:cs="仿宋"/>
          <w:spacing w:val="-2"/>
          <w:szCs w:val="21"/>
        </w:rPr>
        <w:t xml:space="preserve"> 完成本项目所有服务内容并经甲方验收合格且完成违约责任清算后，甲方支付本项目剩余款项。</w:t>
      </w:r>
    </w:p>
    <w:p>
      <w:pPr>
        <w:pStyle w:val="25"/>
        <w:numPr>
          <w:ilvl w:val="0"/>
          <w:numId w:val="35"/>
        </w:numPr>
        <w:spacing w:line="360" w:lineRule="auto"/>
        <w:ind w:left="0" w:firstLine="420"/>
        <w:rPr>
          <w:rFonts w:ascii="宋体" w:hAnsi="宋体" w:eastAsia="宋体" w:cs="仿宋"/>
          <w:szCs w:val="21"/>
        </w:rPr>
      </w:pPr>
      <w:r>
        <w:rPr>
          <w:rFonts w:hint="eastAsia" w:ascii="宋体" w:hAnsi="宋体" w:eastAsia="宋体" w:cs="仿宋"/>
          <w:szCs w:val="21"/>
        </w:rPr>
        <w:t xml:space="preserve"> 甲方办理合同款项支付前，乙方需先向甲方提供</w:t>
      </w:r>
      <w:r>
        <w:rPr>
          <w:rFonts w:hint="eastAsia" w:ascii="宋体" w:hAnsi="宋体" w:eastAsia="宋体" w:cs="仿宋"/>
          <w:szCs w:val="21"/>
          <w:highlight w:val="yellow"/>
        </w:rPr>
        <w:t>全额（等额）</w:t>
      </w:r>
      <w:r>
        <w:rPr>
          <w:rFonts w:hint="eastAsia" w:ascii="宋体" w:hAnsi="宋体" w:eastAsia="宋体" w:cs="仿宋"/>
          <w:szCs w:val="21"/>
        </w:rPr>
        <w:t>真实、合法有效的增值税</w:t>
      </w:r>
      <w:r>
        <w:rPr>
          <w:rFonts w:hint="eastAsia" w:ascii="宋体" w:hAnsi="宋体" w:eastAsia="宋体" w:cs="仿宋"/>
          <w:szCs w:val="21"/>
          <w:highlight w:val="yellow"/>
        </w:rPr>
        <w:t>专用</w:t>
      </w:r>
      <w:r>
        <w:rPr>
          <w:rFonts w:hint="eastAsia" w:ascii="宋体" w:hAnsi="宋体" w:eastAsia="宋体" w:cs="仿宋"/>
          <w:szCs w:val="21"/>
        </w:rPr>
        <w:t>发票。</w:t>
      </w:r>
    </w:p>
    <w:p>
      <w:pPr>
        <w:pStyle w:val="6"/>
        <w:numPr>
          <w:ilvl w:val="0"/>
          <w:numId w:val="28"/>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验收标准</w:t>
      </w:r>
    </w:p>
    <w:p>
      <w:pPr>
        <w:pStyle w:val="6"/>
        <w:numPr>
          <w:ilvl w:val="0"/>
          <w:numId w:val="36"/>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6"/>
        <w:numPr>
          <w:ilvl w:val="0"/>
          <w:numId w:val="36"/>
        </w:numPr>
        <w:spacing w:after="0" w:line="360" w:lineRule="auto"/>
        <w:ind w:left="0" w:firstLine="402" w:firstLineChars="200"/>
        <w:rPr>
          <w:rFonts w:ascii="宋体" w:hAnsi="宋体" w:cs="宋体"/>
          <w:sz w:val="21"/>
          <w:szCs w:val="21"/>
          <w:highlight w:val="yellow"/>
        </w:rPr>
      </w:pPr>
      <w:r>
        <w:rPr>
          <w:rFonts w:hint="eastAsia" w:ascii="宋体" w:hAnsi="宋体" w:cs="仿宋"/>
          <w:b/>
          <w:bCs/>
          <w:sz w:val="21"/>
          <w:szCs w:val="21"/>
        </w:rPr>
        <w:t>.</w:t>
      </w:r>
      <w:r>
        <w:rPr>
          <w:rFonts w:hint="eastAsia" w:ascii="宋体" w:hAnsi="宋体" w:cs="宋体"/>
          <w:sz w:val="21"/>
          <w:szCs w:val="21"/>
          <w:highlight w:val="yellow"/>
        </w:rPr>
        <w:t>.....</w:t>
      </w:r>
    </w:p>
    <w:p>
      <w:pPr>
        <w:pStyle w:val="6"/>
        <w:numPr>
          <w:ilvl w:val="0"/>
          <w:numId w:val="28"/>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双方权利与义务</w:t>
      </w:r>
    </w:p>
    <w:p>
      <w:pPr>
        <w:pStyle w:val="6"/>
        <w:numPr>
          <w:ilvl w:val="0"/>
          <w:numId w:val="37"/>
        </w:numPr>
        <w:spacing w:after="0" w:line="360" w:lineRule="auto"/>
        <w:ind w:left="0" w:firstLine="400" w:firstLineChars="200"/>
        <w:rPr>
          <w:rFonts w:ascii="宋体" w:hAnsi="宋体" w:cs="仿宋"/>
          <w:sz w:val="21"/>
          <w:szCs w:val="21"/>
        </w:rPr>
      </w:pPr>
      <w:r>
        <w:rPr>
          <w:rFonts w:hint="eastAsia" w:ascii="宋体" w:hAnsi="宋体" w:cs="仿宋"/>
          <w:sz w:val="21"/>
          <w:szCs w:val="21"/>
        </w:rPr>
        <w:t>甲方权利与义务</w:t>
      </w:r>
    </w:p>
    <w:p>
      <w:pPr>
        <w:pStyle w:val="6"/>
        <w:numPr>
          <w:ilvl w:val="0"/>
          <w:numId w:val="38"/>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6"/>
        <w:numPr>
          <w:ilvl w:val="0"/>
          <w:numId w:val="38"/>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pPr>
        <w:pStyle w:val="6"/>
        <w:numPr>
          <w:ilvl w:val="0"/>
          <w:numId w:val="37"/>
        </w:numPr>
        <w:spacing w:after="0" w:line="360" w:lineRule="auto"/>
        <w:ind w:left="0" w:firstLine="400" w:firstLineChars="200"/>
        <w:rPr>
          <w:rFonts w:ascii="宋体" w:hAnsi="宋体" w:cs="仿宋"/>
          <w:sz w:val="21"/>
          <w:szCs w:val="21"/>
        </w:rPr>
      </w:pPr>
      <w:r>
        <w:rPr>
          <w:rFonts w:hint="eastAsia" w:ascii="宋体" w:hAnsi="宋体" w:cs="仿宋"/>
          <w:sz w:val="21"/>
          <w:szCs w:val="21"/>
        </w:rPr>
        <w:t>乙方权利与义务</w:t>
      </w:r>
    </w:p>
    <w:p>
      <w:pPr>
        <w:pStyle w:val="6"/>
        <w:numPr>
          <w:ilvl w:val="0"/>
          <w:numId w:val="39"/>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6"/>
        <w:numPr>
          <w:ilvl w:val="0"/>
          <w:numId w:val="39"/>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w:t>
      </w:r>
    </w:p>
    <w:p>
      <w:pPr>
        <w:pStyle w:val="6"/>
        <w:numPr>
          <w:ilvl w:val="0"/>
          <w:numId w:val="28"/>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处罚标准</w:t>
      </w:r>
      <w:r>
        <w:rPr>
          <w:rFonts w:hint="eastAsia" w:ascii="宋体" w:hAnsi="宋体" w:cs="仿宋"/>
          <w:b/>
          <w:bCs/>
          <w:sz w:val="21"/>
          <w:szCs w:val="21"/>
          <w:highlight w:val="yellow"/>
        </w:rPr>
        <w:t>（如有）</w:t>
      </w:r>
    </w:p>
    <w:p>
      <w:pPr>
        <w:pStyle w:val="6"/>
        <w:numPr>
          <w:ilvl w:val="0"/>
          <w:numId w:val="40"/>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6"/>
        <w:numPr>
          <w:ilvl w:val="0"/>
          <w:numId w:val="40"/>
        </w:numPr>
        <w:spacing w:after="0" w:line="360" w:lineRule="auto"/>
        <w:ind w:left="0" w:firstLine="400" w:firstLineChars="200"/>
        <w:rPr>
          <w:rFonts w:ascii="宋体" w:hAnsi="宋体" w:cs="仿宋"/>
          <w:b/>
          <w:bCs/>
          <w:sz w:val="21"/>
          <w:szCs w:val="21"/>
        </w:rPr>
      </w:pPr>
      <w:r>
        <w:rPr>
          <w:rFonts w:hint="eastAsia" w:ascii="宋体" w:hAnsi="宋体" w:cs="宋体"/>
          <w:sz w:val="21"/>
          <w:szCs w:val="21"/>
          <w:highlight w:val="yellow"/>
        </w:rPr>
        <w:t>......</w:t>
      </w:r>
    </w:p>
    <w:p>
      <w:pPr>
        <w:pStyle w:val="6"/>
        <w:numPr>
          <w:ilvl w:val="0"/>
          <w:numId w:val="28"/>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知识产权归属</w:t>
      </w:r>
      <w:r>
        <w:rPr>
          <w:rFonts w:hint="eastAsia" w:ascii="宋体" w:hAnsi="宋体" w:cs="仿宋"/>
          <w:b/>
          <w:bCs/>
          <w:sz w:val="21"/>
          <w:szCs w:val="21"/>
          <w:highlight w:val="yellow"/>
        </w:rPr>
        <w:t>（如有）</w:t>
      </w:r>
    </w:p>
    <w:p>
      <w:pPr>
        <w:pStyle w:val="6"/>
        <w:numPr>
          <w:ilvl w:val="0"/>
          <w:numId w:val="41"/>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6"/>
        <w:numPr>
          <w:ilvl w:val="0"/>
          <w:numId w:val="41"/>
        </w:numPr>
        <w:spacing w:after="0" w:line="360" w:lineRule="auto"/>
        <w:ind w:left="0" w:firstLine="400" w:firstLineChars="200"/>
        <w:rPr>
          <w:rFonts w:ascii="宋体" w:hAnsi="宋体" w:cs="仿宋"/>
          <w:b/>
          <w:bCs/>
          <w:sz w:val="21"/>
          <w:szCs w:val="21"/>
        </w:rPr>
      </w:pPr>
      <w:r>
        <w:rPr>
          <w:rFonts w:hint="eastAsia" w:ascii="宋体" w:hAnsi="宋体" w:cs="宋体"/>
          <w:sz w:val="21"/>
          <w:szCs w:val="21"/>
          <w:highlight w:val="yellow"/>
        </w:rPr>
        <w:t>......</w:t>
      </w:r>
    </w:p>
    <w:p>
      <w:pPr>
        <w:pStyle w:val="6"/>
        <w:numPr>
          <w:ilvl w:val="0"/>
          <w:numId w:val="28"/>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违约责任</w:t>
      </w:r>
    </w:p>
    <w:p>
      <w:pPr>
        <w:numPr>
          <w:ilvl w:val="0"/>
          <w:numId w:val="42"/>
        </w:numPr>
        <w:snapToGrid w:val="0"/>
        <w:spacing w:line="360" w:lineRule="auto"/>
        <w:ind w:firstLine="420" w:firstLineChars="200"/>
        <w:rPr>
          <w:rFonts w:ascii="宋体" w:hAnsi="宋体" w:cs="仿宋"/>
          <w:szCs w:val="21"/>
        </w:rPr>
      </w:pPr>
      <w:r>
        <w:rPr>
          <w:rFonts w:hint="eastAsia" w:ascii="宋体" w:hAnsi="宋体" w:cs="仿宋"/>
          <w:szCs w:val="21"/>
        </w:rPr>
        <w:t>甲乙双方任何一方违反约定事项造成对方实际损失的，应在15天内向对方支付年度合同金额</w:t>
      </w:r>
      <w:r>
        <w:rPr>
          <w:rFonts w:hint="eastAsia" w:ascii="宋体" w:hAnsi="宋体" w:cs="仿宋"/>
          <w:szCs w:val="21"/>
          <w:highlight w:val="yellow"/>
        </w:rPr>
        <w:t>XX%</w:t>
      </w:r>
      <w:r>
        <w:rPr>
          <w:rFonts w:hint="eastAsia" w:ascii="宋体" w:hAnsi="宋体" w:cs="仿宋"/>
          <w:szCs w:val="21"/>
        </w:rPr>
        <w:t>的赔偿金和违约金。</w:t>
      </w:r>
    </w:p>
    <w:p>
      <w:pPr>
        <w:numPr>
          <w:ilvl w:val="0"/>
          <w:numId w:val="42"/>
        </w:numPr>
        <w:snapToGrid w:val="0"/>
        <w:spacing w:line="360" w:lineRule="auto"/>
        <w:ind w:firstLine="420" w:firstLineChars="200"/>
        <w:rPr>
          <w:rFonts w:ascii="宋体" w:hAnsi="宋体" w:cs="仿宋"/>
          <w:szCs w:val="21"/>
        </w:rPr>
      </w:pPr>
      <w:r>
        <w:rPr>
          <w:rFonts w:hint="eastAsia" w:ascii="宋体" w:hAnsi="宋体" w:cs="仿宋"/>
          <w:szCs w:val="21"/>
        </w:rPr>
        <w:t>乙方因存在重大过错且造成甲方损失的，应当向甲方赔偿，赔偿金额不低于乙方因过错给甲方造成的损失金额，赔偿范围包括甲方实际损失、诉讼费、律师费、公证费、鉴定费等全部维权费用。</w:t>
      </w:r>
    </w:p>
    <w:p>
      <w:pPr>
        <w:pStyle w:val="6"/>
        <w:numPr>
          <w:ilvl w:val="0"/>
          <w:numId w:val="28"/>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合同变更、终止</w:t>
      </w:r>
    </w:p>
    <w:p>
      <w:pPr>
        <w:numPr>
          <w:ilvl w:val="0"/>
          <w:numId w:val="43"/>
        </w:numPr>
        <w:snapToGrid w:val="0"/>
        <w:spacing w:line="360" w:lineRule="auto"/>
        <w:ind w:firstLineChars="200"/>
        <w:rPr>
          <w:rFonts w:ascii="宋体" w:hAnsi="宋体" w:cs="仿宋"/>
          <w:szCs w:val="21"/>
        </w:rPr>
      </w:pPr>
      <w:r>
        <w:rPr>
          <w:rFonts w:hint="eastAsia" w:ascii="宋体" w:hAnsi="宋体" w:cs="仿宋"/>
          <w:szCs w:val="21"/>
        </w:rPr>
        <w:t>如果出现不可预见的情形，影响本合同项下相关服务的执行时，甲乙双方均可要求变更约定事项，但应提前通知对方，并由双方协商解决。</w:t>
      </w:r>
    </w:p>
    <w:p>
      <w:pPr>
        <w:numPr>
          <w:ilvl w:val="0"/>
          <w:numId w:val="43"/>
        </w:numPr>
        <w:snapToGrid w:val="0"/>
        <w:spacing w:line="360" w:lineRule="auto"/>
        <w:ind w:firstLineChars="200"/>
        <w:rPr>
          <w:rFonts w:ascii="宋体" w:hAnsi="宋体" w:cs="仿宋"/>
          <w:szCs w:val="21"/>
        </w:rPr>
      </w:pPr>
      <w:r>
        <w:rPr>
          <w:rFonts w:hint="eastAsia" w:ascii="宋体" w:hAnsi="宋体" w:cs="仿宋"/>
          <w:szCs w:val="21"/>
        </w:rPr>
        <w:t>本合同签订后，双方应当按约履行，不得无故终止。如遇法定情形或特殊原因确需终止的,提出终止的一方应提前书面通知另一方。</w:t>
      </w:r>
    </w:p>
    <w:p>
      <w:pPr>
        <w:numPr>
          <w:ilvl w:val="0"/>
          <w:numId w:val="43"/>
        </w:numPr>
        <w:snapToGrid w:val="0"/>
        <w:spacing w:line="360" w:lineRule="auto"/>
        <w:ind w:firstLineChars="200"/>
        <w:rPr>
          <w:rFonts w:ascii="宋体" w:hAnsi="宋体" w:cs="仿宋"/>
          <w:szCs w:val="21"/>
        </w:rPr>
      </w:pPr>
      <w:r>
        <w:rPr>
          <w:rFonts w:hint="eastAsia" w:ascii="宋体" w:hAnsi="宋体" w:cs="仿宋"/>
          <w:szCs w:val="21"/>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6"/>
        <w:spacing w:after="0" w:line="360" w:lineRule="auto"/>
        <w:ind w:left="0" w:firstLine="400" w:firstLineChars="200"/>
        <w:rPr>
          <w:rFonts w:ascii="宋体" w:hAnsi="宋体"/>
          <w:sz w:val="21"/>
          <w:szCs w:val="21"/>
        </w:rPr>
      </w:pPr>
      <w:r>
        <w:rPr>
          <w:rFonts w:hint="eastAsia" w:ascii="宋体" w:hAnsi="宋体" w:cs="仿宋"/>
          <w:sz w:val="21"/>
          <w:szCs w:val="21"/>
        </w:rPr>
        <w:t>（四）在乙方因自身原因单方终止本合同的情况下，乙方须退回甲方已经支付的本合同项下乙方未完成和未开始实施项相关费用。</w:t>
      </w:r>
    </w:p>
    <w:p>
      <w:pPr>
        <w:pStyle w:val="6"/>
        <w:numPr>
          <w:ilvl w:val="0"/>
          <w:numId w:val="28"/>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保密条款</w:t>
      </w:r>
    </w:p>
    <w:p>
      <w:pPr>
        <w:pStyle w:val="6"/>
        <w:spacing w:after="0" w:line="360" w:lineRule="auto"/>
        <w:ind w:left="0" w:firstLine="400" w:firstLineChars="200"/>
        <w:rPr>
          <w:rFonts w:ascii="宋体" w:hAnsi="宋体" w:cs="仿宋"/>
          <w:sz w:val="21"/>
          <w:szCs w:val="21"/>
        </w:rPr>
      </w:pPr>
      <w:r>
        <w:rPr>
          <w:rFonts w:hint="eastAsia" w:ascii="宋体" w:hAnsi="宋体" w:cs="仿宋"/>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6"/>
        <w:numPr>
          <w:ilvl w:val="0"/>
          <w:numId w:val="28"/>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不可抗力</w:t>
      </w:r>
    </w:p>
    <w:p>
      <w:pPr>
        <w:pStyle w:val="25"/>
        <w:numPr>
          <w:ilvl w:val="0"/>
          <w:numId w:val="44"/>
        </w:numPr>
        <w:spacing w:line="360" w:lineRule="auto"/>
        <w:ind w:left="0" w:firstLine="420"/>
        <w:rPr>
          <w:rFonts w:ascii="宋体" w:hAnsi="宋体" w:eastAsia="宋体" w:cs="仿宋"/>
          <w:szCs w:val="21"/>
        </w:rPr>
      </w:pPr>
      <w:r>
        <w:rPr>
          <w:rFonts w:hint="eastAsia" w:ascii="宋体" w:hAnsi="宋体" w:eastAsia="宋体" w:cs="仿宋"/>
          <w:szCs w:val="21"/>
        </w:rPr>
        <w:t>如合同一方延迟履行或未能履行其本合同中列明之义务，但该延迟履行或未能履行是因不可抗力而引起，且在该不可抗力排除后第一时间通知了对方</w:t>
      </w:r>
      <w:r>
        <w:rPr>
          <w:rFonts w:ascii="宋体" w:hAnsi="宋体" w:eastAsia="宋体" w:cs="仿宋"/>
          <w:szCs w:val="21"/>
        </w:rPr>
        <w:t>,</w:t>
      </w:r>
      <w:r>
        <w:rPr>
          <w:rFonts w:hint="eastAsia" w:ascii="宋体" w:hAnsi="宋体" w:eastAsia="宋体" w:cs="仿宋"/>
          <w:szCs w:val="21"/>
        </w:rPr>
        <w:t>并提供有效证明，该方不被视为违反本合同。</w:t>
      </w:r>
    </w:p>
    <w:p>
      <w:pPr>
        <w:pStyle w:val="25"/>
        <w:numPr>
          <w:ilvl w:val="0"/>
          <w:numId w:val="44"/>
        </w:numPr>
        <w:spacing w:line="360" w:lineRule="auto"/>
        <w:ind w:left="0" w:firstLine="420"/>
        <w:rPr>
          <w:rFonts w:ascii="宋体" w:hAnsi="宋体" w:eastAsia="宋体" w:cs="仿宋"/>
          <w:szCs w:val="21"/>
        </w:rPr>
      </w:pPr>
      <w:r>
        <w:rPr>
          <w:rFonts w:hint="eastAsia" w:ascii="宋体" w:hAnsi="宋体" w:eastAsia="宋体" w:cs="仿宋"/>
          <w:szCs w:val="21"/>
        </w:rPr>
        <w:t>本合同项下的不可抗力是指：无法预见、无法避免且无法克服的客观事实，包括但不限于</w:t>
      </w:r>
      <w:r>
        <w:rPr>
          <w:rFonts w:hint="eastAsia" w:ascii="宋体" w:hAnsi="宋体" w:eastAsia="宋体"/>
          <w:bCs/>
          <w:szCs w:val="21"/>
        </w:rPr>
        <w:t>战争、罢工、倒闭、暴乱、疾病蔓延、戒严令、火灾、洪水、暴风雨、干旱、火山爆发、爆炸、核或化学事件或辐射、海啸、任何自然灾害</w:t>
      </w:r>
      <w:r>
        <w:rPr>
          <w:rFonts w:hint="eastAsia" w:ascii="宋体" w:hAnsi="宋体" w:eastAsia="宋体" w:cs="仿宋"/>
          <w:szCs w:val="21"/>
        </w:rPr>
        <w:t>等。</w:t>
      </w:r>
    </w:p>
    <w:p>
      <w:pPr>
        <w:pStyle w:val="6"/>
        <w:numPr>
          <w:ilvl w:val="0"/>
          <w:numId w:val="28"/>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争议解决</w:t>
      </w:r>
    </w:p>
    <w:p>
      <w:pPr>
        <w:snapToGrid w:val="0"/>
        <w:spacing w:line="360" w:lineRule="auto"/>
        <w:ind w:firstLine="420" w:firstLineChars="200"/>
        <w:rPr>
          <w:rFonts w:ascii="宋体" w:hAnsi="宋体" w:cs="仿宋"/>
          <w:szCs w:val="21"/>
        </w:rPr>
      </w:pPr>
      <w:r>
        <w:rPr>
          <w:rFonts w:hint="eastAsia" w:ascii="宋体" w:hAnsi="宋体" w:cs="仿宋"/>
          <w:szCs w:val="21"/>
        </w:rPr>
        <w:t>因本合同有关的任何纠纷或争议，双方应协商解决。协商不成的，双方均可向甲方所在地的人民法院提起诉讼。</w:t>
      </w:r>
    </w:p>
    <w:p>
      <w:pPr>
        <w:pStyle w:val="6"/>
        <w:numPr>
          <w:ilvl w:val="0"/>
          <w:numId w:val="28"/>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其他条款</w:t>
      </w:r>
    </w:p>
    <w:p>
      <w:pPr>
        <w:numPr>
          <w:ilvl w:val="0"/>
          <w:numId w:val="45"/>
        </w:numPr>
        <w:snapToGrid w:val="0"/>
        <w:spacing w:line="360" w:lineRule="auto"/>
        <w:ind w:firstLineChars="200"/>
        <w:rPr>
          <w:rFonts w:ascii="宋体" w:hAnsi="宋体" w:cs="仿宋"/>
          <w:szCs w:val="21"/>
        </w:rPr>
      </w:pPr>
      <w:r>
        <w:rPr>
          <w:rFonts w:hint="eastAsia" w:ascii="宋体" w:hAnsi="宋体" w:cs="仿宋"/>
          <w:szCs w:val="21"/>
        </w:rPr>
        <w:t>本合同经双方代表人签字并加盖单位公章之日起生效，并在双方履行完成约定事项后终止。</w:t>
      </w:r>
    </w:p>
    <w:p>
      <w:pPr>
        <w:numPr>
          <w:ilvl w:val="0"/>
          <w:numId w:val="45"/>
        </w:numPr>
        <w:snapToGrid w:val="0"/>
        <w:spacing w:line="360" w:lineRule="auto"/>
        <w:ind w:firstLineChars="200"/>
        <w:rPr>
          <w:rFonts w:ascii="宋体" w:hAnsi="宋体" w:cs="仿宋"/>
          <w:szCs w:val="21"/>
        </w:rPr>
      </w:pPr>
      <w:r>
        <w:rPr>
          <w:rFonts w:hint="eastAsia" w:ascii="宋体" w:hAnsi="宋体" w:cs="仿宋"/>
          <w:szCs w:val="21"/>
        </w:rPr>
        <w:t>本合同载明的联系方式（包括地址、联系人、电话）为双方约定的联系方式，若有变动，应提前书面告知对方，否则该联系方式为双方法定的送达和联系方式，一经发送至上述地址即视为送达。</w:t>
      </w:r>
    </w:p>
    <w:p>
      <w:pPr>
        <w:pStyle w:val="37"/>
        <w:numPr>
          <w:ilvl w:val="0"/>
          <w:numId w:val="45"/>
        </w:numPr>
        <w:spacing w:line="360" w:lineRule="auto"/>
        <w:rPr>
          <w:rFonts w:ascii="宋体" w:hAnsi="宋体" w:eastAsia="宋体" w:cs="仿宋"/>
          <w:szCs w:val="21"/>
        </w:rPr>
      </w:pPr>
      <w:bookmarkStart w:id="60" w:name="_Hlk127434820"/>
      <w:r>
        <w:rPr>
          <w:rFonts w:hint="eastAsia" w:ascii="宋体" w:hAnsi="宋体" w:eastAsia="宋体" w:cs="仿宋"/>
          <w:szCs w:val="21"/>
        </w:rPr>
        <w:t>投标文件中响应及承诺的内容作为本合同不可分割的组成部分，与合同条款具有同等效力；当本合同条款与上述文件内容不一致时，以其中较为严格的要求为准。</w:t>
      </w:r>
      <w:bookmarkEnd w:id="60"/>
    </w:p>
    <w:p>
      <w:pPr>
        <w:numPr>
          <w:ilvl w:val="0"/>
          <w:numId w:val="45"/>
        </w:numPr>
        <w:snapToGrid w:val="0"/>
        <w:spacing w:line="360" w:lineRule="auto"/>
        <w:ind w:firstLineChars="200"/>
        <w:rPr>
          <w:rFonts w:ascii="宋体" w:hAnsi="宋体" w:cs="仿宋"/>
          <w:szCs w:val="21"/>
        </w:rPr>
      </w:pPr>
      <w:r>
        <w:rPr>
          <w:rFonts w:hint="eastAsia" w:ascii="宋体" w:hAnsi="宋体" w:cs="仿宋"/>
          <w:szCs w:val="21"/>
        </w:rPr>
        <w:t>本合同未尽事宜，经双方协商另行签订补充协议，本合同的附件及任何补充协议与本合同具有同等法律效力。</w:t>
      </w:r>
    </w:p>
    <w:p>
      <w:pPr>
        <w:numPr>
          <w:ilvl w:val="0"/>
          <w:numId w:val="45"/>
        </w:numPr>
        <w:snapToGrid w:val="0"/>
        <w:spacing w:line="360" w:lineRule="auto"/>
        <w:ind w:firstLineChars="200"/>
        <w:rPr>
          <w:rFonts w:ascii="宋体" w:hAnsi="宋体" w:cs="仿宋"/>
          <w:szCs w:val="21"/>
        </w:rPr>
      </w:pPr>
      <w:r>
        <w:rPr>
          <w:rFonts w:hint="eastAsia" w:ascii="宋体" w:hAnsi="宋体" w:cs="仿宋"/>
          <w:szCs w:val="21"/>
        </w:rPr>
        <w:t>本合同一式陆份，甲方执肆份，乙方执贰份，具有同等法律效力。</w:t>
      </w:r>
    </w:p>
    <w:p>
      <w:pPr>
        <w:pStyle w:val="2"/>
        <w:rPr>
          <w:rFonts w:hint="default" w:eastAsia="宋体"/>
          <w:lang w:val="en-US" w:eastAsia="zh-CN"/>
        </w:rPr>
      </w:pPr>
      <w:r>
        <w:rPr>
          <w:rFonts w:hint="eastAsia" w:ascii="宋体" w:hAnsi="宋体" w:cs="仿宋"/>
          <w:szCs w:val="21"/>
          <w:lang w:val="en-US" w:eastAsia="zh-CN"/>
        </w:rPr>
        <w:t>附件：</w:t>
      </w:r>
      <w:r>
        <w:rPr>
          <w:rFonts w:hint="eastAsia" w:ascii="宋体" w:hAnsi="宋体" w:cs="仿宋"/>
          <w:szCs w:val="21"/>
        </w:rPr>
        <w:t>服务机构履约评价表</w:t>
      </w:r>
    </w:p>
    <w:p>
      <w:pPr>
        <w:pStyle w:val="6"/>
        <w:spacing w:after="0" w:line="360" w:lineRule="auto"/>
        <w:ind w:left="0" w:firstLine="420" w:firstLineChars="200"/>
        <w:rPr>
          <w:rFonts w:ascii="宋体" w:hAnsi="宋体" w:cs="仿宋"/>
          <w:b/>
          <w:bCs/>
          <w:sz w:val="21"/>
          <w:szCs w:val="21"/>
        </w:rPr>
      </w:pPr>
      <w:r>
        <w:rPr>
          <w:rFonts w:hint="eastAsia" w:ascii="宋体" w:hAnsi="宋体" w:cs="仿宋"/>
          <w:spacing w:val="0"/>
          <w:kern w:val="2"/>
          <w:sz w:val="21"/>
          <w:szCs w:val="21"/>
        </w:rPr>
        <w:t>（以下无正文，为合同签章页）</w:t>
      </w:r>
      <w:r>
        <w:rPr>
          <w:rFonts w:hint="eastAsia" w:ascii="宋体" w:hAnsi="宋体" w:cs="仿宋"/>
          <w:b/>
          <w:bCs/>
          <w:sz w:val="21"/>
          <w:szCs w:val="21"/>
        </w:rPr>
        <w:t xml:space="preserve">    </w:t>
      </w:r>
    </w:p>
    <w:p>
      <w:pPr>
        <w:pStyle w:val="6"/>
        <w:spacing w:line="360" w:lineRule="auto"/>
        <w:rPr>
          <w:rFonts w:ascii="宋体" w:hAnsi="宋体" w:cs="仿宋"/>
          <w:b/>
          <w:bCs/>
          <w:sz w:val="21"/>
          <w:szCs w:val="21"/>
        </w:rPr>
      </w:pPr>
    </w:p>
    <w:p>
      <w:pPr>
        <w:spacing w:line="360" w:lineRule="auto"/>
        <w:ind w:firstLine="560"/>
        <w:rPr>
          <w:rFonts w:ascii="宋体" w:hAnsi="宋体" w:cs="仿宋"/>
          <w:szCs w:val="21"/>
        </w:rPr>
      </w:pPr>
      <w:r>
        <w:rPr>
          <w:rFonts w:hint="eastAsia" w:ascii="宋体" w:hAnsi="宋体" w:cs="宋体"/>
          <w:b/>
          <w:kern w:val="0"/>
          <w:szCs w:val="21"/>
        </w:rPr>
        <w:t>甲  方(盖章)： 深圳会展中心管理有限责任公司</w:t>
      </w:r>
    </w:p>
    <w:p>
      <w:pPr>
        <w:spacing w:line="360" w:lineRule="auto"/>
        <w:ind w:firstLine="560"/>
        <w:rPr>
          <w:rFonts w:ascii="宋体" w:hAnsi="宋体" w:cs="仿宋"/>
          <w:szCs w:val="21"/>
        </w:rPr>
      </w:pPr>
      <w:r>
        <w:rPr>
          <w:rFonts w:hint="eastAsia" w:ascii="宋体" w:hAnsi="宋体" w:cs="仿宋"/>
          <w:szCs w:val="21"/>
        </w:rPr>
        <w:t>法定代表人（签名）：</w:t>
      </w:r>
      <w:r>
        <w:rPr>
          <w:rFonts w:hint="eastAsia" w:ascii="宋体" w:hAnsi="宋体" w:cs="仿宋"/>
          <w:szCs w:val="21"/>
          <w:u w:val="single"/>
        </w:rPr>
        <w:t xml:space="preserve">                  </w:t>
      </w:r>
      <w:r>
        <w:rPr>
          <w:rFonts w:hint="eastAsia" w:ascii="宋体" w:hAnsi="宋体" w:cs="仿宋"/>
          <w:szCs w:val="21"/>
        </w:rPr>
        <w:t xml:space="preserve">   </w:t>
      </w:r>
    </w:p>
    <w:p>
      <w:pPr>
        <w:spacing w:line="360" w:lineRule="auto"/>
        <w:ind w:firstLine="562"/>
        <w:rPr>
          <w:rFonts w:ascii="宋体" w:hAnsi="宋体" w:cs="仿宋"/>
          <w:szCs w:val="21"/>
        </w:rPr>
      </w:pPr>
      <w:r>
        <w:rPr>
          <w:rFonts w:hint="eastAsia" w:ascii="宋体" w:hAnsi="宋体" w:cs="仿宋"/>
          <w:b/>
          <w:bCs/>
          <w:szCs w:val="21"/>
        </w:rPr>
        <w:t>日期：</w:t>
      </w:r>
      <w:r>
        <w:rPr>
          <w:rFonts w:hint="eastAsia" w:ascii="宋体" w:hAnsi="宋体" w:cs="仿宋"/>
          <w:szCs w:val="21"/>
        </w:rPr>
        <w:t xml:space="preserve">      年   月   日      </w:t>
      </w:r>
    </w:p>
    <w:p>
      <w:pPr>
        <w:spacing w:line="360" w:lineRule="auto"/>
        <w:ind w:firstLine="560"/>
        <w:rPr>
          <w:rFonts w:ascii="宋体" w:hAnsi="宋体" w:cs="仿宋"/>
          <w:szCs w:val="21"/>
        </w:rPr>
      </w:pPr>
    </w:p>
    <w:p>
      <w:pPr>
        <w:spacing w:line="360" w:lineRule="auto"/>
        <w:ind w:firstLine="560"/>
        <w:rPr>
          <w:rFonts w:ascii="宋体" w:hAnsi="宋体" w:cs="宋体"/>
          <w:b/>
          <w:kern w:val="0"/>
          <w:szCs w:val="21"/>
        </w:rPr>
      </w:pPr>
      <w:r>
        <w:rPr>
          <w:rFonts w:hint="eastAsia" w:ascii="宋体" w:hAnsi="宋体" w:cs="宋体"/>
          <w:b/>
          <w:kern w:val="0"/>
          <w:szCs w:val="21"/>
        </w:rPr>
        <w:t xml:space="preserve">乙  方（盖章）：  </w:t>
      </w:r>
    </w:p>
    <w:p>
      <w:pPr>
        <w:spacing w:line="360" w:lineRule="auto"/>
        <w:ind w:firstLine="560"/>
        <w:rPr>
          <w:rFonts w:ascii="宋体" w:hAnsi="宋体" w:cs="仿宋"/>
          <w:szCs w:val="21"/>
        </w:rPr>
      </w:pPr>
      <w:r>
        <w:rPr>
          <w:rFonts w:hint="eastAsia" w:ascii="宋体" w:hAnsi="宋体" w:cs="仿宋"/>
          <w:szCs w:val="21"/>
        </w:rPr>
        <w:t>法定代表人/授权代表（签名)：</w:t>
      </w:r>
      <w:r>
        <w:rPr>
          <w:rFonts w:hint="eastAsia" w:ascii="宋体" w:hAnsi="宋体" w:cs="仿宋"/>
          <w:szCs w:val="21"/>
          <w:u w:val="single"/>
        </w:rPr>
        <w:t xml:space="preserve">                  </w:t>
      </w:r>
    </w:p>
    <w:p>
      <w:pPr>
        <w:spacing w:line="360" w:lineRule="auto"/>
        <w:ind w:firstLine="562"/>
        <w:rPr>
          <w:rFonts w:ascii="宋体" w:hAnsi="宋体" w:cs="仿宋"/>
          <w:b/>
          <w:bCs/>
          <w:szCs w:val="21"/>
        </w:rPr>
      </w:pPr>
      <w:r>
        <w:rPr>
          <w:rFonts w:hint="eastAsia" w:ascii="宋体" w:hAnsi="宋体" w:cs="仿宋"/>
          <w:b/>
          <w:bCs/>
          <w:szCs w:val="21"/>
        </w:rPr>
        <w:t xml:space="preserve">日期：      年   月   日       </w:t>
      </w:r>
      <w:r>
        <w:rPr>
          <w:rFonts w:ascii="宋体" w:hAnsi="宋体" w:cs="仿宋"/>
          <w:b/>
          <w:bCs/>
          <w:szCs w:val="21"/>
        </w:rPr>
        <w:br w:type="page"/>
      </w:r>
    </w:p>
    <w:p>
      <w:pPr>
        <w:spacing w:before="312" w:beforeLines="100" w:after="312" w:afterLines="100" w:line="360" w:lineRule="auto"/>
        <w:jc w:val="center"/>
        <w:outlineLvl w:val="0"/>
        <w:rPr>
          <w:rFonts w:ascii="仿宋" w:hAnsi="仿宋" w:eastAsia="仿宋"/>
          <w:sz w:val="32"/>
          <w:szCs w:val="32"/>
        </w:rPr>
      </w:pPr>
      <w:bookmarkStart w:id="61" w:name="_Toc32511"/>
      <w:r>
        <w:rPr>
          <w:rFonts w:hint="eastAsia"/>
          <w:b/>
          <w:sz w:val="32"/>
          <w:szCs w:val="32"/>
        </w:rPr>
        <w:t>第五部分：参考附件</w:t>
      </w:r>
      <w:bookmarkEnd w:id="61"/>
    </w:p>
    <w:p>
      <w:pPr>
        <w:spacing w:line="0" w:lineRule="atLeast"/>
        <w:outlineLvl w:val="1"/>
        <w:rPr>
          <w:rFonts w:ascii="宋体" w:hAnsi="宋体"/>
        </w:rPr>
      </w:pPr>
      <w:bookmarkStart w:id="62" w:name="_Toc26952"/>
      <w:r>
        <w:rPr>
          <w:rFonts w:hint="eastAsia" w:ascii="宋体" w:hAnsi="宋体"/>
          <w:szCs w:val="21"/>
        </w:rPr>
        <w:t>附件1：</w:t>
      </w:r>
      <w:r>
        <w:rPr>
          <w:rFonts w:hint="eastAsia" w:ascii="宋体" w:hAnsi="宋体"/>
        </w:rPr>
        <w:t>报名回函</w:t>
      </w:r>
      <w:bookmarkEnd w:id="62"/>
    </w:p>
    <w:p>
      <w:pPr>
        <w:pStyle w:val="14"/>
      </w:pPr>
    </w:p>
    <w:p>
      <w:pPr>
        <w:pStyle w:val="15"/>
        <w:jc w:val="center"/>
        <w:rPr>
          <w:rFonts w:ascii="方正小标宋简体" w:hAnsi="方正小标宋_GBK" w:eastAsia="方正小标宋简体"/>
          <w:sz w:val="32"/>
          <w:szCs w:val="32"/>
        </w:rPr>
      </w:pPr>
      <w:r>
        <w:rPr>
          <w:rStyle w:val="20"/>
          <w:rFonts w:hint="eastAsia" w:ascii="方正小标宋简体" w:hAnsi="方正小标宋_GBK" w:eastAsia="方正小标宋简体"/>
          <w:sz w:val="32"/>
          <w:szCs w:val="32"/>
        </w:rPr>
        <w:t>关于确认参加_________________项目投标的回函</w:t>
      </w:r>
    </w:p>
    <w:p>
      <w:pPr>
        <w:pStyle w:val="15"/>
        <w:rPr>
          <w:rFonts w:ascii="微软雅黑" w:hAnsi="微软雅黑" w:eastAsia="微软雅黑"/>
          <w:sz w:val="18"/>
          <w:szCs w:val="18"/>
        </w:rPr>
      </w:pPr>
    </w:p>
    <w:p>
      <w:pPr>
        <w:pStyle w:val="15"/>
        <w:rPr>
          <w:rFonts w:ascii="微软雅黑" w:hAnsi="微软雅黑" w:eastAsia="微软雅黑"/>
          <w:sz w:val="18"/>
          <w:szCs w:val="18"/>
        </w:rPr>
      </w:pPr>
    </w:p>
    <w:p>
      <w:pPr>
        <w:pStyle w:val="15"/>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5"/>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5"/>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5"/>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5"/>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5"/>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5"/>
        <w:spacing w:after="240"/>
        <w:ind w:firstLine="616" w:firstLineChars="220"/>
        <w:rPr>
          <w:rFonts w:ascii="仿宋" w:hAnsi="仿宋" w:eastAsia="仿宋"/>
          <w:sz w:val="28"/>
          <w:szCs w:val="28"/>
        </w:rPr>
      </w:pPr>
    </w:p>
    <w:p>
      <w:pPr>
        <w:pStyle w:val="15"/>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4"/>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9"/>
        <w:rPr>
          <w:b/>
          <w:sz w:val="21"/>
          <w:szCs w:val="21"/>
        </w:rPr>
      </w:pPr>
    </w:p>
    <w:p>
      <w:pPr>
        <w:pStyle w:val="9"/>
        <w:rPr>
          <w:b/>
          <w:sz w:val="21"/>
          <w:szCs w:val="21"/>
        </w:rPr>
      </w:pPr>
    </w:p>
    <w:p>
      <w:pPr>
        <w:pStyle w:val="9"/>
        <w:rPr>
          <w:b/>
          <w:sz w:val="21"/>
          <w:szCs w:val="21"/>
        </w:rPr>
      </w:pPr>
    </w:p>
    <w:p>
      <w:pPr>
        <w:pStyle w:val="9"/>
        <w:rPr>
          <w:b/>
          <w:sz w:val="21"/>
          <w:szCs w:val="21"/>
        </w:rPr>
      </w:pPr>
    </w:p>
    <w:p>
      <w:pPr>
        <w:pStyle w:val="9"/>
        <w:rPr>
          <w:b/>
          <w:sz w:val="21"/>
          <w:szCs w:val="21"/>
        </w:rPr>
      </w:pPr>
    </w:p>
    <w:p>
      <w:pPr>
        <w:pStyle w:val="9"/>
        <w:rPr>
          <w:b/>
          <w:sz w:val="21"/>
          <w:szCs w:val="21"/>
        </w:rPr>
      </w:pPr>
    </w:p>
    <w:p>
      <w:pPr>
        <w:pStyle w:val="9"/>
        <w:rPr>
          <w:b/>
          <w:sz w:val="21"/>
          <w:szCs w:val="21"/>
        </w:rPr>
      </w:pPr>
    </w:p>
    <w:p>
      <w:pPr>
        <w:pStyle w:val="9"/>
        <w:rPr>
          <w:b/>
          <w:sz w:val="21"/>
          <w:szCs w:val="21"/>
        </w:rPr>
      </w:pPr>
    </w:p>
    <w:p>
      <w:pPr>
        <w:pStyle w:val="9"/>
        <w:rPr>
          <w:rFonts w:ascii="宋体" w:hAnsi="宋体"/>
          <w:b/>
          <w:sz w:val="21"/>
          <w:szCs w:val="21"/>
        </w:rPr>
      </w:pPr>
    </w:p>
    <w:p>
      <w:pPr>
        <w:pStyle w:val="9"/>
        <w:rPr>
          <w:rFonts w:ascii="宋体" w:hAnsi="宋体"/>
          <w:b/>
          <w:sz w:val="21"/>
          <w:szCs w:val="21"/>
        </w:rPr>
      </w:pPr>
      <w:r>
        <w:rPr>
          <w:rFonts w:hint="eastAsia" w:ascii="宋体" w:hAnsi="宋体"/>
          <w:b/>
          <w:sz w:val="21"/>
          <w:szCs w:val="21"/>
        </w:rPr>
        <w:t>注：1.本件电子档及盖章后的扫描件按要求上传至指定地址；</w:t>
      </w:r>
    </w:p>
    <w:p>
      <w:pPr>
        <w:pStyle w:val="9"/>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9"/>
        <w:rPr>
          <w:b/>
          <w:sz w:val="21"/>
          <w:szCs w:val="21"/>
        </w:rPr>
      </w:pPr>
    </w:p>
    <w:p>
      <w:pPr>
        <w:widowControl/>
        <w:jc w:val="left"/>
        <w:rPr>
          <w:b/>
          <w:szCs w:val="21"/>
        </w:rPr>
      </w:pPr>
      <w:r>
        <w:rPr>
          <w:b/>
          <w:szCs w:val="21"/>
        </w:rPr>
        <w:br w:type="page"/>
      </w:r>
    </w:p>
    <w:p>
      <w:pPr>
        <w:pStyle w:val="9"/>
        <w:rPr>
          <w:b/>
          <w:sz w:val="21"/>
          <w:szCs w:val="21"/>
        </w:rPr>
      </w:pPr>
    </w:p>
    <w:p>
      <w:pPr>
        <w:spacing w:line="0" w:lineRule="atLeast"/>
        <w:outlineLvl w:val="1"/>
        <w:rPr>
          <w:rFonts w:ascii="宋体" w:hAnsi="宋体"/>
          <w:szCs w:val="21"/>
        </w:rPr>
      </w:pPr>
      <w:bookmarkStart w:id="63" w:name="_Toc31135"/>
      <w:r>
        <w:rPr>
          <w:rFonts w:hint="eastAsia" w:ascii="宋体" w:hAnsi="宋体"/>
          <w:szCs w:val="21"/>
        </w:rPr>
        <w:t>附件2：投标函</w:t>
      </w:r>
      <w:bookmarkEnd w:id="63"/>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4" w:name="_Toc8250"/>
      <w:r>
        <w:rPr>
          <w:rFonts w:hint="eastAsia" w:ascii="宋体" w:hAnsi="宋体"/>
          <w:szCs w:val="21"/>
        </w:rPr>
        <w:t>附件3：投标一览表</w:t>
      </w:r>
      <w:bookmarkEnd w:id="64"/>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6"/>
        <w:spacing w:after="0" w:line="240" w:lineRule="auto"/>
        <w:ind w:left="-2" w:leftChars="-1" w:firstLine="2" w:firstLineChars="1"/>
        <w:jc w:val="left"/>
        <w:rPr>
          <w:sz w:val="21"/>
          <w:szCs w:val="21"/>
        </w:rPr>
      </w:pPr>
      <w:bookmarkStart w:id="65"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8"/>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2" w:type="dxa"/>
            <w:vAlign w:val="center"/>
          </w:tcPr>
          <w:p>
            <w:pPr>
              <w:pStyle w:val="6"/>
              <w:spacing w:after="0" w:line="300" w:lineRule="exact"/>
              <w:ind w:left="0"/>
              <w:jc w:val="center"/>
              <w:rPr>
                <w:sz w:val="21"/>
                <w:szCs w:val="21"/>
              </w:rPr>
            </w:pPr>
            <w:r>
              <w:rPr>
                <w:rFonts w:hint="eastAsia"/>
                <w:sz w:val="21"/>
                <w:szCs w:val="21"/>
              </w:rPr>
              <w:t>税前总金额</w:t>
            </w:r>
          </w:p>
          <w:p>
            <w:pPr>
              <w:pStyle w:val="6"/>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5"/>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6"/>
        <w:ind w:left="0"/>
        <w:rPr>
          <w:rFonts w:ascii="宋体" w:hAnsi="宋体"/>
          <w:szCs w:val="21"/>
        </w:rPr>
      </w:pPr>
    </w:p>
    <w:p>
      <w:pPr>
        <w:pStyle w:val="6"/>
        <w:ind w:left="0"/>
        <w:rPr>
          <w:rFonts w:ascii="宋体" w:hAnsi="宋体"/>
          <w:szCs w:val="21"/>
        </w:rPr>
      </w:pPr>
    </w:p>
    <w:p>
      <w:pPr>
        <w:pStyle w:val="6"/>
        <w:ind w:left="0"/>
        <w:rPr>
          <w:rFonts w:ascii="宋体" w:hAnsi="宋体"/>
          <w:szCs w:val="21"/>
        </w:rPr>
      </w:pPr>
    </w:p>
    <w:p>
      <w:pPr>
        <w:pStyle w:val="6"/>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66" w:name="_Toc5620"/>
      <w:r>
        <w:rPr>
          <w:rFonts w:hint="eastAsia" w:ascii="宋体" w:hAnsi="宋体"/>
          <w:szCs w:val="21"/>
        </w:rPr>
        <w:t>附件4：考察证明</w:t>
      </w:r>
      <w:bookmarkEnd w:id="66"/>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7"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8"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68"/>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7"/>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9" w:name="_Toc26322"/>
      <w:r>
        <w:rPr>
          <w:rFonts w:hint="eastAsia" w:ascii="宋体" w:hAnsi="宋体"/>
          <w:szCs w:val="21"/>
        </w:rPr>
        <w:t>附件5：技术服务响应/偏离表</w:t>
      </w:r>
      <w:bookmarkEnd w:id="69"/>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0" w:name="_Toc211248418"/>
      <w:r>
        <w:rPr>
          <w:rFonts w:hint="eastAsia" w:ascii="方正小标宋_GBK" w:hAnsi="方正小标宋_GBK" w:eastAsia="方正小标宋_GBK"/>
          <w:b/>
          <w:sz w:val="32"/>
          <w:szCs w:val="32"/>
        </w:rPr>
        <w:t>技术服务响应/偏离表</w:t>
      </w:r>
      <w:bookmarkEnd w:id="70"/>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7"/>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6"/>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6"/>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6"/>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6"/>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71" w:name="_Hlk127434997"/>
      <w:bookmarkStart w:id="72" w:name="_Toc211243320"/>
      <w:r>
        <w:rPr>
          <w:rFonts w:hint="eastAsia" w:ascii="仿宋" w:hAnsi="仿宋" w:eastAsia="仿宋"/>
          <w:sz w:val="30"/>
          <w:szCs w:val="30"/>
        </w:rPr>
        <w:t>法定代表人或其授权委托人（签字或盖章）：</w:t>
      </w:r>
      <w:bookmarkEnd w:id="71"/>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2"/>
      <w:bookmarkStart w:id="73" w:name="_Toc246480945"/>
      <w:bookmarkStart w:id="74" w:name="_Toc236803114"/>
      <w:r>
        <w:rPr>
          <w:rFonts w:ascii="仿宋" w:hAnsi="仿宋" w:eastAsia="仿宋"/>
          <w:sz w:val="28"/>
          <w:szCs w:val="28"/>
        </w:rPr>
        <w:br w:type="page"/>
      </w:r>
    </w:p>
    <w:p>
      <w:pPr>
        <w:spacing w:line="0" w:lineRule="atLeast"/>
        <w:outlineLvl w:val="1"/>
        <w:rPr>
          <w:rFonts w:ascii="宋体" w:hAnsi="宋体"/>
          <w:szCs w:val="21"/>
        </w:rPr>
      </w:pPr>
      <w:bookmarkStart w:id="75" w:name="_Toc20997"/>
      <w:r>
        <w:rPr>
          <w:rFonts w:hint="eastAsia" w:ascii="宋体" w:hAnsi="宋体"/>
          <w:szCs w:val="21"/>
        </w:rPr>
        <w:t>附件6：商务条款响应/偏离表</w:t>
      </w:r>
      <w:bookmarkEnd w:id="73"/>
      <w:bookmarkEnd w:id="74"/>
      <w:bookmarkEnd w:id="75"/>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6" w:name="_Toc211248420"/>
      <w:r>
        <w:rPr>
          <w:rFonts w:hint="eastAsia" w:ascii="方正小标宋_GBK" w:hAnsi="方正小标宋_GBK" w:eastAsia="方正小标宋_GBK"/>
          <w:b/>
          <w:sz w:val="32"/>
          <w:szCs w:val="32"/>
        </w:rPr>
        <w:t>商务条款响应/偏离表</w:t>
      </w:r>
      <w:bookmarkEnd w:id="76"/>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7"/>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7" w:name="_Toc395883088"/>
      <w:bookmarkStart w:id="78" w:name="_Toc478387764"/>
      <w:bookmarkStart w:id="79" w:name="_Toc236803111"/>
      <w:r>
        <w:rPr>
          <w:rFonts w:ascii="仿宋" w:hAnsi="仿宋" w:eastAsia="仿宋"/>
          <w:sz w:val="28"/>
          <w:szCs w:val="28"/>
        </w:rPr>
        <w:br w:type="page"/>
      </w:r>
    </w:p>
    <w:p>
      <w:pPr>
        <w:spacing w:line="0" w:lineRule="atLeast"/>
        <w:outlineLvl w:val="1"/>
        <w:rPr>
          <w:rFonts w:ascii="宋体" w:hAnsi="宋体"/>
          <w:szCs w:val="21"/>
        </w:rPr>
      </w:pPr>
      <w:bookmarkStart w:id="80" w:name="_Toc23354"/>
      <w:r>
        <w:rPr>
          <w:rFonts w:hint="eastAsia" w:ascii="宋体" w:hAnsi="宋体"/>
          <w:szCs w:val="21"/>
        </w:rPr>
        <w:t>附件7：报价一览表（货物）</w:t>
      </w:r>
      <w:r>
        <w:rPr>
          <w:rFonts w:hint="eastAsia" w:ascii="宋体" w:hAnsi="宋体"/>
          <w:color w:val="FF0000"/>
          <w:szCs w:val="21"/>
        </w:rPr>
        <w:t>（本项目不适用）</w:t>
      </w:r>
      <w:bookmarkEnd w:id="80"/>
    </w:p>
    <w:bookmarkEnd w:id="77"/>
    <w:bookmarkEnd w:id="78"/>
    <w:bookmarkEnd w:id="79"/>
    <w:p>
      <w:pPr>
        <w:spacing w:before="120" w:after="240"/>
        <w:jc w:val="center"/>
        <w:rPr>
          <w:rFonts w:ascii="宋体" w:hAnsi="宋体"/>
          <w:b/>
          <w:sz w:val="32"/>
          <w:szCs w:val="32"/>
        </w:rPr>
      </w:pPr>
      <w:bookmarkStart w:id="81" w:name="_Toc211248412"/>
      <w:r>
        <w:rPr>
          <w:rFonts w:hint="eastAsia" w:ascii="方正小标宋_GBK" w:hAnsi="方正小标宋_GBK" w:eastAsia="方正小标宋_GBK"/>
          <w:b/>
          <w:sz w:val="32"/>
          <w:szCs w:val="32"/>
        </w:rPr>
        <w:t>报价一览表</w:t>
      </w:r>
      <w:bookmarkEnd w:id="81"/>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7"/>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5"/>
        <w:numPr>
          <w:ilvl w:val="1"/>
          <w:numId w:val="48"/>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5"/>
        <w:numPr>
          <w:ilvl w:val="1"/>
          <w:numId w:val="48"/>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5"/>
        <w:numPr>
          <w:ilvl w:val="1"/>
          <w:numId w:val="48"/>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5"/>
        <w:numPr>
          <w:ilvl w:val="1"/>
          <w:numId w:val="48"/>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2" w:name="_Toc82359026"/>
      <w:bookmarkStart w:id="83" w:name="_Toc82095917"/>
      <w:r>
        <w:rPr>
          <w:rFonts w:hint="eastAsia" w:ascii="仿宋" w:hAnsi="仿宋" w:eastAsia="仿宋"/>
          <w:sz w:val="28"/>
          <w:szCs w:val="28"/>
        </w:rPr>
        <w:t>日期：_________年____月____日</w:t>
      </w:r>
      <w:r>
        <w:rPr>
          <w:rFonts w:ascii="仿宋" w:hAnsi="仿宋" w:eastAsia="仿宋"/>
          <w:sz w:val="28"/>
          <w:szCs w:val="28"/>
        </w:rPr>
        <w:br w:type="page"/>
      </w:r>
    </w:p>
    <w:bookmarkEnd w:id="82"/>
    <w:bookmarkEnd w:id="83"/>
    <w:p>
      <w:pPr>
        <w:spacing w:line="0" w:lineRule="atLeast"/>
        <w:outlineLvl w:val="1"/>
        <w:rPr>
          <w:rFonts w:ascii="宋体" w:hAnsi="宋体"/>
          <w:szCs w:val="21"/>
        </w:rPr>
      </w:pPr>
      <w:bookmarkStart w:id="84" w:name="_Toc29343"/>
      <w:r>
        <w:rPr>
          <w:rFonts w:hint="eastAsia" w:ascii="宋体" w:hAnsi="宋体"/>
          <w:szCs w:val="21"/>
        </w:rPr>
        <w:t>附件8：报价一览表（服务）</w:t>
      </w:r>
      <w:bookmarkEnd w:id="84"/>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7"/>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5"/>
        <w:numPr>
          <w:ilvl w:val="1"/>
          <w:numId w:val="49"/>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5"/>
        <w:numPr>
          <w:ilvl w:val="1"/>
          <w:numId w:val="49"/>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5"/>
        <w:numPr>
          <w:ilvl w:val="1"/>
          <w:numId w:val="49"/>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5" w:name="_Toc6417"/>
      <w:r>
        <w:rPr>
          <w:rFonts w:hint="eastAsia" w:ascii="宋体" w:hAnsi="宋体"/>
          <w:szCs w:val="21"/>
        </w:rPr>
        <w:t>附件9：报价一览表（工程）</w:t>
      </w:r>
      <w:r>
        <w:rPr>
          <w:rFonts w:hint="eastAsia" w:ascii="宋体" w:hAnsi="宋体"/>
          <w:color w:val="FF0000"/>
          <w:szCs w:val="21"/>
        </w:rPr>
        <w:t>（本项目不适用）</w:t>
      </w:r>
      <w:bookmarkEnd w:id="85"/>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7"/>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5"/>
        <w:numPr>
          <w:ilvl w:val="1"/>
          <w:numId w:val="50"/>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5"/>
        <w:numPr>
          <w:ilvl w:val="1"/>
          <w:numId w:val="50"/>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5"/>
        <w:numPr>
          <w:ilvl w:val="1"/>
          <w:numId w:val="50"/>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5"/>
        <w:numPr>
          <w:ilvl w:val="1"/>
          <w:numId w:val="50"/>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6" w:name="_Toc3789"/>
      <w:r>
        <w:rPr>
          <w:rFonts w:hint="eastAsia" w:ascii="宋体" w:hAnsi="宋体"/>
          <w:szCs w:val="21"/>
        </w:rPr>
        <w:t>附件10：法定代表人证明书</w:t>
      </w:r>
      <w:bookmarkEnd w:id="86"/>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5"/>
        <w:numPr>
          <w:ilvl w:val="1"/>
          <w:numId w:val="51"/>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5"/>
        <w:numPr>
          <w:ilvl w:val="1"/>
          <w:numId w:val="51"/>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5"/>
        <w:numPr>
          <w:ilvl w:val="1"/>
          <w:numId w:val="51"/>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7" w:name="_Toc9615"/>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7"/>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5"/>
        <w:numPr>
          <w:ilvl w:val="1"/>
          <w:numId w:val="52"/>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5"/>
        <w:numPr>
          <w:ilvl w:val="1"/>
          <w:numId w:val="52"/>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5"/>
        <w:numPr>
          <w:ilvl w:val="1"/>
          <w:numId w:val="52"/>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color w:val="000000"/>
        </w:rPr>
        <w:br w:type="page"/>
      </w:r>
    </w:p>
    <w:p>
      <w:pPr>
        <w:spacing w:line="0" w:lineRule="atLeast"/>
        <w:outlineLvl w:val="1"/>
        <w:rPr>
          <w:rFonts w:ascii="宋体" w:hAnsi="宋体"/>
          <w:szCs w:val="21"/>
        </w:rPr>
      </w:pPr>
      <w:bookmarkStart w:id="88" w:name="_Toc8150"/>
      <w:r>
        <w:rPr>
          <w:rFonts w:hint="eastAsia" w:ascii="宋体" w:hAnsi="宋体"/>
          <w:szCs w:val="21"/>
        </w:rPr>
        <w:t>附件</w:t>
      </w:r>
      <w:r>
        <w:rPr>
          <w:rFonts w:ascii="宋体" w:hAnsi="宋体"/>
          <w:szCs w:val="21"/>
        </w:rPr>
        <w:t>1</w:t>
      </w:r>
      <w:r>
        <w:rPr>
          <w:rFonts w:hint="eastAsia" w:ascii="宋体" w:hAnsi="宋体"/>
          <w:szCs w:val="21"/>
        </w:rPr>
        <w:t>2：经营业绩一览表</w:t>
      </w:r>
      <w:bookmarkEnd w:id="88"/>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7"/>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5"/>
        <w:numPr>
          <w:ilvl w:val="1"/>
          <w:numId w:val="53"/>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5"/>
        <w:numPr>
          <w:ilvl w:val="1"/>
          <w:numId w:val="53"/>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5"/>
        <w:numPr>
          <w:ilvl w:val="1"/>
          <w:numId w:val="53"/>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5"/>
        <w:numPr>
          <w:ilvl w:val="1"/>
          <w:numId w:val="53"/>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9" w:name="_Toc16910"/>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9"/>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5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5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5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5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5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5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90" w:name="_Toc32341"/>
      <w:r>
        <w:rPr>
          <w:rFonts w:ascii="仿宋" w:hAnsi="仿宋" w:eastAsia="仿宋"/>
          <w:sz w:val="28"/>
          <w:szCs w:val="28"/>
        </w:rPr>
        <w:br w:type="page"/>
      </w:r>
    </w:p>
    <w:p>
      <w:pPr>
        <w:spacing w:line="0" w:lineRule="atLeast"/>
        <w:outlineLvl w:val="1"/>
        <w:rPr>
          <w:rFonts w:ascii="宋体" w:hAnsi="宋体"/>
          <w:szCs w:val="21"/>
        </w:rPr>
      </w:pPr>
      <w:bookmarkStart w:id="91" w:name="_Toc556"/>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90"/>
      <w:bookmarkEnd w:id="91"/>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55"/>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55"/>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55"/>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4"/>
      </w:pPr>
    </w:p>
    <w:p>
      <w:pPr>
        <w:spacing w:line="0" w:lineRule="atLeast"/>
        <w:outlineLvl w:val="1"/>
        <w:rPr>
          <w:rFonts w:ascii="宋体" w:hAnsi="宋体"/>
        </w:rPr>
      </w:pPr>
      <w:bookmarkStart w:id="92" w:name="_Toc100848654"/>
      <w:bookmarkStart w:id="93" w:name="_Toc32688"/>
      <w:r>
        <w:rPr>
          <w:rFonts w:hint="eastAsia" w:ascii="宋体" w:hAnsi="宋体"/>
        </w:rPr>
        <w:t>附件15：投标文件密码</w:t>
      </w:r>
      <w:bookmarkEnd w:id="92"/>
      <w:r>
        <w:rPr>
          <w:rFonts w:hint="eastAsia" w:ascii="宋体" w:hAnsi="宋体"/>
        </w:rPr>
        <w:t>单</w:t>
      </w:r>
      <w:bookmarkEnd w:id="93"/>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4"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4"/>
    </w:p>
    <w:p>
      <w:pPr>
        <w:jc w:val="center"/>
        <w:rPr>
          <w:rFonts w:ascii="宋体" w:hAnsi="宋体"/>
          <w:b/>
          <w:sz w:val="32"/>
          <w:szCs w:val="32"/>
        </w:rPr>
      </w:pPr>
      <w:r>
        <w:rPr>
          <w:rFonts w:hint="eastAsia" w:ascii="宋体" w:hAnsi="宋体"/>
          <w:b/>
          <w:sz w:val="32"/>
          <w:szCs w:val="32"/>
        </w:rPr>
        <w:t>投标文件密码单</w:t>
      </w:r>
    </w:p>
    <w:p>
      <w:pPr>
        <w:pStyle w:val="14"/>
        <w:rPr>
          <w:rFonts w:ascii="仿宋" w:hAnsi="仿宋" w:eastAsia="仿宋"/>
          <w:b/>
          <w:sz w:val="28"/>
          <w:szCs w:val="28"/>
        </w:rPr>
      </w:pPr>
    </w:p>
    <w:p>
      <w:pPr>
        <w:pStyle w:val="14"/>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4"/>
        <w:rPr>
          <w:rFonts w:ascii="仿宋" w:hAnsi="仿宋" w:eastAsia="仿宋"/>
          <w:b/>
          <w:sz w:val="28"/>
          <w:szCs w:val="28"/>
        </w:rPr>
      </w:pPr>
    </w:p>
    <w:p>
      <w:pPr>
        <w:pStyle w:val="14"/>
        <w:rPr>
          <w:rFonts w:ascii="仿宋" w:hAnsi="仿宋" w:eastAsia="仿宋"/>
          <w:b/>
          <w:color w:val="FF0000"/>
          <w:sz w:val="28"/>
          <w:szCs w:val="28"/>
        </w:rPr>
      </w:pPr>
      <w:r>
        <w:rPr>
          <w:rFonts w:hint="eastAsia" w:ascii="仿宋" w:hAnsi="仿宋" w:eastAsia="仿宋"/>
          <w:b/>
          <w:color w:val="FF0000"/>
          <w:sz w:val="28"/>
          <w:szCs w:val="28"/>
        </w:rPr>
        <w:t>【特别注意】</w:t>
      </w:r>
    </w:p>
    <w:p>
      <w:pPr>
        <w:pStyle w:val="14"/>
        <w:numPr>
          <w:ilvl w:val="0"/>
          <w:numId w:val="56"/>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4"/>
        <w:numPr>
          <w:ilvl w:val="0"/>
          <w:numId w:val="56"/>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4"/>
      </w:pPr>
    </w:p>
    <w:p>
      <w:pPr>
        <w:pStyle w:val="14"/>
      </w:pPr>
    </w:p>
    <w:p>
      <w:pPr>
        <w:spacing w:line="360" w:lineRule="auto"/>
        <w:jc w:val="left"/>
        <w:rPr>
          <w:rFonts w:ascii="仿宋" w:hAnsi="仿宋" w:eastAsia="仿宋"/>
          <w:sz w:val="28"/>
          <w:szCs w:val="28"/>
        </w:rPr>
      </w:pPr>
      <w:bookmarkStart w:id="95"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4"/>
      </w:pPr>
      <w:r>
        <w:rPr>
          <w:rFonts w:hint="eastAsia" w:ascii="仿宋" w:hAnsi="仿宋" w:eastAsia="仿宋"/>
          <w:sz w:val="28"/>
          <w:szCs w:val="28"/>
        </w:rPr>
        <w:t>日期：_______年____月___日</w:t>
      </w:r>
      <w:bookmarkEnd w:id="95"/>
    </w:p>
    <w:p>
      <w:pPr>
        <w:pStyle w:val="14"/>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right" w:pos="7797"/>
        <w:tab w:val="clear" w:pos="8306"/>
      </w:tabs>
      <w:ind w:right="-764" w:rightChars="-364"/>
      <w:jc w:val="right"/>
      <w:rPr>
        <w:rFonts w:ascii="宋体" w:hAnsi="宋体" w:cs="宋体"/>
        <w:bCs/>
      </w:rPr>
    </w:pPr>
    <w:bookmarkStart w:id="96" w:name="_Hlk116546063"/>
    <w:bookmarkStart w:id="97" w:name="_Hlk116546062"/>
    <w:r>
      <w:rPr>
        <w:rFonts w:hint="eastAsia" w:ascii="宋体" w:hAnsi="宋体" w:cs="宋体"/>
        <w:bCs/>
      </w:rPr>
      <w:t>版本发布日期：</w:t>
    </w:r>
    <w:r>
      <w:rPr>
        <w:rFonts w:hint="eastAsia" w:ascii="宋体" w:hAnsi="宋体" w:cs="宋体"/>
        <w:bCs/>
        <w:u w:val="single"/>
      </w:rPr>
      <w:t>2023年3月6日</w:t>
    </w:r>
    <w:bookmarkEnd w:id="96"/>
    <w:bookmarkEnd w:id="9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A2281775"/>
    <w:multiLevelType w:val="singleLevel"/>
    <w:tmpl w:val="A2281775"/>
    <w:lvl w:ilvl="0" w:tentative="0">
      <w:start w:val="1"/>
      <w:numFmt w:val="decimal"/>
      <w:suff w:val="space"/>
      <w:lvlText w:val="%1."/>
      <w:lvlJc w:val="left"/>
    </w:lvl>
  </w:abstractNum>
  <w:abstractNum w:abstractNumId="4">
    <w:nsid w:val="C022ACC7"/>
    <w:multiLevelType w:val="singleLevel"/>
    <w:tmpl w:val="C022ACC7"/>
    <w:lvl w:ilvl="0" w:tentative="0">
      <w:start w:val="1"/>
      <w:numFmt w:val="decimal"/>
      <w:lvlText w:val="(%1)"/>
      <w:lvlJc w:val="left"/>
      <w:pPr>
        <w:tabs>
          <w:tab w:val="left" w:pos="420"/>
        </w:tabs>
        <w:ind w:left="425" w:leftChars="0" w:hanging="425" w:firstLineChars="0"/>
      </w:pPr>
      <w:rPr>
        <w:rFonts w:hint="default"/>
      </w:rPr>
    </w:lvl>
  </w:abstractNum>
  <w:abstractNum w:abstractNumId="5">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6">
    <w:nsid w:val="CA690857"/>
    <w:multiLevelType w:val="singleLevel"/>
    <w:tmpl w:val="CA690857"/>
    <w:lvl w:ilvl="0" w:tentative="0">
      <w:start w:val="1"/>
      <w:numFmt w:val="decimal"/>
      <w:lvlText w:val="（%1）"/>
      <w:lvlJc w:val="left"/>
      <w:pPr>
        <w:ind w:left="420" w:hanging="420"/>
      </w:pPr>
      <w:rPr>
        <w:rFonts w:hint="eastAsia"/>
      </w:rPr>
    </w:lvl>
  </w:abstractNum>
  <w:abstractNum w:abstractNumId="7">
    <w:nsid w:val="CF7FE85F"/>
    <w:multiLevelType w:val="singleLevel"/>
    <w:tmpl w:val="CF7FE85F"/>
    <w:lvl w:ilvl="0" w:tentative="0">
      <w:start w:val="1"/>
      <w:numFmt w:val="decimal"/>
      <w:lvlText w:val="%1."/>
      <w:lvlJc w:val="left"/>
      <w:pPr>
        <w:ind w:left="425" w:hanging="425"/>
      </w:pPr>
      <w:rPr>
        <w:rFonts w:hint="default"/>
      </w:rPr>
    </w:lvl>
  </w:abstractNum>
  <w:abstractNum w:abstractNumId="8">
    <w:nsid w:val="D3051835"/>
    <w:multiLevelType w:val="singleLevel"/>
    <w:tmpl w:val="D3051835"/>
    <w:lvl w:ilvl="0" w:tentative="0">
      <w:start w:val="1"/>
      <w:numFmt w:val="decimal"/>
      <w:suff w:val="space"/>
      <w:lvlText w:val="%1."/>
      <w:lvlJc w:val="left"/>
    </w:lvl>
  </w:abstractNum>
  <w:abstractNum w:abstractNumId="9">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10">
    <w:nsid w:val="DAA5A57F"/>
    <w:multiLevelType w:val="singleLevel"/>
    <w:tmpl w:val="DAA5A57F"/>
    <w:lvl w:ilvl="0" w:tentative="0">
      <w:start w:val="1"/>
      <w:numFmt w:val="decimal"/>
      <w:suff w:val="space"/>
      <w:lvlText w:val="%1."/>
      <w:lvlJc w:val="left"/>
    </w:lvl>
  </w:abstractNum>
  <w:abstractNum w:abstractNumId="11">
    <w:nsid w:val="DB4D60E3"/>
    <w:multiLevelType w:val="singleLevel"/>
    <w:tmpl w:val="DB4D60E3"/>
    <w:lvl w:ilvl="0" w:tentative="0">
      <w:start w:val="1"/>
      <w:numFmt w:val="decimal"/>
      <w:suff w:val="space"/>
      <w:lvlText w:val="%1."/>
      <w:lvlJc w:val="left"/>
    </w:lvl>
  </w:abstractNum>
  <w:abstractNum w:abstractNumId="12">
    <w:nsid w:val="EBB28CBD"/>
    <w:multiLevelType w:val="singleLevel"/>
    <w:tmpl w:val="EBB28CBD"/>
    <w:lvl w:ilvl="0" w:tentative="0">
      <w:start w:val="1"/>
      <w:numFmt w:val="decimal"/>
      <w:suff w:val="space"/>
      <w:lvlText w:val="%1."/>
      <w:lvlJc w:val="left"/>
      <w:pPr>
        <w:ind w:left="520" w:firstLine="0"/>
      </w:pPr>
    </w:lvl>
  </w:abstractNum>
  <w:abstractNum w:abstractNumId="13">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4">
    <w:nsid w:val="F6FD5A33"/>
    <w:multiLevelType w:val="singleLevel"/>
    <w:tmpl w:val="F6FD5A33"/>
    <w:lvl w:ilvl="0" w:tentative="0">
      <w:start w:val="1"/>
      <w:numFmt w:val="decimal"/>
      <w:lvlText w:val="(%1)"/>
      <w:lvlJc w:val="left"/>
      <w:pPr>
        <w:ind w:left="425" w:hanging="425"/>
      </w:pPr>
      <w:rPr>
        <w:rFonts w:hint="default"/>
      </w:rPr>
    </w:lvl>
  </w:abstractNum>
  <w:abstractNum w:abstractNumId="15">
    <w:nsid w:val="F7A4256D"/>
    <w:multiLevelType w:val="singleLevel"/>
    <w:tmpl w:val="F7A4256D"/>
    <w:lvl w:ilvl="0" w:tentative="0">
      <w:start w:val="1"/>
      <w:numFmt w:val="decimal"/>
      <w:lvlText w:val="（%1）"/>
      <w:lvlJc w:val="left"/>
      <w:pPr>
        <w:ind w:left="420" w:hanging="420"/>
      </w:pPr>
      <w:rPr>
        <w:rFonts w:hint="eastAsia"/>
      </w:rPr>
    </w:lvl>
  </w:abstractNum>
  <w:abstractNum w:abstractNumId="16">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3"/>
    <w:multiLevelType w:val="singleLevel"/>
    <w:tmpl w:val="00000013"/>
    <w:lvl w:ilvl="0" w:tentative="0">
      <w:start w:val="1"/>
      <w:numFmt w:val="decimal"/>
      <w:lvlText w:val="%1."/>
      <w:lvlJc w:val="left"/>
      <w:pPr>
        <w:ind w:left="420" w:hanging="420"/>
      </w:pPr>
    </w:lvl>
  </w:abstractNum>
  <w:abstractNum w:abstractNumId="20">
    <w:nsid w:val="11D69C2C"/>
    <w:multiLevelType w:val="singleLevel"/>
    <w:tmpl w:val="11D69C2C"/>
    <w:lvl w:ilvl="0" w:tentative="0">
      <w:start w:val="1"/>
      <w:numFmt w:val="decimal"/>
      <w:suff w:val="space"/>
      <w:lvlText w:val="%1."/>
      <w:lvlJc w:val="left"/>
    </w:lvl>
  </w:abstractNum>
  <w:abstractNum w:abstractNumId="21">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186F1332"/>
    <w:multiLevelType w:val="singleLevel"/>
    <w:tmpl w:val="186F1332"/>
    <w:lvl w:ilvl="0" w:tentative="0">
      <w:start w:val="1"/>
      <w:numFmt w:val="decimal"/>
      <w:lvlText w:val="(%1)"/>
      <w:lvlJc w:val="left"/>
      <w:pPr>
        <w:ind w:left="425" w:hanging="425"/>
      </w:pPr>
      <w:rPr>
        <w:rFonts w:hint="default"/>
      </w:rPr>
    </w:lvl>
  </w:abstractNum>
  <w:abstractNum w:abstractNumId="23">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4">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0AB9193"/>
    <w:multiLevelType w:val="singleLevel"/>
    <w:tmpl w:val="20AB9193"/>
    <w:lvl w:ilvl="0" w:tentative="0">
      <w:start w:val="1"/>
      <w:numFmt w:val="decimal"/>
      <w:lvlText w:val="%1."/>
      <w:lvlJc w:val="left"/>
      <w:pPr>
        <w:ind w:left="425" w:hanging="425"/>
      </w:pPr>
      <w:rPr>
        <w:rFonts w:hint="default"/>
      </w:rPr>
    </w:lvl>
  </w:abstractNum>
  <w:abstractNum w:abstractNumId="26">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1305886"/>
    <w:multiLevelType w:val="singleLevel"/>
    <w:tmpl w:val="21305886"/>
    <w:lvl w:ilvl="0" w:tentative="0">
      <w:start w:val="1"/>
      <w:numFmt w:val="decimal"/>
      <w:lvlText w:val="（%1）"/>
      <w:lvlJc w:val="left"/>
      <w:pPr>
        <w:ind w:left="420" w:hanging="420"/>
      </w:pPr>
      <w:rPr>
        <w:rFonts w:hint="eastAsia"/>
      </w:rPr>
    </w:lvl>
  </w:abstractNum>
  <w:abstractNum w:abstractNumId="28">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9">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28E10C89"/>
    <w:multiLevelType w:val="singleLevel"/>
    <w:tmpl w:val="28E10C89"/>
    <w:lvl w:ilvl="0" w:tentative="0">
      <w:start w:val="1"/>
      <w:numFmt w:val="decimal"/>
      <w:suff w:val="space"/>
      <w:lvlText w:val="%1."/>
      <w:lvlJc w:val="left"/>
    </w:lvl>
  </w:abstractNum>
  <w:abstractNum w:abstractNumId="32">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6">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7">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9">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0">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41">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4CA43CE8"/>
    <w:multiLevelType w:val="singleLevel"/>
    <w:tmpl w:val="4CA43CE8"/>
    <w:lvl w:ilvl="0" w:tentative="0">
      <w:start w:val="1"/>
      <w:numFmt w:val="decimal"/>
      <w:lvlText w:val="(%1)"/>
      <w:lvlJc w:val="left"/>
      <w:pPr>
        <w:ind w:left="425" w:hanging="425"/>
      </w:pPr>
      <w:rPr>
        <w:rFonts w:hint="default"/>
      </w:rPr>
    </w:lvl>
  </w:abstractNum>
  <w:abstractNum w:abstractNumId="43">
    <w:nsid w:val="4FF41A48"/>
    <w:multiLevelType w:val="singleLevel"/>
    <w:tmpl w:val="4FF41A48"/>
    <w:lvl w:ilvl="0" w:tentative="0">
      <w:start w:val="1"/>
      <w:numFmt w:val="decimal"/>
      <w:lvlText w:val="（%1）"/>
      <w:lvlJc w:val="left"/>
      <w:pPr>
        <w:ind w:left="420" w:hanging="420"/>
      </w:pPr>
      <w:rPr>
        <w:rFonts w:hint="eastAsia"/>
      </w:rPr>
    </w:lvl>
  </w:abstractNum>
  <w:abstractNum w:abstractNumId="44">
    <w:nsid w:val="53B178C8"/>
    <w:multiLevelType w:val="singleLevel"/>
    <w:tmpl w:val="53B178C8"/>
    <w:lvl w:ilvl="0" w:tentative="0">
      <w:start w:val="1"/>
      <w:numFmt w:val="decimal"/>
      <w:lvlText w:val="（%1）"/>
      <w:lvlJc w:val="left"/>
      <w:pPr>
        <w:ind w:left="420" w:hanging="420"/>
      </w:pPr>
      <w:rPr>
        <w:rFonts w:hint="eastAsia"/>
      </w:rPr>
    </w:lvl>
  </w:abstractNum>
  <w:abstractNum w:abstractNumId="45">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46">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47">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67C8188D"/>
    <w:multiLevelType w:val="singleLevel"/>
    <w:tmpl w:val="67C8188D"/>
    <w:lvl w:ilvl="0" w:tentative="0">
      <w:start w:val="1"/>
      <w:numFmt w:val="decimal"/>
      <w:lvlText w:val="(%1)"/>
      <w:lvlJc w:val="left"/>
      <w:pPr>
        <w:ind w:left="425" w:hanging="425"/>
      </w:pPr>
      <w:rPr>
        <w:rFonts w:hint="default"/>
      </w:rPr>
    </w:lvl>
  </w:abstractNum>
  <w:abstractNum w:abstractNumId="50">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1">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52">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53">
    <w:nsid w:val="7955CC98"/>
    <w:multiLevelType w:val="singleLevel"/>
    <w:tmpl w:val="7955CC98"/>
    <w:lvl w:ilvl="0" w:tentative="0">
      <w:start w:val="1"/>
      <w:numFmt w:val="decimal"/>
      <w:lvlText w:val="（%1）"/>
      <w:lvlJc w:val="left"/>
      <w:pPr>
        <w:ind w:left="420" w:hanging="420"/>
      </w:pPr>
      <w:rPr>
        <w:rFonts w:hint="eastAsia"/>
      </w:rPr>
    </w:lvl>
  </w:abstractNum>
  <w:abstractNum w:abstractNumId="54">
    <w:nsid w:val="79823715"/>
    <w:multiLevelType w:val="multilevel"/>
    <w:tmpl w:val="7982371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6"/>
  </w:num>
  <w:num w:numId="2">
    <w:abstractNumId w:val="51"/>
  </w:num>
  <w:num w:numId="3">
    <w:abstractNumId w:val="34"/>
  </w:num>
  <w:num w:numId="4">
    <w:abstractNumId w:val="6"/>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47"/>
  </w:num>
  <w:num w:numId="8">
    <w:abstractNumId w:val="37"/>
  </w:num>
  <w:num w:numId="9">
    <w:abstractNumId w:val="21"/>
  </w:num>
  <w:num w:numId="10">
    <w:abstractNumId w:val="4"/>
  </w:num>
  <w:num w:numId="11">
    <w:abstractNumId w:val="22"/>
  </w:num>
  <w:num w:numId="12">
    <w:abstractNumId w:val="14"/>
  </w:num>
  <w:num w:numId="13">
    <w:abstractNumId w:val="27"/>
  </w:num>
  <w:num w:numId="14">
    <w:abstractNumId w:val="54"/>
  </w:num>
  <w:num w:numId="15">
    <w:abstractNumId w:val="8"/>
  </w:num>
  <w:num w:numId="16">
    <w:abstractNumId w:val="31"/>
  </w:num>
  <w:num w:numId="17">
    <w:abstractNumId w:val="18"/>
  </w:num>
  <w:num w:numId="18">
    <w:abstractNumId w:val="42"/>
  </w:num>
  <w:num w:numId="19">
    <w:abstractNumId w:val="24"/>
  </w:num>
  <w:num w:numId="20">
    <w:abstractNumId w:val="43"/>
  </w:num>
  <w:num w:numId="21">
    <w:abstractNumId w:val="49"/>
  </w:num>
  <w:num w:numId="22">
    <w:abstractNumId w:val="33"/>
  </w:num>
  <w:num w:numId="23">
    <w:abstractNumId w:val="44"/>
  </w:num>
  <w:num w:numId="24">
    <w:abstractNumId w:val="53"/>
  </w:num>
  <w:num w:numId="25">
    <w:abstractNumId w:val="15"/>
  </w:num>
  <w:num w:numId="26">
    <w:abstractNumId w:val="3"/>
  </w:num>
  <w:num w:numId="27">
    <w:abstractNumId w:val="10"/>
  </w:num>
  <w:num w:numId="28">
    <w:abstractNumId w:val="38"/>
  </w:num>
  <w:num w:numId="29">
    <w:abstractNumId w:val="35"/>
  </w:num>
  <w:num w:numId="30">
    <w:abstractNumId w:val="12"/>
  </w:num>
  <w:num w:numId="31">
    <w:abstractNumId w:val="25"/>
  </w:num>
  <w:num w:numId="32">
    <w:abstractNumId w:val="7"/>
  </w:num>
  <w:num w:numId="33">
    <w:abstractNumId w:val="48"/>
  </w:num>
  <w:num w:numId="34">
    <w:abstractNumId w:val="20"/>
  </w:num>
  <w:num w:numId="35">
    <w:abstractNumId w:val="40"/>
  </w:num>
  <w:num w:numId="36">
    <w:abstractNumId w:val="5"/>
  </w:num>
  <w:num w:numId="37">
    <w:abstractNumId w:val="28"/>
  </w:num>
  <w:num w:numId="38">
    <w:abstractNumId w:val="1"/>
  </w:num>
  <w:num w:numId="39">
    <w:abstractNumId w:val="11"/>
  </w:num>
  <w:num w:numId="40">
    <w:abstractNumId w:val="9"/>
  </w:num>
  <w:num w:numId="41">
    <w:abstractNumId w:val="52"/>
  </w:num>
  <w:num w:numId="42">
    <w:abstractNumId w:val="0"/>
  </w:num>
  <w:num w:numId="43">
    <w:abstractNumId w:val="2"/>
  </w:num>
  <w:num w:numId="44">
    <w:abstractNumId w:val="36"/>
  </w:num>
  <w:num w:numId="45">
    <w:abstractNumId w:val="13"/>
  </w:num>
  <w:num w:numId="46">
    <w:abstractNumId w:val="17"/>
  </w:num>
  <w:num w:numId="47">
    <w:abstractNumId w:val="16"/>
  </w:num>
  <w:num w:numId="48">
    <w:abstractNumId w:val="50"/>
  </w:num>
  <w:num w:numId="49">
    <w:abstractNumId w:val="39"/>
  </w:num>
  <w:num w:numId="50">
    <w:abstractNumId w:val="32"/>
  </w:num>
  <w:num w:numId="51">
    <w:abstractNumId w:val="29"/>
  </w:num>
  <w:num w:numId="52">
    <w:abstractNumId w:val="41"/>
  </w:num>
  <w:num w:numId="53">
    <w:abstractNumId w:val="26"/>
  </w:num>
  <w:num w:numId="54">
    <w:abstractNumId w:val="19"/>
  </w:num>
  <w:num w:numId="55">
    <w:abstractNumId w:val="45"/>
  </w:num>
  <w:num w:numId="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C0416"/>
    <w:rsid w:val="000C45B3"/>
    <w:rsid w:val="000C7053"/>
    <w:rsid w:val="000E3E7C"/>
    <w:rsid w:val="000F16F8"/>
    <w:rsid w:val="000F23B0"/>
    <w:rsid w:val="001052B4"/>
    <w:rsid w:val="001107A5"/>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0A62"/>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0E7B"/>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91AFE"/>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14D6DB0"/>
    <w:rsid w:val="019E2DE9"/>
    <w:rsid w:val="01F213E3"/>
    <w:rsid w:val="028A44CD"/>
    <w:rsid w:val="02B47C4D"/>
    <w:rsid w:val="02B80D63"/>
    <w:rsid w:val="02DD65EB"/>
    <w:rsid w:val="04450729"/>
    <w:rsid w:val="04B14B2C"/>
    <w:rsid w:val="04B6508B"/>
    <w:rsid w:val="04D46768"/>
    <w:rsid w:val="04F90B5F"/>
    <w:rsid w:val="053A1CC8"/>
    <w:rsid w:val="05AF7F74"/>
    <w:rsid w:val="05D53E97"/>
    <w:rsid w:val="06856661"/>
    <w:rsid w:val="06B029CC"/>
    <w:rsid w:val="07525189"/>
    <w:rsid w:val="077B4608"/>
    <w:rsid w:val="07B26C68"/>
    <w:rsid w:val="07B66435"/>
    <w:rsid w:val="07BB74B6"/>
    <w:rsid w:val="07D7576E"/>
    <w:rsid w:val="08493DEA"/>
    <w:rsid w:val="086E4EC9"/>
    <w:rsid w:val="08BC4DA3"/>
    <w:rsid w:val="09165CA2"/>
    <w:rsid w:val="09AD76FA"/>
    <w:rsid w:val="0B734A64"/>
    <w:rsid w:val="0B8E086F"/>
    <w:rsid w:val="0CA24707"/>
    <w:rsid w:val="0CDE01F2"/>
    <w:rsid w:val="0DAD397B"/>
    <w:rsid w:val="0DD201F4"/>
    <w:rsid w:val="0E451CEB"/>
    <w:rsid w:val="0F4526B6"/>
    <w:rsid w:val="10013A51"/>
    <w:rsid w:val="10091618"/>
    <w:rsid w:val="10117D5A"/>
    <w:rsid w:val="10DE5F02"/>
    <w:rsid w:val="114500EB"/>
    <w:rsid w:val="115B6DA1"/>
    <w:rsid w:val="134428A9"/>
    <w:rsid w:val="1344460D"/>
    <w:rsid w:val="13E023E0"/>
    <w:rsid w:val="152B64B8"/>
    <w:rsid w:val="15740DA4"/>
    <w:rsid w:val="16397379"/>
    <w:rsid w:val="16454272"/>
    <w:rsid w:val="17DE7EB7"/>
    <w:rsid w:val="1827001C"/>
    <w:rsid w:val="18DB57ED"/>
    <w:rsid w:val="195A6BC0"/>
    <w:rsid w:val="19DE3DC4"/>
    <w:rsid w:val="1A203345"/>
    <w:rsid w:val="1A586410"/>
    <w:rsid w:val="1A591713"/>
    <w:rsid w:val="1C5670DA"/>
    <w:rsid w:val="1D1B2ECF"/>
    <w:rsid w:val="1DEB17B9"/>
    <w:rsid w:val="1E5A227B"/>
    <w:rsid w:val="1E801400"/>
    <w:rsid w:val="1E914DF3"/>
    <w:rsid w:val="1EF94F18"/>
    <w:rsid w:val="1F7074E6"/>
    <w:rsid w:val="202A28D3"/>
    <w:rsid w:val="203671F1"/>
    <w:rsid w:val="21EB5E0C"/>
    <w:rsid w:val="22291070"/>
    <w:rsid w:val="2235072F"/>
    <w:rsid w:val="227A4EED"/>
    <w:rsid w:val="228D0750"/>
    <w:rsid w:val="235E3333"/>
    <w:rsid w:val="236B5699"/>
    <w:rsid w:val="241074BA"/>
    <w:rsid w:val="24395E2D"/>
    <w:rsid w:val="24552907"/>
    <w:rsid w:val="24786106"/>
    <w:rsid w:val="24C130E0"/>
    <w:rsid w:val="24DE624F"/>
    <w:rsid w:val="24FF7842"/>
    <w:rsid w:val="25983505"/>
    <w:rsid w:val="259F60C6"/>
    <w:rsid w:val="25A5748F"/>
    <w:rsid w:val="25BD4B31"/>
    <w:rsid w:val="25BE1EBF"/>
    <w:rsid w:val="25D85A3C"/>
    <w:rsid w:val="26136C61"/>
    <w:rsid w:val="261E49C3"/>
    <w:rsid w:val="267E19B6"/>
    <w:rsid w:val="26E95967"/>
    <w:rsid w:val="27191BD4"/>
    <w:rsid w:val="27247178"/>
    <w:rsid w:val="27912539"/>
    <w:rsid w:val="27CE561F"/>
    <w:rsid w:val="28BD5BC6"/>
    <w:rsid w:val="28CE7C06"/>
    <w:rsid w:val="28DC4B11"/>
    <w:rsid w:val="28F24DD5"/>
    <w:rsid w:val="292C4C62"/>
    <w:rsid w:val="294C5827"/>
    <w:rsid w:val="29F36EA3"/>
    <w:rsid w:val="2A1D36D7"/>
    <w:rsid w:val="2A5C588F"/>
    <w:rsid w:val="2A68414C"/>
    <w:rsid w:val="2AFB5DD4"/>
    <w:rsid w:val="2B9E3425"/>
    <w:rsid w:val="2BD84FDD"/>
    <w:rsid w:val="2BFA4386"/>
    <w:rsid w:val="2C140AD3"/>
    <w:rsid w:val="2C1A76C8"/>
    <w:rsid w:val="2C454CDE"/>
    <w:rsid w:val="2C5509BB"/>
    <w:rsid w:val="2C993DA9"/>
    <w:rsid w:val="2CD73EA3"/>
    <w:rsid w:val="2D15108B"/>
    <w:rsid w:val="2D621714"/>
    <w:rsid w:val="2D845ED0"/>
    <w:rsid w:val="2DCC4E85"/>
    <w:rsid w:val="2E1D42C2"/>
    <w:rsid w:val="2EAB6E76"/>
    <w:rsid w:val="2F783F96"/>
    <w:rsid w:val="2FCA229C"/>
    <w:rsid w:val="30381F4F"/>
    <w:rsid w:val="30684052"/>
    <w:rsid w:val="30C258AF"/>
    <w:rsid w:val="31990970"/>
    <w:rsid w:val="323B4FA3"/>
    <w:rsid w:val="328B7AF7"/>
    <w:rsid w:val="335C3514"/>
    <w:rsid w:val="33F97153"/>
    <w:rsid w:val="34682FCF"/>
    <w:rsid w:val="349324DE"/>
    <w:rsid w:val="34A05B77"/>
    <w:rsid w:val="34DA3E65"/>
    <w:rsid w:val="353E3268"/>
    <w:rsid w:val="35BF583C"/>
    <w:rsid w:val="36B957A1"/>
    <w:rsid w:val="37097428"/>
    <w:rsid w:val="37307C3B"/>
    <w:rsid w:val="378E7BEC"/>
    <w:rsid w:val="38AC36F6"/>
    <w:rsid w:val="39BB513C"/>
    <w:rsid w:val="39BE5DBD"/>
    <w:rsid w:val="3A8E7CC5"/>
    <w:rsid w:val="3AAD7F79"/>
    <w:rsid w:val="3AB860FC"/>
    <w:rsid w:val="3AC03371"/>
    <w:rsid w:val="3AFA530D"/>
    <w:rsid w:val="3B991A52"/>
    <w:rsid w:val="3BB26AC4"/>
    <w:rsid w:val="3BF47BC3"/>
    <w:rsid w:val="3C0B1989"/>
    <w:rsid w:val="3C35255B"/>
    <w:rsid w:val="3C5A3112"/>
    <w:rsid w:val="3CB63E2D"/>
    <w:rsid w:val="3D1758A8"/>
    <w:rsid w:val="3D2F2081"/>
    <w:rsid w:val="3D3679ED"/>
    <w:rsid w:val="3DEB1A91"/>
    <w:rsid w:val="3E1B1D27"/>
    <w:rsid w:val="3E573EC1"/>
    <w:rsid w:val="3E8219D8"/>
    <w:rsid w:val="3F4B21D7"/>
    <w:rsid w:val="3F556E3E"/>
    <w:rsid w:val="3F6C3A6C"/>
    <w:rsid w:val="406830BB"/>
    <w:rsid w:val="408D7227"/>
    <w:rsid w:val="41407E51"/>
    <w:rsid w:val="416718EC"/>
    <w:rsid w:val="41A0173B"/>
    <w:rsid w:val="4220017B"/>
    <w:rsid w:val="42614398"/>
    <w:rsid w:val="438341D4"/>
    <w:rsid w:val="439D7A21"/>
    <w:rsid w:val="43D97719"/>
    <w:rsid w:val="44395B7B"/>
    <w:rsid w:val="447267E8"/>
    <w:rsid w:val="44CD0724"/>
    <w:rsid w:val="44D57451"/>
    <w:rsid w:val="44E02AAE"/>
    <w:rsid w:val="44E431E5"/>
    <w:rsid w:val="459F4E18"/>
    <w:rsid w:val="45CA07C6"/>
    <w:rsid w:val="45D4751B"/>
    <w:rsid w:val="46A35990"/>
    <w:rsid w:val="46B30DE6"/>
    <w:rsid w:val="47385B42"/>
    <w:rsid w:val="474413AB"/>
    <w:rsid w:val="474D5B06"/>
    <w:rsid w:val="4779BBB0"/>
    <w:rsid w:val="47FB0E97"/>
    <w:rsid w:val="48D837BB"/>
    <w:rsid w:val="48E45DDA"/>
    <w:rsid w:val="492A4A83"/>
    <w:rsid w:val="495C1F5C"/>
    <w:rsid w:val="49F22393"/>
    <w:rsid w:val="4AF77150"/>
    <w:rsid w:val="4B8B03E4"/>
    <w:rsid w:val="4B930B06"/>
    <w:rsid w:val="4CD11D49"/>
    <w:rsid w:val="4D817742"/>
    <w:rsid w:val="4D9A3F67"/>
    <w:rsid w:val="4DDF67CC"/>
    <w:rsid w:val="4EBF3389"/>
    <w:rsid w:val="4EE12BFB"/>
    <w:rsid w:val="4F14737F"/>
    <w:rsid w:val="4F5176AD"/>
    <w:rsid w:val="50895219"/>
    <w:rsid w:val="50D2127B"/>
    <w:rsid w:val="50EF7F1E"/>
    <w:rsid w:val="50FA6A61"/>
    <w:rsid w:val="51254040"/>
    <w:rsid w:val="51457EE2"/>
    <w:rsid w:val="51794BC1"/>
    <w:rsid w:val="519024E9"/>
    <w:rsid w:val="520F6957"/>
    <w:rsid w:val="53A54804"/>
    <w:rsid w:val="53D25371"/>
    <w:rsid w:val="53FA2504"/>
    <w:rsid w:val="540F1FD2"/>
    <w:rsid w:val="548536DB"/>
    <w:rsid w:val="5488054C"/>
    <w:rsid w:val="54E46A27"/>
    <w:rsid w:val="551D5F9C"/>
    <w:rsid w:val="552A7BC8"/>
    <w:rsid w:val="55563DA9"/>
    <w:rsid w:val="55753F7D"/>
    <w:rsid w:val="55F97EFA"/>
    <w:rsid w:val="561F6663"/>
    <w:rsid w:val="56237BEB"/>
    <w:rsid w:val="56EE38F7"/>
    <w:rsid w:val="57315BF2"/>
    <w:rsid w:val="573D2A8F"/>
    <w:rsid w:val="57594B93"/>
    <w:rsid w:val="57B936FA"/>
    <w:rsid w:val="582901C7"/>
    <w:rsid w:val="590F50F3"/>
    <w:rsid w:val="59100899"/>
    <w:rsid w:val="594A6990"/>
    <w:rsid w:val="594E6373"/>
    <w:rsid w:val="5A2E0F40"/>
    <w:rsid w:val="5A4C2BEF"/>
    <w:rsid w:val="5AC64CE6"/>
    <w:rsid w:val="5AC979A3"/>
    <w:rsid w:val="5B1B42A8"/>
    <w:rsid w:val="5B3B091D"/>
    <w:rsid w:val="5B761E9C"/>
    <w:rsid w:val="5B8B43BF"/>
    <w:rsid w:val="5BE14DCE"/>
    <w:rsid w:val="5C8C7A9E"/>
    <w:rsid w:val="5D33003B"/>
    <w:rsid w:val="5E8307E5"/>
    <w:rsid w:val="5F161D82"/>
    <w:rsid w:val="5F247DC8"/>
    <w:rsid w:val="5F256DA4"/>
    <w:rsid w:val="60475C3F"/>
    <w:rsid w:val="60785544"/>
    <w:rsid w:val="60A60070"/>
    <w:rsid w:val="610B2C4A"/>
    <w:rsid w:val="61522EA1"/>
    <w:rsid w:val="61A26997"/>
    <w:rsid w:val="622C21AB"/>
    <w:rsid w:val="627C315F"/>
    <w:rsid w:val="629F56DA"/>
    <w:rsid w:val="62D00ABF"/>
    <w:rsid w:val="640C25AF"/>
    <w:rsid w:val="64475F70"/>
    <w:rsid w:val="6541126B"/>
    <w:rsid w:val="664A6EE1"/>
    <w:rsid w:val="66DB7082"/>
    <w:rsid w:val="683A303D"/>
    <w:rsid w:val="68E97B63"/>
    <w:rsid w:val="68EB11FC"/>
    <w:rsid w:val="6A5B2F9C"/>
    <w:rsid w:val="6ABA65B8"/>
    <w:rsid w:val="6ACB6656"/>
    <w:rsid w:val="6B1E605C"/>
    <w:rsid w:val="6C5E0507"/>
    <w:rsid w:val="6C6B5505"/>
    <w:rsid w:val="6D3D4589"/>
    <w:rsid w:val="6D410D90"/>
    <w:rsid w:val="6D5B46A9"/>
    <w:rsid w:val="6D8A760B"/>
    <w:rsid w:val="6DF67C63"/>
    <w:rsid w:val="6E2A04BD"/>
    <w:rsid w:val="6E3F209B"/>
    <w:rsid w:val="6EF06CBD"/>
    <w:rsid w:val="711B0611"/>
    <w:rsid w:val="713E3B46"/>
    <w:rsid w:val="714A1F4A"/>
    <w:rsid w:val="725336E8"/>
    <w:rsid w:val="73D4518D"/>
    <w:rsid w:val="74783A1C"/>
    <w:rsid w:val="74AB354D"/>
    <w:rsid w:val="74B05132"/>
    <w:rsid w:val="761A319B"/>
    <w:rsid w:val="76C52AAF"/>
    <w:rsid w:val="76E063E5"/>
    <w:rsid w:val="771658A6"/>
    <w:rsid w:val="77210FB0"/>
    <w:rsid w:val="772A35DE"/>
    <w:rsid w:val="781B5752"/>
    <w:rsid w:val="78A131BD"/>
    <w:rsid w:val="78BE7E8C"/>
    <w:rsid w:val="798425C1"/>
    <w:rsid w:val="79A35F22"/>
    <w:rsid w:val="79BF662E"/>
    <w:rsid w:val="7A170D6C"/>
    <w:rsid w:val="7A2976DE"/>
    <w:rsid w:val="7A751935"/>
    <w:rsid w:val="7ABA6ACF"/>
    <w:rsid w:val="7AFE3C86"/>
    <w:rsid w:val="7B075F4C"/>
    <w:rsid w:val="7B2952F2"/>
    <w:rsid w:val="7CE01C7B"/>
    <w:rsid w:val="7CF46BD3"/>
    <w:rsid w:val="7D9C607E"/>
    <w:rsid w:val="7DDA1DE0"/>
    <w:rsid w:val="7DFC32FA"/>
    <w:rsid w:val="7DFD5A6E"/>
    <w:rsid w:val="7EEE5182"/>
    <w:rsid w:val="7EFB5BDA"/>
    <w:rsid w:val="7F2E6446"/>
    <w:rsid w:val="7F593E2A"/>
    <w:rsid w:val="7F655B2D"/>
    <w:rsid w:val="7F764C2B"/>
    <w:rsid w:val="7F9364DF"/>
    <w:rsid w:val="7FF10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Normal Indent"/>
    <w:basedOn w:val="1"/>
    <w:qFormat/>
    <w:uiPriority w:val="99"/>
    <w:pPr>
      <w:adjustRightInd w:val="0"/>
      <w:spacing w:line="312" w:lineRule="atLeast"/>
      <w:ind w:firstLine="420"/>
      <w:textAlignment w:val="baseline"/>
    </w:pPr>
    <w:rPr>
      <w:kern w:val="0"/>
      <w:sz w:val="32"/>
      <w:szCs w:val="32"/>
    </w:rPr>
  </w:style>
  <w:style w:type="paragraph" w:styleId="5">
    <w:name w:val="annotation text"/>
    <w:basedOn w:val="1"/>
    <w:link w:val="27"/>
    <w:unhideWhenUsed/>
    <w:qFormat/>
    <w:uiPriority w:val="99"/>
    <w:pPr>
      <w:jc w:val="left"/>
    </w:pPr>
  </w:style>
  <w:style w:type="paragraph" w:styleId="6">
    <w:name w:val="Body Text"/>
    <w:basedOn w:val="1"/>
    <w:qFormat/>
    <w:uiPriority w:val="0"/>
    <w:pPr>
      <w:widowControl/>
      <w:spacing w:after="220" w:line="180" w:lineRule="atLeast"/>
      <w:ind w:left="835"/>
    </w:pPr>
    <w:rPr>
      <w:rFonts w:ascii="Arial" w:hAnsi="Arial"/>
      <w:spacing w:val="-5"/>
      <w:kern w:val="0"/>
      <w:sz w:val="20"/>
    </w:rPr>
  </w:style>
  <w:style w:type="paragraph" w:styleId="7">
    <w:name w:val="toc 3"/>
    <w:basedOn w:val="1"/>
    <w:next w:val="1"/>
    <w:unhideWhenUsed/>
    <w:qFormat/>
    <w:uiPriority w:val="39"/>
    <w:pPr>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31"/>
    <w:unhideWhenUsed/>
    <w:qFormat/>
    <w:uiPriority w:val="99"/>
    <w:pPr>
      <w:tabs>
        <w:tab w:val="center" w:pos="4153"/>
        <w:tab w:val="right" w:pos="8306"/>
      </w:tabs>
      <w:snapToGrid w:val="0"/>
      <w:jc w:val="left"/>
    </w:pPr>
    <w:rPr>
      <w:sz w:val="18"/>
      <w:szCs w:val="18"/>
    </w:rPr>
  </w:style>
  <w:style w:type="paragraph" w:styleId="10">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footnote text"/>
    <w:basedOn w:val="1"/>
    <w:link w:val="36"/>
    <w:semiHidden/>
    <w:unhideWhenUsed/>
    <w:qFormat/>
    <w:uiPriority w:val="99"/>
    <w:pPr>
      <w:snapToGrid w:val="0"/>
      <w:jc w:val="left"/>
    </w:pPr>
    <w:rPr>
      <w:sz w:val="18"/>
      <w:szCs w:val="18"/>
    </w:rPr>
  </w:style>
  <w:style w:type="paragraph" w:styleId="13">
    <w:name w:val="toc 2"/>
    <w:basedOn w:val="1"/>
    <w:next w:val="1"/>
    <w:unhideWhenUsed/>
    <w:qFormat/>
    <w:uiPriority w:val="39"/>
    <w:pPr>
      <w:ind w:left="420" w:leftChars="200"/>
    </w:pPr>
  </w:style>
  <w:style w:type="paragraph" w:styleId="14">
    <w:name w:val="Body Text 2"/>
    <w:basedOn w:val="1"/>
    <w:link w:val="35"/>
    <w:qFormat/>
    <w:uiPriority w:val="0"/>
    <w:pPr>
      <w:jc w:val="left"/>
    </w:pPr>
    <w:rPr>
      <w:rFonts w:ascii="仿宋_GB2312" w:hAnsi="宋体" w:eastAsia="仿宋_GB2312"/>
    </w:rPr>
  </w:style>
  <w:style w:type="paragraph" w:styleId="15">
    <w:name w:val="Normal (Web)"/>
    <w:basedOn w:val="1"/>
    <w:unhideWhenUsed/>
    <w:qFormat/>
    <w:uiPriority w:val="99"/>
    <w:pPr>
      <w:widowControl/>
      <w:jc w:val="left"/>
    </w:pPr>
    <w:rPr>
      <w:rFonts w:ascii="宋体" w:hAnsi="宋体" w:cs="宋体"/>
      <w:kern w:val="0"/>
      <w:sz w:val="24"/>
    </w:rPr>
  </w:style>
  <w:style w:type="paragraph" w:styleId="16">
    <w:name w:val="annotation subject"/>
    <w:basedOn w:val="5"/>
    <w:next w:val="5"/>
    <w:link w:val="33"/>
    <w:semiHidden/>
    <w:unhideWhenUsed/>
    <w:qFormat/>
    <w:uiPriority w:val="99"/>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Hyperlink"/>
    <w:basedOn w:val="19"/>
    <w:unhideWhenUsed/>
    <w:qFormat/>
    <w:uiPriority w:val="99"/>
    <w:rPr>
      <w:color w:val="0000FF"/>
      <w:u w:val="single"/>
    </w:rPr>
  </w:style>
  <w:style w:type="character" w:styleId="22">
    <w:name w:val="annotation reference"/>
    <w:basedOn w:val="19"/>
    <w:unhideWhenUsed/>
    <w:qFormat/>
    <w:uiPriority w:val="99"/>
    <w:rPr>
      <w:sz w:val="21"/>
      <w:szCs w:val="21"/>
    </w:rPr>
  </w:style>
  <w:style w:type="character" w:styleId="23">
    <w:name w:val="footnote reference"/>
    <w:basedOn w:val="19"/>
    <w:semiHidden/>
    <w:unhideWhenUsed/>
    <w:qFormat/>
    <w:uiPriority w:val="99"/>
    <w:rPr>
      <w:vertAlign w:val="superscript"/>
    </w:rPr>
  </w:style>
  <w:style w:type="character" w:customStyle="1" w:styleId="24">
    <w:name w:val="列表段落 字符"/>
    <w:link w:val="25"/>
    <w:qFormat/>
    <w:uiPriority w:val="34"/>
    <w:rPr>
      <w:rFonts w:ascii="Times New Roman" w:hAnsi="Times New Roman"/>
      <w:szCs w:val="24"/>
    </w:rPr>
  </w:style>
  <w:style w:type="paragraph" w:styleId="25">
    <w:name w:val="List Paragraph"/>
    <w:basedOn w:val="1"/>
    <w:link w:val="24"/>
    <w:qFormat/>
    <w:uiPriority w:val="34"/>
    <w:pPr>
      <w:ind w:firstLine="420" w:firstLineChars="200"/>
    </w:pPr>
    <w:rPr>
      <w:rFonts w:eastAsiaTheme="minorEastAsia" w:cstheme="minorBidi"/>
    </w:rPr>
  </w:style>
  <w:style w:type="character" w:customStyle="1" w:styleId="26">
    <w:name w:val="批注文字 字符"/>
    <w:basedOn w:val="19"/>
    <w:semiHidden/>
    <w:qFormat/>
    <w:uiPriority w:val="99"/>
    <w:rPr>
      <w:rFonts w:ascii="Times New Roman" w:hAnsi="Times New Roman" w:eastAsia="宋体" w:cs="Times New Roman"/>
      <w:szCs w:val="24"/>
    </w:rPr>
  </w:style>
  <w:style w:type="character" w:customStyle="1" w:styleId="27">
    <w:name w:val="批注文字 字符1"/>
    <w:link w:val="5"/>
    <w:qFormat/>
    <w:uiPriority w:val="99"/>
    <w:rPr>
      <w:rFonts w:ascii="Times New Roman" w:hAnsi="Times New Roman" w:eastAsia="宋体" w:cs="Times New Roman"/>
      <w:szCs w:val="24"/>
    </w:rPr>
  </w:style>
  <w:style w:type="paragraph" w:customStyle="1" w:styleId="2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9">
    <w:name w:val="批注框文本 字符"/>
    <w:basedOn w:val="19"/>
    <w:link w:val="8"/>
    <w:semiHidden/>
    <w:qFormat/>
    <w:uiPriority w:val="99"/>
    <w:rPr>
      <w:rFonts w:ascii="Times New Roman" w:hAnsi="Times New Roman" w:eastAsia="宋体" w:cs="Times New Roman"/>
      <w:sz w:val="18"/>
      <w:szCs w:val="18"/>
    </w:rPr>
  </w:style>
  <w:style w:type="character" w:customStyle="1" w:styleId="30">
    <w:name w:val="页眉 字符"/>
    <w:basedOn w:val="19"/>
    <w:link w:val="10"/>
    <w:qFormat/>
    <w:uiPriority w:val="99"/>
    <w:rPr>
      <w:rFonts w:ascii="Times New Roman" w:hAnsi="Times New Roman" w:eastAsia="宋体" w:cs="Times New Roman"/>
      <w:sz w:val="18"/>
      <w:szCs w:val="18"/>
    </w:rPr>
  </w:style>
  <w:style w:type="character" w:customStyle="1" w:styleId="31">
    <w:name w:val="页脚 字符"/>
    <w:basedOn w:val="19"/>
    <w:link w:val="9"/>
    <w:qFormat/>
    <w:uiPriority w:val="99"/>
    <w:rPr>
      <w:rFonts w:ascii="Times New Roman" w:hAnsi="Times New Roman" w:eastAsia="宋体" w:cs="Times New Roman"/>
      <w:sz w:val="18"/>
      <w:szCs w:val="18"/>
    </w:rPr>
  </w:style>
  <w:style w:type="character" w:customStyle="1" w:styleId="32">
    <w:name w:val="标题1"/>
    <w:basedOn w:val="19"/>
    <w:qFormat/>
    <w:uiPriority w:val="0"/>
  </w:style>
  <w:style w:type="character" w:customStyle="1" w:styleId="33">
    <w:name w:val="批注主题 字符"/>
    <w:basedOn w:val="27"/>
    <w:link w:val="16"/>
    <w:semiHidden/>
    <w:qFormat/>
    <w:uiPriority w:val="99"/>
    <w:rPr>
      <w:rFonts w:ascii="Times New Roman" w:hAnsi="Times New Roman" w:eastAsia="宋体" w:cs="Times New Roman"/>
      <w:b/>
      <w:bCs/>
      <w:szCs w:val="24"/>
    </w:rPr>
  </w:style>
  <w:style w:type="paragraph" w:customStyle="1" w:styleId="3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5">
    <w:name w:val="正文文本 2 字符"/>
    <w:basedOn w:val="19"/>
    <w:link w:val="14"/>
    <w:qFormat/>
    <w:uiPriority w:val="0"/>
    <w:rPr>
      <w:rFonts w:ascii="仿宋_GB2312" w:hAnsi="宋体" w:eastAsia="仿宋_GB2312"/>
      <w:kern w:val="2"/>
      <w:sz w:val="21"/>
      <w:szCs w:val="24"/>
    </w:rPr>
  </w:style>
  <w:style w:type="character" w:customStyle="1" w:styleId="36">
    <w:name w:val="脚注文本 字符"/>
    <w:basedOn w:val="19"/>
    <w:link w:val="12"/>
    <w:semiHidden/>
    <w:qFormat/>
    <w:uiPriority w:val="99"/>
    <w:rPr>
      <w:kern w:val="2"/>
      <w:sz w:val="18"/>
      <w:szCs w:val="18"/>
    </w:rPr>
  </w:style>
  <w:style w:type="paragraph" w:customStyle="1" w:styleId="37">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15341</Words>
  <Characters>16555</Characters>
  <Lines>140</Lines>
  <Paragraphs>39</Paragraphs>
  <TotalTime>0</TotalTime>
  <ScaleCrop>false</ScaleCrop>
  <LinksUpToDate>false</LinksUpToDate>
  <CharactersWithSpaces>18964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2022-10-13T10:49:00Z</dcterms:created>
  <dc:creator>Tony Young</dc:creator>
  <cp:lastModifiedBy>唐浩</cp:lastModifiedBy>
  <dcterms:modified xsi:type="dcterms:W3CDTF">2023-09-05T05:34:25Z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97BEE70BFDAA44F58F90074C2A5F9713</vt:lpwstr>
  </property>
</Properties>
</file>