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ind w:left="0" w:leftChars="0" w:firstLine="0" w:firstLineChars="0"/>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第二十五届高交会人脸识别系统之硬件部署及运行项目</w:t>
      </w:r>
      <w:bookmarkEnd w:id="0"/>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2"/>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刘徐华</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深圳会展中心第二十五届高交会人脸识别系统之硬件部署及运行项目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第二十五届高新技术成果交易会将于2023年11月15-19日在深圳会展中心举行。按照深圳市展会活动要求，入场人员须通过安全检查，过人脸识别系统，过闸机，人证核验，招标人拟委托合适服务商开展相应服务，主要包括提供闸机及入场扫描设备、服务器及网络、证件制作及封装服务（含人像打印）、现场设备保障、服务人员配备与培训、现场服务与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2023年9月</w:t>
            </w:r>
            <w:r>
              <w:rPr>
                <w:rFonts w:hint="eastAsia" w:ascii="宋体" w:hAnsi="宋体"/>
                <w:color w:val="auto"/>
                <w:szCs w:val="21"/>
                <w:highlight w:val="none"/>
                <w:lang w:val="en-US" w:eastAsia="zh-CN"/>
              </w:rPr>
              <w:t>20</w:t>
            </w:r>
            <w:r>
              <w:rPr>
                <w:rFonts w:hint="eastAsia" w:ascii="宋体" w:hAnsi="宋体"/>
                <w:color w:val="auto"/>
                <w:szCs w:val="21"/>
                <w:highlight w:val="none"/>
              </w:rPr>
              <w:t>日-2023年12月31日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5 12</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https://cg.szcec.com/sharing/OxZSyorXY，</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12 17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12 17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13 17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14 17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https://cg.szcec.com/sharing/QoxjBT2aT，</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15 9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120786844</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https://cg.szcec.com/sharing/jIiW2eXHz。</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hint="eastAsia" w:ascii="宋体" w:hAnsi="宋体" w:cs="Segoe UI Symbol"/>
                <w:color w:val="auto"/>
                <w:kern w:val="0"/>
                <w:szCs w:val="21"/>
                <w:highlight w:val="none"/>
                <w:u w:val="single"/>
              </w:rPr>
              <w:t>／</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hint="eastAsia" w:ascii="宋体" w:hAnsi="宋体" w:cs="Segoe UI Symbol"/>
                <w:color w:val="auto"/>
                <w:kern w:val="0"/>
                <w:szCs w:val="21"/>
                <w:highlight w:val="none"/>
                <w:u w:val="single"/>
              </w:rPr>
              <w:t>／</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5543"/>
      <w:bookmarkEnd w:id="7"/>
      <w:bookmarkStart w:id="8" w:name="_Toc82684705"/>
      <w:bookmarkEnd w:id="8"/>
      <w:bookmarkStart w:id="9" w:name="_Toc82591925"/>
      <w:bookmarkEnd w:id="9"/>
      <w:bookmarkStart w:id="10" w:name="_Toc82684589"/>
      <w:bookmarkEnd w:id="10"/>
      <w:bookmarkStart w:id="11" w:name="_Toc82591927"/>
      <w:bookmarkEnd w:id="11"/>
      <w:bookmarkStart w:id="12" w:name="_Toc82684591"/>
      <w:bookmarkEnd w:id="12"/>
      <w:bookmarkStart w:id="13" w:name="_Toc82591926"/>
      <w:bookmarkEnd w:id="13"/>
      <w:bookmarkStart w:id="14" w:name="_Toc82591928"/>
      <w:bookmarkEnd w:id="14"/>
      <w:bookmarkStart w:id="15" w:name="_Toc82684588"/>
      <w:bookmarkEnd w:id="15"/>
      <w:bookmarkStart w:id="16" w:name="_Toc82685542"/>
      <w:bookmarkEnd w:id="16"/>
      <w:bookmarkStart w:id="17" w:name="_Toc82684590"/>
      <w:bookmarkEnd w:id="17"/>
      <w:bookmarkStart w:id="18" w:name="_Toc82684704"/>
      <w:bookmarkEnd w:id="18"/>
      <w:bookmarkStart w:id="19" w:name="_Toc82685541"/>
      <w:bookmarkEnd w:id="19"/>
      <w:bookmarkStart w:id="20" w:name="_Toc82684706"/>
      <w:bookmarkEnd w:id="20"/>
      <w:bookmarkStart w:id="21" w:name="_Toc82685540"/>
      <w:bookmarkEnd w:id="21"/>
      <w:bookmarkStart w:id="22" w:name="_Toc82684703"/>
      <w:bookmarkEnd w:id="22"/>
      <w:bookmarkStart w:id="23" w:name="_Toc11655034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9"/>
      <w:bookmarkEnd w:id="27"/>
      <w:bookmarkStart w:id="28" w:name="_Toc82684593"/>
      <w:bookmarkEnd w:id="28"/>
      <w:bookmarkStart w:id="29" w:name="_Toc82591987"/>
      <w:bookmarkEnd w:id="29"/>
      <w:bookmarkStart w:id="30" w:name="_Toc82684708"/>
      <w:bookmarkEnd w:id="30"/>
      <w:bookmarkStart w:id="31" w:name="_Toc82591988"/>
      <w:bookmarkEnd w:id="31"/>
      <w:bookmarkStart w:id="32" w:name="_Toc82685545"/>
      <w:bookmarkEnd w:id="32"/>
      <w:bookmarkStart w:id="33" w:name="_Toc82591930"/>
      <w:bookmarkEnd w:id="33"/>
      <w:bookmarkStart w:id="34" w:name="_Toc82591985"/>
      <w:bookmarkEnd w:id="34"/>
      <w:bookmarkStart w:id="35" w:name="_Toc82591986"/>
      <w:bookmarkEnd w:id="35"/>
      <w:bookmarkStart w:id="36" w:name="_Toc116550347"/>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hint="eastAsia" w:ascii="宋体" w:hAnsi="宋体" w:cs="宋体"/>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w:t>
            </w:r>
            <w:bookmarkStart w:id="98" w:name="_GoBack"/>
            <w:bookmarkEnd w:id="98"/>
            <w:r>
              <w:rPr>
                <w:rFonts w:hint="eastAsia" w:ascii="宋体" w:hAnsi="宋体" w:cs="宋体"/>
                <w:color w:val="auto"/>
                <w:highlight w:val="none"/>
              </w:rPr>
              <w:t>证扫描件并加盖投标人公章；</w:t>
            </w:r>
            <w:r>
              <w:rPr>
                <w:rFonts w:hint="eastAsia"/>
                <w:color w:val="auto"/>
                <w:highlight w:val="none"/>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ascii="宋体" w:hAnsi="宋体" w:cs="仿宋"/>
                <w:color w:val="auto"/>
                <w:szCs w:val="21"/>
                <w:highlight w:val="none"/>
              </w:rPr>
              <w:t>报价包含但不限于该项目的测试费、闸机及相关设备租赁费、现场施工保障费、软硬件使用与维护费、证件自助打印与分发费、验证充值费、</w:t>
            </w:r>
            <w:r>
              <w:rPr>
                <w:rFonts w:hint="eastAsia" w:ascii="宋体" w:hAnsi="宋体" w:cs="仿宋"/>
                <w:color w:val="auto"/>
                <w:szCs w:val="21"/>
                <w:highlight w:val="none"/>
                <w:lang w:eastAsia="zh-CN"/>
              </w:rPr>
              <w:t>人员工资、加班费</w:t>
            </w:r>
            <w:r>
              <w:rPr>
                <w:rFonts w:hint="eastAsia" w:ascii="宋体" w:hAnsi="宋体" w:cs="仿宋"/>
                <w:color w:val="auto"/>
                <w:szCs w:val="21"/>
                <w:highlight w:val="none"/>
              </w:rPr>
              <w:t>及管理费、增值税费（税率6%）等完成本项目所需的全部费用。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本项目控制金额为人民币98</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szCs w:val="21"/>
                <w:highlight w:val="none"/>
              </w:rPr>
              <w:t>付款将根据第二十五届高交会人脸识别项目执行情况</w:t>
            </w:r>
            <w:r>
              <w:rPr>
                <w:rFonts w:hint="eastAsia" w:ascii="宋体" w:hAnsi="宋体" w:cs="宋体"/>
                <w:color w:val="auto"/>
                <w:szCs w:val="21"/>
                <w:highlight w:val="none"/>
                <w:lang w:val="en-US" w:eastAsia="zh-CN"/>
              </w:rPr>
              <w:t>按实</w:t>
            </w:r>
            <w:r>
              <w:rPr>
                <w:rFonts w:hint="eastAsia" w:ascii="宋体" w:hAnsi="宋体" w:cs="宋体"/>
                <w:color w:val="auto"/>
                <w:szCs w:val="21"/>
                <w:highlight w:val="none"/>
              </w:rPr>
              <w:t>结算，如实际使用闸机通道少于62条时，按单项报价从</w:t>
            </w:r>
            <w:r>
              <w:rPr>
                <w:rFonts w:hint="eastAsia" w:ascii="宋体" w:hAnsi="宋体" w:cs="宋体"/>
                <w:color w:val="auto"/>
                <w:szCs w:val="21"/>
                <w:highlight w:val="none"/>
                <w:lang w:val="en-US" w:eastAsia="zh-CN"/>
              </w:rPr>
              <w:t>合同金额</w:t>
            </w:r>
            <w:r>
              <w:rPr>
                <w:rFonts w:hint="eastAsia" w:ascii="宋体" w:hAnsi="宋体" w:cs="宋体"/>
                <w:color w:val="auto"/>
                <w:szCs w:val="21"/>
                <w:highlight w:val="none"/>
              </w:rPr>
              <w:t>中扣减；如现场服务人员少于300人时，按实际使用的人员数量进行结算；闸机通道高于62条或</w:t>
            </w:r>
            <w:r>
              <w:rPr>
                <w:rFonts w:hint="eastAsia" w:ascii="宋体" w:hAnsi="宋体" w:cs="宋体"/>
                <w:color w:val="auto"/>
                <w:szCs w:val="21"/>
                <w:highlight w:val="none"/>
                <w:lang w:val="en-US" w:eastAsia="zh-CN"/>
              </w:rPr>
              <w:t>现场服务人员</w:t>
            </w:r>
            <w:r>
              <w:rPr>
                <w:rFonts w:hint="eastAsia" w:ascii="宋体" w:hAnsi="宋体" w:cs="宋体"/>
                <w:color w:val="auto"/>
                <w:szCs w:val="21"/>
                <w:highlight w:val="none"/>
              </w:rPr>
              <w:t>高于300人时，</w:t>
            </w:r>
            <w:r>
              <w:rPr>
                <w:rFonts w:hint="eastAsia" w:ascii="宋体" w:hAnsi="宋体" w:cs="宋体"/>
                <w:color w:val="auto"/>
                <w:szCs w:val="21"/>
                <w:highlight w:val="none"/>
                <w:lang w:val="en-US" w:eastAsia="zh-CN"/>
              </w:rPr>
              <w:t>视</w:t>
            </w:r>
            <w:r>
              <w:rPr>
                <w:rFonts w:hint="eastAsia" w:ascii="宋体" w:hAnsi="宋体" w:cs="宋体"/>
                <w:color w:val="auto"/>
                <w:szCs w:val="21"/>
                <w:highlight w:val="none"/>
              </w:rPr>
              <w:t>为中标人提供的现场备用通道和人员，不收取费用。详细事宜以合同条款为准。</w:t>
            </w:r>
          </w:p>
          <w:p>
            <w:pPr>
              <w:pStyle w:val="11"/>
              <w:rPr>
                <w:rFonts w:ascii="宋体" w:eastAsia="宋体" w:cs="宋体"/>
                <w:color w:val="auto"/>
                <w:highlight w:val="none"/>
              </w:rPr>
            </w:pPr>
            <w:r>
              <w:rPr>
                <w:rFonts w:hint="eastAsia" w:ascii="宋体" w:eastAsia="宋体" w:cs="宋体"/>
                <w:color w:val="auto"/>
                <w:szCs w:val="21"/>
                <w:highlight w:val="none"/>
              </w:rPr>
              <w:t>（2）项目整体按照合同要求顺利完成后，根据招标人确认的验收单据内容，招标人按合同约定一次性付清全部费用</w:t>
            </w: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付款前</w:t>
            </w:r>
            <w:r>
              <w:rPr>
                <w:rFonts w:hint="eastAsia" w:ascii="宋体" w:eastAsia="宋体" w:cs="宋体"/>
                <w:color w:val="auto"/>
                <w:szCs w:val="21"/>
                <w:highlight w:val="none"/>
              </w:rPr>
              <w:t>中标人须提供</w:t>
            </w:r>
            <w:r>
              <w:rPr>
                <w:rFonts w:hint="eastAsia" w:ascii="宋体" w:eastAsia="宋体" w:cs="宋体"/>
                <w:color w:val="auto"/>
                <w:szCs w:val="21"/>
                <w:highlight w:val="none"/>
                <w:lang w:val="en-US" w:eastAsia="zh-CN"/>
              </w:rPr>
              <w:t>真实有效的</w:t>
            </w:r>
            <w:r>
              <w:rPr>
                <w:rFonts w:hint="eastAsia" w:ascii="宋体" w:eastAsia="宋体" w:cs="宋体"/>
                <w:color w:val="auto"/>
                <w:szCs w:val="21"/>
                <w:highlight w:val="none"/>
              </w:rPr>
              <w:t>增值税发票。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仿宋"/>
                <w:color w:val="auto"/>
                <w:szCs w:val="21"/>
                <w:highlight w:val="none"/>
              </w:rPr>
              <w:t>服务</w:t>
            </w:r>
            <w:r>
              <w:rPr>
                <w:rFonts w:ascii="宋体" w:hAnsi="宋体" w:cs="仿宋"/>
                <w:color w:val="auto"/>
                <w:szCs w:val="21"/>
                <w:highlight w:val="none"/>
              </w:rPr>
              <w:t>期（工期</w:t>
            </w:r>
            <w:r>
              <w:rPr>
                <w:rFonts w:hint="eastAsia" w:ascii="宋体" w:hAnsi="宋体" w:cs="仿宋"/>
                <w:color w:val="auto"/>
                <w:szCs w:val="21"/>
                <w:highlight w:val="none"/>
              </w:rPr>
              <w:t>）</w:t>
            </w:r>
            <w:r>
              <w:rPr>
                <w:rFonts w:ascii="宋体" w:hAnsi="宋体" w:cs="仿宋"/>
                <w:color w:val="auto"/>
                <w:szCs w:val="21"/>
                <w:highlight w:val="none"/>
              </w:rPr>
              <w:t>、交货期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cs="宋体"/>
                <w:color w:val="auto"/>
                <w:highlight w:val="none"/>
              </w:rPr>
            </w:pPr>
            <w:r>
              <w:rPr>
                <w:rFonts w:hint="eastAsia" w:ascii="宋体" w:hAnsi="宋体"/>
                <w:color w:val="auto"/>
                <w:szCs w:val="21"/>
                <w:highlight w:val="none"/>
              </w:rPr>
              <w:t>服务期为：2023年9月</w:t>
            </w:r>
            <w:r>
              <w:rPr>
                <w:rFonts w:hint="eastAsia" w:ascii="宋体" w:hAnsi="宋体"/>
                <w:color w:val="auto"/>
                <w:szCs w:val="21"/>
                <w:highlight w:val="none"/>
                <w:lang w:val="en-US" w:eastAsia="zh-CN"/>
              </w:rPr>
              <w:t>20</w:t>
            </w:r>
            <w:r>
              <w:rPr>
                <w:rFonts w:hint="eastAsia" w:ascii="宋体" w:hAnsi="宋体"/>
                <w:color w:val="auto"/>
                <w:szCs w:val="21"/>
                <w:highlight w:val="none"/>
              </w:rPr>
              <w:t>日-2023年12月31日</w:t>
            </w:r>
          </w:p>
          <w:p>
            <w:pPr>
              <w:numPr>
                <w:ilvl w:val="0"/>
                <w:numId w:val="13"/>
              </w:numPr>
              <w:tabs>
                <w:tab w:val="left" w:pos="531"/>
              </w:tabs>
              <w:snapToGrid w:val="0"/>
              <w:rPr>
                <w:rFonts w:ascii="宋体" w:hAnsi="宋体" w:cs="宋体"/>
                <w:color w:val="auto"/>
                <w:highlight w:val="none"/>
              </w:rPr>
            </w:pPr>
            <w:r>
              <w:rPr>
                <w:rFonts w:hint="eastAsia" w:ascii="宋体" w:hAnsi="宋体" w:cs="宋体"/>
                <w:color w:val="auto"/>
                <w:szCs w:val="21"/>
                <w:highlight w:val="none"/>
              </w:rPr>
              <w:t>在高交会展前完成</w:t>
            </w:r>
            <w:r>
              <w:rPr>
                <w:rFonts w:hint="eastAsia" w:ascii="仿宋" w:hAnsi="仿宋" w:eastAsia="仿宋"/>
                <w:color w:val="auto"/>
                <w:sz w:val="24"/>
                <w:highlight w:val="none"/>
              </w:rPr>
              <w:t>身份</w:t>
            </w:r>
            <w:r>
              <w:rPr>
                <w:rFonts w:hint="eastAsia" w:ascii="宋体" w:hAnsi="宋体" w:cs="宋体"/>
                <w:color w:val="auto"/>
                <w:szCs w:val="21"/>
                <w:highlight w:val="none"/>
              </w:rPr>
              <w:t>验证服务平台充值10万元人脸及身份证验证服务费用。</w:t>
            </w:r>
          </w:p>
          <w:p>
            <w:pPr>
              <w:numPr>
                <w:ilvl w:val="0"/>
                <w:numId w:val="13"/>
              </w:numPr>
              <w:tabs>
                <w:tab w:val="left" w:pos="531"/>
              </w:tabs>
              <w:snapToGrid w:val="0"/>
              <w:ind w:left="0" w:firstLine="0"/>
              <w:rPr>
                <w:rFonts w:hint="eastAsia" w:ascii="宋体" w:hAnsi="宋体"/>
                <w:color w:val="auto"/>
                <w:szCs w:val="21"/>
                <w:highlight w:val="none"/>
              </w:rPr>
            </w:pPr>
            <w:r>
              <w:rPr>
                <w:rFonts w:hint="eastAsia" w:ascii="宋体" w:hAnsi="宋体"/>
                <w:color w:val="auto"/>
                <w:szCs w:val="21"/>
                <w:highlight w:val="none"/>
              </w:rPr>
              <w:t>10月25日进驻会展中心场馆开展前期证件制作（自助打印）以及分发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其他工作时间节点已招标人通知为准</w:t>
            </w:r>
            <w:r>
              <w:rPr>
                <w:rFonts w:hint="eastAsia" w:ascii="宋体" w:hAnsi="宋体"/>
                <w:color w:val="auto"/>
                <w:szCs w:val="21"/>
                <w:highlight w:val="none"/>
              </w:rPr>
              <w:t>。</w:t>
            </w:r>
          </w:p>
          <w:p>
            <w:pPr>
              <w:numPr>
                <w:ilvl w:val="0"/>
                <w:numId w:val="13"/>
              </w:numPr>
              <w:tabs>
                <w:tab w:val="left" w:pos="531"/>
              </w:tabs>
              <w:snapToGrid w:val="0"/>
              <w:rPr>
                <w:rFonts w:ascii="宋体" w:cs="宋体"/>
                <w:color w:val="auto"/>
                <w:highlight w:val="none"/>
              </w:rPr>
            </w:pPr>
            <w:r>
              <w:rPr>
                <w:rFonts w:hint="eastAsia" w:ascii="宋体" w:hAnsi="宋体"/>
                <w:color w:val="auto"/>
                <w:szCs w:val="21"/>
                <w:highlight w:val="none"/>
              </w:rPr>
              <w:t>如高交会开展时间有所调整，</w:t>
            </w:r>
            <w:r>
              <w:rPr>
                <w:rFonts w:hint="eastAsia" w:ascii="宋体" w:hAnsi="宋体"/>
                <w:color w:val="auto"/>
                <w:szCs w:val="21"/>
                <w:highlight w:val="none"/>
                <w:lang w:val="en-US" w:eastAsia="zh-CN"/>
              </w:rPr>
              <w:t>投</w:t>
            </w:r>
            <w:r>
              <w:rPr>
                <w:rFonts w:hint="eastAsia" w:ascii="宋体" w:hAnsi="宋体"/>
                <w:color w:val="auto"/>
                <w:szCs w:val="21"/>
                <w:highlight w:val="none"/>
              </w:rPr>
              <w:t>标人需无条件根据高交会实际开展时间对以上所有时间节点进行调整。</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auto"/>
                <w:szCs w:val="21"/>
                <w:highlight w:val="none"/>
              </w:rPr>
            </w:pPr>
            <w:r>
              <w:rPr>
                <w:rFonts w:hint="eastAsia" w:ascii="宋体" w:hAnsi="宋体"/>
                <w:color w:val="auto"/>
                <w:szCs w:val="21"/>
                <w:highlight w:val="none"/>
              </w:rPr>
              <w:t>项目团队要求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auto"/>
                <w:highlight w:val="none"/>
              </w:rPr>
            </w:pPr>
            <w:r>
              <w:rPr>
                <w:rFonts w:hint="eastAsia"/>
                <w:color w:val="auto"/>
                <w:highlight w:val="none"/>
              </w:rPr>
              <w:t>（1）</w:t>
            </w:r>
            <w:r>
              <w:rPr>
                <w:rFonts w:hint="eastAsia" w:ascii="宋体" w:hAnsi="宋体"/>
                <w:color w:val="auto"/>
                <w:szCs w:val="21"/>
                <w:highlight w:val="none"/>
              </w:rPr>
              <w:t>投标</w:t>
            </w:r>
            <w:r>
              <w:rPr>
                <w:rFonts w:hint="eastAsia" w:ascii="宋体" w:hAnsi="宋体"/>
                <w:color w:val="auto"/>
                <w:szCs w:val="21"/>
                <w:highlight w:val="none"/>
                <w:lang w:val="en-US" w:eastAsia="zh-CN"/>
              </w:rPr>
              <w:t>人</w:t>
            </w:r>
            <w:r>
              <w:rPr>
                <w:rFonts w:hint="eastAsia" w:ascii="宋体" w:hAnsi="宋体"/>
                <w:color w:val="auto"/>
                <w:szCs w:val="21"/>
                <w:highlight w:val="none"/>
              </w:rPr>
              <w:t>须为本项目指定项目负责人1名，（包括但不仅限于提供相应人员的姓名、联系电话、职务、简介及与本项目类似案例经历，并提供身份证复印件、近</w:t>
            </w:r>
            <w:r>
              <w:rPr>
                <w:rFonts w:ascii="宋体" w:hAnsi="宋体"/>
                <w:color w:val="auto"/>
                <w:szCs w:val="21"/>
                <w:highlight w:val="none"/>
              </w:rPr>
              <w:t>3</w:t>
            </w:r>
            <w:r>
              <w:rPr>
                <w:rFonts w:hint="eastAsia" w:ascii="宋体" w:hAnsi="宋体"/>
                <w:color w:val="auto"/>
                <w:szCs w:val="21"/>
                <w:highlight w:val="none"/>
              </w:rPr>
              <w:t>个月</w:t>
            </w:r>
            <w:r>
              <w:rPr>
                <w:rFonts w:hint="eastAsia" w:ascii="宋体" w:hAnsi="宋体"/>
                <w:color w:val="auto"/>
                <w:szCs w:val="21"/>
                <w:highlight w:val="none"/>
                <w:lang w:val="en-US" w:eastAsia="zh-CN"/>
              </w:rPr>
              <w:t>由投标人为其</w:t>
            </w:r>
            <w:r>
              <w:rPr>
                <w:rFonts w:hint="eastAsia" w:ascii="宋体" w:hAnsi="宋体"/>
                <w:color w:val="auto"/>
                <w:szCs w:val="21"/>
                <w:highlight w:val="none"/>
              </w:rPr>
              <w:t>连续缴纳社保的证明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并保留验真码</w:t>
            </w:r>
            <w:r>
              <w:rPr>
                <w:rFonts w:hint="eastAsia" w:ascii="宋体" w:hAnsi="宋体"/>
                <w:color w:val="auto"/>
                <w:szCs w:val="21"/>
                <w:highlight w:val="none"/>
                <w:lang w:eastAsia="zh-CN"/>
              </w:rPr>
              <w:t>）</w:t>
            </w:r>
            <w:r>
              <w:rPr>
                <w:rFonts w:hint="eastAsia" w:ascii="宋体" w:hAnsi="宋体" w:cs="宋体"/>
                <w:color w:val="auto"/>
                <w:szCs w:val="21"/>
                <w:highlight w:val="none"/>
              </w:rPr>
              <w:t>。</w:t>
            </w:r>
          </w:p>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（2）投标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应为本项目配备</w:t>
            </w:r>
            <w:r>
              <w:rPr>
                <w:rFonts w:hint="eastAsia" w:ascii="宋体" w:hAnsi="宋体" w:cs="宋体"/>
                <w:color w:val="auto"/>
                <w:szCs w:val="21"/>
                <w:highlight w:val="none"/>
                <w:lang w:val="en-US" w:eastAsia="zh-CN"/>
              </w:rPr>
              <w:t>6-8名</w:t>
            </w:r>
            <w:r>
              <w:rPr>
                <w:rFonts w:hint="eastAsia" w:ascii="宋体" w:hAnsi="宋体" w:cs="宋体"/>
                <w:color w:val="auto"/>
                <w:szCs w:val="21"/>
                <w:highlight w:val="none"/>
              </w:rPr>
              <w:t>正式工作人员，其中除项目负责人外，还需要现场运维经理至少2人，应具备良好的沟通及表达能力，有展会现场服务管理工作经验；技术负责人至少1人，要求在人脸识别入场系统运行方面经验丰富，熟练开展设备部署、服务器网络组建、软硬件调测、数据交互等各项任务并可解决现场突发技术类事件。</w:t>
            </w:r>
          </w:p>
          <w:p>
            <w:pPr>
              <w:pStyle w:val="11"/>
              <w:rPr>
                <w:rFonts w:ascii="宋体"/>
                <w:color w:val="auto"/>
                <w:szCs w:val="21"/>
                <w:highlight w:val="none"/>
              </w:rPr>
            </w:pPr>
            <w:r>
              <w:rPr>
                <w:rFonts w:hint="eastAsia" w:ascii="宋体" w:eastAsia="宋体" w:cs="宋体"/>
                <w:color w:val="auto"/>
                <w:szCs w:val="21"/>
                <w:highlight w:val="none"/>
              </w:rPr>
              <w:t>（3）投标</w:t>
            </w:r>
            <w:r>
              <w:rPr>
                <w:rFonts w:hint="eastAsia" w:ascii="宋体" w:eastAsia="宋体" w:cs="宋体"/>
                <w:color w:val="auto"/>
                <w:szCs w:val="21"/>
                <w:highlight w:val="none"/>
                <w:lang w:val="en-US" w:eastAsia="zh-CN"/>
              </w:rPr>
              <w:t>人</w:t>
            </w:r>
            <w:r>
              <w:rPr>
                <w:rFonts w:hint="eastAsia" w:ascii="宋体" w:eastAsia="宋体" w:cs="宋体"/>
                <w:color w:val="auto"/>
                <w:szCs w:val="21"/>
                <w:highlight w:val="none"/>
              </w:rPr>
              <w:t>应为本项目配备现场服务人员不少于300人，不含投标</w:t>
            </w:r>
            <w:r>
              <w:rPr>
                <w:rFonts w:hint="eastAsia" w:ascii="宋体" w:eastAsia="宋体" w:cs="宋体"/>
                <w:color w:val="auto"/>
                <w:szCs w:val="21"/>
                <w:highlight w:val="none"/>
                <w:lang w:val="en-US" w:eastAsia="zh-CN"/>
              </w:rPr>
              <w:t>人</w:t>
            </w:r>
            <w:r>
              <w:rPr>
                <w:rFonts w:hint="eastAsia" w:ascii="宋体" w:eastAsia="宋体" w:cs="宋体"/>
                <w:color w:val="auto"/>
                <w:szCs w:val="21"/>
                <w:highlight w:val="none"/>
              </w:rPr>
              <w:t>在现场的管理人员与技术人员。</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auto"/>
                <w:szCs w:val="21"/>
                <w:highlight w:val="none"/>
              </w:rPr>
            </w:pPr>
            <w:r>
              <w:rPr>
                <w:rFonts w:hint="eastAsia" w:ascii="宋体" w:hAnsi="宋体" w:cs="等线"/>
                <w:color w:val="auto"/>
                <w:szCs w:val="21"/>
                <w:highlight w:val="none"/>
              </w:rPr>
              <w:t>保密及知识产权保护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color w:val="auto"/>
                <w:highlight w:val="none"/>
              </w:rPr>
            </w:pPr>
            <w:r>
              <w:rPr>
                <w:rFonts w:hint="eastAsia"/>
                <w:color w:val="auto"/>
                <w:highlight w:val="none"/>
              </w:rPr>
              <w:t>所有项目成果的版权及使用权归招标人所有，项目运行过程中产生的信息与数据等资料属招标人商业机密。</w:t>
            </w:r>
            <w:r>
              <w:rPr>
                <w:rFonts w:hint="eastAsia"/>
                <w:color w:val="auto"/>
                <w:highlight w:val="none"/>
                <w:lang w:val="en-US" w:eastAsia="zh-CN"/>
              </w:rPr>
              <w:t>投标人</w:t>
            </w:r>
            <w:r>
              <w:rPr>
                <w:rFonts w:hint="eastAsia"/>
                <w:color w:val="auto"/>
                <w:highlight w:val="none"/>
              </w:rPr>
              <w:t>承诺绝不私自使用、截留或外泄在该项目前期及运维过程中所接触和产生的所有信息及数据等机密资料。由此所带来的法律责任以及造成的损失均由</w:t>
            </w:r>
            <w:r>
              <w:rPr>
                <w:rFonts w:hint="eastAsia"/>
                <w:color w:val="auto"/>
                <w:highlight w:val="none"/>
                <w:lang w:val="en-US" w:eastAsia="zh-CN"/>
              </w:rPr>
              <w:t>投标人</w:t>
            </w:r>
            <w:r>
              <w:rPr>
                <w:rFonts w:hint="eastAsia"/>
                <w:color w:val="auto"/>
                <w:highlight w:val="none"/>
              </w:rPr>
              <w:t>承担，</w:t>
            </w:r>
            <w:r>
              <w:rPr>
                <w:rFonts w:hint="eastAsia"/>
                <w:color w:val="auto"/>
                <w:highlight w:val="none"/>
                <w:lang w:val="en-US" w:eastAsia="zh-CN"/>
              </w:rPr>
              <w:t>招标</w:t>
            </w:r>
            <w:r>
              <w:rPr>
                <w:rFonts w:hint="eastAsia"/>
                <w:color w:val="auto"/>
                <w:highlight w:val="none"/>
              </w:rPr>
              <w:t>人不承担任何责任。并对给</w:t>
            </w:r>
            <w:r>
              <w:rPr>
                <w:rFonts w:hint="eastAsia"/>
                <w:color w:val="auto"/>
                <w:highlight w:val="none"/>
                <w:lang w:eastAsia="zh-CN"/>
              </w:rPr>
              <w:t>招标人</w:t>
            </w:r>
            <w:r>
              <w:rPr>
                <w:rFonts w:hint="eastAsia"/>
                <w:color w:val="auto"/>
                <w:highlight w:val="none"/>
              </w:rPr>
              <w:t>造成损失承担全部赔偿责任。</w:t>
            </w:r>
          </w:p>
          <w:p>
            <w:pPr>
              <w:pStyle w:val="11"/>
              <w:numPr>
                <w:ilvl w:val="0"/>
                <w:numId w:val="14"/>
              </w:numPr>
              <w:rPr>
                <w:color w:val="auto"/>
                <w:highlight w:val="none"/>
              </w:rPr>
            </w:pPr>
            <w:r>
              <w:rPr>
                <w:rFonts w:hint="eastAsia" w:ascii="宋体" w:eastAsia="宋体" w:cs="宋体"/>
                <w:color w:val="auto"/>
                <w:szCs w:val="21"/>
                <w:highlight w:val="none"/>
                <w:lang w:val="en-US" w:eastAsia="zh-CN"/>
              </w:rPr>
              <w:t>投标人承诺</w:t>
            </w:r>
            <w:r>
              <w:rPr>
                <w:rFonts w:hint="eastAsia" w:ascii="宋体" w:eastAsia="宋体" w:cs="宋体"/>
                <w:color w:val="auto"/>
                <w:szCs w:val="21"/>
                <w:highlight w:val="none"/>
              </w:rPr>
              <w:t>在项目实施过程中及项目结束后严格遵守国家和地方相关（特别是信息安全方面）的法律法规，确保招标人拥有的版权、使用权以及涉及客户的个人信息不得泄密及不受侵犯，不得使用客户信息进行违法犯罪行为。投标</w:t>
            </w:r>
            <w:r>
              <w:rPr>
                <w:rFonts w:hint="eastAsia" w:ascii="宋体" w:eastAsia="宋体" w:cs="宋体"/>
                <w:color w:val="auto"/>
                <w:szCs w:val="21"/>
                <w:highlight w:val="none"/>
                <w:lang w:val="en-US" w:eastAsia="zh-CN"/>
              </w:rPr>
              <w:t>人</w:t>
            </w:r>
            <w:r>
              <w:rPr>
                <w:rFonts w:hint="eastAsia" w:ascii="宋体" w:eastAsia="宋体" w:cs="宋体"/>
                <w:color w:val="auto"/>
                <w:szCs w:val="21"/>
                <w:highlight w:val="none"/>
              </w:rPr>
              <w:t>在本项目服务过程中不得有模仿、抄袭等侵权行为，并且所提供的服务及相关资料不涉及侵权第三方权益（包括但不限于著作权、商标权、专利权、专有技术或商业秘密）。</w:t>
            </w:r>
          </w:p>
          <w:p>
            <w:pPr>
              <w:pStyle w:val="11"/>
              <w:numPr>
                <w:ilvl w:val="0"/>
                <w:numId w:val="14"/>
              </w:numPr>
              <w:rPr>
                <w:color w:val="auto"/>
                <w:highlight w:val="none"/>
              </w:rPr>
            </w:pPr>
            <w:r>
              <w:rPr>
                <w:rFonts w:hint="eastAsia" w:ascii="宋体" w:eastAsia="宋体" w:cs="宋体"/>
                <w:color w:val="auto"/>
                <w:szCs w:val="21"/>
                <w:highlight w:val="none"/>
              </w:rPr>
              <w:t>如</w:t>
            </w:r>
            <w:r>
              <w:rPr>
                <w:rFonts w:hint="eastAsia" w:ascii="宋体" w:eastAsia="宋体" w:cs="宋体"/>
                <w:color w:val="auto"/>
                <w:szCs w:val="21"/>
                <w:highlight w:val="none"/>
                <w:lang w:val="en-US" w:eastAsia="zh-CN"/>
              </w:rPr>
              <w:t>投</w:t>
            </w:r>
            <w:r>
              <w:rPr>
                <w:rFonts w:hint="eastAsia" w:ascii="宋体" w:eastAsia="宋体" w:cs="宋体"/>
                <w:color w:val="auto"/>
                <w:szCs w:val="21"/>
                <w:highlight w:val="none"/>
              </w:rPr>
              <w:t>标人存在包括但不限以上内容的违规、违法、侵权或泄密等行为的，由此所带来的法律责任以及造成的损失均由</w:t>
            </w:r>
            <w:r>
              <w:rPr>
                <w:rFonts w:hint="eastAsia" w:ascii="宋体" w:eastAsia="宋体" w:cs="宋体"/>
                <w:color w:val="auto"/>
                <w:szCs w:val="21"/>
                <w:highlight w:val="none"/>
                <w:lang w:val="en-US" w:eastAsia="zh-CN"/>
              </w:rPr>
              <w:t>投标人</w:t>
            </w:r>
            <w:r>
              <w:rPr>
                <w:rFonts w:hint="eastAsia" w:ascii="宋体" w:eastAsia="宋体" w:cs="宋体"/>
                <w:color w:val="auto"/>
                <w:szCs w:val="21"/>
                <w:highlight w:val="none"/>
              </w:rPr>
              <w:t>承担，招标人不承担任何责任。</w:t>
            </w:r>
            <w:r>
              <w:rPr>
                <w:rFonts w:hint="eastAsia" w:ascii="宋体" w:eastAsia="宋体" w:cs="宋体"/>
                <w:color w:val="auto"/>
                <w:szCs w:val="21"/>
                <w:highlight w:val="none"/>
                <w:lang w:val="en-US" w:eastAsia="zh-CN"/>
              </w:rPr>
              <w:t>投标人须</w:t>
            </w:r>
            <w:r>
              <w:rPr>
                <w:rFonts w:hint="eastAsia" w:ascii="宋体" w:eastAsia="宋体" w:cs="宋体"/>
                <w:color w:val="auto"/>
                <w:szCs w:val="21"/>
                <w:highlight w:val="none"/>
              </w:rPr>
              <w:t>赔偿因此给招标人带来的经济损失，并承担相应的法律责任。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w:color w:val="auto"/>
                <w:szCs w:val="21"/>
                <w:highlight w:val="none"/>
              </w:rPr>
            </w:pPr>
            <w:r>
              <w:rPr>
                <w:rFonts w:hint="eastAsia" w:ascii="宋体" w:hAnsi="宋体" w:cs="等线"/>
                <w:color w:val="auto"/>
                <w:szCs w:val="21"/>
                <w:highlight w:val="none"/>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15"/>
              </w:numPr>
              <w:rPr>
                <w:rFonts w:ascii="宋体" w:eastAsia="宋体" w:cs="宋体"/>
                <w:color w:val="auto"/>
                <w:sz w:val="18"/>
                <w:szCs w:val="21"/>
                <w:highlight w:val="none"/>
              </w:rPr>
            </w:pPr>
            <w:r>
              <w:rPr>
                <w:rFonts w:hint="eastAsia" w:ascii="宋体" w:eastAsia="宋体" w:cs="宋体"/>
                <w:color w:val="auto"/>
                <w:szCs w:val="21"/>
                <w:highlight w:val="none"/>
              </w:rPr>
              <w:t>按照</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要求，按时提交入场门禁服务报告，并经</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签字确认。</w:t>
            </w:r>
          </w:p>
          <w:p>
            <w:pPr>
              <w:pStyle w:val="11"/>
              <w:numPr>
                <w:ilvl w:val="0"/>
                <w:numId w:val="15"/>
              </w:numPr>
              <w:rPr>
                <w:rFonts w:ascii="宋体" w:eastAsia="宋体" w:cs="宋体"/>
                <w:color w:val="auto"/>
                <w:sz w:val="18"/>
                <w:szCs w:val="21"/>
                <w:highlight w:val="none"/>
              </w:rPr>
            </w:pPr>
            <w:r>
              <w:rPr>
                <w:rFonts w:hint="eastAsia" w:ascii="宋体" w:eastAsia="宋体" w:cs="宋体"/>
                <w:color w:val="auto"/>
                <w:szCs w:val="21"/>
                <w:highlight w:val="none"/>
              </w:rPr>
              <w:t>提供现场实际使用设备照片、服务人员考勤表等，并经</w:t>
            </w:r>
            <w:r>
              <w:rPr>
                <w:rFonts w:hint="eastAsia" w:ascii="宋体" w:eastAsia="宋体" w:cs="宋体"/>
                <w:color w:val="auto"/>
                <w:szCs w:val="21"/>
                <w:highlight w:val="none"/>
                <w:lang w:eastAsia="zh-CN"/>
              </w:rPr>
              <w:t>招标人</w:t>
            </w:r>
            <w:r>
              <w:rPr>
                <w:rFonts w:hint="eastAsia" w:ascii="宋体" w:eastAsia="宋体" w:cs="宋体"/>
                <w:color w:val="auto"/>
                <w:szCs w:val="21"/>
                <w:highlight w:val="none"/>
              </w:rPr>
              <w:t>签字确认。</w:t>
            </w:r>
          </w:p>
          <w:p>
            <w:pPr>
              <w:pStyle w:val="11"/>
              <w:numPr>
                <w:ilvl w:val="0"/>
                <w:numId w:val="15"/>
              </w:numPr>
              <w:rPr>
                <w:rFonts w:ascii="宋体" w:eastAsia="宋体" w:cs="宋体"/>
                <w:color w:val="auto"/>
                <w:sz w:val="18"/>
                <w:szCs w:val="21"/>
                <w:highlight w:val="none"/>
              </w:rPr>
            </w:pPr>
            <w:r>
              <w:rPr>
                <w:rFonts w:hint="eastAsia" w:ascii="宋体" w:eastAsia="宋体" w:cs="宋体"/>
                <w:color w:val="auto"/>
                <w:szCs w:val="21"/>
                <w:highlight w:val="none"/>
                <w:lang w:val="en-US" w:eastAsia="zh-CN"/>
              </w:rPr>
              <w:t>项目全部实施完毕后由投标人向招标人提出验收申请，提供完整的验收报告后，由招标人组织验收。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w:b/>
                <w:bCs/>
                <w:color w:val="auto"/>
                <w:szCs w:val="21"/>
                <w:highlight w:val="none"/>
              </w:rPr>
            </w:pPr>
            <w:r>
              <w:rPr>
                <w:rFonts w:hint="eastAsia" w:ascii="宋体" w:hAnsi="宋体"/>
                <w:color w:val="auto"/>
                <w:szCs w:val="21"/>
                <w:highlight w:val="none"/>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tabs>
                <w:tab w:val="left" w:pos="531"/>
              </w:tabs>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（1）如因不可抗力导致本届高交会停止举办的，自通知发布之时合同即时自动终止并解除，此期间投标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因如约履行本项目合同且已实际发生的直接费用，招标人可按实予以结算。同时，招标人不再承担投标人由此造成的其他间接费用和损失，投标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亦不得再就上述事项进行任何形式的索赔。</w:t>
            </w:r>
          </w:p>
          <w:p>
            <w:pPr>
              <w:pStyle w:val="22"/>
              <w:tabs>
                <w:tab w:val="left" w:pos="531"/>
              </w:tabs>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（2）如因不可抗力导致本届高交会会期或其它相关事项发生变动的，投标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须无条件配合调整相关服务（如增减服务内容、延期等），同时签订相应的补充协议。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项目概况</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auto"/>
                <w:highlight w:val="none"/>
              </w:rPr>
            </w:pPr>
            <w:r>
              <w:rPr>
                <w:rFonts w:hint="eastAsia" w:ascii="宋体" w:hAnsi="宋体" w:cs="宋体"/>
                <w:color w:val="auto"/>
                <w:highlight w:val="none"/>
              </w:rPr>
              <w:t>（1）需提供票证检验（人脸识别、身份证、二维码及条形码）与统计服务，配备符合需求的软硬件设备，确保人员入场通畅并有效记录，提供相应技术保障；</w:t>
            </w:r>
          </w:p>
          <w:p>
            <w:pPr>
              <w:tabs>
                <w:tab w:val="left" w:pos="531"/>
              </w:tabs>
              <w:snapToGrid w:val="0"/>
              <w:rPr>
                <w:rFonts w:ascii="宋体" w:hAnsi="宋体" w:cs="宋体"/>
                <w:color w:val="auto"/>
                <w:highlight w:val="none"/>
              </w:rPr>
            </w:pPr>
            <w:r>
              <w:rPr>
                <w:rFonts w:hint="eastAsia" w:ascii="宋体" w:hAnsi="宋体" w:cs="宋体"/>
                <w:color w:val="auto"/>
                <w:highlight w:val="none"/>
              </w:rPr>
              <w:t>（2）现场观众接待及引导咨询，查询设备等，提供软硬件支持及技术保障，引导各类入场客商现场完成整套无纸化票证服务；</w:t>
            </w:r>
          </w:p>
          <w:p>
            <w:pPr>
              <w:tabs>
                <w:tab w:val="left" w:pos="531"/>
              </w:tabs>
              <w:snapToGrid w:val="0"/>
              <w:rPr>
                <w:rFonts w:ascii="宋体" w:hAnsi="宋体" w:cs="宋体"/>
                <w:color w:val="auto"/>
                <w:highlight w:val="none"/>
              </w:rPr>
            </w:pPr>
            <w:r>
              <w:rPr>
                <w:rFonts w:hint="eastAsia" w:ascii="宋体" w:hAnsi="宋体" w:cs="宋体"/>
                <w:color w:val="auto"/>
                <w:highlight w:val="none"/>
              </w:rPr>
              <w:t>（3）提供证件底板印制、</w:t>
            </w:r>
            <w:r>
              <w:rPr>
                <w:rFonts w:hint="eastAsia" w:ascii="宋体" w:hAnsi="宋体" w:cs="宋体"/>
                <w:color w:val="auto"/>
                <w:highlight w:val="none"/>
                <w:lang w:eastAsia="zh-CN"/>
              </w:rPr>
              <w:t>二次打印服务、自助打印服务，并配备相应的人员、管理流程进行证件制作与分发；</w:t>
            </w:r>
          </w:p>
          <w:p>
            <w:pPr>
              <w:pStyle w:val="11"/>
              <w:rPr>
                <w:rFonts w:ascii="宋体" w:eastAsia="宋体" w:cs="宋体"/>
                <w:color w:val="auto"/>
                <w:szCs w:val="21"/>
                <w:highlight w:val="none"/>
              </w:rPr>
            </w:pPr>
            <w:r>
              <w:rPr>
                <w:rFonts w:hint="eastAsia" w:ascii="宋体" w:eastAsia="宋体" w:cs="宋体"/>
                <w:color w:val="auto"/>
                <w:szCs w:val="21"/>
                <w:highlight w:val="none"/>
              </w:rPr>
              <w:t>（4）配备专门的工作人员团队开展上述工作，进行必要的安全培训</w:t>
            </w:r>
            <w:r>
              <w:rPr>
                <w:rFonts w:hint="eastAsia" w:ascii="宋体" w:eastAsia="宋体" w:cs="宋体"/>
                <w:color w:val="auto"/>
                <w:szCs w:val="21"/>
                <w:highlight w:val="none"/>
                <w:lang w:val="en-US" w:eastAsia="zh-CN"/>
              </w:rPr>
              <w:t>等</w:t>
            </w:r>
            <w:r>
              <w:rPr>
                <w:rFonts w:hint="eastAsia" w:ascii="宋体" w:eastAsia="宋体" w:cs="宋体"/>
                <w:color w:val="auto"/>
                <w:szCs w:val="21"/>
                <w:highlight w:val="none"/>
              </w:rPr>
              <w:t>、管理及监督，制定各类应急解决方案；</w:t>
            </w:r>
          </w:p>
          <w:p>
            <w:pPr>
              <w:pStyle w:val="11"/>
              <w:rPr>
                <w:rFonts w:ascii="宋体" w:eastAsia="宋体" w:cs="宋体"/>
                <w:color w:val="auto"/>
                <w:szCs w:val="21"/>
                <w:highlight w:val="none"/>
              </w:rPr>
            </w:pPr>
            <w:r>
              <w:rPr>
                <w:rFonts w:hint="eastAsia" w:ascii="宋体" w:eastAsia="宋体" w:cs="宋体"/>
                <w:color w:val="auto"/>
                <w:szCs w:val="21"/>
                <w:highlight w:val="none"/>
              </w:rPr>
              <w:t>（5）配合为人脸及身份证验证服务提供支持；</w:t>
            </w:r>
          </w:p>
          <w:p>
            <w:pPr>
              <w:pStyle w:val="11"/>
              <w:rPr>
                <w:rFonts w:ascii="宋体"/>
                <w:color w:val="auto"/>
                <w:highlight w:val="none"/>
              </w:rPr>
            </w:pPr>
            <w:r>
              <w:rPr>
                <w:rFonts w:hint="eastAsia" w:ascii="宋体" w:eastAsia="宋体" w:cs="宋体"/>
                <w:color w:val="auto"/>
                <w:szCs w:val="21"/>
                <w:highlight w:val="none"/>
              </w:rPr>
              <w:t>（6）配合开展票证数据信息、入场数据信息与招标人数据库、公安数据库之间的交互，展开相应的沟通协调、事务对接等。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项目服务内容及要求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1"/>
                <w:numId w:val="0"/>
              </w:numPr>
              <w:snapToGrid w:val="0"/>
              <w:rPr>
                <w:rFonts w:hint="eastAsia" w:ascii="宋体" w:eastAsia="宋体" w:cs="宋体"/>
                <w:color w:val="auto"/>
                <w:highlight w:val="none"/>
              </w:rPr>
            </w:pPr>
            <w:r>
              <w:rPr>
                <w:rFonts w:hint="eastAsia" w:ascii="宋体" w:eastAsia="宋体" w:cs="宋体"/>
                <w:color w:val="auto"/>
                <w:highlight w:val="none"/>
                <w:lang w:eastAsia="zh-CN"/>
              </w:rPr>
              <w:t>一、</w:t>
            </w:r>
            <w:r>
              <w:rPr>
                <w:rFonts w:hint="eastAsia" w:ascii="宋体" w:eastAsia="宋体" w:cs="宋体"/>
                <w:color w:val="auto"/>
                <w:highlight w:val="none"/>
              </w:rPr>
              <w:t>设备要求</w:t>
            </w:r>
          </w:p>
          <w:p>
            <w:pPr>
              <w:pStyle w:val="11"/>
              <w:numPr>
                <w:ilvl w:val="-1"/>
                <w:numId w:val="0"/>
              </w:numPr>
              <w:snapToGrid w:val="0"/>
              <w:rPr>
                <w:rFonts w:hint="eastAsia" w:ascii="宋体" w:eastAsia="宋体" w:cs="宋体"/>
                <w:color w:val="auto"/>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1）</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提供不少于62条人脸识别闸机通道及配套软件、5条备用组合通道设备（由笔记本电脑+摄像头+扫描枪等设备组成）、相关服务器及组网，在2023年11月15-20日期间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最终实施时间以招标人通知为准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，为招标人提供人脸识别入场门禁服务；</w:t>
            </w:r>
          </w:p>
          <w:p>
            <w:pPr>
              <w:pStyle w:val="11"/>
              <w:numPr>
                <w:ilvl w:val="-1"/>
                <w:numId w:val="0"/>
              </w:numPr>
              <w:snapToGrid w:val="0"/>
              <w:rPr>
                <w:rFonts w:hint="eastAsia" w:ascii="宋体" w:hAnsi="宋体" w:eastAsia="宋体" w:cs="宋体"/>
                <w:color w:val="auto"/>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2）</w:t>
            </w:r>
            <w:r>
              <w:rPr>
                <w:rFonts w:hint="eastAsia" w:ascii="宋体" w:hAnsi="宋体" w:eastAsia="宋体" w:cs="宋体"/>
                <w:color w:val="auto"/>
                <w:szCs w:val="21"/>
                <w:highlight w:val="none"/>
              </w:rPr>
              <w:t>所有入场通道，必须采用实时联网方式进行准确有效的验票及证件数据采集；必须同时满足身份证识别、条码识别、二维码识别、人像采集与对比的检验要求；每条通道均要求有断网工作、联网上传功能，有黑白名单下载和校验功能；在人脸识别对比精度要求不低于80%的情况下，单个客户通过人脸识别入场的时长应控制在40秒</w:t>
            </w:r>
            <w:r>
              <w:rPr>
                <w:rFonts w:hint="eastAsia" w:ascii="宋体" w:hAnsi="宋体" w:eastAsia="宋体" w:cs="宋体"/>
                <w:color w:val="auto"/>
                <w:szCs w:val="21"/>
                <w:highlight w:val="none"/>
                <w:lang w:val="en-US" w:eastAsia="zh-CN"/>
              </w:rPr>
              <w:t>以内</w:t>
            </w:r>
            <w:r>
              <w:rPr>
                <w:rFonts w:hint="eastAsia" w:ascii="宋体" w:hAnsi="宋体" w:eastAsia="宋体" w:cs="宋体"/>
                <w:color w:val="auto"/>
                <w:szCs w:val="21"/>
                <w:highlight w:val="none"/>
              </w:rPr>
              <w:t>；</w:t>
            </w:r>
          </w:p>
          <w:p>
            <w:pPr>
              <w:pStyle w:val="11"/>
              <w:numPr>
                <w:ilvl w:val="-1"/>
                <w:numId w:val="0"/>
              </w:numPr>
              <w:snapToGrid w:val="0"/>
              <w:rPr>
                <w:rFonts w:hint="eastAsia" w:ascii="宋体" w:hAnsi="宋体" w:eastAsia="宋体" w:cs="宋体"/>
                <w:color w:val="auto"/>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3）</w:t>
            </w:r>
            <w:r>
              <w:rPr>
                <w:rFonts w:hint="eastAsia" w:ascii="宋体" w:hAnsi="宋体" w:eastAsia="宋体" w:cs="宋体"/>
                <w:color w:val="auto"/>
                <w:szCs w:val="21"/>
                <w:highlight w:val="none"/>
              </w:rPr>
              <w:t>闸机设备必须符合国家相关产品的技术与安全标准要求，设备安装调试不需要进行土建施工，方便展会使用。闸机摄像头配置及扫描口配置，应充分考虑入场识别的准确率，以及观众入场的便捷性。</w:t>
            </w:r>
          </w:p>
          <w:p>
            <w:pPr>
              <w:pStyle w:val="11"/>
              <w:numPr>
                <w:ilvl w:val="-1"/>
                <w:numId w:val="0"/>
              </w:numPr>
              <w:snapToGrid w:val="0"/>
              <w:rPr>
                <w:rFonts w:hint="eastAsia" w:ascii="宋体" w:hAns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4）</w:t>
            </w:r>
            <w:r>
              <w:rPr>
                <w:rFonts w:hint="eastAsia" w:ascii="宋体" w:hAnsi="宋体" w:eastAsia="宋体" w:cs="宋体"/>
                <w:color w:val="auto"/>
                <w:szCs w:val="21"/>
                <w:highlight w:val="none"/>
              </w:rPr>
              <w:t>服务器及组网：投标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需配置机架式服务器或者塔式服务器，服务器磁盘配置RAID，以保障数据安全。投标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对现场网络进行有效规划与管理，保障网络提供足够交互空间，具备较高的稳定性，可承担现场高峰时段大批量人流压力(5万人/小时)；同时服务器需要做冗余备用配置，对突发事故能充分应对，以确保各项入场服务工作的顺畅、稳定运行。</w:t>
            </w:r>
          </w:p>
          <w:p>
            <w:pPr>
              <w:pStyle w:val="11"/>
              <w:numPr>
                <w:ilvl w:val="-1"/>
                <w:numId w:val="0"/>
              </w:numPr>
              <w:snapToGrid w:val="0"/>
              <w:rPr>
                <w:rFonts w:hint="eastAsia" w:ascii="宋体" w:hAns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5）</w:t>
            </w:r>
            <w:r>
              <w:rPr>
                <w:rFonts w:hint="eastAsia" w:ascii="宋体" w:hAnsi="宋体" w:eastAsia="宋体" w:cs="宋体"/>
                <w:color w:val="auto"/>
                <w:szCs w:val="21"/>
                <w:highlight w:val="none"/>
              </w:rPr>
              <w:t>其他设备：</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必须提供不少于15个PDA用于票证检验应急工作；足够的扩音设备用于引导工作；提供足够的无线对讲机用于现场指挥调度。</w:t>
            </w:r>
          </w:p>
          <w:p>
            <w:pPr>
              <w:pStyle w:val="11"/>
              <w:numPr>
                <w:ilvl w:val="-1"/>
                <w:numId w:val="0"/>
              </w:numPr>
              <w:snapToGrid w:val="0"/>
              <w:rPr>
                <w:rFonts w:hint="eastAsia" w:ascii="宋体" w:hAns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提供的最终入场数据误差率必须小于5%（含），参考依据为现场公安安检机入场检验数据。如果数据误差率大于5%，将扣除该项目</w:t>
            </w:r>
            <w:r>
              <w:rPr>
                <w:rFonts w:hint="eastAsia" w:ascii="宋体" w:hAnsi="宋体" w:eastAsia="宋体" w:cs="宋体"/>
                <w:color w:val="auto"/>
                <w:szCs w:val="21"/>
                <w:highlight w:val="none"/>
                <w:lang w:val="en-US" w:eastAsia="zh-CN"/>
              </w:rPr>
              <w:t>合同总金额</w:t>
            </w:r>
            <w:r>
              <w:rPr>
                <w:rFonts w:hint="eastAsia" w:ascii="宋体" w:hAnsi="宋体" w:eastAsia="宋体" w:cs="宋体"/>
                <w:color w:val="auto"/>
                <w:szCs w:val="21"/>
                <w:highlight w:val="none"/>
              </w:rPr>
              <w:t>的5%。</w:t>
            </w:r>
          </w:p>
          <w:p>
            <w:pPr>
              <w:pStyle w:val="11"/>
              <w:numPr>
                <w:ilvl w:val="-1"/>
                <w:numId w:val="0"/>
              </w:numPr>
              <w:rPr>
                <w:rFonts w:asci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7）</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提供不少于10套自助服务设备，用于观众信息查询与填报服务，可实现观众信息查询、名片扫描与拍照、二维码及条码扫描识别、信息触屏填报、回执打印等功能。</w:t>
            </w:r>
          </w:p>
          <w:p>
            <w:pPr>
              <w:pStyle w:val="11"/>
              <w:numPr>
                <w:ilvl w:val="-1"/>
                <w:numId w:val="0"/>
              </w:numPr>
              <w:rPr>
                <w:rFonts w:asci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8）</w:t>
            </w:r>
            <w:r>
              <w:rPr>
                <w:rFonts w:hint="eastAsia" w:ascii="宋体" w:eastAsia="宋体" w:cs="宋体"/>
                <w:color w:val="auto"/>
                <w:szCs w:val="21"/>
                <w:highlight w:val="none"/>
              </w:rPr>
              <w:t>信息查询及填报界面可中英文双语选择；所配触屏、名片扫描装置、二维码及条码扫描装置应触感度较高；具备断网工作、联网上传功能。</w:t>
            </w:r>
          </w:p>
          <w:p>
            <w:pPr>
              <w:pStyle w:val="11"/>
              <w:numPr>
                <w:ilvl w:val="-1"/>
                <w:numId w:val="0"/>
              </w:numPr>
              <w:ind w:left="0"/>
              <w:rPr>
                <w:rFonts w:hint="default" w:ascii="宋体" w:hAnsi="宋体" w:eastAsia="宋体" w:cs="宋体"/>
                <w:color w:val="auto"/>
                <w:sz w:val="21"/>
                <w:szCs w:val="21"/>
                <w:highlight w:val="none"/>
              </w:rPr>
            </w:pPr>
            <w:r>
              <w:rPr>
                <w:rFonts w:hint="eastAsia" w:asci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证件</w:t>
            </w:r>
            <w:r>
              <w:rPr>
                <w:rFonts w:hint="eastAsia" w:ascii="宋体" w:eastAsia="宋体" w:cs="宋体"/>
                <w:color w:val="auto"/>
                <w:sz w:val="21"/>
                <w:szCs w:val="21"/>
                <w:highlight w:val="none"/>
                <w:lang w:eastAsia="zh-CN"/>
              </w:rPr>
              <w:t>制作与打印服务</w:t>
            </w:r>
          </w:p>
          <w:p>
            <w:pPr>
              <w:pStyle w:val="11"/>
              <w:rPr>
                <w:rFonts w:ascii="宋体" w:eastAsia="宋体" w:cs="宋体"/>
                <w:color w:val="auto"/>
                <w:szCs w:val="21"/>
                <w:highlight w:val="none"/>
              </w:rPr>
            </w:pPr>
            <w:r>
              <w:rPr>
                <w:rFonts w:hint="eastAsia" w:ascii="宋体" w:eastAsia="宋体" w:cs="宋体"/>
                <w:color w:val="auto"/>
                <w:szCs w:val="21"/>
                <w:highlight w:val="none"/>
              </w:rPr>
              <w:t>（</w:t>
            </w:r>
            <w:r>
              <w:rPr>
                <w:rFonts w:hint="eastAsia" w:ascii="宋体" w:eastAsia="宋体" w:cs="宋体"/>
                <w:color w:val="auto"/>
                <w:szCs w:val="21"/>
                <w:highlight w:val="none"/>
                <w:lang w:val="en-US" w:eastAsia="zh-CN"/>
              </w:rPr>
              <w:t>1</w:t>
            </w:r>
            <w:r>
              <w:rPr>
                <w:rFonts w:hint="eastAsia" w:ascii="宋体" w:eastAsia="宋体" w:cs="宋体"/>
                <w:color w:val="auto"/>
                <w:szCs w:val="21"/>
                <w:highlight w:val="none"/>
              </w:rPr>
              <w:t>）</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提供有效</w:t>
            </w:r>
            <w:r>
              <w:rPr>
                <w:rFonts w:hint="eastAsia" w:ascii="宋体" w:eastAsia="宋体" w:cs="宋体"/>
                <w:color w:val="auto"/>
                <w:szCs w:val="21"/>
                <w:highlight w:val="none"/>
                <w:lang w:eastAsia="zh-CN"/>
              </w:rPr>
              <w:t>的</w:t>
            </w:r>
            <w:r>
              <w:rPr>
                <w:rFonts w:hint="eastAsia" w:ascii="宋体" w:eastAsia="宋体" w:cs="宋体"/>
                <w:color w:val="auto"/>
                <w:szCs w:val="21"/>
                <w:highlight w:val="none"/>
              </w:rPr>
              <w:t>证件条码规则及检测设备,</w:t>
            </w:r>
            <w:r>
              <w:rPr>
                <w:rFonts w:hint="eastAsia" w:ascii="宋体" w:eastAsia="宋体" w:cs="宋体"/>
                <w:color w:val="auto"/>
                <w:szCs w:val="21"/>
                <w:highlight w:val="none"/>
                <w:lang w:eastAsia="zh-CN"/>
              </w:rPr>
              <w:t>包括</w:t>
            </w:r>
            <w:r>
              <w:rPr>
                <w:rFonts w:hint="eastAsia" w:ascii="宋体" w:eastAsia="宋体" w:cs="宋体"/>
                <w:color w:val="auto"/>
                <w:szCs w:val="21"/>
                <w:highlight w:val="none"/>
              </w:rPr>
              <w:t>证件底板印刷前的测试、微信售票的二维码规则及票池等相关服务；负责相应规则及票池的准确度、保密性；确保入场检验、入场统计工作的顺利进行。</w:t>
            </w:r>
          </w:p>
          <w:p>
            <w:pPr>
              <w:pStyle w:val="11"/>
              <w:rPr>
                <w:rFonts w:asci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2）</w:t>
            </w:r>
            <w:r>
              <w:rPr>
                <w:rFonts w:hint="eastAsia" w:ascii="宋体" w:eastAsia="宋体" w:cs="宋体"/>
                <w:color w:val="auto"/>
                <w:szCs w:val="21"/>
                <w:highlight w:val="none"/>
              </w:rPr>
              <w:t>提供不少于4套人工制证设备（含电脑、扫描枪、摄像头、打印机及相应软件、耗材等）、10套自助办证设备（含相应软件及耗材），并配备相应的工作人员及技术保障，按招标人要求的内容、格式、流程开展二次打印制作和分发。</w:t>
            </w:r>
          </w:p>
          <w:p>
            <w:pPr>
              <w:pStyle w:val="11"/>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自助办证设备的</w:t>
            </w:r>
            <w:r>
              <w:rPr>
                <w:rFonts w:hint="eastAsia" w:ascii="宋体" w:hAnsi="宋体" w:eastAsia="宋体" w:cs="宋体"/>
                <w:color w:val="auto"/>
                <w:sz w:val="21"/>
                <w:szCs w:val="21"/>
                <w:highlight w:val="none"/>
              </w:rPr>
              <w:t>信息查询及填报界面可中英文双语选择；所配触屏、名片扫描装置、二维码及条码扫描装置应触感度较高；具备断网工作、联网上传功能。</w:t>
            </w:r>
          </w:p>
          <w:p>
            <w:pPr>
              <w:pStyle w:val="11"/>
              <w:snapToGrid w:val="0"/>
              <w:rPr>
                <w:rFonts w:hint="eastAsia" w:ascii="宋体" w:hAnsi="宋体" w:eastAsia="宋体" w:cs="宋体"/>
                <w:color w:val="auto"/>
                <w:szCs w:val="21"/>
                <w:highlight w:val="none"/>
              </w:rPr>
            </w:pPr>
            <w:r>
              <w:rPr>
                <w:rFonts w:hint="eastAsia" w:ascii="宋体" w:eastAsia="宋体" w:cs="宋体"/>
                <w:color w:val="auto"/>
                <w:szCs w:val="21"/>
                <w:highlight w:val="none"/>
              </w:rPr>
              <w:t>（</w:t>
            </w:r>
            <w:r>
              <w:rPr>
                <w:rFonts w:hint="eastAsia" w:ascii="宋体" w:eastAsia="宋体" w:cs="宋体"/>
                <w:color w:val="auto"/>
                <w:szCs w:val="21"/>
                <w:highlight w:val="none"/>
                <w:lang w:val="en-US" w:eastAsia="zh-CN"/>
              </w:rPr>
              <w:t>4</w:t>
            </w:r>
            <w:r>
              <w:rPr>
                <w:rFonts w:hint="eastAsia" w:ascii="宋体" w:eastAsia="宋体" w:cs="宋体"/>
                <w:color w:val="auto"/>
                <w:szCs w:val="21"/>
                <w:highlight w:val="none"/>
              </w:rPr>
              <w:t>）</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提供印制的证件底版，</w:t>
            </w:r>
            <w:r>
              <w:rPr>
                <w:rFonts w:hint="eastAsia" w:ascii="宋体" w:eastAsia="宋体" w:cs="宋体"/>
                <w:color w:val="auto"/>
                <w:szCs w:val="21"/>
                <w:highlight w:val="none"/>
                <w:lang w:eastAsia="zh-CN"/>
              </w:rPr>
              <w:t>总量不超过</w:t>
            </w:r>
            <w:r>
              <w:rPr>
                <w:rFonts w:hint="eastAsia" w:ascii="宋体" w:eastAsia="宋体" w:cs="宋体"/>
                <w:color w:val="auto"/>
                <w:szCs w:val="21"/>
                <w:highlight w:val="none"/>
                <w:lang w:val="en-US" w:eastAsia="zh-CN"/>
              </w:rPr>
              <w:t>50000张。</w:t>
            </w:r>
            <w:r>
              <w:rPr>
                <w:rFonts w:hint="eastAsia" w:ascii="宋体" w:eastAsia="宋体" w:cs="宋体"/>
                <w:color w:val="auto"/>
                <w:szCs w:val="21"/>
                <w:highlight w:val="none"/>
              </w:rPr>
              <w:t>按招标人的要求的版式、数量清单进行印制。保证印制质量，且做到同批同色按时交货；</w:t>
            </w:r>
            <w:r>
              <w:rPr>
                <w:rFonts w:hint="eastAsia" w:ascii="宋体" w:hAnsi="宋体" w:eastAsia="宋体" w:cs="宋体"/>
                <w:color w:val="auto"/>
                <w:szCs w:val="21"/>
                <w:highlight w:val="none"/>
                <w:lang w:eastAsia="zh-CN"/>
              </w:rPr>
              <w:t>底板材质应可进行</w:t>
            </w:r>
            <w:r>
              <w:rPr>
                <w:rFonts w:hint="eastAsia" w:ascii="宋体" w:hAnsi="宋体" w:eastAsia="宋体" w:cs="宋体"/>
                <w:color w:val="auto"/>
                <w:szCs w:val="21"/>
                <w:highlight w:val="none"/>
              </w:rPr>
              <w:t>文字、人像照片（彩色）、入场条码等</w:t>
            </w:r>
            <w:r>
              <w:rPr>
                <w:rFonts w:hint="eastAsia" w:ascii="宋体" w:hAnsi="宋体" w:eastAsia="宋体" w:cs="宋体"/>
                <w:color w:val="auto"/>
                <w:szCs w:val="21"/>
                <w:highlight w:val="none"/>
                <w:lang w:eastAsia="zh-CN"/>
              </w:rPr>
              <w:t>内容的二次打印</w:t>
            </w:r>
            <w:r>
              <w:rPr>
                <w:rFonts w:hint="eastAsia" w:ascii="宋体" w:hAnsi="宋体" w:eastAsia="宋体" w:cs="宋体"/>
                <w:color w:val="auto"/>
                <w:szCs w:val="21"/>
                <w:highlight w:val="none"/>
              </w:rPr>
              <w:t>；</w:t>
            </w:r>
            <w:r>
              <w:rPr>
                <w:rFonts w:hint="eastAsia" w:ascii="宋体" w:eastAsia="宋体" w:cs="宋体"/>
                <w:color w:val="auto"/>
                <w:szCs w:val="21"/>
                <w:highlight w:val="none"/>
                <w:lang w:eastAsia="zh-CN"/>
              </w:rPr>
              <w:t>开展二次打印时，</w:t>
            </w:r>
            <w:r>
              <w:rPr>
                <w:rFonts w:hint="eastAsia" w:ascii="宋体" w:hAnsi="宋体" w:eastAsia="宋体" w:cs="宋体"/>
                <w:color w:val="auto"/>
                <w:szCs w:val="21"/>
                <w:highlight w:val="none"/>
              </w:rPr>
              <w:t>照片不能压缩扭曲</w:t>
            </w:r>
            <w:r>
              <w:rPr>
                <w:rFonts w:hint="eastAsia" w:ascii="宋体" w:eastAsia="宋体" w:cs="宋体"/>
                <w:color w:val="auto"/>
                <w:szCs w:val="21"/>
                <w:highlight w:val="none"/>
                <w:lang w:eastAsia="zh-CN"/>
              </w:rPr>
              <w:t>，以招标人要求版式标准进行交付</w:t>
            </w:r>
            <w:r>
              <w:rPr>
                <w:rFonts w:hint="eastAsia" w:ascii="宋体" w:hAnsi="宋体" w:eastAsia="宋体" w:cs="宋体"/>
                <w:color w:val="auto"/>
                <w:szCs w:val="21"/>
                <w:highlight w:val="none"/>
              </w:rPr>
              <w:t>；</w:t>
            </w:r>
          </w:p>
          <w:p>
            <w:pPr>
              <w:pStyle w:val="11"/>
              <w:snapToGrid w:val="0"/>
              <w:rPr>
                <w:rFonts w:hint="eastAsia" w:ascii="宋体" w:hAnsi="宋体" w:eastAsia="宋体" w:cs="宋体"/>
                <w:color w:val="auto"/>
                <w:szCs w:val="21"/>
                <w:highlight w:val="none"/>
              </w:rPr>
            </w:pPr>
            <w:r>
              <w:rPr>
                <w:rFonts w:hint="eastAsia" w:ascii="宋体" w:eastAsia="宋体" w:cs="宋体"/>
                <w:color w:val="auto"/>
                <w:szCs w:val="21"/>
                <w:highlight w:val="none"/>
                <w:lang w:eastAsia="zh-CN"/>
              </w:rPr>
              <w:t>（</w:t>
            </w:r>
            <w:r>
              <w:rPr>
                <w:rFonts w:hint="eastAsia" w:ascii="宋体" w:eastAsia="宋体" w:cs="宋体"/>
                <w:color w:val="auto"/>
                <w:szCs w:val="21"/>
                <w:highlight w:val="none"/>
                <w:lang w:val="en-US" w:eastAsia="zh-CN"/>
              </w:rPr>
              <w:t>5）</w:t>
            </w:r>
            <w:r>
              <w:rPr>
                <w:rFonts w:hint="eastAsia" w:ascii="宋体" w:hAnsi="宋体" w:eastAsia="宋体" w:cs="宋体"/>
                <w:color w:val="auto"/>
                <w:szCs w:val="21"/>
                <w:highlight w:val="none"/>
              </w:rPr>
              <w:t>配备相应的人员</w:t>
            </w:r>
            <w:r>
              <w:rPr>
                <w:rFonts w:hint="eastAsia" w:ascii="宋体" w:eastAsia="宋体" w:cs="宋体"/>
                <w:color w:val="auto"/>
                <w:szCs w:val="21"/>
                <w:highlight w:val="none"/>
                <w:lang w:eastAsia="zh-CN"/>
              </w:rPr>
              <w:t>开展证件二次打印、分发及自助办证</w:t>
            </w:r>
            <w:r>
              <w:rPr>
                <w:rFonts w:hint="eastAsia" w:ascii="宋体" w:hAnsi="宋体" w:eastAsia="宋体" w:cs="宋体"/>
                <w:color w:val="auto"/>
                <w:szCs w:val="21"/>
                <w:highlight w:val="none"/>
              </w:rPr>
              <w:t>管理，确保证件发放到位、信息登记无误</w:t>
            </w:r>
            <w:r>
              <w:rPr>
                <w:rFonts w:hint="eastAsia" w:ascii="宋体" w:eastAsia="宋体" w:cs="宋体"/>
                <w:color w:val="auto"/>
                <w:szCs w:val="21"/>
                <w:highlight w:val="none"/>
                <w:lang w:eastAsia="zh-CN"/>
              </w:rPr>
              <w:t>。</w:t>
            </w:r>
          </w:p>
          <w:p>
            <w:pPr>
              <w:pStyle w:val="11"/>
              <w:rPr>
                <w:rFonts w:ascii="宋体" w:eastAsia="宋体" w:cs="宋体"/>
                <w:color w:val="auto"/>
                <w:szCs w:val="21"/>
                <w:highlight w:val="none"/>
              </w:rPr>
            </w:pPr>
            <w:r>
              <w:rPr>
                <w:rFonts w:hint="eastAsia" w:ascii="宋体" w:eastAsia="宋体" w:cs="宋体"/>
                <w:color w:val="auto"/>
                <w:szCs w:val="21"/>
                <w:highlight w:val="none"/>
              </w:rPr>
              <w:t>三、充值服务</w:t>
            </w:r>
          </w:p>
          <w:p>
            <w:pPr>
              <w:pStyle w:val="11"/>
              <w:rPr>
                <w:rFonts w:ascii="宋体" w:eastAsia="宋体" w:cs="宋体"/>
                <w:color w:val="auto"/>
                <w:szCs w:val="21"/>
                <w:highlight w:val="none"/>
              </w:rPr>
            </w:pP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提供价值10万元人脸及身份证验证服务，确保办证客户信息的唯一性与准确性，验证接口接入招标人办证数据库，支持证件信息提交、证件流程的顺利完成。</w:t>
            </w:r>
          </w:p>
          <w:p>
            <w:pPr>
              <w:pStyle w:val="11"/>
              <w:rPr>
                <w:rFonts w:ascii="宋体" w:eastAsia="宋体" w:cs="宋体"/>
                <w:color w:val="auto"/>
                <w:szCs w:val="21"/>
                <w:highlight w:val="none"/>
              </w:rPr>
            </w:pPr>
            <w:r>
              <w:rPr>
                <w:rFonts w:hint="eastAsia" w:ascii="宋体" w:eastAsia="宋体" w:cs="宋体"/>
                <w:color w:val="auto"/>
                <w:szCs w:val="21"/>
                <w:highlight w:val="none"/>
              </w:rPr>
              <w:t>四、服务人员要求</w:t>
            </w:r>
          </w:p>
          <w:p>
            <w:pPr>
              <w:pStyle w:val="11"/>
              <w:rPr>
                <w:rFonts w:hint="default" w:ascii="宋体" w:eastAsia="宋体" w:cs="宋体"/>
                <w:color w:val="auto"/>
                <w:szCs w:val="21"/>
                <w:highlight w:val="none"/>
                <w:lang w:val="en-US" w:eastAsia="zh-CN"/>
              </w:rPr>
            </w:pPr>
            <w:r>
              <w:rPr>
                <w:rFonts w:hint="eastAsia" w:ascii="宋体" w:eastAsia="宋体" w:cs="宋体"/>
                <w:color w:val="auto"/>
                <w:szCs w:val="21"/>
                <w:highlight w:val="none"/>
              </w:rPr>
              <w:t>（1）</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应为本项目配备现场服务人员不少于300人，不含</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在现场的管理人员与技术人员。</w:t>
            </w:r>
            <w:r>
              <w:rPr>
                <w:rFonts w:hint="eastAsia" w:ascii="宋体" w:eastAsia="宋体" w:cs="宋体"/>
                <w:color w:val="auto"/>
                <w:szCs w:val="21"/>
                <w:highlight w:val="none"/>
                <w:lang w:val="en-US" w:eastAsia="zh-CN"/>
              </w:rPr>
              <w:t>投标人需保证现场服务人员的稳定性，关键岗位人员变动需征得招标人同意后方可更换。</w:t>
            </w:r>
          </w:p>
          <w:p>
            <w:pPr>
              <w:pStyle w:val="11"/>
              <w:rPr>
                <w:rFonts w:ascii="宋体" w:eastAsia="宋体" w:cs="宋体"/>
                <w:color w:val="auto"/>
                <w:szCs w:val="21"/>
                <w:highlight w:val="none"/>
              </w:rPr>
            </w:pPr>
            <w:r>
              <w:rPr>
                <w:rFonts w:hint="eastAsia" w:ascii="宋体" w:eastAsia="宋体" w:cs="宋体"/>
                <w:color w:val="auto"/>
                <w:szCs w:val="21"/>
                <w:highlight w:val="none"/>
              </w:rPr>
              <w:t>（2）服务人员</w:t>
            </w:r>
            <w:r>
              <w:rPr>
                <w:rFonts w:hint="eastAsia" w:ascii="宋体" w:eastAsia="宋体" w:cs="宋体"/>
                <w:color w:val="auto"/>
                <w:szCs w:val="21"/>
                <w:highlight w:val="none"/>
                <w:lang w:val="en-US" w:eastAsia="zh-CN"/>
              </w:rPr>
              <w:t>须</w:t>
            </w:r>
            <w:r>
              <w:rPr>
                <w:rFonts w:hint="eastAsia" w:ascii="宋体" w:eastAsia="宋体" w:cs="宋体"/>
                <w:color w:val="auto"/>
                <w:szCs w:val="21"/>
                <w:highlight w:val="none"/>
              </w:rPr>
              <w:t>年满18周岁、有独立民事行为能力、身体健康、品行端正，有展会现场服务经验者优先。其中有流利英文口语能力的人员不少于25人，男女比例为6：4为宜。</w:t>
            </w:r>
          </w:p>
          <w:p>
            <w:pPr>
              <w:pStyle w:val="11"/>
              <w:rPr>
                <w:rFonts w:ascii="宋体" w:eastAsia="宋体" w:cs="宋体"/>
                <w:color w:val="auto"/>
                <w:szCs w:val="21"/>
                <w:highlight w:val="none"/>
              </w:rPr>
            </w:pPr>
            <w:r>
              <w:rPr>
                <w:rFonts w:hint="eastAsia" w:ascii="宋体" w:eastAsia="宋体" w:cs="宋体"/>
                <w:color w:val="auto"/>
                <w:szCs w:val="21"/>
                <w:highlight w:val="none"/>
              </w:rPr>
              <w:t>（3）</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应对服务人员及相应服务点工作进行明确分工，各类岗位有书面责任要求，按时到岗、展期全勤，能根据展会现场观众人流情况、服务人员工作质量及时进行人员调配，保障各服务点工作的正常秩序，并在11月15日前完成相应培训及考核，未培训人员不得上岗。</w:t>
            </w:r>
          </w:p>
          <w:p>
            <w:pPr>
              <w:pStyle w:val="11"/>
              <w:rPr>
                <w:rFonts w:ascii="宋体" w:eastAsia="宋体" w:cs="宋体"/>
                <w:color w:val="auto"/>
                <w:szCs w:val="21"/>
                <w:highlight w:val="none"/>
              </w:rPr>
            </w:pPr>
            <w:r>
              <w:rPr>
                <w:rFonts w:hint="eastAsia" w:ascii="宋体" w:eastAsia="宋体" w:cs="宋体"/>
                <w:color w:val="auto"/>
                <w:szCs w:val="21"/>
                <w:highlight w:val="none"/>
              </w:rPr>
              <w:t>（4）</w:t>
            </w:r>
            <w:r>
              <w:rPr>
                <w:rFonts w:hint="eastAsia" w:ascii="宋体" w:eastAsia="宋体" w:cs="宋体"/>
                <w:color w:val="auto"/>
                <w:szCs w:val="21"/>
                <w:highlight w:val="none"/>
                <w:lang w:eastAsia="zh-CN"/>
              </w:rPr>
              <w:t>投标人</w:t>
            </w:r>
            <w:r>
              <w:rPr>
                <w:rFonts w:hint="eastAsia" w:ascii="宋体" w:eastAsia="宋体" w:cs="宋体"/>
                <w:color w:val="auto"/>
                <w:szCs w:val="21"/>
                <w:highlight w:val="none"/>
              </w:rPr>
              <w:t>与配备的现场服务人员之间的雇佣关系须合法，并为之统一购买意外保险，不得有违反劳动法及其他相关法律法规的行为和情节。</w:t>
            </w:r>
          </w:p>
          <w:p>
            <w:pPr>
              <w:pStyle w:val="11"/>
              <w:rPr>
                <w:rFonts w:ascii="宋体" w:eastAsia="宋体" w:cs="宋体"/>
                <w:color w:val="auto"/>
                <w:szCs w:val="21"/>
                <w:highlight w:val="none"/>
              </w:rPr>
            </w:pPr>
            <w:r>
              <w:rPr>
                <w:rFonts w:hint="eastAsia" w:ascii="宋体" w:eastAsia="宋体" w:cs="宋体"/>
                <w:color w:val="auto"/>
                <w:szCs w:val="21"/>
                <w:highlight w:val="none"/>
              </w:rPr>
              <w:t>五、其它及会后报告</w:t>
            </w:r>
          </w:p>
          <w:p>
            <w:pPr>
              <w:pStyle w:val="11"/>
              <w:rPr>
                <w:rFonts w:ascii="宋体" w:eastAsia="宋体" w:cs="宋体"/>
                <w:color w:val="auto"/>
                <w:szCs w:val="21"/>
                <w:highlight w:val="none"/>
              </w:rPr>
            </w:pPr>
            <w:r>
              <w:rPr>
                <w:rFonts w:hint="eastAsia" w:ascii="宋体" w:eastAsia="宋体" w:cs="宋体"/>
                <w:color w:val="auto"/>
                <w:szCs w:val="21"/>
                <w:highlight w:val="none"/>
              </w:rPr>
              <w:t>（1）在2023年11月15日前，提交入场服务设备压力测试及联调测试报告，对所有现场入场服务设备的运作情况、联动情况、数据提交准确性、服务人员培训考核情况、应急准备等事项明确报告；</w:t>
            </w:r>
          </w:p>
          <w:p>
            <w:pPr>
              <w:pStyle w:val="11"/>
              <w:rPr>
                <w:rFonts w:hint="eastAsia" w:ascii="宋体" w:eastAsia="宋体" w:cs="宋体"/>
                <w:color w:val="auto"/>
                <w:szCs w:val="21"/>
                <w:highlight w:val="none"/>
              </w:rPr>
            </w:pPr>
            <w:r>
              <w:rPr>
                <w:rFonts w:hint="eastAsia" w:ascii="宋体" w:eastAsia="宋体" w:cs="宋体"/>
                <w:color w:val="auto"/>
                <w:szCs w:val="21"/>
                <w:highlight w:val="none"/>
              </w:rPr>
              <w:t>（2）会期报告要求在每日19:00前向招标人提供：其中入场服务报告内容需包含流量统计、人数统计、人次统计等数据，应按时间段、门禁区域、票证类型分类统计；现场观众服务报告应包括各服务点的工作量、信息采集明细、</w:t>
            </w:r>
            <w:r>
              <w:rPr>
                <w:rFonts w:hint="eastAsia" w:ascii="宋体" w:eastAsia="宋体" w:cs="宋体"/>
                <w:color w:val="auto"/>
                <w:szCs w:val="21"/>
                <w:highlight w:val="none"/>
                <w:lang w:eastAsia="zh-CN"/>
              </w:rPr>
              <w:t>原始数据记录、</w:t>
            </w:r>
            <w:r>
              <w:rPr>
                <w:rFonts w:hint="eastAsia" w:ascii="宋体" w:eastAsia="宋体" w:cs="宋体"/>
                <w:color w:val="auto"/>
                <w:szCs w:val="21"/>
                <w:highlight w:val="none"/>
              </w:rPr>
              <w:t>物资库存等数据；</w:t>
            </w:r>
          </w:p>
          <w:p>
            <w:pPr>
              <w:pStyle w:val="11"/>
              <w:rPr>
                <w:rFonts w:ascii="宋体" w:eastAsia="宋体" w:cs="宋体"/>
                <w:color w:val="auto"/>
                <w:szCs w:val="21"/>
                <w:highlight w:val="none"/>
              </w:rPr>
            </w:pPr>
            <w:r>
              <w:rPr>
                <w:rFonts w:hint="eastAsia" w:ascii="宋体" w:eastAsia="宋体" w:cs="宋体"/>
                <w:color w:val="auto"/>
                <w:szCs w:val="21"/>
                <w:highlight w:val="none"/>
              </w:rPr>
              <w:t>（3）展会结束后，须出具本项目分析报告，要求11月30日前提供，包含但不限于门禁服务情况陈述与分析、票证入场情况陈述与分析、现场服务及办证情况陈述与分析、证件制作及分发情况陈述与分析、特殊及急应事件的描述与处理结果、对大会今后的建议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eastAsia="宋体" w:cs="宋体"/>
                <w:lang w:eastAsia="zh-CN"/>
              </w:rPr>
            </w:pPr>
            <w:r>
              <w:rPr>
                <w:rFonts w:hint="eastAsia" w:ascii="宋体" w:hAnsi="宋体" w:eastAsia="宋体" w:cs="宋体"/>
                <w:szCs w:val="21"/>
              </w:rPr>
              <w:t>包括但不限于项目的软硬件设备设施配置</w:t>
            </w:r>
            <w:r>
              <w:rPr>
                <w:rFonts w:hint="eastAsia" w:ascii="宋体" w:eastAsia="宋体" w:cs="宋体"/>
                <w:szCs w:val="21"/>
                <w:lang w:eastAsia="zh-CN"/>
              </w:rPr>
              <w:t>（参数、功能描述、照片或视频）</w:t>
            </w:r>
            <w:r>
              <w:rPr>
                <w:rFonts w:hint="eastAsia" w:ascii="宋体" w:hAnsi="宋体" w:eastAsia="宋体" w:cs="宋体"/>
                <w:szCs w:val="21"/>
              </w:rPr>
              <w:t>、项目负责人与技术支持人员名单、项目实施进度安排、项目服务流程、岗位设置及人员数量分布安排表、现场工作制度、物资管理、技术应急方案、现场管理应急预案、服务承诺等内容。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1"/>
                <w:numId w:val="0"/>
              </w:numPr>
              <w:rPr>
                <w:rFonts w:hint="eastAsia" w:ascii="宋体" w:hAnsi="宋体" w:eastAsia="宋体" w:cs="宋体"/>
                <w:szCs w:val="21"/>
              </w:rPr>
            </w:pPr>
            <w:r>
              <w:rPr>
                <w:rFonts w:hint="eastAsia" w:ascii="宋体" w:eastAsia="宋体" w:cs="宋体"/>
                <w:szCs w:val="21"/>
                <w:lang w:eastAsia="zh-CN"/>
              </w:rPr>
              <w:t>（</w:t>
            </w:r>
            <w:r>
              <w:rPr>
                <w:rFonts w:hint="eastAsia" w:ascii="宋体" w:eastAsia="宋体" w:cs="宋体"/>
                <w:szCs w:val="21"/>
                <w:lang w:val="en-US" w:eastAsia="zh-CN"/>
              </w:rPr>
              <w:t>1）</w:t>
            </w:r>
            <w:r>
              <w:rPr>
                <w:rFonts w:hint="eastAsia" w:ascii="宋体" w:hAnsi="宋体" w:eastAsia="宋体" w:cs="宋体"/>
                <w:szCs w:val="21"/>
              </w:rPr>
              <w:t>须与大会签订相应安全责任书。</w:t>
            </w:r>
          </w:p>
          <w:p>
            <w:pPr>
              <w:pStyle w:val="11"/>
              <w:numPr>
                <w:ilvl w:val="-1"/>
                <w:numId w:val="0"/>
              </w:numPr>
              <w:rPr>
                <w:rFonts w:hint="eastAsia" w:ascii="宋体" w:hAnsi="宋体"/>
                <w:szCs w:val="21"/>
                <w:lang w:val="en-US" w:eastAsia="zh-CN"/>
              </w:rPr>
            </w:pPr>
            <w:r>
              <w:rPr>
                <w:rFonts w:hint="eastAsia" w:ascii="宋体" w:eastAsia="宋体" w:cs="宋体"/>
                <w:szCs w:val="21"/>
                <w:lang w:eastAsia="zh-CN"/>
              </w:rPr>
              <w:t>（</w:t>
            </w:r>
            <w:r>
              <w:rPr>
                <w:rFonts w:hint="eastAsia" w:ascii="宋体" w:eastAsia="宋体" w:cs="宋体"/>
                <w:szCs w:val="21"/>
                <w:lang w:val="en-US" w:eastAsia="zh-CN"/>
              </w:rPr>
              <w:t>2）</w:t>
            </w:r>
            <w:r>
              <w:rPr>
                <w:rFonts w:hint="eastAsia" w:ascii="宋体" w:hAnsi="宋体" w:eastAsia="宋体" w:cs="宋体"/>
                <w:szCs w:val="21"/>
              </w:rPr>
              <w:t>建立安全责任制，进入现场的工作人员须遵守国家、属地政府及深圳会展中心的相关法律法规和规章制度，采取有效的措施保障现场的安全、维护现场的正常工作秩序，在服务过程中要做好人员、成品、半成品及设备设施的保护，确保服务过程中不出现人身安全事故、火灾事故、物资遗失和财产损失等重大安全事故。如因</w:t>
            </w:r>
            <w:r>
              <w:rPr>
                <w:rFonts w:hint="eastAsia" w:ascii="宋体" w:eastAsia="宋体" w:cs="宋体"/>
                <w:szCs w:val="21"/>
                <w:lang w:val="en-US" w:eastAsia="zh-CN"/>
              </w:rPr>
              <w:t>投标人</w:t>
            </w:r>
            <w:r>
              <w:rPr>
                <w:rFonts w:hint="eastAsia" w:ascii="宋体" w:hAnsi="宋体" w:eastAsia="宋体" w:cs="宋体"/>
                <w:szCs w:val="21"/>
              </w:rPr>
              <w:t>管理不善、组织不力或监管缺失等造成安全责任事故及财产损失的，由</w:t>
            </w:r>
            <w:r>
              <w:rPr>
                <w:rFonts w:hint="eastAsia" w:ascii="宋体" w:eastAsia="宋体" w:cs="宋体"/>
                <w:szCs w:val="21"/>
                <w:lang w:val="en-US" w:eastAsia="zh-CN"/>
              </w:rPr>
              <w:t>投标人</w:t>
            </w:r>
            <w:r>
              <w:rPr>
                <w:rFonts w:hint="eastAsia" w:ascii="宋体" w:hAnsi="宋体" w:eastAsia="宋体" w:cs="宋体"/>
                <w:szCs w:val="21"/>
              </w:rPr>
              <w:t>自行承担全部责任。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jc w:val="left"/>
        <w:outlineLvl w:val="1"/>
        <w:rPr>
          <w:rFonts w:ascii="宋体" w:hAnsi="宋体"/>
          <w:b/>
          <w:szCs w:val="21"/>
        </w:rPr>
      </w:pPr>
      <w:bookmarkStart w:id="38" w:name="_Toc82591996"/>
      <w:bookmarkEnd w:id="38"/>
      <w:bookmarkStart w:id="39" w:name="_Toc82684600"/>
      <w:bookmarkEnd w:id="39"/>
      <w:bookmarkStart w:id="40" w:name="_Toc82684715"/>
      <w:bookmarkEnd w:id="40"/>
      <w:bookmarkStart w:id="41" w:name="_Toc82685552"/>
      <w:bookmarkEnd w:id="41"/>
      <w:bookmarkStart w:id="42" w:name="_Toc116550349"/>
      <w:r>
        <w:rPr>
          <w:rFonts w:hint="eastAsia" w:ascii="宋体" w:hAnsi="宋体"/>
          <w:b/>
          <w:szCs w:val="21"/>
        </w:rPr>
        <w:t>其他项目说明资料</w:t>
      </w:r>
      <w:bookmarkEnd w:id="42"/>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rFonts w:hint="eastAsia" w:eastAsia="宋体"/>
          <w:color w:val="FF0000"/>
          <w:highlight w:val="yellow"/>
          <w:lang w:eastAsia="zh-CN"/>
        </w:rPr>
      </w:pPr>
      <w:r>
        <w:rPr>
          <w:rFonts w:hint="eastAsia"/>
          <w:color w:val="FF0000"/>
          <w:highlight w:val="yellow"/>
          <w:lang w:val="en-US" w:eastAsia="zh-CN"/>
        </w:rPr>
        <w:t>无</w:t>
      </w: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2"/>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highlight w:val="none"/>
        </w:rPr>
      </w:pPr>
      <w:r>
        <w:rPr>
          <w:rFonts w:hint="eastAsia" w:ascii="宋体" w:hAnsi="宋体"/>
          <w:szCs w:val="21"/>
        </w:rPr>
        <w:t>首</w:t>
      </w:r>
      <w:r>
        <w:rPr>
          <w:rFonts w:hint="eastAsia" w:ascii="宋体" w:hAnsi="宋体"/>
          <w:szCs w:val="21"/>
          <w:highlight w:val="none"/>
        </w:rPr>
        <w:t>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highlight w:val="none"/>
              </w:rPr>
            </w:pPr>
            <w:r>
              <w:rPr>
                <w:rFonts w:hint="eastAsia" w:ascii="宋体" w:hAnsi="宋体" w:cs="仿宋"/>
                <w:b/>
                <w:bCs/>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权重名称</w:t>
            </w:r>
          </w:p>
        </w:tc>
        <w:tc>
          <w:tcPr>
            <w:tcW w:w="2130"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商务标权重</w:t>
            </w:r>
          </w:p>
        </w:tc>
        <w:tc>
          <w:tcPr>
            <w:tcW w:w="2131"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技术标权重</w:t>
            </w:r>
          </w:p>
        </w:tc>
        <w:tc>
          <w:tcPr>
            <w:tcW w:w="2585"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权重</w:t>
            </w:r>
          </w:p>
        </w:tc>
        <w:tc>
          <w:tcPr>
            <w:tcW w:w="2130" w:type="dxa"/>
            <w:vAlign w:val="center"/>
          </w:tcPr>
          <w:p>
            <w:pPr>
              <w:autoSpaceDE w:val="0"/>
              <w:autoSpaceDN w:val="0"/>
              <w:adjustRightInd w:val="0"/>
              <w:snapToGrid w:val="0"/>
              <w:jc w:val="center"/>
              <w:rPr>
                <w:rFonts w:ascii="宋体" w:hAnsi="宋体"/>
                <w:szCs w:val="21"/>
                <w:highlight w:val="none"/>
              </w:rPr>
            </w:pPr>
            <w:r>
              <w:rPr>
                <w:rFonts w:hint="eastAsia" w:ascii="宋体" w:hAnsi="宋体"/>
                <w:color w:val="FF0000"/>
                <w:szCs w:val="21"/>
                <w:highlight w:val="none"/>
              </w:rPr>
              <w:t>2</w:t>
            </w:r>
            <w:r>
              <w:rPr>
                <w:rFonts w:hint="eastAsia" w:ascii="宋体" w:hAnsi="宋体"/>
                <w:color w:val="FF0000"/>
                <w:szCs w:val="21"/>
                <w:highlight w:val="none"/>
                <w:lang w:val="en-US" w:eastAsia="zh-CN"/>
              </w:rPr>
              <w:t>4</w:t>
            </w:r>
            <w:r>
              <w:rPr>
                <w:rFonts w:hint="eastAsia" w:ascii="宋体" w:hAnsi="宋体"/>
                <w:szCs w:val="21"/>
                <w:highlight w:val="none"/>
              </w:rPr>
              <w:t>%</w:t>
            </w:r>
          </w:p>
        </w:tc>
        <w:tc>
          <w:tcPr>
            <w:tcW w:w="2131" w:type="dxa"/>
            <w:vAlign w:val="center"/>
          </w:tcPr>
          <w:p>
            <w:pPr>
              <w:autoSpaceDE w:val="0"/>
              <w:autoSpaceDN w:val="0"/>
              <w:adjustRightInd w:val="0"/>
              <w:snapToGrid w:val="0"/>
              <w:jc w:val="center"/>
              <w:rPr>
                <w:rFonts w:ascii="宋体" w:hAnsi="宋体"/>
                <w:szCs w:val="21"/>
                <w:highlight w:val="none"/>
              </w:rPr>
            </w:pPr>
            <w:r>
              <w:rPr>
                <w:rFonts w:hint="eastAsia" w:ascii="宋体" w:hAnsi="宋体"/>
                <w:color w:val="FF0000"/>
                <w:szCs w:val="21"/>
                <w:highlight w:val="none"/>
                <w:lang w:val="en-US" w:eastAsia="zh-CN"/>
              </w:rPr>
              <w:t>36</w:t>
            </w:r>
            <w:r>
              <w:rPr>
                <w:rFonts w:hint="eastAsia" w:ascii="宋体" w:hAnsi="宋体"/>
                <w:szCs w:val="21"/>
                <w:highlight w:val="none"/>
              </w:rPr>
              <w:t>%</w:t>
            </w:r>
          </w:p>
        </w:tc>
        <w:tc>
          <w:tcPr>
            <w:tcW w:w="2585" w:type="dxa"/>
            <w:vAlign w:val="center"/>
          </w:tcPr>
          <w:p>
            <w:pPr>
              <w:autoSpaceDE w:val="0"/>
              <w:autoSpaceDN w:val="0"/>
              <w:adjustRightInd w:val="0"/>
              <w:snapToGrid w:val="0"/>
              <w:jc w:val="center"/>
              <w:rPr>
                <w:rFonts w:ascii="宋体" w:hAnsi="宋体"/>
                <w:szCs w:val="21"/>
                <w:highlight w:val="none"/>
              </w:rPr>
            </w:pPr>
            <w:r>
              <w:rPr>
                <w:rFonts w:hint="eastAsia" w:ascii="宋体" w:hAnsi="宋体"/>
                <w:color w:val="FF0000"/>
                <w:szCs w:val="21"/>
                <w:highlight w:val="none"/>
                <w:lang w:val="en-US" w:eastAsia="zh-CN"/>
              </w:rPr>
              <w:t>40</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highlight w:val="none"/>
              </w:rPr>
            </w:pPr>
            <w:r>
              <w:rPr>
                <w:rFonts w:hint="eastAsia" w:ascii="宋体" w:hAnsi="宋体"/>
                <w:sz w:val="21"/>
                <w:szCs w:val="21"/>
                <w:highlight w:val="none"/>
              </w:rPr>
              <w:t>投标人综合得分</w:t>
            </w:r>
          </w:p>
        </w:tc>
        <w:tc>
          <w:tcPr>
            <w:tcW w:w="6846" w:type="dxa"/>
            <w:gridSpan w:val="3"/>
            <w:vAlign w:val="center"/>
          </w:tcPr>
          <w:p>
            <w:pPr>
              <w:pStyle w:val="2"/>
              <w:spacing w:after="0" w:line="240" w:lineRule="auto"/>
              <w:jc w:val="center"/>
              <w:rPr>
                <w:sz w:val="21"/>
                <w:szCs w:val="21"/>
                <w:highlight w:val="none"/>
              </w:rPr>
            </w:pPr>
            <w:r>
              <w:rPr>
                <w:rFonts w:hint="eastAsia" w:ascii="宋体" w:hAnsi="宋体"/>
                <w:sz w:val="21"/>
                <w:szCs w:val="21"/>
                <w:highlight w:val="none"/>
              </w:rPr>
              <w:t>商务标得分+技术标得分+价格标得分=100</w:t>
            </w:r>
          </w:p>
        </w:tc>
      </w:tr>
    </w:tbl>
    <w:p>
      <w:pPr>
        <w:numPr>
          <w:ilvl w:val="0"/>
          <w:numId w:val="18"/>
        </w:numPr>
        <w:spacing w:beforeLines="50"/>
        <w:jc w:val="left"/>
        <w:outlineLvl w:val="2"/>
        <w:rPr>
          <w:rStyle w:val="29"/>
          <w:rFonts w:ascii="宋体" w:hAnsi="宋体"/>
          <w:b/>
          <w:szCs w:val="21"/>
          <w:highlight w:val="none"/>
        </w:rPr>
      </w:pPr>
      <w:bookmarkStart w:id="52" w:name="_Toc116550355"/>
      <w:r>
        <w:rPr>
          <w:rStyle w:val="29"/>
          <w:rFonts w:hint="eastAsia" w:ascii="宋体" w:hAnsi="宋体"/>
          <w:b/>
          <w:bCs/>
          <w:szCs w:val="21"/>
          <w:highlight w:val="none"/>
        </w:rPr>
        <w:t>符合性检查</w:t>
      </w:r>
      <w:bookmarkEnd w:id="52"/>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投标文件</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bCs/>
                <w:szCs w:val="21"/>
                <w:highlight w:val="none"/>
              </w:rPr>
              <w:t>投标人提交的投标文件是否按要求编制目录、加密；投标文件的加密密码按要求发送至招标人</w:t>
            </w:r>
            <w:r>
              <w:rPr>
                <w:rFonts w:ascii="宋体" w:hAnsi="宋体" w:cs="仿宋"/>
                <w:bCs/>
                <w:szCs w:val="21"/>
                <w:highlight w:val="none"/>
              </w:rPr>
              <w:t>且</w:t>
            </w:r>
            <w:r>
              <w:rPr>
                <w:rFonts w:hint="eastAsia" w:ascii="宋体" w:hAnsi="宋体" w:cs="仿宋"/>
                <w:bCs/>
                <w:szCs w:val="21"/>
                <w:highlight w:val="none"/>
              </w:rPr>
              <w:t>保证</w:t>
            </w:r>
            <w:r>
              <w:rPr>
                <w:rFonts w:ascii="宋体" w:hAnsi="宋体" w:cs="仿宋"/>
                <w:bCs/>
                <w:szCs w:val="21"/>
                <w:highlight w:val="none"/>
              </w:rPr>
              <w:t>文件完整可正常打开；</w:t>
            </w:r>
            <w:r>
              <w:rPr>
                <w:rFonts w:hint="eastAsia" w:ascii="宋体" w:hAnsi="宋体" w:cs="仿宋"/>
                <w:bCs/>
                <w:szCs w:val="21"/>
                <w:highlight w:val="none"/>
              </w:rPr>
              <w:t>投标人必须提供由法人代表或其书面授权人签署并加盖投标人公章的投标响应文件</w:t>
            </w:r>
            <w:r>
              <w:rPr>
                <w:rFonts w:hint="eastAsia" w:ascii="宋体" w:hAnsi="宋体" w:cs="仿宋"/>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资格证明文件</w:t>
            </w:r>
          </w:p>
        </w:tc>
        <w:tc>
          <w:tcPr>
            <w:tcW w:w="7635" w:type="dxa"/>
            <w:tcBorders>
              <w:tl2br w:val="nil"/>
              <w:tr2bl w:val="nil"/>
            </w:tcBorders>
            <w:vAlign w:val="center"/>
          </w:tcPr>
          <w:p>
            <w:pPr>
              <w:numPr>
                <w:ilvl w:val="0"/>
                <w:numId w:val="0"/>
              </w:numPr>
              <w:tabs>
                <w:tab w:val="left" w:pos="531"/>
              </w:tabs>
              <w:snapToGrid w:val="0"/>
              <w:spacing w:line="240" w:lineRule="auto"/>
              <w:ind w:leftChars="0"/>
              <w:rPr>
                <w:rFonts w:ascii="宋体" w:hAnsi="宋体" w:cs="仿宋"/>
                <w:szCs w:val="21"/>
                <w:highlight w:val="none"/>
              </w:rPr>
            </w:pPr>
            <w:r>
              <w:rPr>
                <w:rFonts w:hint="eastAsia" w:ascii="宋体" w:hAnsi="宋体" w:cs="仿宋"/>
                <w:szCs w:val="21"/>
                <w:highlight w:val="none"/>
              </w:rPr>
              <w:t>投标人是否提供以下证明文件：</w:t>
            </w:r>
          </w:p>
          <w:p>
            <w:pPr>
              <w:numPr>
                <w:ilvl w:val="0"/>
                <w:numId w:val="19"/>
              </w:numPr>
              <w:tabs>
                <w:tab w:val="left" w:pos="531"/>
              </w:tabs>
              <w:snapToGrid w:val="0"/>
              <w:spacing w:line="240" w:lineRule="auto"/>
              <w:ind w:left="0" w:firstLine="0"/>
              <w:rPr>
                <w:rFonts w:ascii="宋体" w:hAnsi="宋体" w:cs="仿宋"/>
                <w:szCs w:val="21"/>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9"/>
              </w:numPr>
              <w:tabs>
                <w:tab w:val="left" w:pos="531"/>
              </w:tabs>
              <w:snapToGrid w:val="0"/>
              <w:spacing w:line="240" w:lineRule="auto"/>
              <w:ind w:left="0" w:firstLine="0"/>
              <w:rPr>
                <w:highlight w:val="none"/>
              </w:rPr>
            </w:pPr>
            <w:r>
              <w:rPr>
                <w:rFonts w:hint="eastAsia" w:ascii="宋体" w:hAnsi="宋体" w:cs="宋体"/>
                <w:color w:val="auto"/>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控制金额</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本项目报价是否高于</w:t>
            </w:r>
            <w:r>
              <w:rPr>
                <w:rFonts w:hint="eastAsia" w:ascii="宋体" w:hAnsi="宋体" w:cs="仿宋"/>
                <w:szCs w:val="21"/>
                <w:highlight w:val="none"/>
                <w:lang w:val="en-US" w:eastAsia="zh-CN"/>
              </w:rPr>
              <w:t>98</w:t>
            </w:r>
            <w:r>
              <w:rPr>
                <w:rFonts w:ascii="宋体" w:hAnsi="宋体" w:cs="仿宋"/>
                <w:szCs w:val="21"/>
                <w:highlight w:val="none"/>
              </w:rPr>
              <w:t>万元（含税）</w:t>
            </w:r>
            <w:r>
              <w:rPr>
                <w:rFonts w:hint="eastAsia" w:ascii="宋体" w:hAnsi="宋体" w:cs="仿宋"/>
                <w:szCs w:val="21"/>
                <w:highlight w:val="none"/>
              </w:rPr>
              <w:t>，超过上述控制金额的视为无效报价。</w:t>
            </w:r>
          </w:p>
        </w:tc>
      </w:tr>
    </w:tbl>
    <w:p>
      <w:pPr>
        <w:numPr>
          <w:ilvl w:val="0"/>
          <w:numId w:val="18"/>
        </w:numPr>
        <w:spacing w:beforeLines="50"/>
        <w:jc w:val="left"/>
        <w:outlineLvl w:val="2"/>
        <w:rPr>
          <w:rStyle w:val="29"/>
          <w:rFonts w:ascii="宋体" w:hAnsi="宋体"/>
          <w:b/>
          <w:bCs/>
          <w:szCs w:val="21"/>
          <w:highlight w:val="none"/>
        </w:rPr>
      </w:pPr>
      <w:bookmarkStart w:id="53" w:name="_Toc114675512"/>
      <w:bookmarkStart w:id="54" w:name="_Toc116550356"/>
      <w:r>
        <w:rPr>
          <w:rStyle w:val="29"/>
          <w:rFonts w:hint="eastAsia" w:ascii="宋体" w:hAnsi="宋体"/>
          <w:b/>
          <w:bCs/>
          <w:szCs w:val="21"/>
          <w:highlight w:val="none"/>
        </w:rPr>
        <w:t>不可偏离项检查</w:t>
      </w:r>
      <w:bookmarkEnd w:id="53"/>
      <w:bookmarkEnd w:id="54"/>
    </w:p>
    <w:p>
      <w:pPr>
        <w:pStyle w:val="2"/>
        <w:rPr>
          <w:rFonts w:ascii="宋体" w:hAnsi="宋体"/>
          <w:sz w:val="21"/>
          <w:szCs w:val="21"/>
        </w:rPr>
      </w:pPr>
      <w:r>
        <w:rPr>
          <w:rFonts w:hint="eastAsia" w:ascii="宋体" w:hAnsi="宋体"/>
          <w:sz w:val="21"/>
          <w:szCs w:val="21"/>
          <w:highlight w:val="none"/>
        </w:rPr>
        <w:t>检查内容详见第四条</w:t>
      </w:r>
      <w:r>
        <w:rPr>
          <w:rFonts w:hint="eastAsia" w:ascii="宋体" w:hAnsi="宋体"/>
          <w:sz w:val="21"/>
          <w:szCs w:val="21"/>
        </w:rPr>
        <w:t>《项目要求》之（一）《商务需求》、（二）技术/服务需求。</w:t>
      </w:r>
    </w:p>
    <w:p>
      <w:pPr>
        <w:numPr>
          <w:ilvl w:val="0"/>
          <w:numId w:val="18"/>
        </w:numPr>
        <w:spacing w:beforeLines="50"/>
        <w:jc w:val="left"/>
        <w:outlineLvl w:val="2"/>
      </w:pPr>
      <w:bookmarkStart w:id="55" w:name="_Toc114675513"/>
      <w:bookmarkStart w:id="56" w:name="_Toc116550357"/>
      <w:r>
        <w:rPr>
          <w:rStyle w:val="29"/>
          <w:rFonts w:hint="eastAsia" w:ascii="宋体" w:hAnsi="宋体"/>
          <w:b/>
          <w:bCs/>
          <w:szCs w:val="21"/>
        </w:rPr>
        <w:t>综合评议指标表</w:t>
      </w:r>
      <w:bookmarkEnd w:id="55"/>
      <w:bookmarkEnd w:id="56"/>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21"/>
              </w:numPr>
              <w:adjustRightInd/>
              <w:snapToGrid/>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近三年</w:t>
            </w:r>
            <w:r>
              <w:rPr>
                <w:rFonts w:hint="eastAsia" w:ascii="宋体" w:hAnsi="宋体"/>
                <w:color w:val="auto"/>
                <w:szCs w:val="21"/>
                <w:highlight w:val="none"/>
                <w:lang w:val="en-US" w:eastAsia="zh-CN"/>
              </w:rPr>
              <w:t>获得</w:t>
            </w:r>
            <w:r>
              <w:rPr>
                <w:rFonts w:hint="eastAsia" w:ascii="宋体" w:hAnsi="宋体"/>
                <w:color w:val="auto"/>
                <w:szCs w:val="21"/>
                <w:highlight w:val="none"/>
              </w:rPr>
              <w:t>高新企业证书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以证书颁发日期为准</w:t>
            </w:r>
            <w:r>
              <w:rPr>
                <w:rFonts w:hint="eastAsia" w:ascii="宋体" w:hAnsi="宋体"/>
                <w:color w:val="auto"/>
                <w:szCs w:val="21"/>
                <w:highlight w:val="none"/>
                <w:lang w:eastAsia="zh-CN"/>
              </w:rPr>
              <w:t>）</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numPr>
                <w:ilvl w:val="255"/>
                <w:numId w:val="0"/>
              </w:numPr>
              <w:tabs>
                <w:tab w:val="left" w:pos="360"/>
              </w:tabs>
              <w:adjustRightInd w:val="0"/>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投标人</w:t>
            </w:r>
            <w:r>
              <w:rPr>
                <w:rFonts w:hint="eastAsia" w:ascii="宋体" w:hAnsi="宋体"/>
                <w:color w:val="auto"/>
                <w:szCs w:val="21"/>
                <w:highlight w:val="none"/>
              </w:rPr>
              <w:t>持有有效的信息安全管理体系认证证书</w:t>
            </w:r>
            <w:r>
              <w:rPr>
                <w:rFonts w:hint="eastAsia" w:ascii="宋体" w:hAnsi="宋体"/>
                <w:color w:val="auto"/>
                <w:szCs w:val="21"/>
                <w:highlight w:val="none"/>
                <w:lang w:val="en-US" w:eastAsia="zh-CN"/>
              </w:rPr>
              <w:t>(</w:t>
            </w:r>
            <w:r>
              <w:rPr>
                <w:rFonts w:hint="eastAsia" w:ascii="宋体" w:hAnsi="宋体" w:eastAsia="宋体" w:cs="Times New Roman"/>
                <w:i w:val="0"/>
                <w:caps w:val="0"/>
                <w:color w:val="auto"/>
                <w:spacing w:val="0"/>
                <w:sz w:val="21"/>
                <w:szCs w:val="21"/>
                <w:highlight w:val="none"/>
                <w:shd w:val="clear" w:fill="auto"/>
              </w:rPr>
              <w:t>ISO/IEC 27000:2016</w:t>
            </w:r>
            <w:r>
              <w:rPr>
                <w:rFonts w:hint="eastAsia" w:ascii="宋体" w:hAnsi="宋体" w:eastAsia="宋体" w:cs="Times New Roman"/>
                <w:i w:val="0"/>
                <w:caps w:val="0"/>
                <w:color w:val="auto"/>
                <w:spacing w:val="0"/>
                <w:sz w:val="21"/>
                <w:szCs w:val="21"/>
                <w:highlight w:val="none"/>
                <w:shd w:val="clear" w:fill="auto"/>
                <w:lang w:val="en-US" w:eastAsia="zh-CN"/>
              </w:rPr>
              <w:t>或</w:t>
            </w:r>
            <w:r>
              <w:rPr>
                <w:rFonts w:hint="eastAsia" w:ascii="宋体" w:hAnsi="宋体" w:eastAsia="宋体" w:cs="Times New Roman"/>
                <w:i w:val="0"/>
                <w:caps w:val="0"/>
                <w:color w:val="auto"/>
                <w:spacing w:val="0"/>
                <w:sz w:val="21"/>
                <w:szCs w:val="21"/>
                <w:highlight w:val="none"/>
                <w:shd w:val="clear" w:fill="auto"/>
              </w:rPr>
              <w:t>GB/T 22080-2016</w:t>
            </w:r>
            <w:r>
              <w:rPr>
                <w:rFonts w:hint="eastAsia" w:ascii="宋体" w:hAnsi="宋体" w:cs="Times New Roman"/>
                <w:i w:val="0"/>
                <w:caps w:val="0"/>
                <w:color w:val="auto"/>
                <w:spacing w:val="0"/>
                <w:sz w:val="21"/>
                <w:szCs w:val="21"/>
                <w:highlight w:val="none"/>
                <w:shd w:val="clear"/>
                <w:lang w:eastAsia="zh-CN"/>
              </w:rPr>
              <w:t>）</w:t>
            </w:r>
            <w:r>
              <w:rPr>
                <w:rFonts w:hint="eastAsia" w:ascii="宋体" w:hAnsi="宋体"/>
                <w:color w:val="auto"/>
                <w:szCs w:val="21"/>
                <w:highlight w:val="none"/>
              </w:rPr>
              <w:t>，得2分。</w:t>
            </w:r>
          </w:p>
          <w:p>
            <w:pPr>
              <w:numPr>
                <w:ilvl w:val="255"/>
                <w:numId w:val="0"/>
              </w:numPr>
              <w:tabs>
                <w:tab w:val="left" w:pos="360"/>
              </w:tabs>
              <w:adjustRightInd w:val="0"/>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具有</w:t>
            </w:r>
            <w:r>
              <w:rPr>
                <w:rFonts w:hint="eastAsia" w:ascii="宋体" w:hAnsi="宋体"/>
                <w:color w:val="auto"/>
                <w:szCs w:val="21"/>
                <w:highlight w:val="none"/>
                <w:lang w:eastAsia="zh-CN"/>
              </w:rPr>
              <w:t>展会行业相关的</w:t>
            </w:r>
            <w:r>
              <w:rPr>
                <w:rFonts w:hint="eastAsia" w:ascii="宋体" w:hAnsi="宋体"/>
                <w:color w:val="auto"/>
                <w:szCs w:val="21"/>
                <w:highlight w:val="none"/>
              </w:rPr>
              <w:t>计算机软件著作权相关证书，得2分。</w:t>
            </w:r>
          </w:p>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w:t>
            </w:r>
            <w:r>
              <w:rPr>
                <w:rFonts w:hint="eastAsia" w:ascii="宋体" w:hAnsi="宋体"/>
                <w:color w:val="auto"/>
                <w:szCs w:val="21"/>
                <w:highlight w:val="none"/>
              </w:rPr>
              <w:t>提供证书扫描件件并加盖投标人公章，证书须在有效期内。未提供或其他情况的均不得分。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18分</w:t>
            </w:r>
          </w:p>
        </w:tc>
        <w:tc>
          <w:tcPr>
            <w:tcW w:w="6804" w:type="dxa"/>
            <w:gridSpan w:val="2"/>
            <w:tcBorders>
              <w:tl2br w:val="nil"/>
              <w:tr2bl w:val="nil"/>
            </w:tcBorders>
            <w:tcMar>
              <w:top w:w="15" w:type="dxa"/>
              <w:left w:w="15" w:type="dxa"/>
              <w:bottom w:w="15" w:type="dxa"/>
              <w:right w:w="15" w:type="dxa"/>
            </w:tcMar>
            <w:vAlign w:val="center"/>
          </w:tcPr>
          <w:p>
            <w:pPr>
              <w:adjustRightInd w:val="0"/>
              <w:snapToGrid w:val="0"/>
              <w:spacing w:line="276" w:lineRule="auto"/>
              <w:jc w:val="left"/>
              <w:rPr>
                <w:rFonts w:ascii="宋体" w:hAnsi="宋体"/>
                <w:color w:val="auto"/>
                <w:szCs w:val="21"/>
                <w:highlight w:val="none"/>
              </w:rPr>
            </w:pPr>
            <w:r>
              <w:rPr>
                <w:rFonts w:hint="eastAsia"/>
                <w:color w:val="auto"/>
                <w:highlight w:val="none"/>
              </w:rPr>
              <w:t>根据投标人自2022年</w:t>
            </w:r>
            <w:r>
              <w:rPr>
                <w:color w:val="auto"/>
                <w:highlight w:val="none"/>
              </w:rPr>
              <w:t>1</w:t>
            </w:r>
            <w:r>
              <w:rPr>
                <w:rFonts w:hint="eastAsia"/>
                <w:color w:val="auto"/>
                <w:highlight w:val="none"/>
              </w:rPr>
              <w:t>月1日至本项目招标公告发布之日期间</w:t>
            </w:r>
            <w:r>
              <w:rPr>
                <w:rFonts w:hint="eastAsia"/>
                <w:color w:val="auto"/>
                <w:highlight w:val="none"/>
                <w:lang w:eastAsia="zh-CN"/>
              </w:rPr>
              <w:t>（</w:t>
            </w:r>
            <w:r>
              <w:rPr>
                <w:rFonts w:hint="eastAsia"/>
                <w:color w:val="auto"/>
                <w:highlight w:val="none"/>
                <w:lang w:val="en-US" w:eastAsia="zh-CN"/>
              </w:rPr>
              <w:t>以合同签订时间为准</w:t>
            </w:r>
            <w:r>
              <w:rPr>
                <w:rFonts w:hint="eastAsia"/>
                <w:color w:val="auto"/>
                <w:highlight w:val="none"/>
                <w:lang w:eastAsia="zh-CN"/>
              </w:rPr>
              <w:t>）</w:t>
            </w:r>
            <w:r>
              <w:rPr>
                <w:rFonts w:hint="eastAsia"/>
                <w:color w:val="auto"/>
                <w:highlight w:val="none"/>
              </w:rPr>
              <w:t>所承接的展会类服务项目进行评议：</w:t>
            </w:r>
          </w:p>
          <w:p>
            <w:pPr>
              <w:numPr>
                <w:ilvl w:val="0"/>
                <w:numId w:val="22"/>
              </w:numPr>
              <w:tabs>
                <w:tab w:val="left" w:pos="360"/>
              </w:tabs>
              <w:adjustRightInd w:val="0"/>
              <w:snapToGrid w:val="0"/>
              <w:rPr>
                <w:rFonts w:ascii="宋体" w:hAnsi="宋体"/>
                <w:color w:val="auto"/>
                <w:szCs w:val="21"/>
                <w:highlight w:val="none"/>
              </w:rPr>
            </w:pPr>
            <w:r>
              <w:rPr>
                <w:rFonts w:hint="eastAsia" w:ascii="宋体" w:hAnsi="宋体"/>
                <w:color w:val="auto"/>
                <w:szCs w:val="21"/>
                <w:highlight w:val="none"/>
              </w:rPr>
              <w:t>为10万平方米及以上展会提供入场服务的，每个合同得</w:t>
            </w:r>
            <w:r>
              <w:rPr>
                <w:rFonts w:hint="eastAsia" w:ascii="宋体" w:hAnsi="宋体"/>
                <w:color w:val="auto"/>
                <w:szCs w:val="21"/>
                <w:highlight w:val="none"/>
                <w:lang w:val="en-US" w:eastAsia="zh-CN"/>
              </w:rPr>
              <w:t>3</w:t>
            </w:r>
            <w:r>
              <w:rPr>
                <w:rFonts w:hint="eastAsia" w:ascii="宋体" w:hAnsi="宋体"/>
                <w:color w:val="auto"/>
                <w:szCs w:val="21"/>
                <w:highlight w:val="none"/>
              </w:rPr>
              <w:t>分，最高分</w:t>
            </w:r>
            <w:r>
              <w:rPr>
                <w:rFonts w:hint="eastAsia" w:ascii="宋体" w:hAnsi="宋体"/>
                <w:color w:val="auto"/>
                <w:szCs w:val="21"/>
                <w:highlight w:val="none"/>
                <w:lang w:val="en-US" w:eastAsia="zh-CN"/>
              </w:rPr>
              <w:t>9</w:t>
            </w:r>
            <w:r>
              <w:rPr>
                <w:rFonts w:hint="eastAsia" w:ascii="宋体" w:hAnsi="宋体"/>
                <w:color w:val="auto"/>
                <w:szCs w:val="21"/>
                <w:highlight w:val="none"/>
              </w:rPr>
              <w:t>分；</w:t>
            </w:r>
          </w:p>
          <w:p>
            <w:pPr>
              <w:numPr>
                <w:ilvl w:val="0"/>
                <w:numId w:val="22"/>
              </w:numPr>
              <w:tabs>
                <w:tab w:val="left" w:pos="360"/>
              </w:tabs>
              <w:adjustRightInd w:val="0"/>
              <w:snapToGrid w:val="0"/>
              <w:rPr>
                <w:rFonts w:ascii="宋体" w:hAnsi="宋体"/>
                <w:color w:val="auto"/>
                <w:szCs w:val="21"/>
                <w:highlight w:val="none"/>
              </w:rPr>
            </w:pPr>
            <w:r>
              <w:rPr>
                <w:rFonts w:hint="eastAsia" w:ascii="宋体" w:hAnsi="宋体"/>
                <w:color w:val="auto"/>
                <w:szCs w:val="21"/>
                <w:highlight w:val="none"/>
              </w:rPr>
              <w:t>为10万平方米及以上展会提供入场服务中有使用人脸识别</w:t>
            </w:r>
            <w:r>
              <w:rPr>
                <w:rFonts w:hint="eastAsia" w:ascii="宋体" w:hAnsi="宋体"/>
                <w:color w:val="auto"/>
                <w:szCs w:val="21"/>
                <w:highlight w:val="none"/>
                <w:lang w:eastAsia="zh-CN"/>
              </w:rPr>
              <w:t>系统</w:t>
            </w:r>
            <w:r>
              <w:rPr>
                <w:rFonts w:hint="eastAsia" w:ascii="宋体" w:hAnsi="宋体"/>
                <w:color w:val="auto"/>
                <w:szCs w:val="21"/>
                <w:highlight w:val="none"/>
              </w:rPr>
              <w:t>入场的，每个合同得</w:t>
            </w:r>
            <w:r>
              <w:rPr>
                <w:rFonts w:hint="eastAsia" w:ascii="宋体" w:hAnsi="宋体"/>
                <w:color w:val="auto"/>
                <w:szCs w:val="21"/>
                <w:highlight w:val="none"/>
                <w:lang w:val="en-US" w:eastAsia="zh-CN"/>
              </w:rPr>
              <w:t>2</w:t>
            </w:r>
            <w:r>
              <w:rPr>
                <w:rFonts w:hint="eastAsia" w:ascii="宋体" w:hAnsi="宋体"/>
                <w:color w:val="auto"/>
                <w:szCs w:val="21"/>
                <w:highlight w:val="none"/>
              </w:rPr>
              <w:t>分，最高分</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numPr>
                <w:ilvl w:val="0"/>
                <w:numId w:val="22"/>
              </w:numPr>
              <w:tabs>
                <w:tab w:val="left" w:pos="360"/>
              </w:tabs>
              <w:adjustRightInd w:val="0"/>
              <w:snapToGrid w:val="0"/>
              <w:ind w:left="425" w:hanging="425"/>
              <w:rPr>
                <w:rFonts w:ascii="宋体" w:hAnsi="宋体"/>
                <w:color w:val="auto"/>
                <w:szCs w:val="21"/>
                <w:highlight w:val="none"/>
              </w:rPr>
            </w:pPr>
            <w:r>
              <w:rPr>
                <w:rFonts w:hint="eastAsia" w:ascii="宋体" w:hAnsi="宋体"/>
                <w:color w:val="auto"/>
                <w:szCs w:val="21"/>
                <w:highlight w:val="none"/>
              </w:rPr>
              <w:t>为10万平方米及以上展会中提供证件打印及制作数量超过10000张以上的，每个合同得1分，最高分</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numPr>
                <w:ilvl w:val="-1"/>
                <w:numId w:val="0"/>
              </w:numPr>
              <w:tabs>
                <w:tab w:val="left" w:pos="360"/>
              </w:tabs>
              <w:adjustRightInd w:val="0"/>
              <w:snapToGrid w:val="0"/>
              <w:ind w:left="0" w:firstLine="210" w:firstLineChars="100"/>
              <w:rPr>
                <w:rFonts w:ascii="宋体" w:hAnsi="宋体"/>
                <w:color w:val="auto"/>
                <w:szCs w:val="21"/>
                <w:highlight w:val="none"/>
              </w:rPr>
            </w:pPr>
            <w:r>
              <w:rPr>
                <w:rFonts w:hint="eastAsia" w:ascii="宋体" w:hAnsi="宋体"/>
                <w:color w:val="auto"/>
                <w:szCs w:val="21"/>
                <w:highlight w:val="none"/>
              </w:rPr>
              <w:t>本项最高得18分。</w:t>
            </w:r>
          </w:p>
          <w:p>
            <w:pPr>
              <w:snapToGrid w:val="0"/>
              <w:rPr>
                <w:rFonts w:ascii="宋体" w:hAnsi="宋体"/>
                <w:color w:val="auto"/>
                <w:szCs w:val="21"/>
                <w:highlight w:val="none"/>
              </w:rPr>
            </w:pPr>
            <w:r>
              <w:rPr>
                <w:rFonts w:hint="eastAsia" w:ascii="宋体" w:hAnsi="宋体"/>
                <w:color w:val="auto"/>
                <w:szCs w:val="21"/>
                <w:highlight w:val="none"/>
              </w:rPr>
              <w:t>备注：本评分项（1）、（2）、（3）项业绩可累计得分。提供案例合同关键页加盖</w:t>
            </w:r>
            <w:r>
              <w:rPr>
                <w:rFonts w:hint="eastAsia" w:ascii="宋体" w:hAnsi="宋体"/>
                <w:color w:val="auto"/>
                <w:szCs w:val="21"/>
                <w:highlight w:val="none"/>
                <w:lang w:eastAsia="zh-CN"/>
              </w:rPr>
              <w:t>投标人</w:t>
            </w:r>
            <w:r>
              <w:rPr>
                <w:rFonts w:hint="eastAsia" w:ascii="宋体" w:hAnsi="宋体"/>
                <w:color w:val="auto"/>
                <w:szCs w:val="21"/>
                <w:highlight w:val="none"/>
              </w:rPr>
              <w:t>公章，合同关键页包含但不限于项目名称、业主方名称、合同主要内容、签订时间、履约地点、甲乙双方盖章等信息。合同内不体现规模的可提供展会官方报道规模或其他可信证明（以评委意见为准）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color w:val="auto"/>
                <w:szCs w:val="21"/>
                <w:highlight w:val="none"/>
                <w:lang w:val="en-US" w:eastAsia="zh-CN"/>
              </w:rPr>
              <w:t>36</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硬件条件</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28"/>
              <w:jc w:val="left"/>
              <w:rPr>
                <w:rFonts w:ascii="宋体" w:hAnsi="宋体" w:cs="宋体"/>
                <w:color w:val="auto"/>
                <w:highlight w:val="none"/>
              </w:rPr>
            </w:pPr>
            <w:r>
              <w:rPr>
                <w:rFonts w:hint="eastAsia" w:ascii="宋体" w:hAnsi="宋体"/>
                <w:color w:val="auto"/>
                <w:szCs w:val="21"/>
                <w:highlight w:val="none"/>
              </w:rPr>
              <w:t>提供的硬件设备（闸机及入场相关设备、自助打印设备、现场服务设备等）在完全满足项目要求的基础上，依据所提供设备的通行速度、灵敏度、稳定性等横向比较；优8分、良5分、</w:t>
            </w:r>
            <w:r>
              <w:rPr>
                <w:rFonts w:hint="eastAsia" w:ascii="宋体" w:hAnsi="宋体" w:cs="宋体"/>
                <w:color w:val="auto"/>
                <w:highlight w:val="none"/>
              </w:rPr>
              <w:t>一般得</w:t>
            </w:r>
            <w:r>
              <w:rPr>
                <w:rFonts w:ascii="宋体" w:hAnsi="宋体" w:cs="宋体"/>
                <w:color w:val="auto"/>
                <w:highlight w:val="none"/>
              </w:rPr>
              <w:t>3</w:t>
            </w:r>
            <w:r>
              <w:rPr>
                <w:rFonts w:hint="eastAsia" w:ascii="宋体" w:hAnsi="宋体" w:cs="宋体"/>
                <w:color w:val="auto"/>
                <w:highlight w:val="none"/>
              </w:rPr>
              <w:t>分，差得0分</w:t>
            </w:r>
          </w:p>
          <w:p>
            <w:pPr>
              <w:widowControl/>
              <w:spacing w:line="240" w:lineRule="auto"/>
              <w:ind w:right="28"/>
              <w:jc w:val="left"/>
              <w:rPr>
                <w:rFonts w:ascii="宋体" w:hAnsi="宋体" w:cs="宋体"/>
                <w:color w:val="auto"/>
                <w:kern w:val="0"/>
                <w:szCs w:val="21"/>
                <w:highlight w:val="none"/>
              </w:rPr>
            </w:pPr>
            <w:r>
              <w:rPr>
                <w:rFonts w:hint="eastAsia" w:ascii="宋体" w:hAnsi="宋体" w:cs="宋体"/>
                <w:color w:val="auto"/>
                <w:highlight w:val="none"/>
              </w:rPr>
              <w:t>注：</w:t>
            </w:r>
            <w:r>
              <w:rPr>
                <w:rFonts w:hint="eastAsia" w:ascii="宋体" w:hAnsi="宋体" w:cs="宋体"/>
                <w:color w:val="auto"/>
                <w:highlight w:val="none"/>
                <w:lang w:eastAsia="zh-CN"/>
              </w:rPr>
              <w:t>投标人</w:t>
            </w:r>
            <w:r>
              <w:rPr>
                <w:rFonts w:hint="eastAsia" w:ascii="宋体" w:hAnsi="宋体" w:cs="宋体"/>
                <w:color w:val="auto"/>
                <w:highlight w:val="none"/>
              </w:rPr>
              <w:t>需列明，所提供设备的</w:t>
            </w:r>
            <w:r>
              <w:rPr>
                <w:rFonts w:hint="eastAsia" w:ascii="宋体" w:hAnsi="宋体"/>
                <w:color w:val="auto"/>
                <w:szCs w:val="21"/>
                <w:highlight w:val="none"/>
              </w:rPr>
              <w:t>通行速度、灵敏度等相关参数作为评判的依据，</w:t>
            </w:r>
            <w:r>
              <w:rPr>
                <w:rFonts w:hint="eastAsia"/>
                <w:color w:val="auto"/>
                <w:highlight w:val="none"/>
              </w:rPr>
              <w:t>未提供相关证明的不得分</w:t>
            </w:r>
            <w:r>
              <w:rPr>
                <w:rFonts w:hint="eastAsia" w:ascii="宋体" w:hAnsi="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项目负责人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tabs>
                <w:tab w:val="left" w:pos="360"/>
              </w:tabs>
              <w:adjustRightInd w:val="0"/>
              <w:snapToGrid w:val="0"/>
              <w:rPr>
                <w:color w:val="auto"/>
                <w:highlight w:val="none"/>
              </w:rPr>
            </w:pPr>
            <w:r>
              <w:rPr>
                <w:rFonts w:hint="eastAsia"/>
                <w:color w:val="auto"/>
                <w:highlight w:val="none"/>
                <w:lang w:eastAsia="zh-CN"/>
              </w:rPr>
              <w:t>投标人</w:t>
            </w:r>
            <w:r>
              <w:rPr>
                <w:rFonts w:hint="eastAsia"/>
                <w:color w:val="auto"/>
                <w:highlight w:val="none"/>
              </w:rPr>
              <w:t>拟派出本项目负责人管理10万平方米（含）以上大型展会业绩横向比较，越多得分越高（提供拟投入本项目负责人的简历、业绩清单并加盖投标人公章，业绩清单需体现展会展览面积），数量最多的为</w:t>
            </w:r>
            <w:r>
              <w:rPr>
                <w:rFonts w:hint="eastAsia"/>
                <w:color w:val="auto"/>
                <w:highlight w:val="none"/>
                <w:lang w:val="en-US" w:eastAsia="zh-CN"/>
              </w:rPr>
              <w:t>2分，其他</w:t>
            </w:r>
            <w:r>
              <w:rPr>
                <w:rFonts w:hint="eastAsia" w:ascii="宋体" w:hAnsi="宋体" w:cs="宋体"/>
                <w:color w:val="auto"/>
                <w:highlight w:val="none"/>
              </w:rPr>
              <w:t>得1分，</w:t>
            </w:r>
            <w:r>
              <w:rPr>
                <w:rFonts w:hint="eastAsia" w:ascii="宋体" w:hAnsi="宋体" w:cs="宋体"/>
                <w:color w:val="auto"/>
                <w:highlight w:val="none"/>
                <w:lang w:eastAsia="zh-CN"/>
              </w:rPr>
              <w:t>无不得分</w:t>
            </w:r>
            <w:r>
              <w:rPr>
                <w:rFonts w:hint="eastAsia"/>
                <w:color w:val="auto"/>
                <w:highlight w:val="none"/>
              </w:rPr>
              <w:t>。</w:t>
            </w:r>
          </w:p>
          <w:p>
            <w:pPr>
              <w:widowControl/>
              <w:spacing w:line="240" w:lineRule="auto"/>
              <w:ind w:right="0"/>
              <w:jc w:val="left"/>
              <w:rPr>
                <w:rFonts w:ascii="宋体" w:hAnsi="宋体" w:cs="宋体"/>
                <w:color w:val="auto"/>
                <w:kern w:val="0"/>
                <w:szCs w:val="21"/>
                <w:highlight w:val="none"/>
              </w:rPr>
            </w:pPr>
            <w:r>
              <w:rPr>
                <w:rFonts w:hint="eastAsia"/>
                <w:color w:val="auto"/>
                <w:highlight w:val="none"/>
              </w:rPr>
              <w:t>说明：提供以上合同关键页，合同关键页包含但不限于项目名称、业主方名称、项目负责人名字、合同主要内容、签订时间、履约地点、甲乙双方盖章等信息。合同内不体现展会规模的可提供展会官方报道规模或其他可信证明（以评委意见为准）并加盖公章。所提供的业绩资料不清晰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服务团队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adjustRightInd w:val="0"/>
              <w:snapToGrid w:val="0"/>
              <w:ind w:left="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rPr>
              <w:t>根据驻场技术人员</w:t>
            </w:r>
            <w:r>
              <w:rPr>
                <w:rFonts w:hint="eastAsia" w:ascii="宋体" w:hAnsi="宋体"/>
                <w:color w:val="auto"/>
                <w:szCs w:val="21"/>
                <w:highlight w:val="none"/>
                <w:lang w:val="en-US" w:eastAsia="zh-CN"/>
              </w:rPr>
              <w:t>相关工作经验水平</w:t>
            </w:r>
            <w:r>
              <w:rPr>
                <w:rFonts w:hint="eastAsia" w:ascii="宋体" w:hAnsi="宋体"/>
                <w:color w:val="auto"/>
                <w:szCs w:val="21"/>
                <w:highlight w:val="none"/>
              </w:rPr>
              <w:t>进行评分，提供拟派出技术人员简历，简历中需体现与人脸识别入场、证件自助打印等技术相关的</w:t>
            </w:r>
            <w:r>
              <w:rPr>
                <w:rFonts w:hint="eastAsia" w:ascii="宋体" w:hAnsi="宋体"/>
                <w:color w:val="auto"/>
                <w:szCs w:val="21"/>
                <w:highlight w:val="none"/>
                <w:lang w:eastAsia="zh-CN"/>
              </w:rPr>
              <w:t>资质、</w:t>
            </w:r>
            <w:r>
              <w:rPr>
                <w:rFonts w:hint="eastAsia" w:ascii="宋体" w:hAnsi="宋体"/>
                <w:color w:val="auto"/>
                <w:szCs w:val="21"/>
                <w:highlight w:val="none"/>
              </w:rPr>
              <w:t>过往业绩描述、业绩清单并加盖投标人公章，业绩清单需体现展会展览面积。优</w:t>
            </w:r>
            <w:r>
              <w:rPr>
                <w:rFonts w:hint="eastAsia" w:ascii="宋体" w:hAnsi="宋体"/>
                <w:color w:val="auto"/>
                <w:szCs w:val="21"/>
                <w:highlight w:val="none"/>
                <w:lang w:val="en-US" w:eastAsia="zh-CN"/>
              </w:rPr>
              <w:t>5</w:t>
            </w:r>
            <w:r>
              <w:rPr>
                <w:rFonts w:hint="eastAsia" w:ascii="宋体" w:hAnsi="宋体"/>
                <w:color w:val="auto"/>
                <w:szCs w:val="21"/>
                <w:highlight w:val="none"/>
              </w:rPr>
              <w:t>分、良</w:t>
            </w:r>
            <w:r>
              <w:rPr>
                <w:rFonts w:hint="eastAsia" w:ascii="宋体" w:hAnsi="宋体"/>
                <w:color w:val="auto"/>
                <w:szCs w:val="21"/>
                <w:highlight w:val="none"/>
                <w:lang w:val="en-US" w:eastAsia="zh-CN"/>
              </w:rPr>
              <w:t>3</w:t>
            </w:r>
            <w:r>
              <w:rPr>
                <w:rFonts w:hint="eastAsia" w:ascii="宋体" w:hAnsi="宋体"/>
                <w:color w:val="auto"/>
                <w:szCs w:val="21"/>
                <w:highlight w:val="none"/>
              </w:rPr>
              <w:t>分、一</w:t>
            </w:r>
            <w:r>
              <w:rPr>
                <w:rFonts w:hint="eastAsia" w:ascii="宋体" w:hAnsi="宋体" w:cs="Times New Roman"/>
                <w:color w:val="auto"/>
                <w:szCs w:val="21"/>
                <w:highlight w:val="none"/>
              </w:rPr>
              <w:t>般得</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分</w:t>
            </w:r>
            <w:r>
              <w:rPr>
                <w:rFonts w:hint="eastAsia" w:ascii="宋体" w:hAnsi="宋体"/>
                <w:color w:val="auto"/>
                <w:szCs w:val="21"/>
                <w:highlight w:val="none"/>
              </w:rPr>
              <w:t>。</w:t>
            </w:r>
          </w:p>
          <w:p>
            <w:pPr>
              <w:pStyle w:val="2"/>
              <w:adjustRightInd w:val="0"/>
              <w:snapToGrid w:val="0"/>
              <w:ind w:left="0"/>
              <w:rPr>
                <w:rFonts w:hint="eastAsia" w:ascii="宋体" w:hAnsi="宋体"/>
                <w:color w:val="auto"/>
                <w:szCs w:val="21"/>
                <w:highlight w:val="none"/>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eastAsia="宋体"/>
                <w:szCs w:val="21"/>
              </w:rPr>
              <w:t>根据团队分工配置情况进行评分，团队人员达到</w:t>
            </w:r>
            <w:r>
              <w:rPr>
                <w:rFonts w:hint="eastAsia" w:ascii="宋体" w:hAnsi="宋体"/>
                <w:szCs w:val="21"/>
                <w:lang w:val="en-US" w:eastAsia="zh-CN"/>
              </w:rPr>
              <w:t>8</w:t>
            </w:r>
            <w:r>
              <w:rPr>
                <w:rFonts w:hint="eastAsia" w:ascii="宋体" w:hAnsi="宋体" w:eastAsia="宋体"/>
                <w:szCs w:val="21"/>
              </w:rPr>
              <w:t>人（含项目经理）可得1分，每增加1人加1分，累计最高得</w:t>
            </w:r>
            <w:r>
              <w:rPr>
                <w:rFonts w:hint="eastAsia" w:ascii="宋体" w:hAnsi="宋体"/>
                <w:szCs w:val="21"/>
                <w:lang w:val="en-US" w:eastAsia="zh-CN"/>
              </w:rPr>
              <w:t>3</w:t>
            </w:r>
            <w:r>
              <w:rPr>
                <w:rFonts w:hint="eastAsia" w:ascii="宋体" w:hAnsi="宋体" w:eastAsia="宋体"/>
                <w:szCs w:val="21"/>
              </w:rPr>
              <w:t>分。须提供团队人员由投标人缴纳的相应社保清单做为证明。</w:t>
            </w:r>
          </w:p>
          <w:p>
            <w:pPr>
              <w:pStyle w:val="2"/>
              <w:widowControl/>
              <w:spacing w:line="360" w:lineRule="auto"/>
              <w:ind w:left="0" w:right="30"/>
              <w:jc w:val="left"/>
              <w:rPr>
                <w:rFonts w:ascii="宋体" w:hAnsi="宋体" w:cs="宋体"/>
                <w:color w:val="auto"/>
                <w:kern w:val="0"/>
                <w:szCs w:val="21"/>
                <w:highlight w:val="none"/>
              </w:rPr>
            </w:pPr>
            <w:r>
              <w:rPr>
                <w:rFonts w:hint="eastAsia" w:ascii="宋体" w:hAnsi="宋体"/>
                <w:szCs w:val="21"/>
              </w:rPr>
              <w:t>提供相关项目业绩证明、</w:t>
            </w:r>
            <w:r>
              <w:rPr>
                <w:rFonts w:hint="eastAsia" w:ascii="宋体" w:hAnsi="宋体"/>
                <w:szCs w:val="21"/>
                <w:lang w:eastAsia="zh-CN"/>
              </w:rPr>
              <w:t>合同关键页、</w:t>
            </w:r>
            <w:r>
              <w:rPr>
                <w:rFonts w:hint="eastAsia" w:ascii="宋体" w:hAnsi="宋体"/>
                <w:szCs w:val="21"/>
              </w:rPr>
              <w:t>团队配置与分工明细、人员简历、资质证书、社保清单等，并加盖参加单位公章。</w:t>
            </w:r>
            <w:r>
              <w:rPr>
                <w:rFonts w:hint="eastAsia" w:ascii="宋体" w:hAnsi="宋体"/>
                <w:szCs w:val="21"/>
                <w:lang w:bidi="ar"/>
              </w:rPr>
              <w:t>所提供资料不清晰或无法判定者不得分</w:t>
            </w:r>
            <w:r>
              <w:rPr>
                <w:rFonts w:hint="eastAsia" w:ascii="宋体" w:hAnsi="宋体"/>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10分</w:t>
            </w:r>
          </w:p>
        </w:tc>
        <w:tc>
          <w:tcPr>
            <w:tcW w:w="6804" w:type="dxa"/>
            <w:gridSpan w:val="2"/>
            <w:tcBorders>
              <w:tl2br w:val="nil"/>
              <w:tr2bl w:val="nil"/>
            </w:tcBorders>
            <w:tcMar>
              <w:top w:w="15" w:type="dxa"/>
              <w:left w:w="15" w:type="dxa"/>
              <w:bottom w:w="15" w:type="dxa"/>
              <w:right w:w="15" w:type="dxa"/>
            </w:tcMar>
            <w:vAlign w:val="center"/>
          </w:tcPr>
          <w:p>
            <w:pPr>
              <w:adjustRightInd/>
              <w:snapToGrid/>
              <w:rPr>
                <w:rFonts w:ascii="宋体" w:hAnsi="宋体"/>
                <w:color w:val="auto"/>
                <w:szCs w:val="21"/>
                <w:highlight w:val="none"/>
              </w:rPr>
            </w:pPr>
            <w:r>
              <w:rPr>
                <w:rFonts w:hint="eastAsia" w:ascii="宋体" w:hAnsi="宋体"/>
                <w:color w:val="auto"/>
                <w:szCs w:val="21"/>
                <w:highlight w:val="none"/>
              </w:rPr>
              <w:t>根据各投标方提供的服务方案进行综合比较，方案中包括但不限于软件系统的承载压力、易操作性、稳定性及智能化及岗位设置与调配、服务人员培训与管理、现场工作制度、保密与安全事项、现场服务流程、物资管理、统计报告等事务描述，服务方案越完善得分越高，优10分、良7分、</w:t>
            </w:r>
            <w:r>
              <w:rPr>
                <w:rFonts w:hint="eastAsia"/>
                <w:color w:val="auto"/>
                <w:highlight w:val="none"/>
              </w:rPr>
              <w:t>一</w:t>
            </w:r>
            <w:r>
              <w:rPr>
                <w:rFonts w:hint="eastAsia" w:ascii="宋体" w:hAnsi="宋体" w:cs="宋体"/>
                <w:color w:val="auto"/>
                <w:highlight w:val="none"/>
              </w:rPr>
              <w:t>般得5分，差得2分</w:t>
            </w:r>
            <w:r>
              <w:rPr>
                <w:rFonts w:hint="eastAsia"/>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olor w:val="auto"/>
                <w:szCs w:val="21"/>
                <w:highlight w:val="none"/>
              </w:rPr>
              <w:t>应急预案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color w:val="auto"/>
                <w:szCs w:val="21"/>
                <w:highlight w:val="none"/>
              </w:rPr>
            </w:pPr>
            <w:r>
              <w:rPr>
                <w:rFonts w:hint="eastAsia" w:ascii="宋体" w:hAnsi="宋体"/>
                <w:color w:val="auto"/>
                <w:szCs w:val="21"/>
                <w:highlight w:val="none"/>
              </w:rPr>
              <w:t>根据各投标方提供的应急预案进行综合比较，针对可能出现的群体事件、冲突、设备故障、安全事故等突发事件的应急预案，预案越详细、措施越周全，控制协调能力越强，得分越高，优</w:t>
            </w:r>
            <w:r>
              <w:rPr>
                <w:rFonts w:hint="eastAsia" w:ascii="宋体" w:hAnsi="宋体"/>
                <w:color w:val="auto"/>
                <w:szCs w:val="21"/>
                <w:highlight w:val="none"/>
                <w:lang w:val="en-US" w:eastAsia="zh-CN"/>
              </w:rPr>
              <w:t>8</w:t>
            </w:r>
            <w:r>
              <w:rPr>
                <w:rFonts w:hint="eastAsia" w:ascii="宋体" w:hAnsi="宋体"/>
                <w:color w:val="auto"/>
                <w:szCs w:val="21"/>
                <w:highlight w:val="none"/>
              </w:rPr>
              <w:t>分、良</w:t>
            </w:r>
            <w:r>
              <w:rPr>
                <w:rFonts w:hint="eastAsia" w:ascii="宋体" w:hAnsi="宋体"/>
                <w:color w:val="auto"/>
                <w:szCs w:val="21"/>
                <w:highlight w:val="none"/>
                <w:lang w:val="en-US" w:eastAsia="zh-CN"/>
              </w:rPr>
              <w:t>6</w:t>
            </w:r>
            <w:r>
              <w:rPr>
                <w:rFonts w:hint="eastAsia" w:ascii="宋体" w:hAnsi="宋体"/>
                <w:color w:val="auto"/>
                <w:szCs w:val="21"/>
                <w:highlight w:val="none"/>
              </w:rPr>
              <w:t>分、</w:t>
            </w:r>
            <w:r>
              <w:rPr>
                <w:rFonts w:hint="eastAsia"/>
                <w:color w:val="auto"/>
                <w:highlight w:val="none"/>
              </w:rPr>
              <w:t>一</w:t>
            </w:r>
            <w:r>
              <w:rPr>
                <w:rFonts w:hint="eastAsia" w:ascii="宋体" w:hAnsi="宋体" w:cs="宋体"/>
                <w:color w:val="auto"/>
                <w:highlight w:val="none"/>
              </w:rPr>
              <w:t>般得3分，差得0分</w:t>
            </w:r>
            <w:r>
              <w:rPr>
                <w:rFonts w:hint="eastAsia"/>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highlight w:val="none"/>
              </w:rPr>
            </w:pPr>
            <w:r>
              <w:rPr>
                <w:rFonts w:hint="eastAsia"/>
                <w:b/>
                <w:bCs/>
                <w:color w:val="auto"/>
                <w:highlight w:val="none"/>
              </w:rPr>
              <w:t>价格评议项（</w:t>
            </w:r>
            <w:r>
              <w:rPr>
                <w:rFonts w:hint="eastAsia"/>
                <w:b/>
                <w:bCs/>
                <w:color w:val="auto"/>
                <w:highlight w:val="none"/>
                <w:lang w:val="en-US" w:eastAsia="zh-CN"/>
              </w:rPr>
              <w:t>40</w:t>
            </w:r>
            <w:r>
              <w:rPr>
                <w:rFonts w:hint="eastAsia"/>
                <w:b/>
                <w:bCs/>
                <w:color w:val="auto"/>
                <w:highlight w:val="none"/>
              </w:rPr>
              <w:t>分）</w:t>
            </w:r>
          </w:p>
          <w:p>
            <w:pPr>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M=（价格评价分项满分值），N=，投标价格每高于N％时，扣分；每低于N％时，扣分；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价格得分=（1-A×｜1-投标报价/Z｜）×M</w:t>
            </w:r>
          </w:p>
          <w:p>
            <w:pPr>
              <w:numPr>
                <w:ilvl w:val="0"/>
                <w:numId w:val="24"/>
              </w:num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 xml:space="preserve">M= </w:t>
            </w:r>
            <w:r>
              <w:rPr>
                <w:rFonts w:hint="eastAsia" w:ascii="宋体" w:hAnsi="宋体"/>
                <w:color w:val="auto"/>
                <w:szCs w:val="21"/>
                <w:highlight w:val="none"/>
              </w:rPr>
              <w:t>×</w:t>
            </w:r>
            <w:r>
              <w:rPr>
                <w:rFonts w:hint="eastAsia" w:ascii="宋体" w:hAnsi="宋体"/>
                <w:color w:val="auto"/>
                <w:szCs w:val="21"/>
                <w:highlight w:val="none"/>
                <w:lang w:val="en-US" w:eastAsia="zh-CN"/>
              </w:rPr>
              <w:t>40</w:t>
            </w:r>
            <w:r>
              <w:rPr>
                <w:rStyle w:val="19"/>
                <w:rFonts w:hint="eastAsia" w:ascii="宋体" w:hAnsi="宋体"/>
                <w:color w:val="auto"/>
                <w:highlight w:val="none"/>
              </w:rPr>
              <w:t>（价格评价分项满分值），Z为本次招标基准价；</w:t>
            </w:r>
          </w:p>
          <w:p>
            <w:pPr>
              <w:numPr>
                <w:ilvl w:val="0"/>
                <w:numId w:val="24"/>
              </w:num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A为价格调整系数，当投标报价低于本次招标最佳报价（即基准价）时，A=0.5；当投标报价高于次招标基准价时，取A=1；</w:t>
            </w:r>
          </w:p>
          <w:p>
            <w:pPr>
              <w:numPr>
                <w:ilvl w:val="0"/>
                <w:numId w:val="24"/>
              </w:numPr>
              <w:jc w:val="left"/>
              <w:rPr>
                <w:rFonts w:ascii="宋体" w:cs="宋体"/>
                <w:color w:val="auto"/>
                <w:kern w:val="0"/>
                <w:szCs w:val="21"/>
                <w:highlight w:val="none"/>
              </w:rPr>
            </w:pPr>
            <w:r>
              <w:rPr>
                <w:rStyle w:val="1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spacing w:line="240" w:lineRule="atLeast"/>
              <w:jc w:val="center"/>
              <w:rPr>
                <w:rFonts w:ascii="宋体" w:cs="宋体"/>
                <w:color w:val="auto"/>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8"/>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2"/>
        <w:numPr>
          <w:ilvl w:val="1"/>
          <w:numId w:val="31"/>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2"/>
        <w:numPr>
          <w:ilvl w:val="0"/>
          <w:numId w:val="32"/>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2"/>
        <w:numPr>
          <w:ilvl w:val="0"/>
          <w:numId w:val="32"/>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2"/>
        <w:numPr>
          <w:ilvl w:val="1"/>
          <w:numId w:val="31"/>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2"/>
        <w:numPr>
          <w:ilvl w:val="0"/>
          <w:numId w:val="33"/>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2"/>
        <w:numPr>
          <w:ilvl w:val="0"/>
          <w:numId w:val="33"/>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2"/>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34"/>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4"/>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6"/>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8"/>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40"/>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40"/>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1"/>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1"/>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1"/>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42"/>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42"/>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6"/>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43"/>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116550363"/>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Cs/>
          <w:sz w:val="28"/>
          <w:szCs w:val="28"/>
          <w:highlight w:val="yellow"/>
        </w:rPr>
        <w:t>年月日指派专人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招标人现场踏勘负责人签字：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236803111"/>
      <w:bookmarkStart w:id="78" w:name="_Toc395883088"/>
      <w:bookmarkStart w:id="79" w:name="_Toc478387764"/>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 xml:space="preserve">币种：人民币         税率：%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 xml:space="preserve">币种：人民币         税率：%          单位：元 </w:t>
      </w:r>
    </w:p>
    <w:tbl>
      <w:tblPr>
        <w:tblStyle w:val="14"/>
        <w:tblpPr w:leftFromText="180" w:rightFromText="180" w:vertAnchor="text" w:horzAnchor="margin" w:tblpXSpec="center" w:tblpY="367"/>
        <w:tblW w:w="9777" w:type="dxa"/>
        <w:tblInd w:w="0" w:type="dxa"/>
        <w:tblLayout w:type="fixed"/>
        <w:tblCellMar>
          <w:top w:w="0" w:type="dxa"/>
          <w:left w:w="42" w:type="dxa"/>
          <w:bottom w:w="0" w:type="dxa"/>
          <w:right w:w="42" w:type="dxa"/>
        </w:tblCellMar>
      </w:tblPr>
      <w:tblGrid>
        <w:gridCol w:w="583"/>
        <w:gridCol w:w="1869"/>
        <w:gridCol w:w="1839"/>
        <w:gridCol w:w="900"/>
        <w:gridCol w:w="1035"/>
        <w:gridCol w:w="1896"/>
        <w:gridCol w:w="1655"/>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3708"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 w:hAnsi="仿宋" w:eastAsia="仿宋"/>
                <w:sz w:val="30"/>
                <w:szCs w:val="30"/>
              </w:rPr>
            </w:pPr>
            <w:r>
              <w:rPr>
                <w:rFonts w:hint="eastAsia" w:ascii="仿宋" w:hAnsi="仿宋" w:eastAsia="仿宋"/>
                <w:sz w:val="30"/>
                <w:szCs w:val="30"/>
              </w:rPr>
              <w:t>服务内容</w:t>
            </w:r>
          </w:p>
        </w:tc>
        <w:tc>
          <w:tcPr>
            <w:tcW w:w="90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035"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896"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总价（含税）</w:t>
            </w:r>
          </w:p>
        </w:tc>
        <w:tc>
          <w:tcPr>
            <w:tcW w:w="1655"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1</w:t>
            </w:r>
          </w:p>
        </w:tc>
        <w:tc>
          <w:tcPr>
            <w:tcW w:w="1869" w:type="dxa"/>
            <w:vMerge w:val="restart"/>
            <w:tcBorders>
              <w:top w:val="single" w:color="auto" w:sz="6" w:space="0"/>
              <w:left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门禁服务及设备</w:t>
            </w:r>
          </w:p>
        </w:tc>
        <w:tc>
          <w:tcPr>
            <w:tcW w:w="183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4"/>
              </w:rPr>
            </w:pPr>
            <w:r>
              <w:rPr>
                <w:rFonts w:hint="eastAsia" w:ascii="仿宋" w:hAnsi="仿宋" w:eastAsia="仿宋"/>
                <w:sz w:val="24"/>
              </w:rPr>
              <w:t>闸机通道</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62</w:t>
            </w: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p>
        </w:tc>
        <w:tc>
          <w:tcPr>
            <w:tcW w:w="1896"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4"/>
              </w:rPr>
            </w:pP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满足大会需求</w:t>
            </w:r>
          </w:p>
        </w:tc>
      </w:tr>
      <w:tr>
        <w:tblPrEx>
          <w:tblCellMar>
            <w:top w:w="0" w:type="dxa"/>
            <w:left w:w="42" w:type="dxa"/>
            <w:bottom w:w="0" w:type="dxa"/>
            <w:right w:w="42" w:type="dxa"/>
          </w:tblCellMar>
        </w:tblPrEx>
        <w:trPr>
          <w:cantSplit/>
          <w:trHeight w:val="552"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1869" w:type="dxa"/>
            <w:vMerge w:val="continue"/>
            <w:tcBorders>
              <w:left w:val="single" w:color="auto" w:sz="6" w:space="0"/>
              <w:bottom w:val="single" w:color="auto" w:sz="6" w:space="0"/>
              <w:right w:val="single" w:color="auto" w:sz="6" w:space="0"/>
            </w:tcBorders>
            <w:vAlign w:val="center"/>
          </w:tcPr>
          <w:p>
            <w:pPr>
              <w:rPr>
                <w:rFonts w:ascii="仿宋" w:hAnsi="仿宋" w:eastAsia="仿宋"/>
                <w:sz w:val="24"/>
              </w:rPr>
            </w:pPr>
          </w:p>
        </w:tc>
        <w:tc>
          <w:tcPr>
            <w:tcW w:w="183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4"/>
              </w:rPr>
            </w:pPr>
            <w:r>
              <w:rPr>
                <w:rFonts w:hint="eastAsia" w:ascii="仿宋" w:hAnsi="仿宋" w:eastAsia="仿宋"/>
                <w:sz w:val="24"/>
              </w:rPr>
              <w:t>备用组合设备通道</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5</w:t>
            </w: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p>
        </w:tc>
        <w:tc>
          <w:tcPr>
            <w:tcW w:w="1896"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4"/>
              </w:rPr>
            </w:pP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可转闸机</w:t>
            </w: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2</w:t>
            </w:r>
          </w:p>
        </w:tc>
        <w:tc>
          <w:tcPr>
            <w:tcW w:w="370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自助服务设备-海外观众</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p>
        </w:tc>
        <w:tc>
          <w:tcPr>
            <w:tcW w:w="1896"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4"/>
              </w:rPr>
            </w:pP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p>
        </w:tc>
      </w:tr>
      <w:tr>
        <w:tblPrEx>
          <w:tblCellMar>
            <w:top w:w="0" w:type="dxa"/>
            <w:left w:w="42" w:type="dxa"/>
            <w:bottom w:w="0" w:type="dxa"/>
            <w:right w:w="42" w:type="dxa"/>
          </w:tblCellMar>
        </w:tblPrEx>
        <w:trPr>
          <w:cantSplit/>
          <w:trHeight w:val="560" w:hRule="atLeast"/>
        </w:trPr>
        <w:tc>
          <w:tcPr>
            <w:tcW w:w="583"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3</w:t>
            </w:r>
          </w:p>
        </w:tc>
        <w:tc>
          <w:tcPr>
            <w:tcW w:w="1869"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证件打印与分发服务（含证件底板印制、二次打印服务、</w:t>
            </w:r>
            <w:r>
              <w:rPr>
                <w:rFonts w:hint="eastAsia" w:ascii="仿宋" w:hAnsi="仿宋" w:eastAsia="仿宋" w:cs="仿宋"/>
                <w:sz w:val="24"/>
              </w:rPr>
              <w:t>证件打印系统与设备维护、制证服务人员）</w:t>
            </w:r>
          </w:p>
        </w:tc>
        <w:tc>
          <w:tcPr>
            <w:tcW w:w="18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r>
              <w:rPr>
                <w:rFonts w:hint="eastAsia" w:ascii="仿宋" w:hAnsi="仿宋" w:eastAsia="仿宋"/>
                <w:sz w:val="24"/>
              </w:rPr>
              <w:t>——</w:t>
            </w:r>
          </w:p>
        </w:tc>
        <w:tc>
          <w:tcPr>
            <w:tcW w:w="1896"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4"/>
              </w:rPr>
            </w:pP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4</w:t>
            </w:r>
          </w:p>
        </w:tc>
        <w:tc>
          <w:tcPr>
            <w:tcW w:w="3708" w:type="dxa"/>
            <w:gridSpan w:val="2"/>
            <w:tcBorders>
              <w:top w:val="single" w:color="auto" w:sz="6" w:space="0"/>
              <w:left w:val="single" w:color="auto" w:sz="6" w:space="0"/>
              <w:bottom w:val="single" w:color="auto" w:sz="6" w:space="0"/>
              <w:right w:val="single" w:color="auto" w:sz="6" w:space="0"/>
            </w:tcBorders>
            <w:vAlign w:val="bottom"/>
          </w:tcPr>
          <w:p>
            <w:pPr>
              <w:pStyle w:val="2"/>
              <w:ind w:left="0"/>
              <w:jc w:val="center"/>
            </w:pPr>
            <w:r>
              <w:rPr>
                <w:rFonts w:hint="eastAsia" w:ascii="仿宋" w:hAnsi="仿宋" w:eastAsia="仿宋"/>
                <w:sz w:val="24"/>
              </w:rPr>
              <w:t>入场服务人员</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p>
        </w:tc>
        <w:tc>
          <w:tcPr>
            <w:tcW w:w="1896"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4"/>
              </w:rPr>
            </w:pP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5</w:t>
            </w:r>
          </w:p>
        </w:tc>
        <w:tc>
          <w:tcPr>
            <w:tcW w:w="3708" w:type="dxa"/>
            <w:gridSpan w:val="2"/>
            <w:tcBorders>
              <w:top w:val="single" w:color="auto" w:sz="6" w:space="0"/>
              <w:left w:val="single" w:color="auto" w:sz="6" w:space="0"/>
              <w:bottom w:val="single" w:color="auto" w:sz="6" w:space="0"/>
              <w:right w:val="single" w:color="auto" w:sz="6" w:space="0"/>
            </w:tcBorders>
            <w:vAlign w:val="center"/>
          </w:tcPr>
          <w:p>
            <w:pPr>
              <w:pStyle w:val="2"/>
              <w:ind w:left="0"/>
              <w:jc w:val="center"/>
            </w:pPr>
            <w:r>
              <w:rPr>
                <w:rFonts w:hint="eastAsia" w:ascii="仿宋" w:hAnsi="仿宋" w:eastAsia="仿宋" w:cs="Times New Roman"/>
                <w:spacing w:val="0"/>
                <w:kern w:val="2"/>
                <w:sz w:val="24"/>
                <w:szCs w:val="24"/>
              </w:rPr>
              <w:t>身份验证</w:t>
            </w:r>
            <w:r>
              <w:rPr>
                <w:rFonts w:hint="eastAsia" w:ascii="仿宋" w:hAnsi="仿宋" w:eastAsia="仿宋"/>
                <w:spacing w:val="0"/>
                <w:kern w:val="2"/>
                <w:sz w:val="24"/>
              </w:rPr>
              <w:t>充值服务</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r>
              <w:rPr>
                <w:rFonts w:hint="eastAsia" w:ascii="仿宋" w:hAnsi="仿宋" w:eastAsia="仿宋"/>
                <w:sz w:val="24"/>
              </w:rPr>
              <w:t>——</w:t>
            </w:r>
          </w:p>
        </w:tc>
        <w:tc>
          <w:tcPr>
            <w:tcW w:w="1896"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10万元</w:t>
            </w: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6</w:t>
            </w:r>
          </w:p>
        </w:tc>
        <w:tc>
          <w:tcPr>
            <w:tcW w:w="3708" w:type="dxa"/>
            <w:gridSpan w:val="2"/>
            <w:tcBorders>
              <w:top w:val="single" w:color="auto" w:sz="6" w:space="0"/>
              <w:left w:val="single" w:color="auto" w:sz="6" w:space="0"/>
              <w:bottom w:val="single" w:color="auto" w:sz="6" w:space="0"/>
              <w:right w:val="single" w:color="auto" w:sz="6" w:space="0"/>
            </w:tcBorders>
            <w:vAlign w:val="bottom"/>
          </w:tcPr>
          <w:p>
            <w:pPr>
              <w:pStyle w:val="2"/>
              <w:ind w:left="0"/>
              <w:jc w:val="center"/>
            </w:pPr>
            <w:r>
              <w:rPr>
                <w:rFonts w:hint="eastAsia" w:ascii="仿宋" w:hAnsi="仿宋" w:eastAsia="仿宋"/>
                <w:sz w:val="24"/>
              </w:rPr>
              <w:t>项目管理及其他（请列明）</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p>
        </w:tc>
        <w:tc>
          <w:tcPr>
            <w:tcW w:w="10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4"/>
              </w:rPr>
            </w:pPr>
            <w:r>
              <w:rPr>
                <w:rFonts w:hint="eastAsia" w:ascii="仿宋" w:hAnsi="仿宋" w:eastAsia="仿宋"/>
                <w:sz w:val="24"/>
              </w:rPr>
              <w:t>----</w:t>
            </w:r>
          </w:p>
        </w:tc>
        <w:tc>
          <w:tcPr>
            <w:tcW w:w="1896"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4"/>
              </w:rPr>
            </w:pPr>
          </w:p>
        </w:tc>
        <w:tc>
          <w:tcPr>
            <w:tcW w:w="165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其中技术3名</w:t>
            </w:r>
          </w:p>
        </w:tc>
      </w:tr>
      <w:tr>
        <w:tblPrEx>
          <w:tblCellMar>
            <w:top w:w="0" w:type="dxa"/>
            <w:left w:w="42" w:type="dxa"/>
            <w:bottom w:w="0" w:type="dxa"/>
            <w:right w:w="42" w:type="dxa"/>
          </w:tblCellMar>
        </w:tblPrEx>
        <w:trPr>
          <w:cantSplit/>
          <w:trHeight w:val="340" w:hRule="atLeast"/>
        </w:trPr>
        <w:tc>
          <w:tcPr>
            <w:tcW w:w="6226" w:type="dxa"/>
            <w:gridSpan w:val="5"/>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896"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65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8"/>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营业执照号码：，经济性质：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姓名：，性别：，年龄：，职务：，</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2052"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 ，性别：，年龄：，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身份证号码：，职务：，</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授权委托日期：年月日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50"/>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50"/>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50"/>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w:pict>
          <v:shape id="_x0000_s2051" o:spid="_x0000_s2051" o:spt="202" type="#_x0000_t202" style="position:absolute;left:0pt;margin-left:0pt;margin-top:16.7pt;height:126.75pt;width:201.25pt;z-index:251662336;mso-width-relative:page;mso-height-relative:page;"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2050" o:spid="_x0000_s2050" o:spt="202" type="#_x0000_t202" style="position:absolute;left:0pt;margin-left:220.5pt;margin-top:16.65pt;height:126.75pt;width:198.25pt;z-index:251661312;mso-width-relative:page;mso-height-relative:page;"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51"/>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94"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54"/>
        </w:numPr>
        <w:rPr>
          <w:rFonts w:ascii="仿宋" w:hAnsi="仿宋" w:eastAsia="仿宋"/>
          <w:sz w:val="28"/>
          <w:szCs w:val="28"/>
        </w:rPr>
      </w:pPr>
      <w:r>
        <w:rPr>
          <w:rFonts w:hint="eastAsia" w:ascii="仿宋" w:hAnsi="仿宋" w:eastAsia="仿宋"/>
          <w:color w:val="000000" w:themeColor="text1"/>
          <w:sz w:val="28"/>
          <w:szCs w:val="28"/>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54"/>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5"/>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6" w:name="_Hlk116546062"/>
    <w:bookmarkStart w:id="97"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BE37D5FA"/>
    <w:multiLevelType w:val="singleLevel"/>
    <w:tmpl w:val="BE37D5FA"/>
    <w:lvl w:ilvl="0" w:tentative="0">
      <w:start w:val="1"/>
      <w:numFmt w:val="decimal"/>
      <w:suff w:val="nothing"/>
      <w:lvlText w:val="（%1）"/>
      <w:lvlJc w:val="left"/>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AA58202"/>
    <w:multiLevelType w:val="singleLevel"/>
    <w:tmpl w:val="CAA58202"/>
    <w:lvl w:ilvl="0" w:tentative="0">
      <w:start w:val="1"/>
      <w:numFmt w:val="decimal"/>
      <w:suff w:val="nothing"/>
      <w:lvlText w:val="（%1）"/>
      <w:lvlJc w:val="left"/>
      <w:rPr>
        <w:rFonts w:hint="default" w:ascii="宋体" w:hAnsi="宋体" w:eastAsia="宋体" w:cs="宋体"/>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DBEB7EAE"/>
    <w:multiLevelType w:val="singleLevel"/>
    <w:tmpl w:val="DBEB7EAE"/>
    <w:lvl w:ilvl="0" w:tentative="0">
      <w:start w:val="1"/>
      <w:numFmt w:val="decimal"/>
      <w:lvlText w:val="(%1)"/>
      <w:lvlJc w:val="left"/>
      <w:pPr>
        <w:ind w:left="425" w:hanging="425"/>
      </w:pPr>
      <w:rPr>
        <w:rFonts w:hint="default"/>
      </w:rPr>
    </w:lvl>
  </w:abstractNum>
  <w:abstractNum w:abstractNumId="14">
    <w:nsid w:val="EBB28CBD"/>
    <w:multiLevelType w:val="singleLevel"/>
    <w:tmpl w:val="EBB28CBD"/>
    <w:lvl w:ilvl="0" w:tentative="0">
      <w:start w:val="1"/>
      <w:numFmt w:val="decimal"/>
      <w:suff w:val="space"/>
      <w:lvlText w:val="%1."/>
      <w:lvlJc w:val="left"/>
      <w:pPr>
        <w:ind w:left="520" w:firstLine="0"/>
      </w:p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singleLevel"/>
    <w:tmpl w:val="00000013"/>
    <w:lvl w:ilvl="0" w:tentative="0">
      <w:start w:val="1"/>
      <w:numFmt w:val="decimal"/>
      <w:lvlText w:val="%1."/>
      <w:lvlJc w:val="left"/>
      <w:pPr>
        <w:ind w:left="420" w:hanging="420"/>
      </w:pPr>
    </w:lvl>
  </w:abstractNum>
  <w:abstractNum w:abstractNumId="20">
    <w:nsid w:val="11D69C2C"/>
    <w:multiLevelType w:val="singleLevel"/>
    <w:tmpl w:val="11D69C2C"/>
    <w:lvl w:ilvl="0" w:tentative="0">
      <w:start w:val="1"/>
      <w:numFmt w:val="decimal"/>
      <w:suff w:val="space"/>
      <w:lvlText w:val="%1."/>
      <w:lvlJc w:val="left"/>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1305886"/>
    <w:multiLevelType w:val="singleLevel"/>
    <w:tmpl w:val="21305886"/>
    <w:lvl w:ilvl="0" w:tentative="0">
      <w:start w:val="1"/>
      <w:numFmt w:val="decimal"/>
      <w:lvlText w:val="（%1）"/>
      <w:lvlJc w:val="left"/>
      <w:pPr>
        <w:ind w:left="420" w:hanging="420"/>
      </w:pPr>
      <w:rPr>
        <w:rFonts w:hint="eastAsia"/>
      </w:rPr>
    </w:lvl>
  </w:abstractNum>
  <w:abstractNum w:abstractNumId="27">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8E10C89"/>
    <w:multiLevelType w:val="singleLevel"/>
    <w:tmpl w:val="28E10C89"/>
    <w:lvl w:ilvl="0" w:tentative="0">
      <w:start w:val="1"/>
      <w:numFmt w:val="decimal"/>
      <w:suff w:val="space"/>
      <w:lvlText w:val="%1."/>
      <w:lvlJc w:val="left"/>
    </w:lvl>
  </w:abstractNum>
  <w:abstractNum w:abstractNumId="3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BA719D1"/>
    <w:multiLevelType w:val="singleLevel"/>
    <w:tmpl w:val="4BA719D1"/>
    <w:lvl w:ilvl="0" w:tentative="0">
      <w:start w:val="1"/>
      <w:numFmt w:val="decimal"/>
      <w:lvlText w:val="（%1）"/>
      <w:lvlJc w:val="left"/>
      <w:pPr>
        <w:ind w:left="420" w:hanging="420"/>
      </w:pPr>
      <w:rPr>
        <w:rFonts w:hint="eastAsia"/>
      </w:r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68F31805"/>
    <w:multiLevelType w:val="singleLevel"/>
    <w:tmpl w:val="68F31805"/>
    <w:lvl w:ilvl="0" w:tentative="0">
      <w:start w:val="1"/>
      <w:numFmt w:val="decimal"/>
      <w:suff w:val="nothing"/>
      <w:lvlText w:val="（%1）"/>
      <w:lvlJc w:val="left"/>
    </w:lvl>
  </w:abstractNum>
  <w:abstractNum w:abstractNumId="4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9">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0">
    <w:nsid w:val="7909EBFE"/>
    <w:multiLevelType w:val="singleLevel"/>
    <w:tmpl w:val="7909EBFE"/>
    <w:lvl w:ilvl="0" w:tentative="0">
      <w:start w:val="1"/>
      <w:numFmt w:val="decimal"/>
      <w:lvlText w:val="(%1)"/>
      <w:lvlJc w:val="left"/>
      <w:pPr>
        <w:ind w:left="425" w:hanging="425"/>
      </w:pPr>
      <w:rPr>
        <w:rFonts w:hint="default"/>
      </w:rPr>
    </w:lvl>
  </w:abstractNum>
  <w:abstractNum w:abstractNumId="51">
    <w:nsid w:val="7B4A4E0C"/>
    <w:multiLevelType w:val="singleLevel"/>
    <w:tmpl w:val="7B4A4E0C"/>
    <w:lvl w:ilvl="0" w:tentative="0">
      <w:start w:val="1"/>
      <w:numFmt w:val="decimal"/>
      <w:lvlText w:val="（%1）"/>
      <w:lvlJc w:val="left"/>
      <w:pPr>
        <w:ind w:left="420" w:hanging="420"/>
      </w:pPr>
      <w:rPr>
        <w:rFonts w:hint="eastAsia"/>
      </w:rPr>
    </w:lvl>
  </w:abstractNum>
  <w:abstractNum w:abstractNumId="52">
    <w:nsid w:val="7ED17433"/>
    <w:multiLevelType w:val="singleLevel"/>
    <w:tmpl w:val="7ED17433"/>
    <w:lvl w:ilvl="0" w:tentative="0">
      <w:start w:val="1"/>
      <w:numFmt w:val="decimal"/>
      <w:lvlText w:val="（%1）"/>
      <w:lvlJc w:val="left"/>
      <w:pPr>
        <w:ind w:left="420" w:hanging="420"/>
      </w:pPr>
      <w:rPr>
        <w:rFonts w:hint="eastAsia"/>
      </w:rPr>
    </w:lvl>
  </w:abstractNum>
  <w:num w:numId="1">
    <w:abstractNumId w:val="43"/>
  </w:num>
  <w:num w:numId="2">
    <w:abstractNumId w:val="48"/>
  </w:num>
  <w:num w:numId="3">
    <w:abstractNumId w:val="33"/>
  </w:num>
  <w:num w:numId="4">
    <w:abstractNumId w:val="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44"/>
  </w:num>
  <w:num w:numId="8">
    <w:abstractNumId w:val="36"/>
  </w:num>
  <w:num w:numId="9">
    <w:abstractNumId w:val="21"/>
  </w:num>
  <w:num w:numId="10">
    <w:abstractNumId w:val="51"/>
  </w:num>
  <w:num w:numId="11">
    <w:abstractNumId w:val="52"/>
  </w:num>
  <w:num w:numId="12">
    <w:abstractNumId w:val="26"/>
  </w:num>
  <w:num w:numId="13">
    <w:abstractNumId w:val="41"/>
  </w:num>
  <w:num w:numId="14">
    <w:abstractNumId w:val="7"/>
  </w:num>
  <w:num w:numId="15">
    <w:abstractNumId w:val="4"/>
  </w:num>
  <w:num w:numId="16">
    <w:abstractNumId w:val="9"/>
  </w:num>
  <w:num w:numId="17">
    <w:abstractNumId w:val="30"/>
  </w:num>
  <w:num w:numId="18">
    <w:abstractNumId w:val="18"/>
  </w:num>
  <w:num w:numId="19">
    <w:abstractNumId w:val="13"/>
  </w:num>
  <w:num w:numId="20">
    <w:abstractNumId w:val="23"/>
  </w:num>
  <w:num w:numId="21">
    <w:abstractNumId w:val="47"/>
  </w:num>
  <w:num w:numId="22">
    <w:abstractNumId w:val="50"/>
  </w:num>
  <w:num w:numId="23">
    <w:abstractNumId w:val="32"/>
  </w:num>
  <w:num w:numId="24">
    <w:abstractNumId w:val="3"/>
  </w:num>
  <w:num w:numId="25">
    <w:abstractNumId w:val="11"/>
  </w:num>
  <w:num w:numId="26">
    <w:abstractNumId w:val="37"/>
  </w:num>
  <w:num w:numId="27">
    <w:abstractNumId w:val="34"/>
  </w:num>
  <w:num w:numId="28">
    <w:abstractNumId w:val="14"/>
  </w:num>
  <w:num w:numId="29">
    <w:abstractNumId w:val="24"/>
  </w:num>
  <w:num w:numId="30">
    <w:abstractNumId w:val="8"/>
  </w:num>
  <w:num w:numId="31">
    <w:abstractNumId w:val="45"/>
  </w:num>
  <w:num w:numId="32">
    <w:abstractNumId w:val="20"/>
  </w:num>
  <w:num w:numId="33">
    <w:abstractNumId w:val="39"/>
  </w:num>
  <w:num w:numId="34">
    <w:abstractNumId w:val="5"/>
  </w:num>
  <w:num w:numId="35">
    <w:abstractNumId w:val="27"/>
  </w:num>
  <w:num w:numId="36">
    <w:abstractNumId w:val="1"/>
  </w:num>
  <w:num w:numId="37">
    <w:abstractNumId w:val="12"/>
  </w:num>
  <w:num w:numId="38">
    <w:abstractNumId w:val="10"/>
  </w:num>
  <w:num w:numId="39">
    <w:abstractNumId w:val="49"/>
  </w:num>
  <w:num w:numId="40">
    <w:abstractNumId w:val="0"/>
  </w:num>
  <w:num w:numId="41">
    <w:abstractNumId w:val="2"/>
  </w:num>
  <w:num w:numId="42">
    <w:abstractNumId w:val="35"/>
  </w:num>
  <w:num w:numId="43">
    <w:abstractNumId w:val="15"/>
  </w:num>
  <w:num w:numId="44">
    <w:abstractNumId w:val="17"/>
  </w:num>
  <w:num w:numId="45">
    <w:abstractNumId w:val="16"/>
  </w:num>
  <w:num w:numId="46">
    <w:abstractNumId w:val="46"/>
  </w:num>
  <w:num w:numId="47">
    <w:abstractNumId w:val="38"/>
  </w:num>
  <w:num w:numId="48">
    <w:abstractNumId w:val="31"/>
  </w:num>
  <w:num w:numId="49">
    <w:abstractNumId w:val="28"/>
  </w:num>
  <w:num w:numId="50">
    <w:abstractNumId w:val="40"/>
  </w:num>
  <w:num w:numId="51">
    <w:abstractNumId w:val="25"/>
  </w:num>
  <w:num w:numId="52">
    <w:abstractNumId w:val="19"/>
  </w:num>
  <w:num w:numId="53">
    <w:abstractNumId w:val="42"/>
  </w:num>
  <w:num w:numId="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3FAF"/>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C7E0A"/>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0F5D"/>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5B82"/>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3F679E7"/>
    <w:rsid w:val="04450729"/>
    <w:rsid w:val="047C31FC"/>
    <w:rsid w:val="04D46768"/>
    <w:rsid w:val="04F90B5F"/>
    <w:rsid w:val="053A1CC8"/>
    <w:rsid w:val="05A14E6F"/>
    <w:rsid w:val="068173DB"/>
    <w:rsid w:val="06856661"/>
    <w:rsid w:val="077B4608"/>
    <w:rsid w:val="07BB74B6"/>
    <w:rsid w:val="07D7576E"/>
    <w:rsid w:val="08493DEA"/>
    <w:rsid w:val="086E4EC9"/>
    <w:rsid w:val="08E75665"/>
    <w:rsid w:val="0B304339"/>
    <w:rsid w:val="0B734A64"/>
    <w:rsid w:val="0CDE01F2"/>
    <w:rsid w:val="0D9E7C4E"/>
    <w:rsid w:val="0DD201F4"/>
    <w:rsid w:val="0F4526B6"/>
    <w:rsid w:val="10091618"/>
    <w:rsid w:val="11E609CC"/>
    <w:rsid w:val="142C47EE"/>
    <w:rsid w:val="152B64B8"/>
    <w:rsid w:val="15647569"/>
    <w:rsid w:val="15740DA4"/>
    <w:rsid w:val="166E0286"/>
    <w:rsid w:val="182A265F"/>
    <w:rsid w:val="183C7C8D"/>
    <w:rsid w:val="185B6860"/>
    <w:rsid w:val="195A6BC0"/>
    <w:rsid w:val="1B4D0444"/>
    <w:rsid w:val="1BDC6FF0"/>
    <w:rsid w:val="1C5670DA"/>
    <w:rsid w:val="1E917665"/>
    <w:rsid w:val="1F0D234A"/>
    <w:rsid w:val="1F7074E6"/>
    <w:rsid w:val="21840339"/>
    <w:rsid w:val="227A4EED"/>
    <w:rsid w:val="228D0750"/>
    <w:rsid w:val="22D833EE"/>
    <w:rsid w:val="24786106"/>
    <w:rsid w:val="25A5748F"/>
    <w:rsid w:val="25BE1EBF"/>
    <w:rsid w:val="25D85A3C"/>
    <w:rsid w:val="267E19B6"/>
    <w:rsid w:val="26E95967"/>
    <w:rsid w:val="29BD7A5C"/>
    <w:rsid w:val="29E86B6B"/>
    <w:rsid w:val="2A1D36D7"/>
    <w:rsid w:val="2B9E3425"/>
    <w:rsid w:val="2BD84FDD"/>
    <w:rsid w:val="2BFA4386"/>
    <w:rsid w:val="2CD73EA3"/>
    <w:rsid w:val="2CE341B5"/>
    <w:rsid w:val="2D845ED0"/>
    <w:rsid w:val="2EAB6E76"/>
    <w:rsid w:val="2EB3002D"/>
    <w:rsid w:val="30381F4F"/>
    <w:rsid w:val="30B5442F"/>
    <w:rsid w:val="33066061"/>
    <w:rsid w:val="336C31B4"/>
    <w:rsid w:val="33E95788"/>
    <w:rsid w:val="34A05B77"/>
    <w:rsid w:val="356E4368"/>
    <w:rsid w:val="37097428"/>
    <w:rsid w:val="37D913AF"/>
    <w:rsid w:val="38AC36F6"/>
    <w:rsid w:val="38E51C54"/>
    <w:rsid w:val="394A3FAD"/>
    <w:rsid w:val="3AAD7F79"/>
    <w:rsid w:val="3B9618C0"/>
    <w:rsid w:val="3B991A52"/>
    <w:rsid w:val="3BB26AC4"/>
    <w:rsid w:val="3C35255B"/>
    <w:rsid w:val="3D3679ED"/>
    <w:rsid w:val="3D6E7757"/>
    <w:rsid w:val="408D7227"/>
    <w:rsid w:val="41407E51"/>
    <w:rsid w:val="416718EC"/>
    <w:rsid w:val="42887D3F"/>
    <w:rsid w:val="42CF33C0"/>
    <w:rsid w:val="438A4765"/>
    <w:rsid w:val="439D7A21"/>
    <w:rsid w:val="43D066A3"/>
    <w:rsid w:val="43D97719"/>
    <w:rsid w:val="447267E8"/>
    <w:rsid w:val="44835065"/>
    <w:rsid w:val="44E431E5"/>
    <w:rsid w:val="46B30DE6"/>
    <w:rsid w:val="46BC601C"/>
    <w:rsid w:val="47523E28"/>
    <w:rsid w:val="492A4A83"/>
    <w:rsid w:val="495C1F5C"/>
    <w:rsid w:val="4AA157A6"/>
    <w:rsid w:val="4AF77150"/>
    <w:rsid w:val="4B8B03E4"/>
    <w:rsid w:val="4CC70037"/>
    <w:rsid w:val="4D9A3F67"/>
    <w:rsid w:val="4DDD0CB5"/>
    <w:rsid w:val="4DDF67CC"/>
    <w:rsid w:val="4EBA3CE9"/>
    <w:rsid w:val="4EE12BFB"/>
    <w:rsid w:val="50FA6A61"/>
    <w:rsid w:val="51794BC1"/>
    <w:rsid w:val="525B0006"/>
    <w:rsid w:val="52D64772"/>
    <w:rsid w:val="53D25371"/>
    <w:rsid w:val="540F1FD2"/>
    <w:rsid w:val="561F6663"/>
    <w:rsid w:val="56365F76"/>
    <w:rsid w:val="56702D7B"/>
    <w:rsid w:val="57315BF2"/>
    <w:rsid w:val="57594B93"/>
    <w:rsid w:val="594A6990"/>
    <w:rsid w:val="59BD50C9"/>
    <w:rsid w:val="5A2E0F40"/>
    <w:rsid w:val="5DBD2815"/>
    <w:rsid w:val="5E8307E5"/>
    <w:rsid w:val="5FCB77FF"/>
    <w:rsid w:val="5FF16C80"/>
    <w:rsid w:val="60475C3F"/>
    <w:rsid w:val="60785544"/>
    <w:rsid w:val="60A60070"/>
    <w:rsid w:val="61A26997"/>
    <w:rsid w:val="622C21AB"/>
    <w:rsid w:val="62D00ABF"/>
    <w:rsid w:val="640C25AF"/>
    <w:rsid w:val="642C3540"/>
    <w:rsid w:val="64797447"/>
    <w:rsid w:val="6541126B"/>
    <w:rsid w:val="66F01973"/>
    <w:rsid w:val="683A303D"/>
    <w:rsid w:val="68A5295B"/>
    <w:rsid w:val="68E97B63"/>
    <w:rsid w:val="69727180"/>
    <w:rsid w:val="6A5B2F9C"/>
    <w:rsid w:val="6B1E605C"/>
    <w:rsid w:val="6C070EC7"/>
    <w:rsid w:val="6C5E0507"/>
    <w:rsid w:val="6C6B5505"/>
    <w:rsid w:val="6C8C696A"/>
    <w:rsid w:val="6D086095"/>
    <w:rsid w:val="6DF67C63"/>
    <w:rsid w:val="6E3F209B"/>
    <w:rsid w:val="6E944212"/>
    <w:rsid w:val="6EAE7626"/>
    <w:rsid w:val="6ED02117"/>
    <w:rsid w:val="725336E8"/>
    <w:rsid w:val="745F58A4"/>
    <w:rsid w:val="746666ED"/>
    <w:rsid w:val="74783A1C"/>
    <w:rsid w:val="74AB354D"/>
    <w:rsid w:val="74B05132"/>
    <w:rsid w:val="76AD6F11"/>
    <w:rsid w:val="76C52AAF"/>
    <w:rsid w:val="76E063E5"/>
    <w:rsid w:val="772A35DE"/>
    <w:rsid w:val="780D5A03"/>
    <w:rsid w:val="781B5752"/>
    <w:rsid w:val="798425C1"/>
    <w:rsid w:val="79A3339F"/>
    <w:rsid w:val="79A35F22"/>
    <w:rsid w:val="79BF662E"/>
    <w:rsid w:val="7A751935"/>
    <w:rsid w:val="7A7F7AEF"/>
    <w:rsid w:val="7A960C73"/>
    <w:rsid w:val="7B2952F2"/>
    <w:rsid w:val="7CF46BD3"/>
    <w:rsid w:val="7E111464"/>
    <w:rsid w:val="7F5262BC"/>
    <w:rsid w:val="7F936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出段落 Char"/>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Char"/>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Char"/>
    <w:basedOn w:val="16"/>
    <w:link w:val="5"/>
    <w:semiHidden/>
    <w:qFormat/>
    <w:uiPriority w:val="99"/>
    <w:rPr>
      <w:rFonts w:ascii="Times New Roman" w:hAnsi="Times New Roman" w:eastAsia="宋体" w:cs="Times New Roman"/>
      <w:sz w:val="18"/>
      <w:szCs w:val="18"/>
    </w:rPr>
  </w:style>
  <w:style w:type="character" w:customStyle="1" w:styleId="27">
    <w:name w:val="页眉 Char"/>
    <w:basedOn w:val="16"/>
    <w:link w:val="7"/>
    <w:qFormat/>
    <w:uiPriority w:val="99"/>
    <w:rPr>
      <w:rFonts w:ascii="Times New Roman" w:hAnsi="Times New Roman" w:eastAsia="宋体" w:cs="Times New Roman"/>
      <w:sz w:val="18"/>
      <w:szCs w:val="18"/>
    </w:rPr>
  </w:style>
  <w:style w:type="character" w:customStyle="1" w:styleId="28">
    <w:name w:val="页脚 Char"/>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Char"/>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Char"/>
    <w:basedOn w:val="16"/>
    <w:link w:val="11"/>
    <w:qFormat/>
    <w:uiPriority w:val="0"/>
    <w:rPr>
      <w:rFonts w:ascii="仿宋_GB2312" w:hAnsi="宋体" w:eastAsia="仿宋_GB2312"/>
      <w:kern w:val="2"/>
      <w:sz w:val="21"/>
      <w:szCs w:val="24"/>
    </w:rPr>
  </w:style>
  <w:style w:type="character" w:customStyle="1" w:styleId="33">
    <w:name w:val="脚注文本 Char"/>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34</Pages>
  <Words>18738</Words>
  <Characters>19908</Characters>
  <Lines>167</Lines>
  <Paragraphs>47</Paragraphs>
  <TotalTime>88</TotalTime>
  <ScaleCrop>false</ScaleCrop>
  <LinksUpToDate>false</LinksUpToDate>
  <CharactersWithSpaces>20305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2023-09-05T03:11:17Z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417397434BE241178C1BDAC5F6645852</vt:lpwstr>
  </property>
</Properties>
</file>