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sz w:val="32"/>
          <w:szCs w:val="32"/>
        </w:rPr>
        <w:t>2023-2025年度中国国际高新技术成果交易会</w:t>
      </w: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会刊编印服务项目</w:t>
      </w:r>
    </w:p>
    <w:p>
      <w:pPr>
        <w:spacing w:line="360" w:lineRule="auto"/>
        <w:jc w:val="center"/>
        <w:rPr>
          <w:rFonts w:ascii="方正小标宋简体" w:hAnsi="方正小标宋_GBK" w:eastAsia="方正小标宋简体"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hint="eastAsia" w:ascii="方正小标宋简体" w:hAnsi="方正小标宋_GBK" w:eastAsia="方正小标宋简体" w:cs="方正小标宋_GBK"/>
          <w:b/>
          <w:sz w:val="32"/>
          <w:szCs w:val="32"/>
          <w:lang w:val="en-US" w:eastAsia="zh-CN"/>
        </w:rPr>
        <w:t>9</w:t>
      </w:r>
      <w:bookmarkStart w:id="96" w:name="_GoBack"/>
      <w:bookmarkEnd w:id="96"/>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color w:val="auto"/>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color w:val="auto"/>
        </w:rPr>
        <w:t>一、</w:t>
      </w:r>
      <w:r>
        <w:rPr>
          <w:rStyle w:val="20"/>
          <w:rFonts w:ascii="宋体" w:hAnsi="宋体"/>
          <w:color w:val="auto"/>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color w:val="auto"/>
        </w:rPr>
        <w:t>二、</w:t>
      </w:r>
      <w:r>
        <w:rPr>
          <w:rStyle w:val="20"/>
          <w:rFonts w:ascii="宋体" w:hAnsi="宋体"/>
          <w:color w:val="auto"/>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color w:val="auto"/>
        </w:rPr>
        <w:t>三、</w:t>
      </w:r>
      <w:r>
        <w:rPr>
          <w:rStyle w:val="20"/>
          <w:rFonts w:ascii="宋体" w:hAnsi="宋体"/>
          <w:color w:val="auto"/>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color w:val="auto"/>
        </w:rPr>
        <w:t>四、</w:t>
      </w:r>
      <w:r>
        <w:rPr>
          <w:rStyle w:val="20"/>
          <w:rFonts w:ascii="宋体" w:hAnsi="宋体"/>
          <w:color w:val="auto"/>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color w:val="auto"/>
        </w:rPr>
        <w:t>五、</w:t>
      </w:r>
      <w:r>
        <w:rPr>
          <w:rStyle w:val="20"/>
          <w:rFonts w:ascii="宋体" w:hAnsi="宋体"/>
          <w:color w:val="auto"/>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color w:val="auto"/>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color w:val="auto"/>
        </w:rPr>
        <w:t>六、</w:t>
      </w:r>
      <w:r>
        <w:rPr>
          <w:rStyle w:val="20"/>
          <w:color w:val="auto"/>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color w:val="auto"/>
        </w:rPr>
        <w:t>七、</w:t>
      </w:r>
      <w:r>
        <w:rPr>
          <w:rStyle w:val="20"/>
          <w:color w:val="auto"/>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color w:val="auto"/>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color w:val="auto"/>
        </w:rPr>
        <w:t>八、</w:t>
      </w:r>
      <w:r>
        <w:rPr>
          <w:rStyle w:val="20"/>
          <w:rFonts w:ascii="宋体" w:hAnsi="宋体"/>
          <w:bCs/>
          <w:color w:val="auto"/>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color w:val="auto"/>
        </w:rPr>
        <w:t>（一）</w:t>
      </w:r>
      <w:r>
        <w:rPr>
          <w:rFonts w:asciiTheme="minorHAnsi" w:hAnsiTheme="minorHAnsi" w:eastAsiaTheme="minorEastAsia" w:cstheme="minorBidi"/>
          <w:szCs w:val="22"/>
        </w:rPr>
        <w:tab/>
      </w:r>
      <w:r>
        <w:rPr>
          <w:rStyle w:val="20"/>
          <w:rFonts w:ascii="宋体" w:hAnsi="宋体"/>
          <w:bCs/>
          <w:color w:val="auto"/>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color w:val="auto"/>
        </w:rPr>
        <w:t>（二）</w:t>
      </w:r>
      <w:r>
        <w:rPr>
          <w:rFonts w:asciiTheme="minorHAnsi" w:hAnsiTheme="minorHAnsi" w:eastAsiaTheme="minorEastAsia" w:cstheme="minorBidi"/>
          <w:szCs w:val="22"/>
        </w:rPr>
        <w:tab/>
      </w:r>
      <w:r>
        <w:rPr>
          <w:rStyle w:val="20"/>
          <w:rFonts w:ascii="宋体" w:hAnsi="宋体"/>
          <w:bCs/>
          <w:color w:val="auto"/>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color w:val="auto"/>
        </w:rPr>
        <w:t>（三）</w:t>
      </w:r>
      <w:r>
        <w:rPr>
          <w:rFonts w:asciiTheme="minorHAnsi" w:hAnsiTheme="minorHAnsi" w:eastAsiaTheme="minorEastAsia" w:cstheme="minorBidi"/>
          <w:szCs w:val="22"/>
        </w:rPr>
        <w:tab/>
      </w:r>
      <w:r>
        <w:rPr>
          <w:rStyle w:val="20"/>
          <w:rFonts w:ascii="宋体" w:hAnsi="宋体"/>
          <w:bCs/>
          <w:color w:val="auto"/>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color w:val="auto"/>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color w:val="auto"/>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color w:val="auto"/>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color w:val="auto"/>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color w:val="auto"/>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color w:val="auto"/>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color w:val="auto"/>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color w:val="auto"/>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color w:val="auto"/>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color w:val="auto"/>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color w:val="auto"/>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color w:val="auto"/>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color w:val="auto"/>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color w:val="auto"/>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color w:val="auto"/>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color w:val="auto"/>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color w:val="auto"/>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联系人：区宛翔</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rPr>
              <w:fldChar w:fldCharType="begin"/>
            </w:r>
            <w:r>
              <w:instrText xml:space="preserve"> HYPERLINK "mailto:*@qq.com" </w:instrText>
            </w:r>
            <w:r>
              <w:rPr>
                <w:rFonts w:hint="eastAsia"/>
              </w:rPr>
              <w:fldChar w:fldCharType="separate"/>
            </w:r>
            <w:r>
              <w:rPr>
                <w:rFonts w:hint="eastAsia" w:ascii="宋体" w:hAnsi="宋体"/>
                <w:szCs w:val="21"/>
              </w:rPr>
              <w:t>ouwx@c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2023-2025年度中国国际高新技术成果交易会会刊编印服务项目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szCs w:val="21"/>
              </w:rPr>
            </w:pPr>
            <w:r>
              <w:rPr>
                <w:rFonts w:hint="eastAsia" w:ascii="宋体" w:hAnsi="宋体"/>
                <w:szCs w:val="21"/>
              </w:rPr>
              <w:t>2023年度《第二十五届中国国际高新技术成果交易会会刊》、2024年度《第二十六届中国国际高新技术成果交易会会刊》和2025年度《第二十七届中国国际高新技术成果交易会会刊》（以下简称《会刊》）是该三届高交会唯一的正式会刊类刊物，各包括两个独立的版本：中文版和英文版，《会刊》文字资料由招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服务期分为三个周期，服务天数合共60个日历日，具体如下:</w:t>
            </w:r>
          </w:p>
          <w:p>
            <w:pPr>
              <w:autoSpaceDE w:val="0"/>
              <w:autoSpaceDN w:val="0"/>
              <w:adjustRightInd w:val="0"/>
              <w:snapToGrid w:val="0"/>
              <w:rPr>
                <w:rFonts w:ascii="宋体" w:hAnsi="宋体"/>
                <w:szCs w:val="21"/>
              </w:rPr>
            </w:pPr>
            <w:r>
              <w:rPr>
                <w:rFonts w:hint="eastAsia" w:ascii="宋体" w:hAnsi="宋体"/>
                <w:szCs w:val="21"/>
              </w:rPr>
              <w:t>（1）第一期为2023年第二十五届高交会展前20个日历日（暂定从2023年10月25日至11月13日，期间包含设计、印刷及交货时间，具体日期以招标人确定为准）；</w:t>
            </w:r>
          </w:p>
          <w:p>
            <w:pPr>
              <w:autoSpaceDE w:val="0"/>
              <w:autoSpaceDN w:val="0"/>
              <w:adjustRightInd w:val="0"/>
              <w:snapToGrid w:val="0"/>
              <w:rPr>
                <w:rFonts w:ascii="宋体" w:hAnsi="宋体"/>
                <w:szCs w:val="21"/>
              </w:rPr>
            </w:pPr>
            <w:r>
              <w:rPr>
                <w:rFonts w:hint="eastAsia" w:ascii="宋体" w:hAnsi="宋体"/>
                <w:szCs w:val="21"/>
              </w:rPr>
              <w:t>（2）第二期为2024年第二十六届高交会展前20个日历日，期间包含设计、印刷及交货时间，具体日期以招标人确定为准；</w:t>
            </w:r>
          </w:p>
          <w:p>
            <w:pPr>
              <w:autoSpaceDE w:val="0"/>
              <w:autoSpaceDN w:val="0"/>
              <w:adjustRightInd w:val="0"/>
              <w:snapToGrid w:val="0"/>
              <w:rPr>
                <w:rFonts w:ascii="宋体" w:hAnsi="宋体"/>
                <w:szCs w:val="21"/>
              </w:rPr>
            </w:pPr>
            <w:r>
              <w:rPr>
                <w:rFonts w:hint="eastAsia" w:ascii="宋体" w:hAnsi="宋体"/>
                <w:szCs w:val="21"/>
              </w:rPr>
              <w:t>（3）第三期为2025年第二十七届高交会展前20个日历日，期间包含设计、印刷及交货时间，具体日期以招标人确定为准</w:t>
            </w:r>
            <w:r>
              <w:rPr>
                <w:rFonts w:hint="eastAsia" w:ascii="Arial" w:hAnsi="Arial"/>
                <w:spacing w:val="-5"/>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 xml:space="preserve">8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https://cg.szcec.com/sharing/zdJQKqZ0D</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color w:val="auto"/>
                <w:szCs w:val="21"/>
              </w:rPr>
              <w:t>https://www.szcec.com/News/index/id/256.html</w:t>
            </w:r>
            <w:r>
              <w:rPr>
                <w:rStyle w:val="20"/>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 xml:space="preserve">13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 xml:space="preserve">13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 xml:space="preserve">14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 xml:space="preserve">18 </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https://cg.szcec.com/sharing/2snevw7O2</w:t>
            </w:r>
            <w:r>
              <w:rPr>
                <w:rFonts w:hint="eastAsia" w:ascii="宋体" w:hAnsi="宋体"/>
                <w:bCs/>
              </w:rPr>
              <w:t>，</w:t>
            </w:r>
            <w:r>
              <w:rPr>
                <w:rFonts w:hint="eastAsia" w:ascii="宋体" w:hAnsi="宋体"/>
                <w:szCs w:val="21"/>
              </w:rPr>
              <w:t>并致电确认</w:t>
            </w:r>
            <w:bookmarkStart w:id="2" w:name="_Toc478392822"/>
            <w:bookmarkStart w:id="3" w:name="_Toc478110532"/>
            <w:bookmarkStart w:id="4" w:name="_Toc478393187"/>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 xml:space="preserve">19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673</w:t>
            </w:r>
            <w:r>
              <w:rPr>
                <w:rFonts w:hint="eastAsia" w:ascii="宋体" w:hAnsi="宋体"/>
                <w:b/>
                <w:bCs/>
                <w:szCs w:val="21"/>
                <w:highlight w:val="yellow"/>
              </w:rPr>
              <w:t>-</w:t>
            </w:r>
            <w:r>
              <w:rPr>
                <w:rFonts w:hint="eastAsia" w:ascii="宋体" w:hAnsi="宋体"/>
                <w:b/>
                <w:bCs/>
                <w:szCs w:val="21"/>
                <w:highlight w:val="yellow"/>
                <w:lang w:val="en-US" w:eastAsia="zh-CN"/>
              </w:rPr>
              <w:t>455-647</w:t>
            </w:r>
            <w:r>
              <w:rPr>
                <w:rFonts w:hint="eastAsia" w:ascii="宋体" w:hAnsi="宋体"/>
                <w:szCs w:val="21"/>
              </w:rPr>
              <w:t>（免密，入会前必须改名为“公司简称+姓名”,会议期间禁止使用虚拟背景），届时请各投标人按采购公告要求准时提交投标文件及密码并参加在线开标。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https://cg.szcec.com/sharing/1jo7OunN6</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591928"/>
      <w:bookmarkEnd w:id="6"/>
      <w:bookmarkStart w:id="7" w:name="_Toc82685543"/>
      <w:bookmarkEnd w:id="7"/>
      <w:bookmarkStart w:id="8" w:name="_Toc82684590"/>
      <w:bookmarkEnd w:id="8"/>
      <w:bookmarkStart w:id="9" w:name="_Toc82591925"/>
      <w:bookmarkEnd w:id="9"/>
      <w:bookmarkStart w:id="10" w:name="_Toc82684589"/>
      <w:bookmarkEnd w:id="10"/>
      <w:bookmarkStart w:id="11" w:name="_Toc82684706"/>
      <w:bookmarkEnd w:id="11"/>
      <w:bookmarkStart w:id="12" w:name="_Toc82684705"/>
      <w:bookmarkEnd w:id="12"/>
      <w:bookmarkStart w:id="13" w:name="_Toc82685540"/>
      <w:bookmarkEnd w:id="13"/>
      <w:bookmarkStart w:id="14" w:name="_Toc82684704"/>
      <w:bookmarkEnd w:id="14"/>
      <w:bookmarkStart w:id="15" w:name="_Toc82684588"/>
      <w:bookmarkEnd w:id="15"/>
      <w:bookmarkStart w:id="16" w:name="_Toc82684703"/>
      <w:bookmarkEnd w:id="16"/>
      <w:bookmarkStart w:id="17" w:name="_Toc82591926"/>
      <w:bookmarkEnd w:id="17"/>
      <w:bookmarkStart w:id="18" w:name="_Toc82685541"/>
      <w:bookmarkEnd w:id="18"/>
      <w:bookmarkStart w:id="19" w:name="_Toc82685542"/>
      <w:bookmarkEnd w:id="19"/>
      <w:bookmarkStart w:id="20" w:name="_Toc82684591"/>
      <w:bookmarkEnd w:id="20"/>
      <w:bookmarkStart w:id="21" w:name="_Toc82591927"/>
      <w:bookmarkEnd w:id="21"/>
      <w:bookmarkStart w:id="22" w:name="_Toc116550346"/>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5"/>
      <w:bookmarkEnd w:id="26"/>
      <w:bookmarkStart w:id="27" w:name="_Toc82591930"/>
      <w:bookmarkEnd w:id="27"/>
      <w:bookmarkStart w:id="28" w:name="_Toc82684593"/>
      <w:bookmarkEnd w:id="28"/>
      <w:bookmarkStart w:id="29" w:name="_Toc82684708"/>
      <w:bookmarkEnd w:id="29"/>
      <w:bookmarkStart w:id="30" w:name="_Toc82591989"/>
      <w:bookmarkEnd w:id="30"/>
      <w:bookmarkStart w:id="31" w:name="_Toc82685545"/>
      <w:bookmarkEnd w:id="31"/>
      <w:bookmarkStart w:id="32" w:name="_Toc82591987"/>
      <w:bookmarkEnd w:id="32"/>
      <w:bookmarkStart w:id="33" w:name="_Toc82591986"/>
      <w:bookmarkEnd w:id="33"/>
      <w:bookmarkStart w:id="34" w:name="_Toc82591988"/>
      <w:bookmarkEnd w:id="34"/>
      <w:bookmarkStart w:id="35" w:name="_Toc116550347"/>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firstLine="0" w:firstLineChars="0"/>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spacing w:line="360" w:lineRule="auto"/>
              <w:ind w:left="0" w:firstLine="0" w:firstLineChars="0"/>
            </w:pPr>
            <w:r>
              <w:rPr>
                <w:rFonts w:hint="eastAsia"/>
              </w:rPr>
              <w:t>（2）投标人代表必须是投标单位的法定代表人或持有法定代表人亲自签署的法人授权委托证明书的人员。（提供法定代表人证明书、法人授权委托证明书</w:t>
            </w:r>
            <w:r>
              <w:rPr>
                <w:rFonts w:hint="eastAsia" w:ascii="宋体" w:hAnsi="宋体" w:cs="宋体"/>
                <w:szCs w:val="21"/>
              </w:rPr>
              <w:t>及法定代表人、被委托人身份证扫描件</w:t>
            </w:r>
            <w:r>
              <w:rPr>
                <w:rFonts w:hint="eastAsia"/>
              </w:rPr>
              <w:t>，如单位法定代表人为本项目授权代表，则仅提供法定代表人证明书及身份证复印件，各证明书须加盖公章，身份证原件备查）。</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（3）投标人须具有《印刷经营许可证》，上述认证须提供扫描件并加盖投标人公章。</w:t>
            </w:r>
          </w:p>
          <w:p>
            <w:pPr>
              <w:tabs>
                <w:tab w:val="left" w:pos="531"/>
              </w:tabs>
              <w:snapToGrid w:val="0"/>
              <w:spacing w:line="360" w:lineRule="auto"/>
              <w:ind w:firstLine="0" w:firstLineChars="0"/>
              <w:rPr>
                <w:rFonts w:ascii="宋体" w:hAnsi="宋体" w:cs="宋体"/>
              </w:rPr>
            </w:pPr>
            <w:r>
              <w:rPr>
                <w:rFonts w:hint="eastAsia" w:ascii="宋体" w:hAnsi="宋体" w:cs="宋体"/>
                <w:szCs w:val="21"/>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highlight w:val="none"/>
              </w:rPr>
            </w:pPr>
            <w:r>
              <w:rPr>
                <w:rFonts w:hint="eastAsia" w:ascii="宋体" w:hAnsi="宋体" w:cs="宋体"/>
                <w:szCs w:val="21"/>
              </w:rPr>
              <w:t>（1）报价以人民币为结算币种，《投标一览表》应包含税率、税额、未税及税后总金额。</w:t>
            </w:r>
          </w:p>
          <w:p>
            <w:pPr>
              <w:numPr>
                <w:ilvl w:val="255"/>
                <w:numId w:val="0"/>
              </w:numPr>
              <w:tabs>
                <w:tab w:val="left" w:pos="531"/>
              </w:tabs>
              <w:snapToGrid w:val="0"/>
              <w:spacing w:line="360" w:lineRule="auto"/>
              <w:ind w:firstLine="0" w:firstLineChars="0"/>
              <w:rPr>
                <w:rFonts w:ascii="宋体" w:hAnsi="宋体" w:cs="宋体"/>
                <w:szCs w:val="21"/>
                <w:highlight w:val="none"/>
              </w:rPr>
            </w:pPr>
            <w:r>
              <w:rPr>
                <w:rFonts w:hint="eastAsia" w:ascii="宋体" w:hAnsi="宋体" w:cs="宋体"/>
                <w:szCs w:val="21"/>
                <w:highlight w:val="none"/>
              </w:rPr>
              <w:t>（2）鉴于本项目的特殊性，采取阶梯式报价（详见附件</w:t>
            </w:r>
            <w:r>
              <w:rPr>
                <w:rFonts w:ascii="宋体" w:hAnsi="宋体" w:cs="宋体"/>
                <w:szCs w:val="21"/>
                <w:highlight w:val="none"/>
              </w:rPr>
              <w:t>8）</w:t>
            </w:r>
            <w:r>
              <w:rPr>
                <w:rFonts w:hint="eastAsia" w:ascii="宋体" w:hAnsi="宋体" w:cs="宋体"/>
                <w:szCs w:val="21"/>
                <w:highlight w:val="none"/>
              </w:rPr>
              <w:t>。</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（3）价格评议分值，以《投标一览表》价格作为评审依据。</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（4）投标报价为包干价，包含但不限于《会刊》设计、印刷、包装、装卸运输、人工、保密等完成本项目所需的全部费用。</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（5）若制作数量有变化，最终结算以税后单价乘以实际制作数量计算实际结算金额。招标人不再另行支付其他任何费用。</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（6）本次投标的费用由投标人自理。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255"/>
                <w:numId w:val="0"/>
              </w:numPr>
              <w:tabs>
                <w:tab w:val="left" w:pos="606"/>
              </w:tabs>
              <w:spacing w:line="400" w:lineRule="exact"/>
              <w:ind w:right="30" w:firstLine="0" w:firstLineChars="0"/>
              <w:jc w:val="left"/>
              <w:rPr>
                <w:rFonts w:ascii="宋体" w:hAnsi="宋体" w:cs="宋体"/>
                <w:szCs w:val="21"/>
              </w:rPr>
            </w:pPr>
            <w:r>
              <w:rPr>
                <w:rFonts w:hint="eastAsia" w:ascii="宋体" w:hAnsi="宋体" w:eastAsia="宋体" w:cs="宋体"/>
                <w:szCs w:val="21"/>
              </w:rPr>
              <w:t>（1）本项目采购控制金额为人民币</w:t>
            </w:r>
            <w:r>
              <w:rPr>
                <w:rFonts w:ascii="宋体" w:hAnsi="宋体" w:eastAsia="宋体" w:cs="宋体"/>
                <w:szCs w:val="21"/>
              </w:rPr>
              <w:t>56.4</w:t>
            </w:r>
            <w:r>
              <w:rPr>
                <w:rFonts w:hint="eastAsia" w:ascii="宋体" w:hAnsi="宋体" w:eastAsia="宋体" w:cs="宋体"/>
                <w:szCs w:val="21"/>
              </w:rPr>
              <w:t>万元（含增值税</w:t>
            </w:r>
            <w:r>
              <w:rPr>
                <w:rFonts w:ascii="宋体" w:hAnsi="宋体" w:eastAsia="宋体" w:cs="宋体"/>
                <w:szCs w:val="21"/>
              </w:rPr>
              <w:t>)</w:t>
            </w:r>
            <w:r>
              <w:rPr>
                <w:rFonts w:hint="eastAsia" w:ascii="宋体" w:hAnsi="宋体" w:eastAsia="宋体" w:cs="宋体"/>
                <w:szCs w:val="21"/>
              </w:rPr>
              <w:t>，分为</w:t>
            </w:r>
            <w:r>
              <w:rPr>
                <w:rFonts w:ascii="宋体" w:hAnsi="宋体" w:eastAsia="宋体" w:cs="宋体"/>
                <w:szCs w:val="21"/>
              </w:rPr>
              <w:t>2023</w:t>
            </w:r>
            <w:r>
              <w:rPr>
                <w:rFonts w:hint="eastAsia" w:ascii="宋体" w:hAnsi="宋体" w:eastAsia="宋体" w:cs="宋体"/>
                <w:szCs w:val="21"/>
              </w:rPr>
              <w:t>年度、</w:t>
            </w:r>
            <w:r>
              <w:rPr>
                <w:rFonts w:ascii="宋体" w:hAnsi="宋体" w:eastAsia="宋体" w:cs="宋体"/>
                <w:szCs w:val="21"/>
              </w:rPr>
              <w:t>2024</w:t>
            </w:r>
            <w:r>
              <w:rPr>
                <w:rFonts w:hint="eastAsia" w:ascii="宋体" w:hAnsi="宋体" w:eastAsia="宋体" w:cs="宋体"/>
                <w:szCs w:val="21"/>
              </w:rPr>
              <w:t>年度、</w:t>
            </w:r>
            <w:r>
              <w:rPr>
                <w:rFonts w:ascii="宋体" w:hAnsi="宋体" w:eastAsia="宋体" w:cs="宋体"/>
                <w:szCs w:val="21"/>
              </w:rPr>
              <w:t>2025</w:t>
            </w:r>
            <w:r>
              <w:rPr>
                <w:rFonts w:hint="eastAsia" w:ascii="宋体" w:hAnsi="宋体" w:eastAsia="宋体" w:cs="宋体"/>
                <w:szCs w:val="21"/>
              </w:rPr>
              <w:t>年度三期，每期控制金额分别为</w:t>
            </w:r>
            <w:r>
              <w:rPr>
                <w:rFonts w:ascii="宋体" w:hAnsi="宋体" w:eastAsia="宋体" w:cs="宋体"/>
                <w:szCs w:val="21"/>
              </w:rPr>
              <w:t>18.8</w:t>
            </w:r>
            <w:r>
              <w:rPr>
                <w:rFonts w:hint="eastAsia" w:ascii="宋体" w:hAnsi="宋体" w:eastAsia="宋体" w:cs="宋体"/>
                <w:szCs w:val="21"/>
              </w:rPr>
              <w:t>万元。报价超过上述控制金额的投标文件作废标处理。</w:t>
            </w:r>
          </w:p>
          <w:p>
            <w:pPr>
              <w:pStyle w:val="36"/>
              <w:widowControl/>
              <w:numPr>
                <w:ilvl w:val="255"/>
                <w:numId w:val="0"/>
              </w:numPr>
              <w:tabs>
                <w:tab w:val="left" w:pos="606"/>
              </w:tabs>
              <w:spacing w:line="400" w:lineRule="exact"/>
              <w:ind w:right="30" w:firstLine="0" w:firstLineChars="0"/>
              <w:jc w:val="left"/>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本项目合同采用“1+1+1”模式。在第一期满后一个月，投标人应主动向招标人申请对其当期服务质量进行履约评价，招标人根据投标人的服务质量、各项承诺执行情况等因素进行履约评价，如履约评价达到优良（即评分达到80分或以上），且下届高交会《会刊》编印要求基本不变，则执行第二期合同；如考核未达到优良或下届高交会《会刊》编印要求发生较大变化，则招标人有权在第一期期满时终止合同；第三期合同如此类推。具体考核办法详见合同模板附件《供应商履约评价表（一般服务类适用）》。</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pacing w:line="400" w:lineRule="exact"/>
              <w:ind w:right="30" w:firstLine="0" w:firstLineChars="0"/>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每期成果交付须严格按照招标人时间要求完成，</w:t>
            </w:r>
            <w:bookmarkStart w:id="37" w:name="_Hlk140074882"/>
            <w:r>
              <w:rPr>
                <w:rFonts w:hint="eastAsia" w:ascii="宋体" w:hAnsi="宋体" w:eastAsia="宋体" w:cs="宋体"/>
                <w:szCs w:val="21"/>
              </w:rPr>
              <w:t>投标人须按时提交全部货物并提出货物验收申请，由招标人组织货物验收。整批货物经招标人验收全部合格后，以实际验收数量及合同单价计算当期实际结算金额，由招标人支付。</w:t>
            </w:r>
          </w:p>
          <w:p>
            <w:pPr>
              <w:pStyle w:val="36"/>
              <w:widowControl/>
              <w:numPr>
                <w:ilvl w:val="-1"/>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如在首次交付验收时，出现质量问题，须完成补印且验收合格后，再进行结算。</w:t>
            </w:r>
          </w:p>
          <w:bookmarkEnd w:id="37"/>
          <w:p>
            <w:pPr>
              <w:pStyle w:val="36"/>
              <w:widowControl/>
              <w:numPr>
                <w:ilvl w:val="-1"/>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投标人须在招标人进行上述付款前提供相应金额且有效等额的增值税发票，详细付款事宜以合同条款为准。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（1）项目设计时间（含定稿）为2023年、2024年、2025年每年的10月28日起7个日历日内，印刷时间自完成项目设计之日起9个日历日，具体日期安排以招标人最终确定为准。</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（2）第一期成果交付时间为2023年11月13日，要求一次性交付全部数量的中英文版《会刊》至招标人指定地点。</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（3）第二期、第三期项目设计时间时长、印刷时长基本一致，成果交付时间以招标人最终确认为准。</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（4）如因招标人原因造成项目延迟，具体交付时间由双方协商确定。</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（1）投标人交付的成果包括中英文版《会刊》及《会刊》最终设计稿电子文档。</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（2）招标人对整批中英文版《会刊》印刷的质量及数量进行核验。投标人必须保证印刷品质。印刷工艺满足国家和地方相关规范、标准及环保要求。</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（3）《会刊》最终设计稿电子文档，均以原始设计电子文件（indd、cdr或ai等格式）和PDF文件提交。</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（4）《会刊》拼版完毕进行数码样与蓝纸打印，核对无误后进行上机打实样，投标人将实样递交至招标人指定地点，经招标人指定负责人验收合格后方可开机印刷。</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5）付印前投标人须向招标人提供《会刊》的完整样书并由招标人确认、封样，招标人将按样书印刷品质验收。如不能达到样书印刷品质，招标人有权退回所有印刷成品，投标人须保证在规定的时间内按封样印刷品质重新印刷并交验货物。如投标人第一次实样打样不能满足招标人要求，需按照招标人修改意见进行第二次实样打样，若第二次实样打样仍不能满足要求，招标人有权解除合同。</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6）投标人将成品送至指定的地点后，由招标人进行组织验收，投标人到场配合。对不合格成品，投标人应在3个日历日内予以换货。如投标人不予更换或不及时更换或更换后仍不合格，招标人将拒收该批次成品，并有权对此前已接受的部分或全部成品予以退回，并保留追究投标人违约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版权归属</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（1）本项目成果所有权归招标人所有。</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投标人必须对设计成果拥有原创性，不得有模仿、抄袭等侵权行为，因此所带来的法律责任与招标人无关。若因此所带来的一切经济和法律责任均由投标人自行承担；若给招标人造成损失的，招标人保留进一步追偿的权利。</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（3）招标人在中华人民共和国境内使用该技术的任何一部分时，免受第三方提出的侵犯其专利权等一切起诉。</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（4）投标人承诺不私自使用或外泄项目印制过程中使用的信息、数据等商业机密。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特别约定</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在合同履行过程中，如本项目各期相关参数（包括但不限于《会刊》印刷数量、编印实施时间及合同款项等）因不可抗力或政府政策等原因而发生变化，与本招标文件内容存在差异时，如前期有发生费用，双方以实际发生情况进行协商。如有必要，以签订补充协议进行约定。</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在合同履行过程中，发生不可抗力阻碍了合同的正常履行，双方互不负违约责任，但应采取积极措施防止损失的扩大，并及时提供充分的证明文件给对方。待不可抗力对合同的影响消除后，应继续履行合同，如因不可抗力造成合同不能履行的，双方皆可终止或解除合同。</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（3）在合同履行过程中，投标人如因不可抗力因素影响合同的执行，必须及时通知招标人，以便做好充分的准备，避免更大损失的发生。否则，招标人保留追偿损失的权利。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项目负责</w:t>
            </w:r>
          </w:p>
          <w:p>
            <w:pPr>
              <w:jc w:val="center"/>
              <w:rPr>
                <w:rFonts w:ascii="宋体" w:hAnsi="宋体" w:cs="宋体"/>
                <w:szCs w:val="21"/>
              </w:rPr>
            </w:pPr>
            <w:r>
              <w:rPr>
                <w:rFonts w:hint="eastAsia" w:ascii="宋体" w:hAnsi="宋体" w:cs="宋体"/>
                <w:szCs w:val="21"/>
              </w:rPr>
              <w:t>团队要求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（1）项目经理要求：</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1.1）投标人须为《会刊》编印项目设置专职项目经理一名，项目经理需符合以下条件：能与招标人就本项目全程良好沟通与协调；有印刷品的设计制作的相关工作经验背景；熟悉掌握印刷品的技术和方法；有担任大型书刊编印项目经理的经历（提供相应证明材料并加盖参加单位公章）；项目经理须在本项目上投入100％的工作精力，除非计划内工作已经完成并得到各方确认；项目经理现场技术服务咨询回答准确。</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（1.2）项目经理一经指定，不得随意更换。如投标人提出更换请求时，需取得招标人书面同意方可更换；如招标人要求更换时，参加单位须及时按要求更换符合要求的项目经理。</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（2）设计人员要求：</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（2.1）投标人须有自己的设计、印刷和售后服务人员。本项目的设计环节，招标人须同时提供三名设计人员进行《会刊》的设计，以保证按期完成设计任务。</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2.2）设计人员须符合以下条件：有印刷品的设计工作经验背景；熟悉掌握平面设计的技术和方法；有担任大型书刊设计项目设计师的经历（提供相应证明材料，包含但不限于能体现设计师水平的大型书刊设计稿或会刊设计作品主要部分的打印件、各获奖证书、参展证明复印件等，证明资料加盖参加单位公章）；设计人员须在本项目上投入100％的工作精力，除非计划内工作已经完成并得到各方确认。</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（2.3）经招标人同意后，投标人可以更换设计人员，但须满足在设计期内始终有3名设计人员同时工作。招标人可提出更换设计人员。</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现场办公要求：本项目设计后期至付印前（暂定：2023年10月31日-11月3日、2024年第二十六届高交会及2025年第二十七届高交会展前12-15天），投标人须安排不少于2名设计师携相关设备到招标人提供的办公场地办公，保证按期完成设计环节的工作任务。</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提交资料：投标人拟投入本项目的项目负责人及设计人员应为该单位在岗人员，须提供由投标人为上述人员购买的近三个月社保清单证明（如在招标公告日上一个月的社保材料因社保部门原因暂时无法取得，则可以往前顺推一个月），并加盖投标人公章。</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（5）未按要求提供或提供不清晰的，证明材料作无效处理。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10</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投标人须提交项目的服务方案，内容包括但不限于处理流程、人员与设施安排、设计后期现场办公安排、应急处理方案、技术保障措施、服务响应速度及具体的服务承诺等方面的内容。</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应急方案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投标人应建立项目负责人制度。保证有专人负责印刷事宜，包括联系、出厂质检等，对印刷服务问题确保在12小时内处理完毕。</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rPr>
                <w:rFonts w:ascii="宋体" w:hAnsi="宋体" w:cs="宋体"/>
                <w:szCs w:val="21"/>
              </w:rPr>
            </w:pPr>
            <w:r>
              <w:rPr>
                <w:rFonts w:hint="eastAsia" w:ascii="宋体" w:hAnsi="宋体" w:cs="宋体"/>
                <w:szCs w:val="21"/>
              </w:rPr>
              <w:t>高交会《会刊》编印服务项目工作内容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）基本要求：投标人须提供《会刊》的编辑和设计服务、印刷《会刊》的成品，并提供《会刊》设计稿的电子文档。</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）招标人提供会刊设计封面文件、</w:t>
            </w:r>
            <w:r>
              <w:rPr>
                <w:rFonts w:ascii="宋体" w:hAnsi="宋体" w:cs="宋体"/>
                <w:szCs w:val="21"/>
              </w:rPr>
              <w:t>LOGO</w:t>
            </w:r>
            <w:r>
              <w:rPr>
                <w:rFonts w:hint="eastAsia" w:ascii="宋体" w:hAnsi="宋体" w:cs="宋体"/>
                <w:szCs w:val="21"/>
              </w:rPr>
              <w:t>文件以及内文项目内容；投标人按照招标人提出的设计要求设计。</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）具体内容包括：领导致辞、高交会简介、展区平面图、项目配对洽谈活动候选项目、论坛议程、高交会展商信息及应急安全科技展、人才高交会展商信息等。其中，高交会展商数量约</w:t>
            </w:r>
            <w:r>
              <w:rPr>
                <w:rFonts w:ascii="宋体" w:hAnsi="宋体" w:cs="宋体"/>
                <w:szCs w:val="21"/>
              </w:rPr>
              <w:t>2000-3000</w:t>
            </w:r>
            <w:r>
              <w:rPr>
                <w:rFonts w:hint="eastAsia" w:ascii="宋体" w:hAnsi="宋体" w:cs="宋体"/>
                <w:szCs w:val="21"/>
              </w:rPr>
              <w:t>家（以最终确认的报名数量为准），信息内容包含：单位名称、单位地址、联系人、电话、传真、邮箱、网站、项目</w:t>
            </w:r>
            <w:r>
              <w:rPr>
                <w:rFonts w:ascii="宋体" w:hAnsi="宋体" w:cs="宋体"/>
                <w:szCs w:val="21"/>
              </w:rPr>
              <w:t>/</w:t>
            </w:r>
            <w:r>
              <w:rPr>
                <w:rFonts w:hint="eastAsia" w:ascii="宋体" w:hAnsi="宋体" w:cs="宋体"/>
                <w:szCs w:val="21"/>
              </w:rPr>
              <w:t>产品名称、展馆及展位号等。</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投标人</w:t>
            </w:r>
            <w:r>
              <w:rPr>
                <w:rFonts w:ascii="宋体" w:hAnsi="宋体" w:cs="宋体"/>
                <w:szCs w:val="21"/>
              </w:rPr>
              <w:t>设计初稿后，配合招标人完成第一校、二校、三校的内容校对。招标人经内容校对后，提出的内容增减、修改部分等要求，</w:t>
            </w:r>
            <w:r>
              <w:rPr>
                <w:rFonts w:hint="eastAsia" w:ascii="宋体" w:hAnsi="宋体" w:cs="宋体"/>
                <w:szCs w:val="21"/>
              </w:rPr>
              <w:t>投标人</w:t>
            </w:r>
            <w:r>
              <w:rPr>
                <w:rFonts w:ascii="宋体" w:hAnsi="宋体" w:cs="宋体"/>
                <w:szCs w:val="21"/>
              </w:rPr>
              <w:t>需要及时处理，完成后第一时间交付招标人再次确认，确保内容正确性。</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计划印制</w:t>
            </w:r>
          </w:p>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数量</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2023</w:t>
            </w:r>
            <w:r>
              <w:rPr>
                <w:rFonts w:hint="eastAsia" w:ascii="宋体" w:hAnsi="宋体" w:cs="宋体"/>
                <w:szCs w:val="21"/>
              </w:rPr>
              <w:t>年度《第二十五届中国国际高新技术成果交易会会刊》中文版</w:t>
            </w:r>
            <w:r>
              <w:rPr>
                <w:rFonts w:ascii="宋体" w:hAnsi="宋体" w:cs="宋体"/>
                <w:szCs w:val="21"/>
              </w:rPr>
              <w:t>5500</w:t>
            </w:r>
            <w:r>
              <w:rPr>
                <w:rFonts w:hint="eastAsia" w:ascii="宋体" w:hAnsi="宋体" w:cs="宋体"/>
                <w:szCs w:val="21"/>
              </w:rPr>
              <w:t>册、英文版</w:t>
            </w:r>
            <w:r>
              <w:rPr>
                <w:rFonts w:ascii="宋体" w:hAnsi="宋体" w:cs="宋体"/>
                <w:szCs w:val="21"/>
              </w:rPr>
              <w:t>1100</w:t>
            </w:r>
            <w:r>
              <w:rPr>
                <w:rFonts w:hint="eastAsia" w:ascii="宋体" w:hAnsi="宋体" w:cs="宋体"/>
                <w:szCs w:val="21"/>
              </w:rPr>
              <w:t>册。（预估）</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2024</w:t>
            </w:r>
            <w:r>
              <w:rPr>
                <w:rFonts w:hint="eastAsia" w:ascii="宋体" w:hAnsi="宋体" w:cs="宋体"/>
                <w:szCs w:val="21"/>
              </w:rPr>
              <w:t>年度《第二十六届中国国际高新技术成果交易会会刊》中文版</w:t>
            </w:r>
            <w:r>
              <w:rPr>
                <w:rFonts w:ascii="宋体" w:hAnsi="宋体" w:cs="宋体"/>
                <w:szCs w:val="21"/>
              </w:rPr>
              <w:t>5500</w:t>
            </w:r>
            <w:r>
              <w:rPr>
                <w:rFonts w:hint="eastAsia" w:ascii="宋体" w:hAnsi="宋体" w:cs="宋体"/>
                <w:szCs w:val="21"/>
              </w:rPr>
              <w:t>册、英文版</w:t>
            </w:r>
            <w:r>
              <w:rPr>
                <w:rFonts w:ascii="宋体" w:hAnsi="宋体" w:cs="宋体"/>
                <w:szCs w:val="21"/>
              </w:rPr>
              <w:t>1100</w:t>
            </w:r>
            <w:r>
              <w:rPr>
                <w:rFonts w:hint="eastAsia" w:ascii="宋体" w:hAnsi="宋体" w:cs="宋体"/>
                <w:szCs w:val="21"/>
              </w:rPr>
              <w:t>册。（预估）</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2025</w:t>
            </w:r>
            <w:r>
              <w:rPr>
                <w:rFonts w:hint="eastAsia" w:ascii="宋体" w:hAnsi="宋体" w:cs="宋体"/>
                <w:szCs w:val="21"/>
              </w:rPr>
              <w:t>年度《第二十七届中国国际高新技术成果交易会会刊》中文版</w:t>
            </w:r>
            <w:r>
              <w:rPr>
                <w:rFonts w:ascii="宋体" w:hAnsi="宋体" w:cs="宋体"/>
                <w:szCs w:val="21"/>
              </w:rPr>
              <w:t>5500</w:t>
            </w:r>
            <w:r>
              <w:rPr>
                <w:rFonts w:hint="eastAsia" w:ascii="宋体" w:hAnsi="宋体" w:cs="宋体"/>
                <w:szCs w:val="21"/>
              </w:rPr>
              <w:t>册、英文版</w:t>
            </w:r>
            <w:r>
              <w:rPr>
                <w:rFonts w:ascii="宋体" w:hAnsi="宋体" w:cs="宋体"/>
                <w:szCs w:val="21"/>
              </w:rPr>
              <w:t>1100</w:t>
            </w:r>
            <w:r>
              <w:rPr>
                <w:rFonts w:hint="eastAsia" w:ascii="宋体" w:hAnsi="宋体" w:cs="宋体"/>
                <w:szCs w:val="21"/>
              </w:rPr>
              <w:t>册。（预估）</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规格及材料</w:t>
            </w:r>
          </w:p>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成品尺寸</w:t>
            </w:r>
            <w:r>
              <w:rPr>
                <w:rFonts w:ascii="宋体" w:hAnsi="宋体" w:cs="宋体"/>
                <w:szCs w:val="21"/>
              </w:rPr>
              <w:t>12cm</w:t>
            </w:r>
            <w:r>
              <w:rPr>
                <w:rFonts w:hint="eastAsia" w:ascii="宋体" w:hAnsi="宋体" w:cs="宋体"/>
                <w:szCs w:val="21"/>
              </w:rPr>
              <w:t>×</w:t>
            </w:r>
            <w:r>
              <w:rPr>
                <w:rFonts w:ascii="宋体" w:hAnsi="宋体" w:cs="宋体"/>
                <w:szCs w:val="21"/>
              </w:rPr>
              <w:t>21.5cm</w:t>
            </w:r>
            <w:r>
              <w:rPr>
                <w:rFonts w:hint="eastAsia" w:ascii="宋体" w:hAnsi="宋体" w:cs="宋体"/>
                <w:szCs w:val="21"/>
              </w:rPr>
              <w:t>，内页采用</w:t>
            </w:r>
            <w:r>
              <w:rPr>
                <w:rFonts w:ascii="宋体" w:hAnsi="宋体" w:cs="宋体"/>
                <w:szCs w:val="21"/>
              </w:rPr>
              <w:t>80g</w:t>
            </w:r>
            <w:r>
              <w:rPr>
                <w:rFonts w:hint="eastAsia" w:ascii="宋体" w:hAnsi="宋体" w:cs="宋体"/>
                <w:szCs w:val="21"/>
              </w:rPr>
              <w:t>哑粉纸，封面封底采用</w:t>
            </w:r>
            <w:r>
              <w:rPr>
                <w:rFonts w:ascii="宋体" w:hAnsi="宋体" w:cs="宋体"/>
                <w:szCs w:val="21"/>
              </w:rPr>
              <w:t>200g</w:t>
            </w:r>
            <w:r>
              <w:rPr>
                <w:rFonts w:hint="eastAsia" w:ascii="宋体" w:hAnsi="宋体" w:cs="宋体"/>
                <w:szCs w:val="21"/>
              </w:rPr>
              <w:t>哑粉纸单面过哑胶，双面四色彩印，线胶装。其中，内页数量最终以高交会展商数量及设计方案为准。</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印刷要求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（1）内容要求：文字与图案完整清楚、内容正确、位置准确、页码正确、标签准确；</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（2）工艺要求：版面干净、墨色均匀、清晰度高，光泽度好，且做到同批同色版面清晰、材料无误、纸张平滑、装订整齐、包装结实；</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（3）尺寸要求：尺寸划一。</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（4）设计方案由投标人完成，并由招标人确定。</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360" w:lineRule="auto"/>
              <w:ind w:firstLine="0" w:firstLineChars="0"/>
              <w:jc w:val="left"/>
              <w:rPr>
                <w:rFonts w:ascii="宋体" w:hAnsi="宋体" w:cs="宋体"/>
                <w:szCs w:val="21"/>
              </w:rPr>
            </w:pPr>
            <w:r>
              <w:rPr>
                <w:rFonts w:hint="eastAsia" w:ascii="宋体" w:hAnsi="宋体" w:cs="宋体"/>
                <w:szCs w:val="21"/>
              </w:rPr>
              <w:t>投标人应提交完整的本项目工作方案，内容包括但不限于</w:t>
            </w:r>
            <w:r>
              <w:rPr>
                <w:rFonts w:ascii="宋体" w:hAnsi="宋体" w:cs="宋体"/>
                <w:szCs w:val="21"/>
              </w:rPr>
              <w:t xml:space="preserve">: </w:t>
            </w:r>
            <w:r>
              <w:rPr>
                <w:rFonts w:hint="eastAsia" w:ascii="宋体" w:hAnsi="宋体" w:cs="宋体"/>
                <w:szCs w:val="21"/>
              </w:rPr>
              <w:t>印制方案、项目管理团队及管控流程、生产进度及工艺流程安排、应急预案等等。</w:t>
            </w:r>
          </w:p>
        </w:tc>
        <w:tc>
          <w:tcPr>
            <w:tcW w:w="784"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38" w:name="_Toc82685552"/>
      <w:bookmarkEnd w:id="38"/>
      <w:bookmarkStart w:id="39" w:name="_Toc82684600"/>
      <w:bookmarkEnd w:id="39"/>
      <w:bookmarkStart w:id="40" w:name="_Toc82591996"/>
      <w:bookmarkEnd w:id="40"/>
      <w:bookmarkStart w:id="41" w:name="_Toc82684715"/>
      <w:bookmarkEnd w:id="41"/>
      <w:bookmarkStart w:id="42"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2"/>
    </w:p>
    <w:p>
      <w:pPr>
        <w:widowControl/>
        <w:ind w:firstLine="420" w:firstLineChars="200"/>
        <w:jc w:val="left"/>
      </w:pPr>
      <w:r>
        <w:rPr>
          <w:rFonts w:hint="eastAsia"/>
        </w:rPr>
        <w:t>无</w:t>
      </w:r>
      <w: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4"/>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40%</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156" w:beforeLines="50"/>
        <w:jc w:val="left"/>
        <w:outlineLvl w:val="2"/>
        <w:rPr>
          <w:rStyle w:val="31"/>
          <w:rFonts w:ascii="宋体" w:hAnsi="宋体"/>
          <w:b/>
          <w:szCs w:val="21"/>
        </w:rPr>
      </w:pPr>
      <w:bookmarkStart w:id="52" w:name="_Toc116550355"/>
      <w:r>
        <w:rPr>
          <w:rStyle w:val="31"/>
          <w:rFonts w:hint="eastAsia" w:ascii="宋体" w:hAnsi="宋体"/>
          <w:b/>
          <w:bCs/>
          <w:szCs w:val="21"/>
        </w:rPr>
        <w:t>符合性检查</w:t>
      </w:r>
      <w:bookmarkEnd w:id="5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19"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255"/>
                <w:numId w:val="0"/>
              </w:numPr>
              <w:tabs>
                <w:tab w:val="left" w:pos="531"/>
              </w:tabs>
              <w:snapToGrid w:val="0"/>
              <w:spacing w:line="360" w:lineRule="auto"/>
              <w:ind w:firstLine="0" w:firstLineChars="0"/>
              <w:rPr>
                <w:rFonts w:ascii="宋体" w:hAnsi="宋体" w:cs="仿宋_GB2312"/>
                <w:szCs w:val="21"/>
              </w:rPr>
            </w:pPr>
            <w:r>
              <w:rPr>
                <w:rFonts w:hint="eastAsia" w:ascii="宋体" w:hAnsi="宋体" w:cs="宋体"/>
                <w:kern w:val="0"/>
                <w:szCs w:val="21"/>
              </w:rPr>
              <w:t>是否提供以下证明文件：</w:t>
            </w:r>
          </w:p>
          <w:p>
            <w:pPr>
              <w:numPr>
                <w:ilvl w:val="255"/>
                <w:numId w:val="0"/>
              </w:numPr>
              <w:tabs>
                <w:tab w:val="left" w:pos="531"/>
              </w:tabs>
              <w:snapToGrid w:val="0"/>
              <w:spacing w:line="360" w:lineRule="auto"/>
              <w:ind w:firstLine="0" w:firstLineChars="0"/>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）投标人须具有《印刷经营许可证》，上述认证须提供扫描件并加盖投标人公章。</w:t>
            </w:r>
          </w:p>
          <w:p>
            <w:pPr>
              <w:numPr>
                <w:ilvl w:val="255"/>
                <w:numId w:val="0"/>
              </w:numPr>
              <w:tabs>
                <w:tab w:val="left" w:pos="531"/>
              </w:tabs>
              <w:snapToGrid w:val="0"/>
              <w:spacing w:line="360" w:lineRule="auto"/>
              <w:ind w:firstLine="0" w:firstLineChars="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pStyle w:val="36"/>
              <w:widowControl/>
              <w:numPr>
                <w:ilvl w:val="255"/>
                <w:numId w:val="0"/>
              </w:numPr>
              <w:tabs>
                <w:tab w:val="left" w:pos="606"/>
              </w:tabs>
              <w:spacing w:line="400" w:lineRule="exact"/>
              <w:ind w:right="30" w:firstLine="0" w:firstLineChars="0"/>
              <w:jc w:val="left"/>
              <w:rPr>
                <w:rFonts w:ascii="宋体" w:hAnsi="宋体" w:cs="仿宋"/>
                <w:szCs w:val="21"/>
              </w:rPr>
            </w:pPr>
            <w:r>
              <w:rPr>
                <w:rFonts w:hint="eastAsia" w:ascii="宋体" w:hAnsi="宋体" w:eastAsia="宋体" w:cs="宋体"/>
                <w:szCs w:val="21"/>
              </w:rPr>
              <w:t>本项目采购控制金额为人民币56.4万元（含增值税)，分为2023年度、2024年度、2025年度三期，每期控制金额分别为18.8万元。报价超过上述控制金额的投标文件作废标处理。</w:t>
            </w:r>
          </w:p>
        </w:tc>
      </w:tr>
    </w:tbl>
    <w:p>
      <w:pPr>
        <w:numPr>
          <w:ilvl w:val="0"/>
          <w:numId w:val="12"/>
        </w:numPr>
        <w:spacing w:before="156" w:beforeLines="50"/>
        <w:jc w:val="left"/>
        <w:outlineLvl w:val="2"/>
        <w:rPr>
          <w:rStyle w:val="31"/>
          <w:rFonts w:ascii="宋体" w:hAnsi="宋体"/>
          <w:b/>
          <w:bCs/>
          <w:szCs w:val="21"/>
        </w:rPr>
      </w:pPr>
      <w:bookmarkStart w:id="53" w:name="_Toc114675512"/>
      <w:bookmarkStart w:id="54" w:name="_Toc116550356"/>
      <w:r>
        <w:rPr>
          <w:rStyle w:val="31"/>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r>
        <w:rPr>
          <w:rStyle w:val="31"/>
          <w:rFonts w:hint="eastAsia" w:ascii="宋体" w:hAnsi="宋体"/>
          <w:b/>
          <w:bCs/>
          <w:szCs w:val="21"/>
        </w:rPr>
        <w:t>（三）综合评议指标表</w:t>
      </w:r>
    </w:p>
    <w:tbl>
      <w:tblPr>
        <w:tblStyle w:val="16"/>
        <w:tblpPr w:leftFromText="180" w:rightFromText="180" w:vertAnchor="text" w:horzAnchor="page" w:tblpX="1348" w:tblpY="967"/>
        <w:tblOverlap w:val="never"/>
        <w:tblW w:w="9543"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61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996"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43"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ascii="宋体" w:hAnsi="宋体"/>
                <w:b/>
                <w:bCs/>
                <w:szCs w:val="21"/>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8" w:hRule="atLeast"/>
          <w:tblCellSpacing w:w="0" w:type="dxa"/>
        </w:trPr>
        <w:tc>
          <w:tcPr>
            <w:tcW w:w="704" w:type="dxa"/>
            <w:tcBorders>
              <w:tl2br w:val="nil"/>
              <w:tr2bl w:val="nil"/>
            </w:tcBorders>
            <w:vAlign w:val="center"/>
          </w:tcPr>
          <w:p>
            <w:pPr>
              <w:pStyle w:val="24"/>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10分</w:t>
            </w:r>
          </w:p>
        </w:tc>
        <w:tc>
          <w:tcPr>
            <w:tcW w:w="6996" w:type="dxa"/>
            <w:gridSpan w:val="2"/>
            <w:tcBorders>
              <w:tl2br w:val="nil"/>
              <w:tr2bl w:val="nil"/>
            </w:tcBorders>
            <w:tcMar>
              <w:top w:w="15" w:type="dxa"/>
              <w:left w:w="15" w:type="dxa"/>
              <w:bottom w:w="15" w:type="dxa"/>
              <w:right w:w="15" w:type="dxa"/>
            </w:tcMar>
            <w:vAlign w:val="center"/>
          </w:tcPr>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（1）根据投标人是否具备有效的《 ISO9001 质量管理体系认证证书》、《 ISO14000环境认证证书》、《中国环境标志产品认证证书（证书上的服务及产品应包含:平版印刷）》、《ISO27001全称信息安全管理体系认证证书》、《 ISO45001职业健康安全管理体系认证证书》进行评议：每提供一份得1分，满分5分。</w:t>
            </w:r>
          </w:p>
          <w:p>
            <w:pPr>
              <w:pStyle w:val="36"/>
              <w:widowControl/>
              <w:numPr>
                <w:ilvl w:val="255"/>
                <w:numId w:val="0"/>
              </w:numPr>
              <w:tabs>
                <w:tab w:val="left" w:pos="606"/>
              </w:tabs>
              <w:snapToGrid w:val="0"/>
              <w:spacing w:line="400" w:lineRule="exact"/>
              <w:ind w:right="30"/>
              <w:jc w:val="left"/>
              <w:rPr>
                <w:rFonts w:ascii="宋体" w:hAnsi="宋体" w:eastAsia="宋体" w:cs="宋体"/>
                <w:szCs w:val="21"/>
              </w:rPr>
            </w:pPr>
            <w:r>
              <w:rPr>
                <w:rFonts w:hint="eastAsia" w:ascii="宋体" w:hAnsi="宋体" w:eastAsia="宋体" w:cs="宋体"/>
                <w:szCs w:val="21"/>
              </w:rPr>
              <w:t>（2）根据投标人提供的客户评价（依据业绩汇总表的业主评价）：客户整体满意度≥85%，每份满意度评价表得1分，满分5分。</w:t>
            </w:r>
          </w:p>
          <w:p>
            <w:pPr>
              <w:pStyle w:val="36"/>
              <w:widowControl/>
              <w:numPr>
                <w:ilvl w:val="255"/>
                <w:numId w:val="0"/>
              </w:numPr>
              <w:tabs>
                <w:tab w:val="left" w:pos="606"/>
              </w:tabs>
              <w:snapToGrid w:val="0"/>
              <w:spacing w:line="400" w:lineRule="exact"/>
              <w:ind w:right="30"/>
              <w:jc w:val="left"/>
              <w:rPr>
                <w:rFonts w:ascii="宋体" w:hAnsi="宋体" w:eastAsia="宋体" w:cs="宋体"/>
                <w:b/>
                <w:bCs/>
                <w:szCs w:val="21"/>
              </w:rPr>
            </w:pPr>
            <w:r>
              <w:rPr>
                <w:rFonts w:hint="eastAsia" w:ascii="宋体" w:hAnsi="宋体" w:eastAsia="宋体" w:cs="宋体"/>
                <w:b/>
                <w:bCs/>
                <w:szCs w:val="21"/>
              </w:rPr>
              <w:t>证明文件：</w:t>
            </w:r>
          </w:p>
          <w:p>
            <w:pPr>
              <w:pStyle w:val="36"/>
              <w:widowControl/>
              <w:numPr>
                <w:ilvl w:val="255"/>
                <w:numId w:val="0"/>
              </w:numPr>
              <w:tabs>
                <w:tab w:val="left" w:pos="606"/>
              </w:tabs>
              <w:snapToGrid w:val="0"/>
              <w:spacing w:line="400" w:lineRule="exact"/>
              <w:ind w:right="30" w:firstLine="0" w:firstLineChars="0"/>
              <w:jc w:val="left"/>
              <w:rPr>
                <w:rFonts w:ascii="宋体" w:hAnsi="宋体" w:eastAsia="宋体" w:cs="宋体"/>
                <w:szCs w:val="21"/>
              </w:rPr>
            </w:pPr>
            <w:r>
              <w:rPr>
                <w:rFonts w:hint="eastAsia" w:ascii="宋体" w:hAnsi="宋体" w:eastAsia="宋体" w:cs="宋体"/>
                <w:szCs w:val="21"/>
              </w:rPr>
              <w:t>（1）投标人须提供有效期内的资质证书扫描件并加盖投标人公章（原件备查）。未提供或提供的相关证明文件不清晰、不完整或不符合要求的，不得分。</w:t>
            </w:r>
          </w:p>
          <w:p>
            <w:pPr>
              <w:pStyle w:val="36"/>
              <w:widowControl/>
              <w:numPr>
                <w:ilvl w:val="255"/>
                <w:numId w:val="0"/>
              </w:numPr>
              <w:tabs>
                <w:tab w:val="left" w:pos="606"/>
              </w:tabs>
              <w:snapToGrid w:val="0"/>
              <w:spacing w:line="400" w:lineRule="exact"/>
              <w:ind w:right="30" w:firstLine="0" w:firstLineChars="0"/>
              <w:jc w:val="left"/>
              <w:rPr>
                <w:rFonts w:ascii="Times New Roman" w:hAnsi="Times New Roman"/>
                <w:szCs w:val="24"/>
              </w:rPr>
            </w:pPr>
            <w:r>
              <w:rPr>
                <w:rFonts w:hint="eastAsia" w:ascii="宋体" w:hAnsi="宋体" w:eastAsia="宋体" w:cs="宋体"/>
                <w:szCs w:val="21"/>
              </w:rPr>
              <w:t>（2）投标人需提供合同甲方（业主）加盖公章的满意度评价表复印件并加盖投标人公章。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企业业绩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996" w:type="dxa"/>
            <w:gridSpan w:val="2"/>
            <w:tcBorders>
              <w:tl2br w:val="nil"/>
              <w:tr2bl w:val="nil"/>
            </w:tcBorders>
            <w:tcMar>
              <w:top w:w="15" w:type="dxa"/>
              <w:left w:w="15" w:type="dxa"/>
              <w:bottom w:w="15" w:type="dxa"/>
              <w:right w:w="15" w:type="dxa"/>
            </w:tcMar>
            <w:vAlign w:val="center"/>
          </w:tcPr>
          <w:p>
            <w:pPr>
              <w:widowControl/>
              <w:numPr>
                <w:ilvl w:val="255"/>
                <w:numId w:val="0"/>
              </w:numPr>
              <w:tabs>
                <w:tab w:val="left" w:pos="531"/>
              </w:tabs>
              <w:snapToGrid w:val="0"/>
              <w:spacing w:line="360" w:lineRule="auto"/>
              <w:ind w:right="30" w:firstLine="0" w:firstLineChars="0"/>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）根据投标人近三年（时间自</w:t>
            </w:r>
            <w:r>
              <w:rPr>
                <w:rFonts w:ascii="宋体" w:hAnsi="宋体" w:cs="宋体"/>
                <w:szCs w:val="21"/>
              </w:rPr>
              <w:t>2020</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ascii="宋体" w:hAnsi="宋体" w:cs="宋体"/>
                <w:szCs w:val="21"/>
              </w:rPr>
              <w:t>1</w:t>
            </w:r>
            <w:r>
              <w:rPr>
                <w:rFonts w:hint="eastAsia" w:ascii="宋体" w:hAnsi="宋体" w:cs="宋体"/>
                <w:szCs w:val="21"/>
              </w:rPr>
              <w:t>日至本项目公告发布之日）印刷方面（包括但不限于书刊、画册、产品包装盒、海报招贴）同类业绩进行评议，每个业绩可得</w:t>
            </w:r>
            <w:r>
              <w:rPr>
                <w:rFonts w:ascii="宋体" w:hAnsi="宋体" w:cs="宋体"/>
                <w:szCs w:val="21"/>
              </w:rPr>
              <w:t>2</w:t>
            </w:r>
            <w:r>
              <w:rPr>
                <w:rFonts w:hint="eastAsia" w:ascii="宋体" w:hAnsi="宋体" w:cs="宋体"/>
                <w:szCs w:val="21"/>
              </w:rPr>
              <w:t>分，满分</w:t>
            </w:r>
            <w:r>
              <w:rPr>
                <w:rFonts w:ascii="宋体" w:hAnsi="宋体" w:cs="宋体"/>
                <w:szCs w:val="21"/>
              </w:rPr>
              <w:t>14</w:t>
            </w:r>
            <w:r>
              <w:rPr>
                <w:rFonts w:hint="eastAsia" w:ascii="宋体" w:hAnsi="宋体" w:cs="宋体"/>
                <w:szCs w:val="21"/>
              </w:rPr>
              <w:t>分。</w:t>
            </w:r>
          </w:p>
          <w:p>
            <w:pPr>
              <w:widowControl/>
              <w:numPr>
                <w:ilvl w:val="255"/>
                <w:numId w:val="0"/>
              </w:numPr>
              <w:tabs>
                <w:tab w:val="left" w:pos="531"/>
              </w:tabs>
              <w:snapToGrid w:val="0"/>
              <w:spacing w:line="360" w:lineRule="auto"/>
              <w:ind w:right="30" w:firstLine="0" w:firstLineChars="0"/>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）上述业绩中，有展（博）览会或大型会议、论坛会刊设计印刷同类业绩，且单项业绩超过</w:t>
            </w:r>
            <w:r>
              <w:rPr>
                <w:rFonts w:ascii="宋体" w:hAnsi="宋体" w:cs="宋体"/>
                <w:szCs w:val="21"/>
              </w:rPr>
              <w:t>20</w:t>
            </w:r>
            <w:r>
              <w:rPr>
                <w:rFonts w:hint="eastAsia" w:ascii="宋体" w:hAnsi="宋体" w:cs="宋体"/>
                <w:szCs w:val="21"/>
              </w:rPr>
              <w:t>万元的，每项业绩可加</w:t>
            </w:r>
            <w:r>
              <w:rPr>
                <w:rFonts w:ascii="宋体" w:hAnsi="宋体" w:cs="宋体"/>
                <w:szCs w:val="21"/>
              </w:rPr>
              <w:t>1</w:t>
            </w:r>
            <w:r>
              <w:rPr>
                <w:rFonts w:hint="eastAsia" w:ascii="宋体" w:hAnsi="宋体" w:cs="宋体"/>
                <w:szCs w:val="21"/>
              </w:rPr>
              <w:t>分，满分</w:t>
            </w:r>
            <w:r>
              <w:rPr>
                <w:rFonts w:ascii="宋体" w:hAnsi="宋体" w:cs="宋体"/>
                <w:szCs w:val="21"/>
              </w:rPr>
              <w:t>6</w:t>
            </w:r>
            <w:r>
              <w:rPr>
                <w:rFonts w:hint="eastAsia" w:ascii="宋体" w:hAnsi="宋体" w:cs="宋体"/>
                <w:szCs w:val="21"/>
              </w:rPr>
              <w:t>分。</w:t>
            </w:r>
          </w:p>
          <w:p>
            <w:pPr>
              <w:widowControl/>
              <w:numPr>
                <w:ilvl w:val="255"/>
                <w:numId w:val="0"/>
              </w:numPr>
              <w:tabs>
                <w:tab w:val="left" w:pos="531"/>
              </w:tabs>
              <w:snapToGrid w:val="0"/>
              <w:spacing w:line="360" w:lineRule="auto"/>
              <w:ind w:right="30"/>
              <w:jc w:val="left"/>
              <w:rPr>
                <w:rFonts w:ascii="宋体" w:hAnsi="宋体" w:cs="宋体"/>
                <w:b/>
                <w:bCs/>
                <w:szCs w:val="21"/>
              </w:rPr>
            </w:pPr>
            <w:r>
              <w:rPr>
                <w:rFonts w:hint="eastAsia" w:ascii="宋体" w:hAnsi="宋体" w:cs="宋体"/>
                <w:b/>
                <w:bCs/>
                <w:szCs w:val="21"/>
              </w:rPr>
              <w:t>证明文件：</w:t>
            </w:r>
          </w:p>
          <w:p>
            <w:pPr>
              <w:numPr>
                <w:ilvl w:val="255"/>
                <w:numId w:val="0"/>
              </w:numPr>
              <w:tabs>
                <w:tab w:val="left" w:pos="531"/>
              </w:tabs>
              <w:snapToGrid w:val="0"/>
              <w:spacing w:line="360" w:lineRule="auto"/>
              <w:ind w:firstLine="0" w:firstLineChars="0"/>
              <w:rPr>
                <w:rFonts w:ascii="宋体" w:hAnsi="宋体" w:cs="宋体"/>
                <w:szCs w:val="21"/>
              </w:rPr>
            </w:pPr>
            <w:r>
              <w:rPr>
                <w:rFonts w:hint="eastAsia" w:ascii="宋体" w:hAnsi="宋体" w:cs="宋体"/>
                <w:szCs w:val="21"/>
              </w:rPr>
              <w:t>（1）投标人需提供上述业绩的汇总表并加盖投标人公章。</w:t>
            </w:r>
          </w:p>
          <w:p>
            <w:pPr>
              <w:numPr>
                <w:ilvl w:val="255"/>
                <w:numId w:val="0"/>
              </w:numPr>
              <w:tabs>
                <w:tab w:val="left" w:pos="531"/>
              </w:tabs>
              <w:snapToGrid w:val="0"/>
              <w:spacing w:line="360" w:lineRule="auto"/>
              <w:ind w:firstLine="0" w:firstLineChars="0"/>
              <w:rPr>
                <w:rFonts w:ascii="宋体" w:hAnsi="宋体"/>
                <w:szCs w:val="21"/>
              </w:rPr>
            </w:pPr>
            <w:r>
              <w:rPr>
                <w:rFonts w:hint="eastAsia" w:ascii="宋体" w:hAnsi="宋体" w:cs="宋体"/>
                <w:szCs w:val="21"/>
              </w:rPr>
              <w:t>（2）投标人需提供合同关键页复印件并加盖投标人公章。合同关键页包含但不限于项目名称、业主方名称、合同主要内容、合同金额、签订时间、履约地点、甲乙双方盖章等信息，并加盖投标人公章。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839"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ascii="宋体" w:hAnsi="宋体"/>
                <w:b/>
                <w:bCs/>
                <w:szCs w:val="21"/>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996" w:type="dxa"/>
            <w:gridSpan w:val="2"/>
            <w:tcBorders>
              <w:tl2br w:val="nil"/>
              <w:tr2bl w:val="nil"/>
            </w:tcBorders>
            <w:tcMar>
              <w:top w:w="15" w:type="dxa"/>
              <w:left w:w="15" w:type="dxa"/>
              <w:bottom w:w="15" w:type="dxa"/>
              <w:right w:w="15" w:type="dxa"/>
            </w:tcMar>
            <w:vAlign w:val="center"/>
          </w:tcPr>
          <w:p>
            <w:pPr>
              <w:pStyle w:val="36"/>
              <w:widowControl/>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）根据投标人所供服务方案的科学性、全面性、项目条款响应程度及作出承诺进行评议：优秀得</w:t>
            </w:r>
            <w:r>
              <w:rPr>
                <w:rFonts w:ascii="宋体" w:hAnsi="宋体" w:eastAsia="宋体" w:cs="宋体"/>
                <w:szCs w:val="21"/>
              </w:rPr>
              <w:t xml:space="preserve"> 15-13</w:t>
            </w:r>
            <w:r>
              <w:rPr>
                <w:rFonts w:hint="eastAsia" w:ascii="宋体" w:hAnsi="宋体" w:eastAsia="宋体" w:cs="宋体"/>
                <w:szCs w:val="21"/>
              </w:rPr>
              <w:t>分，良好得</w:t>
            </w:r>
            <w:r>
              <w:rPr>
                <w:rFonts w:ascii="宋体" w:hAnsi="宋体" w:eastAsia="宋体" w:cs="宋体"/>
                <w:szCs w:val="21"/>
              </w:rPr>
              <w:t>12-9</w:t>
            </w:r>
            <w:r>
              <w:rPr>
                <w:rFonts w:hint="eastAsia" w:ascii="宋体" w:hAnsi="宋体" w:eastAsia="宋体" w:cs="宋体"/>
                <w:szCs w:val="21"/>
              </w:rPr>
              <w:t>分，一般得</w:t>
            </w:r>
            <w:r>
              <w:rPr>
                <w:rFonts w:ascii="宋体" w:hAnsi="宋体" w:eastAsia="宋体" w:cs="宋体"/>
                <w:szCs w:val="21"/>
              </w:rPr>
              <w:t>8-5</w:t>
            </w:r>
            <w:r>
              <w:rPr>
                <w:rFonts w:hint="eastAsia" w:ascii="宋体" w:hAnsi="宋体" w:eastAsia="宋体" w:cs="宋体"/>
                <w:szCs w:val="21"/>
              </w:rPr>
              <w:t>分，其他得</w:t>
            </w:r>
            <w:r>
              <w:rPr>
                <w:rFonts w:ascii="宋体" w:hAnsi="宋体" w:eastAsia="宋体" w:cs="宋体"/>
                <w:szCs w:val="21"/>
              </w:rPr>
              <w:t>2</w:t>
            </w:r>
            <w:r>
              <w:rPr>
                <w:rFonts w:hint="eastAsia" w:ascii="宋体" w:hAnsi="宋体" w:eastAsia="宋体" w:cs="宋体"/>
                <w:szCs w:val="21"/>
              </w:rPr>
              <w:t>分。</w:t>
            </w:r>
          </w:p>
          <w:p>
            <w:pPr>
              <w:pStyle w:val="36"/>
              <w:widowControl/>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）如投标人在提出满足于本项目采购需求的服务方案以外，提出优化方案，并作出相应服务承诺。根据该优化方案的科学性、全面性进行评议：优秀可加</w:t>
            </w:r>
            <w:r>
              <w:rPr>
                <w:rFonts w:ascii="宋体" w:hAnsi="宋体" w:eastAsia="宋体" w:cs="宋体"/>
                <w:szCs w:val="21"/>
              </w:rPr>
              <w:t xml:space="preserve"> 5-4</w:t>
            </w:r>
            <w:r>
              <w:rPr>
                <w:rFonts w:hint="eastAsia" w:ascii="宋体" w:hAnsi="宋体" w:eastAsia="宋体" w:cs="宋体"/>
                <w:szCs w:val="21"/>
              </w:rPr>
              <w:t>分，良好可加</w:t>
            </w:r>
            <w:r>
              <w:rPr>
                <w:rFonts w:ascii="宋体" w:hAnsi="宋体" w:eastAsia="宋体" w:cs="宋体"/>
                <w:szCs w:val="21"/>
              </w:rPr>
              <w:t>3-1</w:t>
            </w:r>
            <w:r>
              <w:rPr>
                <w:rFonts w:hint="eastAsia" w:ascii="宋体" w:hAnsi="宋体" w:eastAsia="宋体" w:cs="宋体"/>
                <w:szCs w:val="21"/>
              </w:rPr>
              <w:t>分，其他得</w:t>
            </w:r>
            <w:r>
              <w:rPr>
                <w:rFonts w:ascii="宋体" w:hAnsi="宋体" w:eastAsia="宋体" w:cs="宋体"/>
                <w:szCs w:val="21"/>
              </w:rPr>
              <w:t>0</w:t>
            </w:r>
            <w:r>
              <w:rPr>
                <w:rFonts w:hint="eastAsia" w:ascii="宋体" w:hAnsi="宋体" w:eastAsia="宋体" w:cs="宋体"/>
                <w:szCs w:val="21"/>
              </w:rPr>
              <w:t>分。</w:t>
            </w:r>
          </w:p>
          <w:p>
            <w:pPr>
              <w:pStyle w:val="36"/>
              <w:widowControl/>
              <w:tabs>
                <w:tab w:val="left" w:pos="606"/>
              </w:tabs>
              <w:spacing w:line="400" w:lineRule="exact"/>
              <w:ind w:right="30" w:firstLine="0" w:firstLineChars="0"/>
              <w:jc w:val="left"/>
              <w:rPr>
                <w:rFonts w:ascii="宋体" w:hAnsi="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证明文件：</w:t>
            </w:r>
          </w:p>
          <w:p>
            <w:pPr>
              <w:pStyle w:val="36"/>
              <w:widowControl/>
              <w:tabs>
                <w:tab w:val="left" w:pos="606"/>
              </w:tabs>
              <w:snapToGrid w:val="0"/>
              <w:spacing w:line="360" w:lineRule="auto"/>
              <w:ind w:right="30" w:firstLine="0" w:firstLineChars="0"/>
              <w:jc w:val="left"/>
              <w:rPr>
                <w:rFonts w:ascii="宋体" w:hAnsi="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）投标人根据项目要求提出完整的服务方案，并加盖投标人公章。</w:t>
            </w:r>
          </w:p>
          <w:p>
            <w:pPr>
              <w:snapToGrid w:val="0"/>
              <w:rPr>
                <w:rFonts w:ascii="宋体" w:hAnsi="宋体" w:cs="宋体"/>
                <w:kern w:val="0"/>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）投标人根据项目要求提出优化方案，并加盖投标人公章。（如有）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应急方案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4分</w:t>
            </w:r>
          </w:p>
        </w:tc>
        <w:tc>
          <w:tcPr>
            <w:tcW w:w="6996" w:type="dxa"/>
            <w:gridSpan w:val="2"/>
            <w:tcBorders>
              <w:tl2br w:val="nil"/>
              <w:tr2bl w:val="nil"/>
            </w:tcBorders>
            <w:tcMar>
              <w:top w:w="15" w:type="dxa"/>
              <w:left w:w="15" w:type="dxa"/>
              <w:bottom w:w="15" w:type="dxa"/>
              <w:right w:w="15" w:type="dxa"/>
            </w:tcMar>
            <w:vAlign w:val="center"/>
          </w:tcPr>
          <w:p>
            <w:pPr>
              <w:pStyle w:val="36"/>
              <w:widowControl/>
              <w:tabs>
                <w:tab w:val="left" w:pos="606"/>
              </w:tabs>
              <w:snapToGrid w:val="0"/>
              <w:spacing w:line="360" w:lineRule="auto"/>
              <w:ind w:right="30" w:firstLine="0" w:firstLineChars="0"/>
              <w:jc w:val="left"/>
              <w:rPr>
                <w:rFonts w:ascii="宋体" w:hAnsi="宋体" w:eastAsia="宋体" w:cs="宋体"/>
                <w:b/>
                <w:bCs/>
                <w:szCs w:val="21"/>
              </w:rPr>
            </w:pPr>
            <w:r>
              <w:rPr>
                <w:rFonts w:hint="eastAsia" w:ascii="宋体" w:hAnsi="宋体" w:eastAsia="宋体" w:cs="宋体"/>
                <w:b/>
                <w:bCs/>
                <w:szCs w:val="21"/>
              </w:rPr>
              <w:t>评审标准：</w:t>
            </w:r>
          </w:p>
          <w:p>
            <w:pPr>
              <w:pStyle w:val="36"/>
              <w:widowControl/>
              <w:tabs>
                <w:tab w:val="left" w:pos="606"/>
              </w:tabs>
              <w:snapToGrid w:val="0"/>
              <w:spacing w:line="360" w:lineRule="auto"/>
              <w:ind w:right="30" w:firstLine="0" w:firstLineChars="0"/>
              <w:jc w:val="left"/>
              <w:rPr>
                <w:rFonts w:ascii="宋体" w:hAnsi="宋体" w:eastAsia="宋体" w:cs="宋体"/>
                <w:szCs w:val="21"/>
              </w:rPr>
            </w:pPr>
            <w:r>
              <w:rPr>
                <w:rFonts w:hint="eastAsia" w:ascii="宋体" w:hAnsi="宋体" w:eastAsia="宋体" w:cs="宋体"/>
                <w:szCs w:val="21"/>
              </w:rPr>
              <w:t>根据投标人所供应急处理方案的科学性、全面性、项目条款响应程度及作出承诺进行评议：优秀得</w:t>
            </w:r>
            <w:r>
              <w:rPr>
                <w:rFonts w:ascii="宋体" w:hAnsi="宋体" w:eastAsia="宋体" w:cs="宋体"/>
                <w:szCs w:val="21"/>
              </w:rPr>
              <w:t xml:space="preserve"> 4分，良好得3分，一般得2分，其他得0分。</w:t>
            </w:r>
          </w:p>
          <w:p>
            <w:pPr>
              <w:pStyle w:val="36"/>
              <w:widowControl/>
              <w:tabs>
                <w:tab w:val="left" w:pos="606"/>
              </w:tabs>
              <w:snapToGrid w:val="0"/>
              <w:spacing w:line="360" w:lineRule="auto"/>
              <w:ind w:right="30" w:firstLine="0" w:firstLineChars="0"/>
              <w:jc w:val="left"/>
              <w:rPr>
                <w:rFonts w:ascii="宋体" w:hAnsi="宋体" w:eastAsia="宋体" w:cs="宋体"/>
                <w:b/>
                <w:bCs/>
                <w:szCs w:val="21"/>
              </w:rPr>
            </w:pPr>
            <w:r>
              <w:rPr>
                <w:rFonts w:hint="eastAsia" w:ascii="宋体" w:hAnsi="宋体" w:eastAsia="宋体" w:cs="宋体"/>
                <w:b/>
                <w:bCs/>
                <w:szCs w:val="21"/>
              </w:rPr>
              <w:t>证明文件：</w:t>
            </w:r>
          </w:p>
          <w:p>
            <w:pPr>
              <w:pStyle w:val="36"/>
              <w:widowControl/>
              <w:tabs>
                <w:tab w:val="left" w:pos="606"/>
              </w:tabs>
              <w:snapToGrid w:val="0"/>
              <w:spacing w:line="360" w:lineRule="auto"/>
              <w:ind w:right="30" w:firstLine="0" w:firstLineChars="0"/>
              <w:jc w:val="left"/>
              <w:rPr>
                <w:rFonts w:ascii="宋体" w:hAnsi="宋体" w:cs="宋体"/>
                <w:kern w:val="0"/>
                <w:szCs w:val="21"/>
              </w:rPr>
            </w:pPr>
            <w:r>
              <w:rPr>
                <w:rFonts w:hint="eastAsia" w:ascii="宋体" w:hAnsi="宋体" w:eastAsia="宋体" w:cs="宋体"/>
                <w:szCs w:val="21"/>
              </w:rPr>
              <w:t>投标人根据项目要求提出相应的应急处理方案，并加盖投标人公章。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55"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项目团队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16分</w:t>
            </w:r>
          </w:p>
        </w:tc>
        <w:tc>
          <w:tcPr>
            <w:tcW w:w="6996" w:type="dxa"/>
            <w:gridSpan w:val="2"/>
            <w:tcBorders>
              <w:tl2br w:val="nil"/>
              <w:tr2bl w:val="nil"/>
            </w:tcBorders>
            <w:tcMar>
              <w:top w:w="15" w:type="dxa"/>
              <w:left w:w="15" w:type="dxa"/>
              <w:bottom w:w="15" w:type="dxa"/>
              <w:right w:w="15" w:type="dxa"/>
            </w:tcMar>
            <w:vAlign w:val="center"/>
          </w:tcPr>
          <w:p>
            <w:pPr>
              <w:pStyle w:val="36"/>
              <w:widowControl/>
              <w:numPr>
                <w:ilvl w:val="255"/>
                <w:numId w:val="0"/>
              </w:numPr>
              <w:tabs>
                <w:tab w:val="left" w:pos="606"/>
              </w:tabs>
              <w:snapToGrid w:val="0"/>
              <w:spacing w:line="400" w:lineRule="exact"/>
              <w:ind w:right="30"/>
              <w:jc w:val="left"/>
              <w:rPr>
                <w:rFonts w:ascii="宋体" w:hAnsi="宋体" w:cs="宋体"/>
                <w:b/>
                <w:bCs/>
                <w:szCs w:val="21"/>
              </w:rPr>
            </w:pPr>
            <w:r>
              <w:rPr>
                <w:rFonts w:hint="eastAsia" w:ascii="宋体" w:hAnsi="宋体" w:eastAsia="宋体" w:cs="宋体"/>
                <w:b/>
                <w:bCs/>
                <w:szCs w:val="21"/>
              </w:rPr>
              <w:t>评审标准：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（1）根据投标人为本项目拟派项目经理工作经验、资质水平、所负责过的大型书刊编印项目（特别是展（博）览会会刊项目）等多方面综合评议：优秀</w:t>
            </w:r>
            <w:r>
              <w:rPr>
                <w:rFonts w:ascii="宋体" w:hAnsi="宋体" w:eastAsia="宋体" w:cs="宋体"/>
                <w:szCs w:val="21"/>
              </w:rPr>
              <w:t>5分，良好4分，一般3分，其余0分。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（2）根据投标人为本项目拟派主设计师设计经验、获奖情况、展出所属领域、项目知名度及影响力等综合资质水平比较进行评议：优秀</w:t>
            </w:r>
            <w:r>
              <w:rPr>
                <w:rFonts w:ascii="宋体" w:hAnsi="宋体" w:eastAsia="宋体" w:cs="宋体"/>
                <w:szCs w:val="21"/>
              </w:rPr>
              <w:t>5分，良好4分，一般3分，其余0分。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（3）拟派主设计师有展（博）览会会刊类设计作品的，以合计数排名，第一名可加</w:t>
            </w:r>
            <w:r>
              <w:rPr>
                <w:rFonts w:ascii="宋体" w:hAnsi="宋体" w:eastAsia="宋体" w:cs="宋体"/>
                <w:szCs w:val="21"/>
              </w:rPr>
              <w:t>2分，第二名可加1分，其余不得分；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（4）拟派主设计师有国内外设计行业获奖情况的，以合计数排名，第一名可加</w:t>
            </w:r>
            <w:r>
              <w:rPr>
                <w:rFonts w:ascii="宋体" w:hAnsi="宋体" w:eastAsia="宋体" w:cs="宋体"/>
                <w:szCs w:val="21"/>
              </w:rPr>
              <w:t>2分，第二名可加1分，其余不得分；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eastAsia="宋体" w:cs="宋体"/>
                <w:szCs w:val="21"/>
              </w:rPr>
              <w:t>（5）拟派主设计师有设计作品在国内外展（博）览会展出的，以合计数排名，第一名可加</w:t>
            </w:r>
            <w:r>
              <w:rPr>
                <w:rFonts w:ascii="宋体" w:hAnsi="宋体" w:eastAsia="宋体" w:cs="宋体"/>
                <w:szCs w:val="21"/>
              </w:rPr>
              <w:t>2分，第二名可加1分，其余不得分。</w:t>
            </w:r>
          </w:p>
          <w:p>
            <w:pPr>
              <w:pStyle w:val="36"/>
              <w:widowControl/>
              <w:numPr>
                <w:ilvl w:val="255"/>
                <w:numId w:val="0"/>
              </w:numPr>
              <w:tabs>
                <w:tab w:val="left" w:pos="606"/>
              </w:tabs>
              <w:snapToGrid w:val="0"/>
              <w:spacing w:line="400" w:lineRule="exact"/>
              <w:ind w:right="30"/>
              <w:jc w:val="left"/>
              <w:rPr>
                <w:rFonts w:ascii="宋体" w:hAnsi="宋体" w:cs="宋体"/>
                <w:szCs w:val="21"/>
              </w:rPr>
            </w:pPr>
            <w:r>
              <w:rPr>
                <w:rFonts w:hint="eastAsia" w:ascii="宋体" w:hAnsi="宋体" w:cs="宋体"/>
                <w:b/>
                <w:bCs/>
                <w:szCs w:val="21"/>
              </w:rPr>
              <w:t>证明文件：</w:t>
            </w:r>
          </w:p>
          <w:p>
            <w:pPr>
              <w:pStyle w:val="36"/>
              <w:widowControl/>
              <w:numPr>
                <w:ilvl w:val="-1"/>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投标人需提供拟派项目经理、主设计师的相关个人简历材料及社保证明，并加盖投标人公章。社保证明须是由投标人为其购买的近三个月社保清单证明（如在招标公告日上一个月的社保材料因社保部门原因暂时无法取得，则可以往前顺推一个月）。</w:t>
            </w:r>
          </w:p>
          <w:p>
            <w:pPr>
              <w:pStyle w:val="36"/>
              <w:widowControl/>
              <w:numPr>
                <w:ilvl w:val="255"/>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投标人提供的资料须足以证明项目（获奖）成果为主设计师主理，并加盖投标人公章；如所提供证明文件无法判断涉及人员的，该项不得分。</w:t>
            </w:r>
          </w:p>
          <w:p>
            <w:pPr>
              <w:pStyle w:val="36"/>
              <w:widowControl/>
              <w:numPr>
                <w:ilvl w:val="255"/>
                <w:numId w:val="0"/>
              </w:numPr>
              <w:tabs>
                <w:tab w:val="left" w:pos="606"/>
              </w:tabs>
              <w:snapToGrid w:val="0"/>
              <w:spacing w:line="400" w:lineRule="exact"/>
              <w:ind w:right="30" w:firstLine="0" w:firstLineChars="0"/>
              <w:jc w:val="left"/>
              <w:rPr>
                <w:rFonts w:ascii="宋体" w:hAnsi="宋体" w:cs="宋体"/>
                <w:szCs w:val="21"/>
              </w:rPr>
            </w:pPr>
            <w:r>
              <w:rPr>
                <w:rFonts w:hint="eastAsia" w:ascii="宋体" w:hAnsi="宋体" w:eastAsia="宋体" w:cs="宋体"/>
                <w:szCs w:val="21"/>
              </w:rPr>
              <w:t>（3）如拟派主设计师同时符合多个条件，可重复加分。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43" w:type="dxa"/>
            <w:gridSpan w:val="5"/>
            <w:tcBorders>
              <w:tl2br w:val="nil"/>
              <w:tr2bl w:val="nil"/>
            </w:tcBorders>
          </w:tcPr>
          <w:p>
            <w:pPr>
              <w:jc w:val="center"/>
              <w:rPr>
                <w:b/>
                <w:bCs/>
              </w:rPr>
            </w:pPr>
            <w:r>
              <w:rPr>
                <w:rFonts w:hint="eastAsia"/>
                <w:b/>
                <w:bCs/>
              </w:rPr>
              <w:t>价格评议项（30分）</w:t>
            </w:r>
          </w:p>
          <w:p>
            <w:pPr>
              <w:jc w:val="center"/>
            </w:pPr>
            <w:r>
              <w:rPr>
                <w:rFonts w:hint="eastAsia"/>
                <w:b/>
                <w:bCs/>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39"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05"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05"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05"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94"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142"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6"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6142" w:type="dxa"/>
            <w:tcBorders>
              <w:tl2br w:val="nil"/>
              <w:tr2bl w:val="nil"/>
            </w:tcBorders>
            <w:vAlign w:val="center"/>
          </w:tcPr>
          <w:p>
            <w:pPr>
              <w:autoSpaceDE w:val="0"/>
              <w:autoSpaceDN w:val="0"/>
              <w:adjustRightInd w:val="0"/>
              <w:snapToGrid w:val="0"/>
              <w:jc w:val="left"/>
              <w:rPr>
                <w:rStyle w:val="21"/>
                <w:rFonts w:ascii="宋体" w:hAnsi="宋体"/>
              </w:rPr>
            </w:pPr>
            <w:r>
              <w:rPr>
                <w:rStyle w:val="21"/>
                <w:rFonts w:hint="eastAsia" w:ascii="宋体" w:hAnsi="宋体"/>
              </w:rPr>
              <w:t>价格得分=（1-A×｜1-投标报价/Z｜）×M</w:t>
            </w:r>
          </w:p>
          <w:p>
            <w:pPr>
              <w:numPr>
                <w:ilvl w:val="0"/>
                <w:numId w:val="15"/>
              </w:numPr>
              <w:autoSpaceDE w:val="0"/>
              <w:autoSpaceDN w:val="0"/>
              <w:adjustRightInd w:val="0"/>
              <w:snapToGrid w:val="0"/>
              <w:jc w:val="left"/>
              <w:rPr>
                <w:rStyle w:val="21"/>
                <w:rFonts w:ascii="宋体" w:hAnsi="宋体"/>
              </w:rPr>
            </w:pPr>
            <w:r>
              <w:rPr>
                <w:rStyle w:val="21"/>
                <w:rFonts w:hint="eastAsia" w:ascii="宋体" w:hAnsi="宋体"/>
              </w:rPr>
              <w:t xml:space="preserve">M= </w:t>
            </w:r>
            <w:r>
              <w:rPr>
                <w:rFonts w:hint="eastAsia" w:ascii="宋体" w:hAnsi="宋体"/>
                <w:szCs w:val="21"/>
              </w:rPr>
              <w:t>××</w:t>
            </w:r>
            <w:r>
              <w:rPr>
                <w:rStyle w:val="21"/>
                <w:rFonts w:hint="eastAsia" w:ascii="宋体" w:hAnsi="宋体"/>
              </w:rPr>
              <w:t xml:space="preserve"> （价格评价分项满分值），Z为本次招标基准价；</w:t>
            </w:r>
          </w:p>
          <w:p>
            <w:pPr>
              <w:numPr>
                <w:ilvl w:val="0"/>
                <w:numId w:val="15"/>
              </w:numPr>
              <w:autoSpaceDE w:val="0"/>
              <w:autoSpaceDN w:val="0"/>
              <w:adjustRightInd w:val="0"/>
              <w:snapToGrid w:val="0"/>
              <w:jc w:val="left"/>
              <w:rPr>
                <w:rStyle w:val="21"/>
                <w:rFonts w:ascii="宋体" w:hAnsi="宋体"/>
              </w:rPr>
            </w:pPr>
            <w:r>
              <w:rPr>
                <w:rStyle w:val="21"/>
                <w:rFonts w:hint="eastAsia" w:ascii="宋体" w:hAnsi="宋体"/>
              </w:rPr>
              <w:t>A为价格调整系数，当投标报价低于本次招标最佳报价（即基准价）时，A=0.5；当投标报价高于次招标基准价时，取A=1；</w:t>
            </w:r>
          </w:p>
          <w:p>
            <w:pPr>
              <w:numPr>
                <w:ilvl w:val="0"/>
                <w:numId w:val="15"/>
              </w:numPr>
              <w:jc w:val="left"/>
              <w:rPr>
                <w:rFonts w:ascii="宋体" w:cs="宋体"/>
                <w:kern w:val="0"/>
                <w:szCs w:val="21"/>
              </w:rPr>
            </w:pPr>
            <w:r>
              <w:rPr>
                <w:rStyle w:val="21"/>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142" w:type="dxa"/>
            <w:tcBorders>
              <w:tl2br w:val="nil"/>
              <w:tr2bl w:val="nil"/>
            </w:tcBorders>
            <w:vAlign w:val="center"/>
          </w:tcPr>
          <w:p>
            <w:pPr>
              <w:widowControl/>
              <w:snapToGrid w:val="0"/>
              <w:spacing w:line="380" w:lineRule="exact"/>
              <w:jc w:val="left"/>
              <w:rPr>
                <w:rFonts w:ascii="宋体" w:hAnsi="宋体" w:cs="宋体"/>
                <w:szCs w:val="21"/>
              </w:rPr>
            </w:pPr>
            <w:r>
              <w:rPr>
                <w:rFonts w:hint="eastAsia" w:ascii="宋体" w:hAnsi="宋体" w:cs="宋体"/>
                <w:szCs w:val="21"/>
              </w:rPr>
              <w:t>价格得分=（1-｜投标报价-基准价｜÷基准价）×价格权重分</w:t>
            </w:r>
          </w:p>
          <w:p>
            <w:pPr>
              <w:spacing w:line="240" w:lineRule="atLeast"/>
              <w:jc w:val="left"/>
              <w:rPr>
                <w:rFonts w:ascii="宋体" w:cs="宋体"/>
                <w:kern w:val="0"/>
                <w:szCs w:val="21"/>
              </w:rPr>
            </w:pPr>
            <w:r>
              <w:rPr>
                <w:rFonts w:hint="eastAsia" w:ascii="宋体" w:hAnsi="宋体" w:cs="宋体"/>
                <w:szCs w:val="21"/>
              </w:rPr>
              <w:t>说明：报价最接近基准价的投标人价格分最高，价格分保留至小数点后两位。</w:t>
            </w:r>
          </w:p>
        </w:tc>
      </w:tr>
    </w:tbl>
    <w:p>
      <w:pPr>
        <w:numPr>
          <w:ilvl w:val="255"/>
          <w:numId w:val="0"/>
        </w:numPr>
        <w:spacing w:before="156" w:beforeLines="50"/>
        <w:jc w:val="left"/>
        <w:outlineLvl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5" w:name="_Toc116550358"/>
      <w:r>
        <w:rPr>
          <w:rFonts w:hint="eastAsia" w:ascii="宋体" w:hAnsi="宋体"/>
          <w:b/>
          <w:sz w:val="32"/>
          <w:szCs w:val="32"/>
        </w:rPr>
        <w:t>第四部分：合同条款及格式</w:t>
      </w:r>
      <w:bookmarkEnd w:id="55"/>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6" w:name="_Hlk116549198"/>
      <w:r>
        <w:rPr>
          <w:rFonts w:hint="eastAsia" w:ascii="方正小标宋简体" w:hAnsi="方正小标宋简体" w:eastAsia="方正小标宋简体" w:cs="方正小标宋简体"/>
          <w:bCs/>
          <w:kern w:val="0"/>
          <w:sz w:val="28"/>
          <w:szCs w:val="28"/>
        </w:rPr>
        <w:t>2023-2025年度中国国际高新技术成果交易会会刊编印服务合同</w:t>
      </w:r>
    </w:p>
    <w:bookmarkEnd w:id="56"/>
    <w:p>
      <w:pPr>
        <w:jc w:val="center"/>
        <w:rPr>
          <w:rFonts w:ascii="宋体" w:hAnsi="宋体"/>
          <w:szCs w:val="21"/>
        </w:rPr>
      </w:pPr>
      <w:bookmarkStart w:id="57" w:name="_Hlk116549211"/>
      <w:r>
        <w:rPr>
          <w:rFonts w:hint="eastAsia" w:ascii="方正小标宋简体" w:hAnsi="方正小标宋简体" w:eastAsia="方正小标宋简体" w:cs="方正小标宋简体"/>
          <w:bCs/>
          <w:kern w:val="0"/>
          <w:sz w:val="28"/>
          <w:szCs w:val="28"/>
        </w:rPr>
        <w:t>（一般服务类合同模板仅供参考，后续根据招标结果补充完整）</w:t>
      </w:r>
    </w:p>
    <w:bookmarkEnd w:id="57"/>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电话：0755-8284XXXX</w:t>
      </w:r>
      <w:r>
        <w:rPr>
          <w:rFonts w:ascii="宋体" w:hAnsi="宋体" w:cs="宋体"/>
          <w:kern w:val="0"/>
          <w:szCs w:val="21"/>
        </w:rPr>
        <w:t xml:space="preserve"> </w:t>
      </w:r>
    </w:p>
    <w:p>
      <w:pPr>
        <w:pStyle w:val="2"/>
        <w:spacing w:line="360" w:lineRule="auto"/>
        <w:ind w:left="0"/>
        <w:rPr>
          <w:rFonts w:ascii="宋体" w:hAnsi="宋体"/>
          <w:sz w:val="21"/>
          <w:szCs w:val="21"/>
        </w:rPr>
      </w:pPr>
      <w:r>
        <w:rPr>
          <w:rFonts w:hint="eastAsia" w:ascii="宋体" w:hAnsi="宋体" w:cs="宋体"/>
          <w:sz w:val="21"/>
          <w:szCs w:val="21"/>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2"/>
        <w:spacing w:line="360" w:lineRule="auto"/>
        <w:ind w:left="0"/>
        <w:rPr>
          <w:rFonts w:ascii="宋体" w:hAnsi="宋体"/>
          <w:sz w:val="21"/>
          <w:szCs w:val="21"/>
        </w:rPr>
      </w:pPr>
      <w:r>
        <w:rPr>
          <w:rFonts w:hint="eastAsia" w:ascii="宋体" w:hAnsi="宋体" w:cs="宋体"/>
          <w:sz w:val="21"/>
          <w:szCs w:val="21"/>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rPr>
        <w:t>XXXXXXXXXXXX</w:t>
      </w:r>
      <w:r>
        <w:rPr>
          <w:rFonts w:hint="eastAsia" w:ascii="宋体" w:hAnsi="宋体" w:cs="Arial"/>
          <w:sz w:val="21"/>
          <w:szCs w:val="21"/>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rPr>
        <w:t>XXXXXXXXXXXX</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1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19"/>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增值服务（如有）</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1"/>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hint="eastAsia" w:ascii="宋体" w:hAnsi="宋体" w:cs="仿宋"/>
          <w:sz w:val="21"/>
          <w:szCs w:val="21"/>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4"/>
        <w:numPr>
          <w:ilvl w:val="1"/>
          <w:numId w:val="2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4"/>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为¥XXX万元（</w:t>
      </w:r>
      <w:r>
        <w:rPr>
          <w:rFonts w:hint="eastAsia" w:ascii="宋体" w:hAnsi="宋体" w:eastAsia="宋体" w:cs="仿宋"/>
          <w:szCs w:val="21"/>
        </w:rPr>
        <w:t>大写人民币：</w:t>
      </w:r>
      <w:r>
        <w:rPr>
          <w:rFonts w:hint="eastAsia" w:ascii="宋体" w:hAnsi="宋体" w:eastAsia="宋体" w:cs="仿宋"/>
          <w:szCs w:val="21"/>
          <w:u w:val="single"/>
        </w:rPr>
        <w:t>XXXX元整</w:t>
      </w:r>
      <w:r>
        <w:rPr>
          <w:rFonts w:ascii="宋体" w:hAnsi="宋体" w:eastAsia="宋体" w:cs="仿宋"/>
          <w:szCs w:val="21"/>
          <w:u w:val="single"/>
        </w:rPr>
        <w:t xml:space="preserve"> </w:t>
      </w:r>
      <w:r>
        <w:rPr>
          <w:rFonts w:hint="eastAsia" w:ascii="宋体" w:hAnsi="宋体" w:eastAsia="宋体" w:cs="仿宋"/>
          <w:szCs w:val="21"/>
        </w:rPr>
        <w:t>），税率为X%</w:t>
      </w:r>
      <w:r>
        <w:rPr>
          <w:rFonts w:hint="eastAsia" w:ascii="宋体" w:hAnsi="宋体" w:eastAsia="宋体" w:cs="仿宋"/>
          <w:spacing w:val="-2"/>
          <w:szCs w:val="21"/>
        </w:rPr>
        <w:t>。</w:t>
      </w:r>
    </w:p>
    <w:p>
      <w:pPr>
        <w:pStyle w:val="24"/>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以上金额已经包含项目费用开具增值税专用发票所产生的税费及乙方完成本项目服务所发生的</w:t>
      </w:r>
      <w:r>
        <w:rPr>
          <w:rFonts w:hint="eastAsia" w:ascii="宋体" w:hAnsi="宋体" w:eastAsia="宋体" w:cs="仿宋"/>
          <w:szCs w:val="21"/>
        </w:rPr>
        <w:t>全部费用。</w:t>
      </w:r>
    </w:p>
    <w:p>
      <w:pPr>
        <w:pStyle w:val="24"/>
        <w:numPr>
          <w:ilvl w:val="1"/>
          <w:numId w:val="2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4"/>
        <w:numPr>
          <w:ilvl w:val="0"/>
          <w:numId w:val="2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合同签订，乙方完成XXX后，15个工作日内甲方向乙方支付合同金额XX％款项，即人民币XXXX元（大写：XXXX元整）；</w:t>
      </w:r>
    </w:p>
    <w:p>
      <w:pPr>
        <w:pStyle w:val="24"/>
        <w:numPr>
          <w:ilvl w:val="0"/>
          <w:numId w:val="24"/>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4"/>
        <w:numPr>
          <w:ilvl w:val="0"/>
          <w:numId w:val="24"/>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甲方办理合同款项支付前，乙方需先向甲方提供全额（等额）真实、合法有效的增值税专用发票。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2"/>
        <w:numPr>
          <w:ilvl w:val="0"/>
          <w:numId w:val="25"/>
        </w:numPr>
        <w:spacing w:after="0" w:line="360" w:lineRule="auto"/>
        <w:ind w:left="0" w:firstLine="402" w:firstLineChars="200"/>
        <w:rPr>
          <w:rFonts w:ascii="宋体" w:hAnsi="宋体" w:cs="宋体"/>
          <w:sz w:val="21"/>
          <w:szCs w:val="21"/>
        </w:rPr>
      </w:pPr>
      <w:r>
        <w:rPr>
          <w:rFonts w:hint="eastAsia" w:ascii="宋体" w:hAnsi="宋体" w:cs="仿宋"/>
          <w:b/>
          <w:bCs/>
          <w:sz w:val="21"/>
          <w:szCs w:val="21"/>
        </w:rPr>
        <w:t>.</w:t>
      </w: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7"/>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处罚标准（如有）</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29"/>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知识产权归属（如有）</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2"/>
        <w:numPr>
          <w:ilvl w:val="0"/>
          <w:numId w:val="30"/>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甲乙双方任何一方违反约定事项造成对方实际损失的，应在15天内向对方支付年度合同金额XX%的赔偿金和违约金。</w:t>
      </w:r>
    </w:p>
    <w:p>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4"/>
        </w:numPr>
        <w:spacing w:line="360" w:lineRule="auto"/>
        <w:rPr>
          <w:rFonts w:ascii="宋体" w:hAnsi="宋体" w:eastAsia="宋体" w:cs="仿宋"/>
          <w:szCs w:val="21"/>
        </w:rPr>
      </w:pPr>
      <w:bookmarkStart w:id="58"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8"/>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numPr>
          <w:ilvl w:val="0"/>
          <w:numId w:val="17"/>
        </w:numPr>
        <w:ind w:left="0" w:firstLine="402" w:firstLineChars="200"/>
        <w:rPr>
          <w:rFonts w:ascii="宋体" w:hAnsi="宋体" w:cs="仿宋"/>
          <w:b/>
          <w:bCs/>
          <w:sz w:val="21"/>
          <w:szCs w:val="21"/>
        </w:rPr>
      </w:pPr>
      <w:r>
        <w:rPr>
          <w:rFonts w:hint="eastAsia" w:ascii="宋体" w:hAnsi="宋体" w:cs="仿宋"/>
          <w:b/>
          <w:bCs/>
          <w:sz w:val="21"/>
          <w:szCs w:val="21"/>
        </w:rPr>
        <w:t>附件</w:t>
      </w:r>
    </w:p>
    <w:p>
      <w:pPr>
        <w:snapToGrid w:val="0"/>
        <w:spacing w:line="360" w:lineRule="auto"/>
        <w:ind w:left="420" w:leftChars="200"/>
        <w:rPr>
          <w:rFonts w:ascii="宋体" w:hAnsi="宋体" w:cs="仿宋"/>
          <w:szCs w:val="21"/>
        </w:rPr>
      </w:pPr>
      <w:r>
        <w:rPr>
          <w:rFonts w:hint="eastAsia" w:ascii="宋体" w:hAnsi="宋体" w:cs="仿宋"/>
          <w:szCs w:val="21"/>
        </w:rPr>
        <w:t>附件：供应商履约评价表（一般服务类适用）</w:t>
      </w:r>
    </w:p>
    <w:p>
      <w:pPr>
        <w:spacing w:line="560" w:lineRule="exact"/>
        <w:jc w:val="center"/>
        <w:rPr>
          <w:rFonts w:ascii="宋体" w:hAnsi="宋体" w:cs="宋体"/>
          <w:b/>
          <w:kern w:val="0"/>
          <w:sz w:val="28"/>
          <w:szCs w:val="28"/>
        </w:rPr>
      </w:pPr>
      <w:r>
        <w:rPr>
          <w:rFonts w:hint="eastAsia" w:ascii="宋体" w:hAnsi="宋体" w:cs="宋体"/>
          <w:b/>
          <w:kern w:val="0"/>
          <w:sz w:val="28"/>
          <w:szCs w:val="28"/>
        </w:rPr>
        <w:t>供应商履约评价表</w:t>
      </w:r>
    </w:p>
    <w:p>
      <w:pPr>
        <w:spacing w:line="560" w:lineRule="exact"/>
        <w:jc w:val="center"/>
        <w:rPr>
          <w:rFonts w:ascii="黑体" w:hAnsi="黑体" w:eastAsia="黑体" w:cs="黑体"/>
          <w:spacing w:val="-6"/>
          <w:sz w:val="30"/>
          <w:szCs w:val="30"/>
        </w:rPr>
      </w:pPr>
      <w:r>
        <w:rPr>
          <w:rFonts w:hint="eastAsia" w:ascii="宋体" w:hAnsi="宋体" w:cs="宋体"/>
          <w:b/>
          <w:spacing w:val="-6"/>
          <w:sz w:val="28"/>
          <w:szCs w:val="28"/>
        </w:rPr>
        <w:t>（一般服务类适用）</w:t>
      </w:r>
    </w:p>
    <w:p>
      <w:pPr>
        <w:jc w:val="center"/>
        <w:rPr>
          <w:rFonts w:ascii="宋体" w:hAnsi="宋体" w:cs="宋体"/>
          <w:b/>
          <w:kern w:val="0"/>
          <w:sz w:val="15"/>
          <w:szCs w:val="32"/>
        </w:rPr>
      </w:pP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ascii="宋体" w:hAnsi="宋体" w:cs="宋体"/>
                <w:szCs w:val="21"/>
              </w:rPr>
            </w:pPr>
            <w:r>
              <w:rPr>
                <w:rFonts w:ascii="宋体" w:hAnsi="宋体" w:cs="宋体"/>
                <w:szCs w:val="21"/>
              </w:rPr>
              <w:t>合同名称</w:t>
            </w:r>
          </w:p>
        </w:tc>
        <w:tc>
          <w:tcPr>
            <w:tcW w:w="3826" w:type="dxa"/>
            <w:gridSpan w:val="3"/>
            <w:tcBorders>
              <w:tl2br w:val="nil"/>
              <w:tr2bl w:val="nil"/>
            </w:tcBorders>
            <w:vAlign w:val="center"/>
          </w:tcPr>
          <w:p>
            <w:pPr>
              <w:rPr>
                <w:rFonts w:ascii="宋体" w:hAnsi="宋体" w:cs="宋体"/>
                <w:sz w:val="24"/>
              </w:rPr>
            </w:pP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合同签订时间</w:t>
            </w:r>
          </w:p>
        </w:tc>
        <w:tc>
          <w:tcPr>
            <w:tcW w:w="3544" w:type="dxa"/>
            <w:gridSpan w:val="3"/>
            <w:tcBorders>
              <w:tl2br w:val="nil"/>
              <w:tr2bl w:val="nil"/>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合同金额</w:t>
            </w:r>
          </w:p>
        </w:tc>
        <w:tc>
          <w:tcPr>
            <w:tcW w:w="3826" w:type="dxa"/>
            <w:gridSpan w:val="3"/>
            <w:tcBorders>
              <w:tl2br w:val="nil"/>
              <w:tr2bl w:val="nil"/>
            </w:tcBorders>
            <w:vAlign w:val="center"/>
          </w:tcPr>
          <w:p>
            <w:pPr>
              <w:rPr>
                <w:rFonts w:ascii="宋体" w:hAnsi="宋体" w:cs="宋体"/>
                <w:sz w:val="24"/>
              </w:rPr>
            </w:pPr>
            <w:r>
              <w:rPr>
                <w:rFonts w:ascii="宋体" w:hAnsi="宋体" w:cs="宋体"/>
                <w:szCs w:val="21"/>
              </w:rPr>
              <w:t>人民币</w:t>
            </w:r>
            <w:r>
              <w:rPr>
                <w:rFonts w:ascii="宋体" w:hAnsi="宋体" w:cs="宋体"/>
                <w:szCs w:val="21"/>
                <w:u w:val="single"/>
              </w:rPr>
              <w:t xml:space="preserve">      </w:t>
            </w:r>
            <w:r>
              <w:rPr>
                <w:rFonts w:hint="eastAsia" w:ascii="宋体" w:hAnsi="宋体" w:cs="宋体"/>
                <w:szCs w:val="21"/>
              </w:rPr>
              <w:t>万元</w:t>
            </w: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结算金额</w:t>
            </w:r>
          </w:p>
        </w:tc>
        <w:tc>
          <w:tcPr>
            <w:tcW w:w="3544" w:type="dxa"/>
            <w:gridSpan w:val="3"/>
            <w:tcBorders>
              <w:tl2br w:val="nil"/>
              <w:tr2bl w:val="nil"/>
            </w:tcBorders>
            <w:vAlign w:val="center"/>
          </w:tcPr>
          <w:p>
            <w:pPr>
              <w:rPr>
                <w:rFonts w:ascii="宋体" w:hAnsi="宋体" w:cs="宋体"/>
                <w:sz w:val="24"/>
              </w:rPr>
            </w:pPr>
            <w:r>
              <w:rPr>
                <w:rFonts w:ascii="宋体" w:hAnsi="宋体" w:cs="宋体"/>
                <w:szCs w:val="21"/>
              </w:rPr>
              <w:t>人民币</w:t>
            </w:r>
            <w:r>
              <w:rPr>
                <w:rFonts w:ascii="宋体" w:hAnsi="宋体" w:cs="宋体"/>
                <w:szCs w:val="21"/>
                <w:u w:val="single"/>
              </w:rPr>
              <w:t xml:space="preserve">      </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合同服务期</w:t>
            </w:r>
          </w:p>
        </w:tc>
        <w:tc>
          <w:tcPr>
            <w:tcW w:w="3826" w:type="dxa"/>
            <w:gridSpan w:val="3"/>
            <w:tcBorders>
              <w:tl2br w:val="nil"/>
              <w:tr2bl w:val="nil"/>
            </w:tcBorders>
            <w:vAlign w:val="center"/>
          </w:tcPr>
          <w:p>
            <w:pPr>
              <w:rPr>
                <w:rFonts w:ascii="宋体" w:hAnsi="宋体" w:cs="宋体"/>
                <w:sz w:val="24"/>
              </w:rPr>
            </w:pPr>
            <w:r>
              <w:rPr>
                <w:rFonts w:ascii="宋体" w:hAnsi="宋体" w:cs="宋体"/>
                <w:szCs w:val="21"/>
                <w:u w:val="single"/>
              </w:rPr>
              <w:t xml:space="preserve">          </w:t>
            </w:r>
            <w:r>
              <w:rPr>
                <w:rFonts w:hint="eastAsia" w:ascii="宋体" w:hAnsi="宋体" w:cs="宋体"/>
                <w:szCs w:val="21"/>
              </w:rPr>
              <w:t>日历</w:t>
            </w:r>
            <w:r>
              <w:rPr>
                <w:rFonts w:ascii="宋体" w:hAnsi="宋体" w:cs="宋体"/>
                <w:szCs w:val="21"/>
              </w:rPr>
              <w:t>日</w:t>
            </w: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验收时间</w:t>
            </w:r>
          </w:p>
        </w:tc>
        <w:tc>
          <w:tcPr>
            <w:tcW w:w="3544" w:type="dxa"/>
            <w:gridSpan w:val="3"/>
            <w:tcBorders>
              <w:tl2br w:val="nil"/>
              <w:tr2bl w:val="nil"/>
            </w:tcBorders>
            <w:vAlign w:val="center"/>
          </w:tcPr>
          <w:p>
            <w:pPr>
              <w:rPr>
                <w:rFonts w:ascii="宋体" w:hAnsi="宋体" w:cs="宋体"/>
                <w:sz w:val="24"/>
              </w:rPr>
            </w:pPr>
            <w:r>
              <w:rPr>
                <w:rFonts w:ascii="宋体" w:hAnsi="宋体" w:cs="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cs="宋体"/>
                <w:szCs w:val="21"/>
              </w:rPr>
            </w:pPr>
            <w:r>
              <w:rPr>
                <w:rFonts w:hint="eastAsia" w:ascii="宋体" w:hAnsi="宋体" w:cs="宋体"/>
                <w:szCs w:val="21"/>
              </w:rPr>
              <w:t>合同范围</w:t>
            </w:r>
          </w:p>
          <w:p>
            <w:pPr>
              <w:spacing w:line="240" w:lineRule="atLeast"/>
              <w:jc w:val="center"/>
              <w:rPr>
                <w:rFonts w:ascii="宋体" w:hAnsi="宋体" w:cs="宋体"/>
                <w:sz w:val="24"/>
              </w:rPr>
            </w:pPr>
            <w:r>
              <w:rPr>
                <w:rFonts w:hint="eastAsia" w:ascii="宋体" w:hAnsi="宋体" w:cs="宋体"/>
                <w:szCs w:val="21"/>
              </w:rPr>
              <w:t>及内容概要</w:t>
            </w:r>
          </w:p>
        </w:tc>
        <w:tc>
          <w:tcPr>
            <w:tcW w:w="9355" w:type="dxa"/>
            <w:gridSpan w:val="8"/>
            <w:tcBorders>
              <w:tl2br w:val="nil"/>
              <w:tr2bl w:val="nil"/>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cs="宋体"/>
                <w:szCs w:val="21"/>
              </w:rPr>
            </w:pPr>
            <w:r>
              <w:rPr>
                <w:rFonts w:hint="eastAsia" w:ascii="宋体" w:hAnsi="宋体" w:cs="宋体"/>
                <w:szCs w:val="21"/>
              </w:rPr>
              <w:t>供应商名称</w:t>
            </w:r>
          </w:p>
        </w:tc>
        <w:tc>
          <w:tcPr>
            <w:tcW w:w="3826" w:type="dxa"/>
            <w:gridSpan w:val="3"/>
            <w:tcBorders>
              <w:tl2br w:val="nil"/>
              <w:tr2bl w:val="nil"/>
            </w:tcBorders>
            <w:vAlign w:val="center"/>
          </w:tcPr>
          <w:p>
            <w:pPr>
              <w:rPr>
                <w:rFonts w:ascii="宋体" w:hAnsi="宋体" w:cs="宋体"/>
                <w:sz w:val="24"/>
              </w:rPr>
            </w:pPr>
          </w:p>
        </w:tc>
        <w:tc>
          <w:tcPr>
            <w:tcW w:w="1985" w:type="dxa"/>
            <w:gridSpan w:val="2"/>
            <w:tcBorders>
              <w:tl2br w:val="nil"/>
              <w:tr2bl w:val="nil"/>
            </w:tcBorders>
            <w:vAlign w:val="center"/>
          </w:tcPr>
          <w:p>
            <w:pPr>
              <w:jc w:val="center"/>
              <w:rPr>
                <w:rFonts w:ascii="宋体" w:hAnsi="宋体" w:cs="宋体"/>
                <w:sz w:val="24"/>
              </w:rPr>
            </w:pPr>
            <w:r>
              <w:rPr>
                <w:rFonts w:hint="eastAsia" w:ascii="宋体" w:hAnsi="宋体" w:cs="宋体"/>
                <w:szCs w:val="21"/>
              </w:rPr>
              <w:t>供应商项目组成员</w:t>
            </w:r>
          </w:p>
        </w:tc>
        <w:tc>
          <w:tcPr>
            <w:tcW w:w="3544" w:type="dxa"/>
            <w:gridSpan w:val="3"/>
            <w:tcBorders>
              <w:tl2br w:val="nil"/>
              <w:tr2bl w:val="nil"/>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cs="宋体"/>
                <w:szCs w:val="21"/>
              </w:rPr>
            </w:pPr>
            <w:r>
              <w:rPr>
                <w:rFonts w:hint="eastAsia" w:ascii="宋体" w:hAnsi="宋体" w:cs="宋体"/>
                <w:szCs w:val="21"/>
              </w:rPr>
              <w:t>履约评价单位</w:t>
            </w:r>
          </w:p>
        </w:tc>
        <w:tc>
          <w:tcPr>
            <w:tcW w:w="3826" w:type="dxa"/>
            <w:gridSpan w:val="3"/>
            <w:tcBorders>
              <w:tl2br w:val="nil"/>
              <w:tr2bl w:val="nil"/>
            </w:tcBorders>
            <w:vAlign w:val="center"/>
          </w:tcPr>
          <w:p>
            <w:pPr>
              <w:rPr>
                <w:rFonts w:ascii="宋体" w:hAnsi="宋体" w:cs="宋体"/>
                <w:szCs w:val="21"/>
              </w:rPr>
            </w:pPr>
          </w:p>
        </w:tc>
        <w:tc>
          <w:tcPr>
            <w:tcW w:w="198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评价小组成员</w:t>
            </w:r>
          </w:p>
        </w:tc>
        <w:tc>
          <w:tcPr>
            <w:tcW w:w="3544" w:type="dxa"/>
            <w:gridSpan w:val="3"/>
            <w:tcBorders>
              <w:tl2br w:val="nil"/>
              <w:tr2bl w:val="nil"/>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cs="宋体"/>
                <w:b/>
                <w:bCs/>
                <w:szCs w:val="21"/>
              </w:rPr>
            </w:pPr>
            <w:r>
              <w:rPr>
                <w:rFonts w:hint="eastAsia" w:ascii="宋体" w:hAnsi="宋体" w:cs="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w:t>
            </w:r>
            <w:r>
              <w:rPr>
                <w:rFonts w:ascii="宋体" w:hAnsi="宋体" w:cs="宋体"/>
                <w:szCs w:val="21"/>
              </w:rPr>
              <w:t xml:space="preserve"> </w:t>
            </w:r>
            <w:r>
              <w:rPr>
                <w:rFonts w:hint="eastAsia" w:ascii="宋体" w:hAnsi="宋体" w:cs="宋体"/>
                <w:szCs w:val="21"/>
              </w:rPr>
              <w:t>价</w:t>
            </w:r>
            <w:r>
              <w:rPr>
                <w:rFonts w:ascii="宋体" w:hAnsi="宋体" w:cs="宋体"/>
                <w:szCs w:val="21"/>
              </w:rPr>
              <w:t xml:space="preserve"> </w:t>
            </w:r>
            <w:r>
              <w:rPr>
                <w:rFonts w:hint="eastAsia" w:ascii="宋体" w:hAnsi="宋体" w:cs="宋体"/>
                <w:szCs w:val="21"/>
              </w:rPr>
              <w:t>指</w:t>
            </w:r>
            <w:r>
              <w:rPr>
                <w:rFonts w:ascii="宋体" w:hAnsi="宋体" w:cs="宋体"/>
                <w:szCs w:val="21"/>
              </w:rPr>
              <w:t xml:space="preserve"> </w:t>
            </w:r>
            <w:r>
              <w:rPr>
                <w:rFonts w:hint="eastAsia" w:ascii="宋体" w:hAnsi="宋体" w:cs="宋体"/>
                <w:szCs w:val="21"/>
              </w:rPr>
              <w:t>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w:t>
            </w:r>
            <w:r>
              <w:rPr>
                <w:rFonts w:ascii="宋体" w:hAnsi="宋体" w:cs="宋体"/>
                <w:szCs w:val="21"/>
              </w:rPr>
              <w:t xml:space="preserve">  </w:t>
            </w:r>
            <w:r>
              <w:rPr>
                <w:rFonts w:hint="eastAsia" w:ascii="宋体" w:hAnsi="宋体" w:cs="宋体"/>
                <w:szCs w:val="21"/>
              </w:rPr>
              <w:t>分</w:t>
            </w:r>
            <w:r>
              <w:rPr>
                <w:rFonts w:ascii="宋体" w:hAnsi="宋体" w:cs="宋体"/>
                <w:szCs w:val="21"/>
              </w:rPr>
              <w:t xml:space="preserve">  </w:t>
            </w:r>
            <w:r>
              <w:rPr>
                <w:rFonts w:hint="eastAsia" w:ascii="宋体" w:hAnsi="宋体" w:cs="宋体"/>
                <w:szCs w:val="21"/>
              </w:rPr>
              <w:t>内</w:t>
            </w:r>
            <w:r>
              <w:rPr>
                <w:rFonts w:ascii="宋体" w:hAnsi="宋体" w:cs="宋体"/>
                <w:szCs w:val="21"/>
              </w:rPr>
              <w:t xml:space="preserve">  </w:t>
            </w:r>
            <w:r>
              <w:rPr>
                <w:rFonts w:hint="eastAsia" w:ascii="宋体" w:hAnsi="宋体" w:cs="宋体"/>
                <w:szCs w:val="21"/>
              </w:rPr>
              <w:t>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w:t>
            </w:r>
            <w:r>
              <w:rPr>
                <w:rFonts w:ascii="宋体" w:hAnsi="宋体" w:cs="宋体"/>
                <w:sz w:val="16"/>
                <w:szCs w:val="16"/>
              </w:rPr>
              <w:t>0.5分为得分单位，最低</w:t>
            </w:r>
            <w:r>
              <w:rPr>
                <w:rFonts w:hint="eastAsia" w:ascii="宋体" w:hAnsi="宋体" w:cs="宋体"/>
                <w:sz w:val="16"/>
                <w:szCs w:val="16"/>
              </w:rPr>
              <w:t>得</w:t>
            </w:r>
            <w:r>
              <w:rPr>
                <w:rFonts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宋体" w:hAnsi="宋体" w:cs="宋体"/>
                <w:sz w:val="24"/>
              </w:rPr>
            </w:pPr>
            <w:r>
              <w:rPr>
                <w:rFonts w:hint="eastAsia" w:ascii="宋体" w:hAnsi="宋体" w:cs="宋体"/>
                <w:sz w:val="24"/>
              </w:rPr>
              <w:t>服务过程（</w:t>
            </w:r>
            <w:r>
              <w:rPr>
                <w:rFonts w:ascii="宋体" w:hAnsi="宋体" w:cs="宋体"/>
                <w:sz w:val="24"/>
              </w:rPr>
              <w:t>82</w:t>
            </w:r>
            <w:r>
              <w:rPr>
                <w:rFonts w:hint="eastAsia" w:ascii="宋体" w:hAnsi="宋体" w:cs="宋体"/>
                <w:sz w:val="24"/>
              </w:rPr>
              <w:t>分）</w:t>
            </w:r>
          </w:p>
        </w:tc>
        <w:tc>
          <w:tcPr>
            <w:tcW w:w="993" w:type="dxa"/>
            <w:vMerge w:val="restart"/>
            <w:tcBorders>
              <w:tl2br w:val="nil"/>
              <w:tr2bl w:val="nil"/>
            </w:tcBorders>
            <w:vAlign w:val="center"/>
          </w:tcPr>
          <w:p>
            <w:pPr>
              <w:spacing w:line="300" w:lineRule="exact"/>
              <w:jc w:val="center"/>
              <w:rPr>
                <w:rFonts w:ascii="宋体" w:hAnsi="宋体" w:cs="宋体"/>
                <w:sz w:val="20"/>
              </w:rPr>
            </w:pPr>
            <w:r>
              <w:rPr>
                <w:rFonts w:hint="eastAsia" w:ascii="宋体" w:hAnsi="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工作效率</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胜任能力</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是否存在对同一事项（如差错、修改意见、疑问及需进一步了解的情况、需进一步分析的事项、服务态度、服务事项、服务要求等）进行多次整改才能得到最终结果或改正的情况</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配合程度</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沟通主动性</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沟通能力</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职业操守</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工作态度</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widowControl/>
              <w:jc w:val="left"/>
              <w:rPr>
                <w:rFonts w:ascii="宋体" w:hAnsi="宋体" w:cs="宋体"/>
                <w:szCs w:val="21"/>
              </w:rPr>
            </w:pPr>
            <w:r>
              <w:rPr>
                <w:rFonts w:hint="eastAsia" w:ascii="宋体" w:hAnsi="宋体" w:cs="宋体"/>
                <w:szCs w:val="21"/>
              </w:rPr>
              <w:t>职业道德</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jc w:val="center"/>
              <w:rPr>
                <w:rFonts w:ascii="宋体" w:hAnsi="宋体" w:cs="宋体"/>
                <w:szCs w:val="21"/>
              </w:rPr>
            </w:pPr>
          </w:p>
        </w:tc>
        <w:tc>
          <w:tcPr>
            <w:tcW w:w="708" w:type="dxa"/>
            <w:vMerge w:val="continue"/>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spacing w:line="300" w:lineRule="exact"/>
              <w:rPr>
                <w:rFonts w:ascii="宋体" w:hAnsi="宋体" w:cs="宋体"/>
                <w:sz w:val="24"/>
              </w:rPr>
            </w:pPr>
            <w:r>
              <w:rPr>
                <w:rFonts w:hint="eastAsia" w:ascii="宋体" w:hAnsi="宋体" w:cs="宋体"/>
                <w:sz w:val="24"/>
              </w:rPr>
              <w:t>服务细则（</w:t>
            </w:r>
            <w:r>
              <w:rPr>
                <w:rFonts w:ascii="宋体" w:hAnsi="宋体" w:cs="宋体"/>
                <w:sz w:val="24"/>
              </w:rPr>
              <w:t>18</w:t>
            </w:r>
            <w:r>
              <w:rPr>
                <w:rFonts w:hint="eastAsia" w:ascii="宋体" w:hAnsi="宋体" w:cs="宋体"/>
                <w:sz w:val="24"/>
              </w:rPr>
              <w:t>分）</w:t>
            </w: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专用条款</w:t>
            </w:r>
          </w:p>
        </w:tc>
        <w:tc>
          <w:tcPr>
            <w:tcW w:w="708" w:type="dxa"/>
            <w:vMerge w:val="restart"/>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是否发生过涉及安全的责任事故</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乙方交付的项目设计成果是否原创</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7</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宋体" w:hAnsi="宋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乙方是否存在私自使用或外泄项目印制过程中使用的信息、数据等商业机密的情形</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4"/>
              <w:numPr>
                <w:ilvl w:val="0"/>
                <w:numId w:val="35"/>
              </w:numPr>
              <w:spacing w:line="260" w:lineRule="exact"/>
              <w:ind w:left="0" w:firstLine="0" w:firstLineChars="0"/>
              <w:rPr>
                <w:rFonts w:ascii="宋体" w:hAnsi="宋体" w:eastAsia="宋体" w:cs="宋体"/>
                <w:szCs w:val="21"/>
              </w:rPr>
            </w:pPr>
            <w:r>
              <w:rPr>
                <w:rFonts w:hint="eastAsia" w:ascii="宋体" w:hAnsi="宋体" w:eastAsia="宋体" w:cs="宋体"/>
                <w:szCs w:val="21"/>
              </w:rPr>
              <w:t>乙方工作人员存在违反采购管理办法中明确禁止事项的行为（</w:t>
            </w:r>
            <w:r>
              <w:rPr>
                <w:rFonts w:hint="eastAsia" w:ascii="宋体" w:hAnsi="宋体" w:eastAsia="宋体" w:cs="宋体"/>
                <w:sz w:val="20"/>
              </w:rPr>
              <w:t>如有则直接评定为不合格</w:t>
            </w:r>
            <w:r>
              <w:rPr>
                <w:rFonts w:hint="eastAsia" w:ascii="宋体" w:hAnsi="宋体" w:eastAsia="宋体" w:cs="宋体"/>
                <w:szCs w:val="21"/>
              </w:rPr>
              <w:t>）</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是</w:t>
            </w:r>
          </w:p>
        </w:tc>
        <w:tc>
          <w:tcPr>
            <w:tcW w:w="1559" w:type="dxa"/>
            <w:tcBorders>
              <w:tl2br w:val="nil"/>
              <w:tr2bl w:val="nil"/>
            </w:tcBorders>
            <w:vAlign w:val="center"/>
          </w:tcPr>
          <w:p>
            <w:pPr>
              <w:spacing w:line="300" w:lineRule="exact"/>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宋体" w:hAnsi="宋体" w:cs="宋体"/>
                <w:sz w:val="24"/>
              </w:rPr>
            </w:pPr>
            <w:r>
              <w:rPr>
                <w:rFonts w:hint="eastAsia" w:ascii="宋体" w:hAnsi="宋体" w:cs="宋体"/>
                <w:sz w:val="24"/>
              </w:rPr>
              <w:t>合计得分：</w:t>
            </w:r>
            <w:r>
              <w:rPr>
                <w:rFonts w:ascii="宋体" w:hAnsi="宋体" w:cs="宋体"/>
                <w:sz w:val="24"/>
              </w:rPr>
              <w:t xml:space="preserve">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宋体" w:hAnsi="宋体" w:cs="宋体"/>
                <w:sz w:val="24"/>
              </w:rPr>
            </w:pPr>
            <w:r>
              <w:rPr>
                <w:rFonts w:hint="eastAsia" w:ascii="宋体" w:hAnsi="宋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ascii="宋体" w:hAnsi="宋体" w:cs="宋体"/>
                <w:szCs w:val="21"/>
              </w:rPr>
              <w:t>90&gt;X≥80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ascii="宋体" w:hAnsi="宋体" w:cs="宋体"/>
                <w:szCs w:val="21"/>
              </w:rPr>
              <w:t>80&gt;X≥60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宋体" w:hAnsi="宋体" w:cs="宋体"/>
                <w:sz w:val="24"/>
              </w:rPr>
            </w:pPr>
          </w:p>
        </w:tc>
        <w:tc>
          <w:tcPr>
            <w:tcW w:w="1850" w:type="dxa"/>
            <w:gridSpan w:val="2"/>
            <w:tcBorders>
              <w:tl2br w:val="nil"/>
              <w:tr2bl w:val="nil"/>
            </w:tcBorders>
            <w:vAlign w:val="center"/>
          </w:tcPr>
          <w:p>
            <w:pPr>
              <w:ind w:firstLine="360"/>
              <w:jc w:val="center"/>
              <w:rPr>
                <w:rFonts w:ascii="宋体" w:hAnsi="宋体" w:cs="宋体"/>
                <w:sz w:val="24"/>
              </w:rPr>
            </w:pPr>
            <w:r>
              <w:rPr>
                <w:rFonts w:hint="eastAsia" w:ascii="宋体" w:hAnsi="宋体" w:cs="宋体"/>
                <w:sz w:val="24"/>
              </w:rPr>
              <w:t>　</w:t>
            </w:r>
          </w:p>
        </w:tc>
        <w:tc>
          <w:tcPr>
            <w:tcW w:w="1984" w:type="dxa"/>
            <w:gridSpan w:val="2"/>
            <w:tcBorders>
              <w:tl2br w:val="nil"/>
              <w:tr2bl w:val="nil"/>
            </w:tcBorders>
            <w:vAlign w:val="center"/>
          </w:tcPr>
          <w:p>
            <w:pPr>
              <w:ind w:firstLine="360"/>
              <w:jc w:val="center"/>
              <w:rPr>
                <w:rFonts w:ascii="宋体" w:hAnsi="宋体" w:cs="宋体"/>
                <w:szCs w:val="21"/>
              </w:rPr>
            </w:pPr>
          </w:p>
        </w:tc>
        <w:tc>
          <w:tcPr>
            <w:tcW w:w="3537" w:type="dxa"/>
            <w:gridSpan w:val="2"/>
            <w:tcBorders>
              <w:tl2br w:val="nil"/>
              <w:tr2bl w:val="nil"/>
            </w:tcBorders>
            <w:vAlign w:val="center"/>
          </w:tcPr>
          <w:p>
            <w:pPr>
              <w:ind w:firstLine="360"/>
              <w:jc w:val="center"/>
              <w:rPr>
                <w:rFonts w:ascii="宋体" w:hAnsi="宋体" w:cs="宋体"/>
                <w:szCs w:val="21"/>
              </w:rPr>
            </w:pPr>
            <w:r>
              <w:rPr>
                <w:rFonts w:hint="eastAsia" w:ascii="宋体" w:hAnsi="宋体" w:cs="宋体"/>
                <w:szCs w:val="21"/>
              </w:rPr>
              <w:t>　</w:t>
            </w:r>
          </w:p>
        </w:tc>
        <w:tc>
          <w:tcPr>
            <w:tcW w:w="1984" w:type="dxa"/>
            <w:gridSpan w:val="2"/>
            <w:tcBorders>
              <w:tl2br w:val="nil"/>
              <w:tr2bl w:val="nil"/>
            </w:tcBorders>
            <w:vAlign w:val="center"/>
          </w:tcPr>
          <w:p>
            <w:pPr>
              <w:ind w:firstLine="360"/>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cs="宋体"/>
                <w:b/>
                <w:bCs/>
                <w:szCs w:val="21"/>
              </w:rPr>
            </w:pPr>
            <w:r>
              <w:rPr>
                <w:rFonts w:hint="eastAsia" w:ascii="宋体" w:hAnsi="宋体" w:cs="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cs="宋体"/>
                <w:bCs/>
                <w:szCs w:val="21"/>
              </w:rPr>
            </w:pPr>
            <w:r>
              <w:rPr>
                <w:rFonts w:hint="eastAsia" w:ascii="宋体" w:hAnsi="宋体" w:cs="宋体"/>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cs="宋体"/>
                <w:b/>
                <w:bCs/>
                <w:szCs w:val="21"/>
              </w:rPr>
            </w:pPr>
            <w:r>
              <w:rPr>
                <w:rFonts w:hint="eastAsia" w:ascii="宋体" w:hAnsi="宋体" w:cs="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cs="宋体"/>
                <w:szCs w:val="21"/>
              </w:rPr>
            </w:pPr>
            <w:r>
              <w:rPr>
                <w:rFonts w:hint="eastAsia" w:ascii="宋体" w:hAnsi="宋体" w:cs="宋体"/>
                <w:szCs w:val="21"/>
              </w:rPr>
              <w:t>评价结论</w:t>
            </w:r>
          </w:p>
        </w:tc>
        <w:tc>
          <w:tcPr>
            <w:tcW w:w="9355" w:type="dxa"/>
            <w:gridSpan w:val="8"/>
            <w:tcBorders>
              <w:tl2br w:val="nil"/>
              <w:tr2bl w:val="nil"/>
            </w:tcBorders>
            <w:vAlign w:val="center"/>
          </w:tcPr>
          <w:p>
            <w:pPr>
              <w:spacing w:line="240" w:lineRule="atLeast"/>
              <w:jc w:val="left"/>
              <w:rPr>
                <w:rFonts w:ascii="宋体" w:hAnsi="宋体" w:cs="宋体"/>
                <w:bCs/>
                <w:szCs w:val="21"/>
              </w:rPr>
            </w:pPr>
            <w:r>
              <w:rPr>
                <w:rFonts w:hint="eastAsia" w:ascii="宋体" w:hAnsi="宋体" w:cs="宋体"/>
                <w:bCs/>
                <w:szCs w:val="21"/>
              </w:rPr>
              <w:t>总体评价意见：</w:t>
            </w:r>
            <w:r>
              <w:rPr>
                <w:rFonts w:ascii="宋体" w:hAnsi="宋体" w:cs="宋体"/>
                <w:szCs w:val="21"/>
                <w:u w:val="single"/>
              </w:rPr>
              <w:t xml:space="preserve">                                                         </w:t>
            </w:r>
          </w:p>
          <w:p>
            <w:pPr>
              <w:spacing w:line="240" w:lineRule="atLeast"/>
              <w:jc w:val="left"/>
              <w:rPr>
                <w:rFonts w:ascii="宋体" w:hAnsi="宋体" w:cs="宋体"/>
                <w:bCs/>
                <w:szCs w:val="21"/>
              </w:rPr>
            </w:pPr>
          </w:p>
          <w:p>
            <w:pPr>
              <w:spacing w:line="240" w:lineRule="atLeast"/>
              <w:jc w:val="left"/>
              <w:rPr>
                <w:rFonts w:ascii="宋体" w:hAnsi="宋体" w:cs="宋体"/>
                <w:szCs w:val="21"/>
                <w:u w:val="single"/>
              </w:rPr>
            </w:pPr>
            <w:r>
              <w:rPr>
                <w:rFonts w:hint="eastAsia" w:ascii="宋体" w:hAnsi="宋体" w:cs="宋体"/>
                <w:szCs w:val="21"/>
              </w:rPr>
              <w:t>履约评价小组成员</w:t>
            </w:r>
            <w:r>
              <w:rPr>
                <w:rFonts w:hint="eastAsia" w:ascii="宋体" w:hAnsi="宋体" w:cs="宋体"/>
                <w:bCs/>
                <w:szCs w:val="21"/>
              </w:rPr>
              <w:t>签字：</w:t>
            </w:r>
            <w:r>
              <w:rPr>
                <w:rFonts w:ascii="宋体" w:hAnsi="宋体" w:cs="宋体"/>
                <w:szCs w:val="21"/>
                <w:u w:val="single"/>
              </w:rPr>
              <w:t xml:space="preserve">                    </w:t>
            </w:r>
          </w:p>
          <w:p>
            <w:pPr>
              <w:pStyle w:val="15"/>
              <w:rPr>
                <w:rFonts w:ascii="宋体" w:hAnsi="宋体" w:cs="宋体"/>
              </w:rPr>
            </w:pPr>
          </w:p>
          <w:p>
            <w:pPr>
              <w:tabs>
                <w:tab w:val="center" w:pos="3817"/>
              </w:tabs>
              <w:spacing w:line="240" w:lineRule="atLeast"/>
              <w:jc w:val="left"/>
              <w:rPr>
                <w:rFonts w:ascii="宋体" w:hAnsi="宋体" w:cs="宋体"/>
                <w:bCs/>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bl>
    <w:p>
      <w:pPr>
        <w:pStyle w:val="2"/>
        <w:spacing w:after="0" w:line="360" w:lineRule="auto"/>
        <w:ind w:left="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9" w:name="_Toc116550359"/>
      <w:r>
        <w:rPr>
          <w:rFonts w:hint="eastAsia"/>
          <w:b/>
          <w:sz w:val="32"/>
          <w:szCs w:val="32"/>
        </w:rPr>
        <w:t>第五部分：参考附件</w:t>
      </w:r>
      <w:bookmarkEnd w:id="59"/>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886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690"/>
        <w:gridCol w:w="913"/>
        <w:gridCol w:w="1567"/>
        <w:gridCol w:w="1409"/>
        <w:gridCol w:w="1427"/>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690" w:type="dxa"/>
            <w:vAlign w:val="center"/>
          </w:tcPr>
          <w:p>
            <w:pPr>
              <w:spacing w:line="300" w:lineRule="exact"/>
              <w:jc w:val="center"/>
              <w:rPr>
                <w:rFonts w:ascii="宋体" w:hAnsi="宋体"/>
                <w:szCs w:val="21"/>
              </w:rPr>
            </w:pPr>
            <w:r>
              <w:rPr>
                <w:rFonts w:hint="eastAsia" w:ascii="宋体" w:hAnsi="宋体"/>
                <w:szCs w:val="21"/>
              </w:rPr>
              <w:t>税率</w:t>
            </w:r>
          </w:p>
        </w:tc>
        <w:tc>
          <w:tcPr>
            <w:tcW w:w="913"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584" w:type="dxa"/>
            <w:vAlign w:val="center"/>
          </w:tcPr>
          <w:p>
            <w:pPr>
              <w:spacing w:line="3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center"/>
              <w:rPr>
                <w:rFonts w:ascii="宋体" w:hAnsi="宋体"/>
                <w:szCs w:val="21"/>
              </w:rPr>
            </w:pPr>
          </w:p>
        </w:tc>
        <w:tc>
          <w:tcPr>
            <w:tcW w:w="690" w:type="dxa"/>
          </w:tcPr>
          <w:p>
            <w:pPr>
              <w:spacing w:line="360" w:lineRule="auto"/>
              <w:jc w:val="center"/>
              <w:rPr>
                <w:rFonts w:ascii="宋体" w:hAnsi="宋体"/>
                <w:szCs w:val="21"/>
              </w:rPr>
            </w:pPr>
          </w:p>
        </w:tc>
        <w:tc>
          <w:tcPr>
            <w:tcW w:w="913"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584" w:type="dxa"/>
          </w:tcPr>
          <w:p>
            <w:pPr>
              <w:jc w:val="center"/>
              <w:rPr>
                <w:rFonts w:ascii="宋体" w:hAnsi="宋体"/>
                <w:szCs w:val="21"/>
              </w:rPr>
            </w:pPr>
            <w:r>
              <w:rPr>
                <w:rFonts w:hint="eastAsia"/>
              </w:rPr>
              <w:t>按照标书最高数量（中文版5500册*3、英文版1100册*3）填报总价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16550363"/>
      <w:r>
        <w:rPr>
          <w:rFonts w:hint="eastAsia" w:ascii="宋体" w:hAnsi="宋体"/>
          <w:szCs w:val="21"/>
        </w:rPr>
        <w:t>附件4：考察证明</w:t>
      </w:r>
      <w:bookmarkEnd w:id="64"/>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w:t>
      </w:r>
      <w:r>
        <w:rPr>
          <w:rFonts w:ascii="仿宋" w:hAnsi="仿宋" w:eastAsia="仿宋"/>
          <w:sz w:val="28"/>
          <w:szCs w:val="28"/>
        </w:rPr>
        <w:t>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w:t>
      </w:r>
      <w:r>
        <w:rPr>
          <w:rFonts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涉及偏离内容的</w:t>
      </w:r>
      <w:r>
        <w:rPr>
          <w:rFonts w:ascii="仿宋" w:hAnsi="仿宋" w:eastAsia="仿宋"/>
          <w:sz w:val="28"/>
          <w:szCs w:val="28"/>
        </w:rPr>
        <w:t>，视同偏离本项目要求，该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不可偏离项检查</w:t>
      </w:r>
      <w:r>
        <w:rPr>
          <w:rFonts w:ascii="仿宋" w:hAnsi="仿宋" w:eastAsia="仿宋"/>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236803111"/>
      <w:bookmarkStart w:id="76" w:name="_Toc395883088"/>
      <w:bookmarkStart w:id="77" w:name="_Toc478387764"/>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290"/>
        <w:gridCol w:w="1290"/>
        <w:gridCol w:w="720"/>
        <w:gridCol w:w="930"/>
        <w:gridCol w:w="1035"/>
        <w:gridCol w:w="1080"/>
        <w:gridCol w:w="1035"/>
        <w:gridCol w:w="1293"/>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29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29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72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93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03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08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含税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03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小计</w:t>
            </w:r>
          </w:p>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293"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1</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《会刊》</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中文版</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5500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vMerge w:val="restart"/>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93" w:type="dxa"/>
            <w:vMerge w:val="restart"/>
            <w:tcBorders>
              <w:top w:val="single" w:color="auto" w:sz="6" w:space="0"/>
              <w:left w:val="single" w:color="auto" w:sz="4" w:space="0"/>
              <w:right w:val="single" w:color="auto" w:sz="6" w:space="0"/>
            </w:tcBorders>
            <w:vAlign w:val="center"/>
          </w:tcPr>
          <w:p>
            <w:pPr>
              <w:jc w:val="right"/>
              <w:rPr>
                <w:rFonts w:ascii="仿宋" w:hAnsi="仿宋" w:eastAsia="仿宋"/>
                <w:sz w:val="30"/>
                <w:szCs w:val="30"/>
              </w:rPr>
            </w:pPr>
            <w:r>
              <w:rPr>
                <w:rFonts w:hint="eastAsia" w:ascii="仿宋" w:hAnsi="仿宋" w:eastAsia="仿宋"/>
                <w:sz w:val="28"/>
                <w:szCs w:val="28"/>
              </w:rPr>
              <w:t>浮动数量</w:t>
            </w:r>
          </w:p>
        </w:tc>
      </w:tr>
      <w:tr>
        <w:tblPrEx>
          <w:tblCellMar>
            <w:top w:w="0" w:type="dxa"/>
            <w:left w:w="42" w:type="dxa"/>
            <w:bottom w:w="0" w:type="dxa"/>
            <w:right w:w="42" w:type="dxa"/>
          </w:tblCellMar>
        </w:tblPrEx>
        <w:trPr>
          <w:cantSplit/>
          <w:trHeight w:val="552"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3000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vMerge w:val="continue"/>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93" w:type="dxa"/>
            <w:vMerge w:val="continue"/>
            <w:tcBorders>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30"/>
                <w:szCs w:val="30"/>
              </w:rPr>
              <w:t>2</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《会刊》</w:t>
            </w:r>
          </w:p>
        </w:tc>
        <w:tc>
          <w:tcPr>
            <w:tcW w:w="1290"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英文版</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1100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vMerge w:val="restart"/>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93" w:type="dxa"/>
            <w:vMerge w:val="restart"/>
            <w:tcBorders>
              <w:top w:val="single" w:color="auto" w:sz="6" w:space="0"/>
              <w:left w:val="single" w:color="auto" w:sz="4" w:space="0"/>
              <w:right w:val="single" w:color="auto" w:sz="6" w:space="0"/>
            </w:tcBorders>
            <w:vAlign w:val="center"/>
          </w:tcPr>
          <w:p>
            <w:pPr>
              <w:jc w:val="right"/>
              <w:rPr>
                <w:rFonts w:ascii="仿宋" w:hAnsi="仿宋" w:eastAsia="仿宋"/>
                <w:sz w:val="30"/>
                <w:szCs w:val="30"/>
              </w:rPr>
            </w:pPr>
            <w:r>
              <w:rPr>
                <w:rFonts w:hint="eastAsia" w:ascii="仿宋" w:hAnsi="仿宋" w:eastAsia="仿宋"/>
                <w:sz w:val="28"/>
                <w:szCs w:val="28"/>
              </w:rPr>
              <w:t>浮动数量</w:t>
            </w:r>
          </w:p>
        </w:tc>
      </w:tr>
      <w:tr>
        <w:tblPrEx>
          <w:tblCellMar>
            <w:top w:w="0" w:type="dxa"/>
            <w:left w:w="42" w:type="dxa"/>
            <w:bottom w:w="0" w:type="dxa"/>
            <w:right w:w="42" w:type="dxa"/>
          </w:tblCellMar>
        </w:tblPrEx>
        <w:trPr>
          <w:cantSplit/>
          <w:trHeight w:val="560"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290" w:type="dxa"/>
            <w:vMerge w:val="continue"/>
            <w:tcBorders>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r>
              <w:rPr>
                <w:rFonts w:hint="eastAsia" w:ascii="仿宋" w:hAnsi="仿宋" w:eastAsia="仿宋"/>
                <w:sz w:val="28"/>
                <w:szCs w:val="28"/>
              </w:rPr>
              <w:t>册</w:t>
            </w:r>
          </w:p>
        </w:tc>
        <w:tc>
          <w:tcPr>
            <w:tcW w:w="93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30"/>
                <w:szCs w:val="30"/>
              </w:rPr>
            </w:pPr>
            <w:r>
              <w:rPr>
                <w:rFonts w:hint="eastAsia" w:ascii="仿宋" w:hAnsi="仿宋" w:eastAsia="仿宋"/>
                <w:sz w:val="28"/>
                <w:szCs w:val="28"/>
              </w:rPr>
              <w:t>500</w:t>
            </w: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vMerge w:val="continue"/>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93" w:type="dxa"/>
            <w:vMerge w:val="continue"/>
            <w:tcBorders>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29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29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93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035"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93"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pStyle w:val="24"/>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以上报价适用于</w:t>
      </w:r>
      <w:r>
        <w:rPr>
          <w:rFonts w:hint="eastAsia" w:ascii="仿宋" w:hAnsi="仿宋" w:eastAsia="仿宋" w:cs="Times New Roman"/>
          <w:sz w:val="30"/>
          <w:szCs w:val="30"/>
        </w:rPr>
        <w:t>2023年、2024年、2025年三期的结算。</w:t>
      </w:r>
    </w:p>
    <w:p>
      <w:pPr>
        <w:pStyle w:val="24"/>
        <w:numPr>
          <w:ilvl w:val="255"/>
          <w:numId w:val="0"/>
        </w:numPr>
        <w:spacing w:line="400" w:lineRule="exact"/>
        <w:ind w:left="426" w:firstLine="600" w:firstLineChars="200"/>
        <w:rPr>
          <w:rFonts w:ascii="仿宋" w:hAnsi="仿宋" w:eastAsia="仿宋"/>
          <w:bCs/>
          <w:sz w:val="30"/>
          <w:szCs w:val="30"/>
        </w:rPr>
      </w:pPr>
    </w:p>
    <w:p>
      <w:pPr>
        <w:spacing w:line="400" w:lineRule="exact"/>
        <w:rPr>
          <w:rFonts w:ascii="仿宋" w:hAnsi="仿宋" w:eastAsia="仿宋"/>
          <w:sz w:val="30"/>
          <w:szCs w:val="30"/>
        </w:rPr>
      </w:pP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rPr>
      </w:pPr>
    </w:p>
    <w:p>
      <w:pPr>
        <w:snapToGrid w:val="0"/>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u w:val="single"/>
        </w:rPr>
      </w:pPr>
      <w:r>
        <w:rPr>
          <w:rFonts w:hint="eastAsia" w:ascii="仿宋" w:hAnsi="仿宋" w:eastAsia="仿宋"/>
          <w:sz w:val="28"/>
          <w:szCs w:val="28"/>
        </w:rPr>
        <w:t>投标人地址：</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rPr>
        <w:t>营业执照号码：</w:t>
      </w:r>
      <w:r>
        <w:rPr>
          <w:rFonts w:hint="eastAsia" w:ascii="仿宋" w:hAnsi="仿宋" w:eastAsia="仿宋"/>
          <w:sz w:val="28"/>
          <w:szCs w:val="28"/>
          <w:u w:val="single"/>
        </w:rPr>
        <w:t xml:space="preserve">                      </w:t>
      </w:r>
      <w:r>
        <w:rPr>
          <w:rFonts w:hint="eastAsia" w:ascii="仿宋" w:hAnsi="仿宋" w:eastAsia="仿宋"/>
          <w:sz w:val="28"/>
          <w:szCs w:val="28"/>
        </w:rPr>
        <w:t xml:space="preserve">，经济性质： </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rPr>
          <w:rFonts w:ascii="仿宋" w:hAnsi="仿宋" w:eastAsia="仿宋"/>
          <w:sz w:val="28"/>
          <w:szCs w:val="28"/>
          <w:u w:val="single"/>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sz w:val="28"/>
          <w:szCs w:val="28"/>
        </w:rPr>
        <w:t>的法定代表人。</w:t>
      </w:r>
    </w:p>
    <w:p>
      <w:pPr>
        <w:snapToGrid w:val="0"/>
        <w:spacing w:line="360" w:lineRule="auto"/>
        <w:ind w:firstLine="570"/>
        <w:rPr>
          <w:rFonts w:ascii="仿宋" w:hAnsi="仿宋" w:eastAsia="仿宋"/>
          <w:sz w:val="28"/>
          <w:szCs w:val="28"/>
        </w:rPr>
      </w:pPr>
      <w:r>
        <w:rPr>
          <w:rFonts w:hint="eastAsia" w:ascii="仿宋" w:hAnsi="仿宋" w:eastAsia="仿宋"/>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sz w:val="28"/>
          <w:szCs w:val="28"/>
        </w:rPr>
      </w:pPr>
    </w:p>
    <w:p>
      <w:pPr>
        <w:snapToGrid w:val="0"/>
        <w:spacing w:line="288" w:lineRule="auto"/>
        <w:ind w:firstLine="570"/>
        <w:rPr>
          <w:rFonts w:ascii="仿宋" w:hAnsi="仿宋" w:eastAsia="仿宋"/>
          <w:sz w:val="28"/>
          <w:szCs w:val="28"/>
        </w:rPr>
      </w:pP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40" w:lineRule="exact"/>
        <w:ind w:left="-358" w:leftChars="-171" w:hanging="1"/>
        <w:rPr>
          <w:rFonts w:ascii="仿宋_GB2312" w:hAnsi="宋体" w:eastAsia="仿宋_GB2312"/>
          <w:b/>
        </w:rPr>
      </w:pPr>
      <w:r>
        <w:rPr>
          <w:rFonts w:ascii="仿宋_GB2312" w:hAnsi="宋体" w:eastAsia="仿宋_GB2312"/>
          <w:b/>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sz w:val="30"/>
          <w:szCs w:val="30"/>
        </w:rPr>
      </w:pP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本授权书声明：我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（投标人名称）的法定代表人，现授权委托</w:t>
      </w:r>
      <w:r>
        <w:rPr>
          <w:rFonts w:hint="eastAsia" w:ascii="仿宋" w:hAnsi="仿宋" w:eastAsia="仿宋"/>
          <w:sz w:val="28"/>
          <w:szCs w:val="28"/>
          <w:u w:val="single"/>
        </w:rPr>
        <w:t xml:space="preserve">               </w:t>
      </w:r>
      <w:r>
        <w:rPr>
          <w:rFonts w:hint="eastAsia" w:ascii="仿宋" w:hAnsi="仿宋" w:eastAsia="仿宋"/>
          <w:sz w:val="28"/>
          <w:szCs w:val="28"/>
        </w:rPr>
        <w:t>（单位名称）的</w:t>
      </w:r>
      <w:r>
        <w:rPr>
          <w:rFonts w:hint="eastAsia" w:ascii="仿宋" w:hAnsi="仿宋" w:eastAsia="仿宋"/>
          <w:sz w:val="28"/>
          <w:szCs w:val="28"/>
          <w:u w:val="single"/>
        </w:rPr>
        <w:t xml:space="preserve">            </w:t>
      </w:r>
      <w:r>
        <w:rPr>
          <w:rFonts w:hint="eastAsia" w:ascii="仿宋" w:hAnsi="仿宋" w:eastAsia="仿宋"/>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代理人无转委托权，特此委托。</w:t>
      </w:r>
    </w:p>
    <w:p>
      <w:pPr>
        <w:snapToGrid w:val="0"/>
        <w:spacing w:line="360" w:lineRule="auto"/>
        <w:jc w:val="left"/>
        <w:rPr>
          <w:rFonts w:ascii="仿宋" w:hAnsi="仿宋" w:eastAsia="仿宋"/>
          <w:sz w:val="28"/>
          <w:szCs w:val="28"/>
        </w:rPr>
      </w:pPr>
      <w:r>
        <w:rPr>
          <w:rFonts w:hint="eastAsia" w:ascii="仿宋" w:hAnsi="仿宋" w:eastAsia="仿宋"/>
          <w:sz w:val="28"/>
          <w:szCs w:val="28"/>
        </w:rPr>
        <w:t>附：</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代理人：</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投标人法定代表人：</w:t>
      </w:r>
      <w:r>
        <w:rPr>
          <w:rFonts w:hint="eastAsia" w:ascii="仿宋" w:hAnsi="仿宋" w:eastAsia="仿宋"/>
          <w:sz w:val="28"/>
          <w:szCs w:val="28"/>
          <w:u w:val="single"/>
        </w:rPr>
        <w:t xml:space="preserve">                        </w:t>
      </w:r>
      <w:r>
        <w:rPr>
          <w:rFonts w:hint="eastAsia" w:ascii="仿宋" w:hAnsi="仿宋" w:eastAsia="仿宋"/>
          <w:sz w:val="28"/>
          <w:szCs w:val="28"/>
        </w:rPr>
        <w:t>（签字或盖章）</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30"/>
          <w:szCs w:val="30"/>
        </w:rPr>
      </w:pPr>
      <w:r>
        <w:rPr>
          <w:rFonts w:hint="eastAsia" w:ascii="仿宋" w:hAnsi="仿宋" w:eastAsia="仿宋"/>
          <w:sz w:val="30"/>
          <w:szCs w:val="30"/>
        </w:rPr>
        <w:t>授权委托日期：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adjustRightInd w:val="0"/>
        <w:snapToGrid w:val="0"/>
        <w:spacing w:line="400" w:lineRule="exact"/>
        <w:rPr>
          <w:rFonts w:ascii="仿宋" w:hAnsi="仿宋" w:eastAsia="仿宋"/>
          <w:sz w:val="28"/>
          <w:szCs w:val="28"/>
        </w:rPr>
      </w:pPr>
      <w:r>
        <w:rPr>
          <w:rFonts w:ascii="仿宋" w:hAnsi="仿宋" w:eastAsia="仿宋"/>
          <w:sz w:val="28"/>
          <w:szCs w:val="28"/>
        </w:rPr>
        <w:t>说明：</w:t>
      </w:r>
    </w:p>
    <w:p>
      <w:pPr>
        <w:pStyle w:val="24"/>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委托书内容必须填写真实、清楚，涂改无效。</w:t>
      </w:r>
    </w:p>
    <w:p>
      <w:pPr>
        <w:pStyle w:val="24"/>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rPr>
      </w:pPr>
      <w:r>
        <w:rPr>
          <w:rFonts w:ascii="仿宋_GB2312" w:hAnsi="宋体" w:eastAsia="仿宋_GB2312"/>
          <w: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r>
        <w:rPr>
          <w:rFonts w:ascii="仿宋" w:hAnsi="仿宋" w:eastAsia="仿宋"/>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sz w:val="32"/>
          <w:szCs w:val="32"/>
        </w:rPr>
      </w:pPr>
      <w:bookmarkStart w:id="92" w:name="_Hlk66864759"/>
      <w:r>
        <w:rPr>
          <w:rFonts w:hint="eastAsia" w:ascii="宋体" w:hAnsi="宋体"/>
          <w:b/>
          <w:sz w:val="32"/>
          <w:szCs w:val="32"/>
        </w:rPr>
        <w:t>_</w:t>
      </w:r>
      <w:r>
        <w:rPr>
          <w:rFonts w:ascii="宋体" w:hAnsi="宋体"/>
          <w:b/>
          <w:sz w:val="32"/>
          <w:szCs w:val="32"/>
        </w:rPr>
        <w:t>________________________________</w:t>
      </w:r>
      <w:r>
        <w:rPr>
          <w:rFonts w:hint="eastAsia" w:ascii="宋体" w:hAnsi="宋体"/>
          <w:b/>
          <w:sz w:val="32"/>
          <w:szCs w:val="32"/>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【特别注意】</w:t>
      </w:r>
    </w:p>
    <w:p>
      <w:pPr>
        <w:pStyle w:val="12"/>
        <w:numPr>
          <w:ilvl w:val="0"/>
          <w:numId w:val="46"/>
        </w:numPr>
        <w:rPr>
          <w:rFonts w:ascii="仿宋" w:hAnsi="仿宋" w:eastAsia="仿宋"/>
          <w:sz w:val="28"/>
          <w:szCs w:val="28"/>
        </w:rPr>
      </w:pPr>
      <w:r>
        <w:rPr>
          <w:rFonts w:hint="eastAsia" w:ascii="仿宋" w:hAnsi="仿宋" w:eastAsia="仿宋"/>
          <w:sz w:val="28"/>
          <w:szCs w:val="28"/>
        </w:rPr>
        <w:t>密码区分大小写，且不得使用易与数字混淆的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6"/>
        </w:numPr>
        <w:rPr>
          <w:rFonts w:ascii="仿宋" w:hAnsi="仿宋" w:eastAsia="仿宋"/>
          <w:b/>
          <w:sz w:val="28"/>
          <w:szCs w:val="28"/>
        </w:rPr>
      </w:pPr>
      <w:r>
        <w:rPr>
          <w:rFonts w:hint="eastAsia" w:ascii="仿宋" w:hAnsi="仿宋" w:eastAsia="仿宋"/>
          <w:sz w:val="28"/>
          <w:szCs w:val="28"/>
        </w:rPr>
        <w:t>本单请严格按招标文件要求的时间和方式提交（切勿同投标文件一起提交）。</w:t>
      </w:r>
    </w:p>
    <w:p>
      <w:pPr>
        <w:pStyle w:val="12"/>
      </w:pPr>
    </w:p>
    <w:p>
      <w:pPr>
        <w:pStyle w:val="12"/>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3"/>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4" w:name="_Hlk116546062"/>
    <w:bookmarkStart w:id="95"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4">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8"/>
  </w:num>
  <w:num w:numId="2">
    <w:abstractNumId w:val="42"/>
  </w:num>
  <w:num w:numId="3">
    <w:abstractNumId w:val="29"/>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9"/>
  </w:num>
  <w:num w:numId="8">
    <w:abstractNumId w:val="32"/>
  </w:num>
  <w:num w:numId="9">
    <w:abstractNumId w:val="18"/>
  </w:num>
  <w:num w:numId="10">
    <w:abstractNumId w:val="7"/>
  </w:num>
  <w:num w:numId="11">
    <w:abstractNumId w:val="26"/>
  </w:num>
  <w:num w:numId="12">
    <w:abstractNumId w:val="15"/>
  </w:num>
  <w:num w:numId="13">
    <w:abstractNumId w:val="20"/>
  </w:num>
  <w:num w:numId="14">
    <w:abstractNumId w:val="28"/>
  </w:num>
  <w:num w:numId="15">
    <w:abstractNumId w:val="3"/>
  </w:num>
  <w:num w:numId="16">
    <w:abstractNumId w:val="9"/>
  </w:num>
  <w:num w:numId="17">
    <w:abstractNumId w:val="33"/>
  </w:num>
  <w:num w:numId="18">
    <w:abstractNumId w:val="30"/>
  </w:num>
  <w:num w:numId="19">
    <w:abstractNumId w:val="11"/>
  </w:num>
  <w:num w:numId="20">
    <w:abstractNumId w:val="21"/>
  </w:num>
  <w:num w:numId="21">
    <w:abstractNumId w:val="6"/>
  </w:num>
  <w:num w:numId="22">
    <w:abstractNumId w:val="40"/>
  </w:num>
  <w:num w:numId="23">
    <w:abstractNumId w:val="17"/>
  </w:num>
  <w:num w:numId="24">
    <w:abstractNumId w:val="35"/>
  </w:num>
  <w:num w:numId="25">
    <w:abstractNumId w:val="4"/>
  </w:num>
  <w:num w:numId="26">
    <w:abstractNumId w:val="23"/>
  </w:num>
  <w:num w:numId="27">
    <w:abstractNumId w:val="1"/>
  </w:num>
  <w:num w:numId="28">
    <w:abstractNumId w:val="10"/>
  </w:num>
  <w:num w:numId="29">
    <w:abstractNumId w:val="8"/>
  </w:num>
  <w:num w:numId="30">
    <w:abstractNumId w:val="43"/>
  </w:num>
  <w:num w:numId="31">
    <w:abstractNumId w:val="0"/>
  </w:num>
  <w:num w:numId="32">
    <w:abstractNumId w:val="2"/>
  </w:num>
  <w:num w:numId="33">
    <w:abstractNumId w:val="31"/>
  </w:num>
  <w:num w:numId="34">
    <w:abstractNumId w:val="12"/>
  </w:num>
  <w:num w:numId="35">
    <w:abstractNumId w:val="44"/>
  </w:num>
  <w:num w:numId="36">
    <w:abstractNumId w:val="14"/>
  </w:num>
  <w:num w:numId="37">
    <w:abstractNumId w:val="13"/>
  </w:num>
  <w:num w:numId="38">
    <w:abstractNumId w:val="41"/>
  </w:num>
  <w:num w:numId="39">
    <w:abstractNumId w:val="34"/>
  </w:num>
  <w:num w:numId="40">
    <w:abstractNumId w:val="27"/>
  </w:num>
  <w:num w:numId="41">
    <w:abstractNumId w:val="24"/>
  </w:num>
  <w:num w:numId="42">
    <w:abstractNumId w:val="36"/>
  </w:num>
  <w:num w:numId="43">
    <w:abstractNumId w:val="22"/>
  </w:num>
  <w:num w:numId="44">
    <w:abstractNumId w:val="16"/>
  </w:num>
  <w:num w:numId="45">
    <w:abstractNumId w:val="3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542A7"/>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723B0"/>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D6F69"/>
    <w:rsid w:val="003E1BB3"/>
    <w:rsid w:val="003E55E9"/>
    <w:rsid w:val="003E6092"/>
    <w:rsid w:val="003E66A3"/>
    <w:rsid w:val="003E7621"/>
    <w:rsid w:val="003F1E01"/>
    <w:rsid w:val="004235D9"/>
    <w:rsid w:val="00427D5D"/>
    <w:rsid w:val="00432C74"/>
    <w:rsid w:val="00434E45"/>
    <w:rsid w:val="00441F17"/>
    <w:rsid w:val="004605D5"/>
    <w:rsid w:val="004607EA"/>
    <w:rsid w:val="004707D2"/>
    <w:rsid w:val="00471ED2"/>
    <w:rsid w:val="00476C96"/>
    <w:rsid w:val="004775EE"/>
    <w:rsid w:val="00492A75"/>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56EB"/>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3CBB"/>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27F7"/>
    <w:rsid w:val="006F3293"/>
    <w:rsid w:val="0070433C"/>
    <w:rsid w:val="007115E1"/>
    <w:rsid w:val="007141D0"/>
    <w:rsid w:val="00714F2D"/>
    <w:rsid w:val="00715AB4"/>
    <w:rsid w:val="007164D8"/>
    <w:rsid w:val="00717FB9"/>
    <w:rsid w:val="00722D53"/>
    <w:rsid w:val="007347D6"/>
    <w:rsid w:val="007542A8"/>
    <w:rsid w:val="007559E5"/>
    <w:rsid w:val="00760715"/>
    <w:rsid w:val="007651CA"/>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4AE8"/>
    <w:rsid w:val="00857F72"/>
    <w:rsid w:val="00866C0E"/>
    <w:rsid w:val="00867C56"/>
    <w:rsid w:val="00870B22"/>
    <w:rsid w:val="00874BB5"/>
    <w:rsid w:val="00876830"/>
    <w:rsid w:val="00895D5D"/>
    <w:rsid w:val="008A0193"/>
    <w:rsid w:val="008B2C67"/>
    <w:rsid w:val="008C44DE"/>
    <w:rsid w:val="008E05E5"/>
    <w:rsid w:val="008E5A97"/>
    <w:rsid w:val="008F03B4"/>
    <w:rsid w:val="008F44D8"/>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B71C7"/>
    <w:rsid w:val="009C0135"/>
    <w:rsid w:val="009C4CF2"/>
    <w:rsid w:val="009D1C89"/>
    <w:rsid w:val="009D7A17"/>
    <w:rsid w:val="009E19A2"/>
    <w:rsid w:val="009E25C8"/>
    <w:rsid w:val="009E2781"/>
    <w:rsid w:val="009E3D67"/>
    <w:rsid w:val="009E47FF"/>
    <w:rsid w:val="009E7342"/>
    <w:rsid w:val="009F53DA"/>
    <w:rsid w:val="00A0064A"/>
    <w:rsid w:val="00A0267F"/>
    <w:rsid w:val="00A30228"/>
    <w:rsid w:val="00A31A55"/>
    <w:rsid w:val="00A3423A"/>
    <w:rsid w:val="00A35983"/>
    <w:rsid w:val="00A35F31"/>
    <w:rsid w:val="00A4407E"/>
    <w:rsid w:val="00A46C1C"/>
    <w:rsid w:val="00A639F5"/>
    <w:rsid w:val="00A6531D"/>
    <w:rsid w:val="00A7476E"/>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2618"/>
    <w:rsid w:val="00B65C5E"/>
    <w:rsid w:val="00B671B8"/>
    <w:rsid w:val="00B76BC6"/>
    <w:rsid w:val="00BA7AC7"/>
    <w:rsid w:val="00BC0C0B"/>
    <w:rsid w:val="00BC40BD"/>
    <w:rsid w:val="00BD120A"/>
    <w:rsid w:val="00BD666B"/>
    <w:rsid w:val="00BF52E8"/>
    <w:rsid w:val="00C00E9C"/>
    <w:rsid w:val="00C01654"/>
    <w:rsid w:val="00C15CC0"/>
    <w:rsid w:val="00C30244"/>
    <w:rsid w:val="00C5180D"/>
    <w:rsid w:val="00C53AB0"/>
    <w:rsid w:val="00C53D1D"/>
    <w:rsid w:val="00C57330"/>
    <w:rsid w:val="00C61FB2"/>
    <w:rsid w:val="00C6530D"/>
    <w:rsid w:val="00C67721"/>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153EC"/>
    <w:rsid w:val="00E27F91"/>
    <w:rsid w:val="00E31BD7"/>
    <w:rsid w:val="00E45D07"/>
    <w:rsid w:val="00E677C6"/>
    <w:rsid w:val="00E70687"/>
    <w:rsid w:val="00E710FC"/>
    <w:rsid w:val="00E75726"/>
    <w:rsid w:val="00E86CB7"/>
    <w:rsid w:val="00E928C6"/>
    <w:rsid w:val="00EA0513"/>
    <w:rsid w:val="00EB3FCD"/>
    <w:rsid w:val="00EC57A0"/>
    <w:rsid w:val="00ED6D11"/>
    <w:rsid w:val="00EF06F7"/>
    <w:rsid w:val="00F00080"/>
    <w:rsid w:val="00F01837"/>
    <w:rsid w:val="00F01D21"/>
    <w:rsid w:val="00F03A68"/>
    <w:rsid w:val="00F04E6A"/>
    <w:rsid w:val="00F112C6"/>
    <w:rsid w:val="00F1499F"/>
    <w:rsid w:val="00F210DC"/>
    <w:rsid w:val="00F2136A"/>
    <w:rsid w:val="00F256B7"/>
    <w:rsid w:val="00F309E8"/>
    <w:rsid w:val="00F313E2"/>
    <w:rsid w:val="00F33021"/>
    <w:rsid w:val="00F35555"/>
    <w:rsid w:val="00F36975"/>
    <w:rsid w:val="00F467E3"/>
    <w:rsid w:val="00F47201"/>
    <w:rsid w:val="00F525B8"/>
    <w:rsid w:val="00F52F21"/>
    <w:rsid w:val="00F53D25"/>
    <w:rsid w:val="00F64816"/>
    <w:rsid w:val="00F73354"/>
    <w:rsid w:val="00F82587"/>
    <w:rsid w:val="00F83ECA"/>
    <w:rsid w:val="00F85F20"/>
    <w:rsid w:val="00FA092E"/>
    <w:rsid w:val="00FA63B5"/>
    <w:rsid w:val="00FA6D58"/>
    <w:rsid w:val="00FD52D3"/>
    <w:rsid w:val="00FD6451"/>
    <w:rsid w:val="00FE72DF"/>
    <w:rsid w:val="00FF2F91"/>
    <w:rsid w:val="02125874"/>
    <w:rsid w:val="02B47C4D"/>
    <w:rsid w:val="04450729"/>
    <w:rsid w:val="04D46768"/>
    <w:rsid w:val="04F90B5F"/>
    <w:rsid w:val="053A1CC8"/>
    <w:rsid w:val="06856661"/>
    <w:rsid w:val="077B4608"/>
    <w:rsid w:val="07BB74B6"/>
    <w:rsid w:val="07D7576E"/>
    <w:rsid w:val="08315D7E"/>
    <w:rsid w:val="08493DEA"/>
    <w:rsid w:val="086E4EC9"/>
    <w:rsid w:val="0B734A64"/>
    <w:rsid w:val="0B78105E"/>
    <w:rsid w:val="0CDE01F2"/>
    <w:rsid w:val="0DB73F5E"/>
    <w:rsid w:val="0DD201F4"/>
    <w:rsid w:val="0F4526B6"/>
    <w:rsid w:val="10091618"/>
    <w:rsid w:val="12D46D72"/>
    <w:rsid w:val="148A2BC0"/>
    <w:rsid w:val="152B64B8"/>
    <w:rsid w:val="15740DA4"/>
    <w:rsid w:val="195A6BC0"/>
    <w:rsid w:val="19A4161E"/>
    <w:rsid w:val="1A667527"/>
    <w:rsid w:val="1BA6005E"/>
    <w:rsid w:val="1BD11C33"/>
    <w:rsid w:val="1C5670DA"/>
    <w:rsid w:val="1DC01A11"/>
    <w:rsid w:val="1DDB33CC"/>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DD4153F"/>
    <w:rsid w:val="2EAB6E76"/>
    <w:rsid w:val="30381F4F"/>
    <w:rsid w:val="3129440C"/>
    <w:rsid w:val="32DD447F"/>
    <w:rsid w:val="33445128"/>
    <w:rsid w:val="34A05B77"/>
    <w:rsid w:val="37097428"/>
    <w:rsid w:val="38AC36F6"/>
    <w:rsid w:val="394A3FAD"/>
    <w:rsid w:val="3AAD7F79"/>
    <w:rsid w:val="3AD57A93"/>
    <w:rsid w:val="3B991A52"/>
    <w:rsid w:val="3BB26AC4"/>
    <w:rsid w:val="3C35255B"/>
    <w:rsid w:val="3D3679ED"/>
    <w:rsid w:val="3D3D541A"/>
    <w:rsid w:val="3DE35197"/>
    <w:rsid w:val="408D7227"/>
    <w:rsid w:val="41407E51"/>
    <w:rsid w:val="416718EC"/>
    <w:rsid w:val="430B2C7C"/>
    <w:rsid w:val="439D7A21"/>
    <w:rsid w:val="43D97719"/>
    <w:rsid w:val="447267E8"/>
    <w:rsid w:val="44E431E5"/>
    <w:rsid w:val="461F2060"/>
    <w:rsid w:val="46B30DE6"/>
    <w:rsid w:val="473E77AE"/>
    <w:rsid w:val="492A4A83"/>
    <w:rsid w:val="4955555E"/>
    <w:rsid w:val="495C1F5C"/>
    <w:rsid w:val="4AF77150"/>
    <w:rsid w:val="4B8B03E4"/>
    <w:rsid w:val="4BFA3233"/>
    <w:rsid w:val="4D9A3F67"/>
    <w:rsid w:val="4DDF67CC"/>
    <w:rsid w:val="4E7F58E3"/>
    <w:rsid w:val="4EE12BFB"/>
    <w:rsid w:val="50FA6A61"/>
    <w:rsid w:val="512D283B"/>
    <w:rsid w:val="51794BC1"/>
    <w:rsid w:val="53D25371"/>
    <w:rsid w:val="540F1FD2"/>
    <w:rsid w:val="54A91D1C"/>
    <w:rsid w:val="54D910C3"/>
    <w:rsid w:val="561F6663"/>
    <w:rsid w:val="569741A0"/>
    <w:rsid w:val="56E57E9E"/>
    <w:rsid w:val="57315BF2"/>
    <w:rsid w:val="57594B93"/>
    <w:rsid w:val="58A06578"/>
    <w:rsid w:val="594A6990"/>
    <w:rsid w:val="5A2E0F40"/>
    <w:rsid w:val="5C3A0083"/>
    <w:rsid w:val="5E8307E5"/>
    <w:rsid w:val="60475C3F"/>
    <w:rsid w:val="60665537"/>
    <w:rsid w:val="60785544"/>
    <w:rsid w:val="60A60070"/>
    <w:rsid w:val="611B04DE"/>
    <w:rsid w:val="61A26997"/>
    <w:rsid w:val="622C21AB"/>
    <w:rsid w:val="629522E0"/>
    <w:rsid w:val="62D00ABF"/>
    <w:rsid w:val="640C25AF"/>
    <w:rsid w:val="6541126B"/>
    <w:rsid w:val="66B540B6"/>
    <w:rsid w:val="683A303D"/>
    <w:rsid w:val="68E97B63"/>
    <w:rsid w:val="6A5B2F9C"/>
    <w:rsid w:val="6B1E605C"/>
    <w:rsid w:val="6C5E0507"/>
    <w:rsid w:val="6C6B5505"/>
    <w:rsid w:val="6DF67C63"/>
    <w:rsid w:val="6E3F209B"/>
    <w:rsid w:val="6ED02117"/>
    <w:rsid w:val="71255AB0"/>
    <w:rsid w:val="71C468B3"/>
    <w:rsid w:val="721105D3"/>
    <w:rsid w:val="725336E8"/>
    <w:rsid w:val="72BF7DD0"/>
    <w:rsid w:val="74783A1C"/>
    <w:rsid w:val="74AB354D"/>
    <w:rsid w:val="74B05132"/>
    <w:rsid w:val="74F976A2"/>
    <w:rsid w:val="752175BA"/>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unhideWhenUsed/>
    <w:qFormat/>
    <w:uiPriority w:val="0"/>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7">
    <w:name w:val="Unresolved Mention"/>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8A77B-48FA-4975-8851-0D7067A13270}">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3947</Words>
  <Characters>22502</Characters>
  <Lines>187</Lines>
  <Paragraphs>52</Paragraphs>
  <TotalTime>2</TotalTime>
  <ScaleCrop>false</ScaleCrop>
  <LinksUpToDate>false</LinksUpToDate>
  <CharactersWithSpaces>26397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2023-09-05T01:48:00Z</dcterms:created>
  <dc:creator>Tony Young</dc:creator>
  <cp:lastModifiedBy>宛</cp:lastModifiedBy>
  <dcterms:modified xsi:type="dcterms:W3CDTF">2023-09-07T09:36:07Z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53E30C03B2F54D8088865A9D428C485B</vt:lpwstr>
  </property>
</Properties>
</file>