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pStyle w:val="2"/>
      </w:pPr>
    </w:p>
    <w:p>
      <w:pPr>
        <w:spacing w:line="360" w:lineRule="auto"/>
        <w:jc w:val="center"/>
        <w:rPr>
          <w:rFonts w:ascii="方正小标宋简体" w:hAnsi="方正小标宋_GBK" w:eastAsia="方正小标宋简体" w:cs="方正小标宋_GBK"/>
          <w:b/>
          <w:color w:val="auto"/>
          <w:sz w:val="32"/>
          <w:szCs w:val="32"/>
          <w:highlight w:val="none"/>
        </w:rPr>
      </w:pPr>
      <w:r>
        <w:rPr>
          <w:rFonts w:hint="eastAsia" w:ascii="方正小标宋简体" w:hAnsi="方正小标宋_GBK" w:eastAsia="方正小标宋简体" w:cs="方正小标宋_GBK"/>
          <w:b/>
          <w:color w:val="auto"/>
          <w:sz w:val="32"/>
          <w:szCs w:val="32"/>
          <w:highlight w:val="none"/>
        </w:rPr>
        <w:t>项目名称：</w:t>
      </w:r>
      <w:bookmarkStart w:id="95" w:name="_GoBack"/>
      <w:bookmarkStart w:id="0" w:name="_Hlk116548958"/>
      <w:r>
        <w:rPr>
          <w:rFonts w:hint="eastAsia" w:ascii="方正小标宋简体" w:hAnsi="方正小标宋_GBK" w:eastAsia="方正小标宋简体" w:cs="方正小标宋_GBK"/>
          <w:b/>
          <w:color w:val="auto"/>
          <w:sz w:val="32"/>
          <w:szCs w:val="32"/>
          <w:highlight w:val="none"/>
          <w:lang w:val="en-US" w:eastAsia="zh-CN"/>
        </w:rPr>
        <w:t>深圳会展中心</w:t>
      </w:r>
      <w:r>
        <w:rPr>
          <w:rFonts w:hint="eastAsia" w:ascii="方正小标宋简体" w:hAnsi="方正小标宋_GBK" w:eastAsia="方正小标宋简体" w:cs="方正小标宋_GBK"/>
          <w:b/>
          <w:color w:val="auto"/>
          <w:sz w:val="32"/>
          <w:szCs w:val="32"/>
          <w:highlight w:val="none"/>
        </w:rPr>
        <w:t>固定资产</w:t>
      </w:r>
      <w:r>
        <w:rPr>
          <w:rFonts w:hint="eastAsia" w:ascii="方正小标宋简体" w:hAnsi="方正小标宋_GBK" w:eastAsia="方正小标宋简体" w:cs="方正小标宋_GBK"/>
          <w:b/>
          <w:color w:val="auto"/>
          <w:sz w:val="32"/>
          <w:szCs w:val="32"/>
          <w:highlight w:val="none"/>
          <w:lang w:val="en-US" w:eastAsia="zh-CN"/>
        </w:rPr>
        <w:t>清查</w:t>
      </w:r>
      <w:r>
        <w:rPr>
          <w:rFonts w:hint="eastAsia" w:ascii="方正小标宋简体" w:hAnsi="方正小标宋_GBK" w:eastAsia="方正小标宋简体" w:cs="方正小标宋_GBK"/>
          <w:b/>
          <w:color w:val="auto"/>
          <w:sz w:val="32"/>
          <w:szCs w:val="32"/>
          <w:highlight w:val="none"/>
        </w:rPr>
        <w:t>盘点</w:t>
      </w:r>
      <w:r>
        <w:rPr>
          <w:rFonts w:hint="eastAsia" w:ascii="方正小标宋简体" w:hAnsi="方正小标宋_GBK" w:eastAsia="方正小标宋简体" w:cs="方正小标宋_GBK"/>
          <w:b/>
          <w:color w:val="auto"/>
          <w:sz w:val="32"/>
          <w:szCs w:val="32"/>
          <w:highlight w:val="none"/>
          <w:lang w:val="en-US" w:eastAsia="zh-CN"/>
        </w:rPr>
        <w:t>服务</w:t>
      </w:r>
      <w:r>
        <w:rPr>
          <w:rFonts w:hint="eastAsia" w:ascii="方正小标宋简体" w:hAnsi="方正小标宋_GBK" w:eastAsia="方正小标宋简体" w:cs="方正小标宋_GBK"/>
          <w:b/>
          <w:color w:val="auto"/>
          <w:sz w:val="32"/>
          <w:szCs w:val="32"/>
          <w:highlight w:val="none"/>
        </w:rPr>
        <w:t>项目</w:t>
      </w:r>
      <w:bookmarkEnd w:id="0"/>
    </w:p>
    <w:bookmarkEnd w:id="95"/>
    <w:p>
      <w:pPr>
        <w:tabs>
          <w:tab w:val="left" w:pos="2127"/>
          <w:tab w:val="left" w:pos="2694"/>
        </w:tabs>
        <w:spacing w:line="360" w:lineRule="auto"/>
        <w:ind w:firstLine="2030" w:firstLineChars="632"/>
        <w:rPr>
          <w:rFonts w:ascii="宋体" w:hAnsi="宋体"/>
          <w:b/>
          <w:sz w:val="32"/>
          <w:szCs w:val="32"/>
          <w:highlight w:val="none"/>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
      <w:pPr>
        <w:pStyle w:val="2"/>
      </w:pPr>
    </w:p>
    <w:p/>
    <w:p>
      <w:pPr>
        <w:pStyle w:val="2"/>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9</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8"/>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18"/>
          <w:rFonts w:ascii="宋体" w:hAnsi="宋体" w:cs="仿宋"/>
          <w:bCs/>
        </w:rPr>
        <w:t>一、</w:t>
      </w:r>
      <w:r>
        <w:rPr>
          <w:rStyle w:val="18"/>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18"/>
          <w:rFonts w:ascii="宋体" w:hAnsi="宋体" w:cs="仿宋"/>
          <w:bCs/>
        </w:rPr>
        <w:t>二、</w:t>
      </w:r>
      <w:r>
        <w:rPr>
          <w:rStyle w:val="18"/>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18"/>
          <w:rFonts w:ascii="宋体" w:hAnsi="宋体" w:cs="仿宋"/>
          <w:bCs/>
        </w:rPr>
        <w:t>三、</w:t>
      </w:r>
      <w:r>
        <w:rPr>
          <w:rStyle w:val="18"/>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18"/>
          <w:rFonts w:ascii="宋体" w:hAnsi="宋体" w:cs="仿宋"/>
          <w:bCs/>
        </w:rPr>
        <w:t>四、</w:t>
      </w:r>
      <w:r>
        <w:rPr>
          <w:rStyle w:val="18"/>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18"/>
          <w:rFonts w:ascii="宋体" w:hAnsi="宋体" w:cs="仿宋"/>
          <w:bCs/>
        </w:rPr>
        <w:t>五、</w:t>
      </w:r>
      <w:r>
        <w:rPr>
          <w:rStyle w:val="18"/>
          <w:rFonts w:ascii="宋体" w:hAnsi="宋体"/>
        </w:rPr>
        <w:t xml:space="preserve"> 其他项目说明资料</w:t>
      </w:r>
      <w:r>
        <w:tab/>
      </w:r>
      <w:r>
        <w:fldChar w:fldCharType="begin"/>
      </w:r>
      <w:r>
        <w:instrText xml:space="preserve"> PAGEREF _Toc116550349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18"/>
          <w:rFonts w:ascii="宋体" w:hAnsi="宋体"/>
          <w:b/>
        </w:rPr>
        <w:t>第二部分：开标评标流程</w:t>
      </w:r>
      <w:r>
        <w:tab/>
      </w:r>
      <w:r>
        <w:fldChar w:fldCharType="begin"/>
      </w:r>
      <w:r>
        <w:instrText xml:space="preserve"> PAGEREF _Toc116550350 \h </w:instrText>
      </w:r>
      <w:r>
        <w:fldChar w:fldCharType="separate"/>
      </w:r>
      <w:r>
        <w:t>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18"/>
          <w:rFonts w:ascii="宋体" w:hAnsi="宋体" w:cs="仿宋"/>
          <w:bCs/>
        </w:rPr>
        <w:t>六、</w:t>
      </w:r>
      <w:r>
        <w:rPr>
          <w:rStyle w:val="18"/>
        </w:rPr>
        <w:t xml:space="preserve"> 开标阶段</w:t>
      </w:r>
      <w:r>
        <w:tab/>
      </w:r>
      <w:r>
        <w:fldChar w:fldCharType="begin"/>
      </w:r>
      <w:r>
        <w:instrText xml:space="preserve"> PAGEREF _Toc116550351 \h </w:instrText>
      </w:r>
      <w:r>
        <w:fldChar w:fldCharType="separate"/>
      </w:r>
      <w:r>
        <w:t>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18"/>
          <w:rFonts w:ascii="宋体" w:hAnsi="宋体" w:cs="仿宋"/>
          <w:bCs/>
        </w:rPr>
        <w:t>七、</w:t>
      </w:r>
      <w:r>
        <w:rPr>
          <w:rStyle w:val="18"/>
        </w:rPr>
        <w:t xml:space="preserve"> 评标阶段</w:t>
      </w:r>
      <w:r>
        <w:tab/>
      </w:r>
      <w:r>
        <w:fldChar w:fldCharType="begin"/>
      </w:r>
      <w:r>
        <w:instrText xml:space="preserve"> PAGEREF _Toc116550352 \h </w:instrText>
      </w:r>
      <w:r>
        <w:fldChar w:fldCharType="separate"/>
      </w:r>
      <w:r>
        <w:t>8</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18"/>
          <w:rFonts w:ascii="宋体" w:hAnsi="宋体"/>
          <w:b/>
        </w:rPr>
        <w:t>第三部分：评审办法</w:t>
      </w:r>
      <w:r>
        <w:tab/>
      </w:r>
      <w:r>
        <w:fldChar w:fldCharType="begin"/>
      </w:r>
      <w:r>
        <w:instrText xml:space="preserve"> PAGEREF _Toc116550353 \h </w:instrText>
      </w:r>
      <w:r>
        <w:fldChar w:fldCharType="separate"/>
      </w:r>
      <w:r>
        <w:t>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18"/>
          <w:rFonts w:ascii="宋体" w:hAnsi="宋体" w:cs="仿宋"/>
          <w:bCs/>
        </w:rPr>
        <w:t>八、</w:t>
      </w:r>
      <w:r>
        <w:rPr>
          <w:rStyle w:val="18"/>
          <w:rFonts w:ascii="宋体" w:hAnsi="宋体"/>
          <w:bCs/>
        </w:rPr>
        <w:t xml:space="preserve"> 评审办法</w:t>
      </w:r>
      <w:r>
        <w:tab/>
      </w:r>
      <w:r>
        <w:fldChar w:fldCharType="begin"/>
      </w:r>
      <w:r>
        <w:instrText xml:space="preserve"> PAGEREF _Toc116550354 \h </w:instrText>
      </w:r>
      <w:r>
        <w:fldChar w:fldCharType="separate"/>
      </w:r>
      <w:r>
        <w:t>9</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18"/>
          <w:rFonts w:ascii="宋体" w:hAnsi="宋体"/>
        </w:rPr>
        <w:t>（一）</w:t>
      </w:r>
      <w:r>
        <w:rPr>
          <w:rFonts w:asciiTheme="minorHAnsi" w:hAnsiTheme="minorHAnsi" w:eastAsiaTheme="minorEastAsia" w:cstheme="minorBidi"/>
          <w:szCs w:val="22"/>
        </w:rPr>
        <w:tab/>
      </w:r>
      <w:r>
        <w:rPr>
          <w:rStyle w:val="18"/>
          <w:rFonts w:ascii="宋体" w:hAnsi="宋体"/>
          <w:bCs/>
        </w:rPr>
        <w:t>符合性检查</w:t>
      </w:r>
      <w:r>
        <w:tab/>
      </w:r>
      <w:r>
        <w:fldChar w:fldCharType="begin"/>
      </w:r>
      <w:r>
        <w:instrText xml:space="preserve"> PAGEREF _Toc116550355 \h </w:instrText>
      </w:r>
      <w:r>
        <w:fldChar w:fldCharType="separate"/>
      </w:r>
      <w:r>
        <w:t>9</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18"/>
          <w:rFonts w:ascii="宋体" w:hAnsi="宋体"/>
          <w:bCs/>
        </w:rPr>
        <w:t>（二）</w:t>
      </w:r>
      <w:r>
        <w:rPr>
          <w:rFonts w:asciiTheme="minorHAnsi" w:hAnsiTheme="minorHAnsi" w:eastAsiaTheme="minorEastAsia" w:cstheme="minorBidi"/>
          <w:szCs w:val="22"/>
        </w:rPr>
        <w:tab/>
      </w:r>
      <w:r>
        <w:rPr>
          <w:rStyle w:val="18"/>
          <w:rFonts w:ascii="宋体" w:hAnsi="宋体"/>
          <w:bCs/>
        </w:rPr>
        <w:t>不可偏离项检查</w:t>
      </w:r>
      <w:r>
        <w:tab/>
      </w:r>
      <w:r>
        <w:fldChar w:fldCharType="begin"/>
      </w:r>
      <w:r>
        <w:instrText xml:space="preserve"> PAGEREF _Toc116550356 \h </w:instrText>
      </w:r>
      <w:r>
        <w:fldChar w:fldCharType="separate"/>
      </w:r>
      <w:r>
        <w:t>9</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18"/>
          <w:rFonts w:ascii="宋体" w:hAnsi="宋体"/>
          <w:bCs/>
        </w:rPr>
        <w:t>（三）</w:t>
      </w:r>
      <w:r>
        <w:rPr>
          <w:rFonts w:asciiTheme="minorHAnsi" w:hAnsiTheme="minorHAnsi" w:eastAsiaTheme="minorEastAsia" w:cstheme="minorBidi"/>
          <w:szCs w:val="22"/>
        </w:rPr>
        <w:tab/>
      </w:r>
      <w:r>
        <w:rPr>
          <w:rStyle w:val="18"/>
          <w:rFonts w:ascii="宋体" w:hAnsi="宋体"/>
          <w:bCs/>
        </w:rPr>
        <w:t>综合评议指标表</w:t>
      </w:r>
      <w:r>
        <w:tab/>
      </w:r>
      <w:r>
        <w:fldChar w:fldCharType="begin"/>
      </w:r>
      <w:r>
        <w:instrText xml:space="preserve"> PAGEREF _Toc116550357 \h </w:instrText>
      </w:r>
      <w:r>
        <w:fldChar w:fldCharType="separate"/>
      </w:r>
      <w:r>
        <w:t>9</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18"/>
          <w:rFonts w:ascii="宋体" w:hAnsi="宋体"/>
          <w:b/>
        </w:rPr>
        <w:t>第四部分：合同条款及格式</w:t>
      </w:r>
      <w:r>
        <w:tab/>
      </w:r>
      <w:r>
        <w:fldChar w:fldCharType="begin"/>
      </w:r>
      <w:r>
        <w:instrText xml:space="preserve"> PAGEREF _Toc116550358 \h </w:instrText>
      </w:r>
      <w:r>
        <w:fldChar w:fldCharType="separate"/>
      </w:r>
      <w:r>
        <w:t>13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18"/>
          <w:b/>
        </w:rPr>
        <w:t>第五部分：参考附件</w:t>
      </w:r>
      <w:r>
        <w:tab/>
      </w:r>
      <w:r>
        <w:fldChar w:fldCharType="begin"/>
      </w:r>
      <w:r>
        <w:instrText xml:space="preserve"> PAGEREF _Toc116550359 \h </w:instrText>
      </w:r>
      <w:r>
        <w:fldChar w:fldCharType="separate"/>
      </w:r>
      <w:r>
        <w:t>13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18"/>
          <w:rFonts w:ascii="宋体" w:hAnsi="宋体"/>
        </w:rPr>
        <w:t>附件1：报名回函</w:t>
      </w:r>
      <w:r>
        <w:tab/>
      </w:r>
      <w:r>
        <w:fldChar w:fldCharType="begin"/>
      </w:r>
      <w:r>
        <w:instrText xml:space="preserve"> PAGEREF _Toc116550360 \h </w:instrText>
      </w:r>
      <w:r>
        <w:fldChar w:fldCharType="separate"/>
      </w:r>
      <w:r>
        <w:t>14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18"/>
          <w:rFonts w:ascii="宋体" w:hAnsi="宋体"/>
        </w:rPr>
        <w:t>附件2：投标函</w:t>
      </w:r>
      <w:r>
        <w:tab/>
      </w:r>
      <w:r>
        <w:fldChar w:fldCharType="begin"/>
      </w:r>
      <w:r>
        <w:instrText xml:space="preserve"> PAGEREF _Toc116550361 \h </w:instrText>
      </w:r>
      <w:r>
        <w:fldChar w:fldCharType="separate"/>
      </w:r>
      <w:r>
        <w:t>15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18"/>
          <w:rFonts w:ascii="宋体" w:hAnsi="宋体"/>
        </w:rPr>
        <w:t>附件3：投标一览表</w:t>
      </w:r>
      <w:r>
        <w:tab/>
      </w:r>
      <w:r>
        <w:fldChar w:fldCharType="begin"/>
      </w:r>
      <w:r>
        <w:instrText xml:space="preserve"> PAGEREF _Toc116550362 \h </w:instrText>
      </w:r>
      <w:r>
        <w:fldChar w:fldCharType="separate"/>
      </w:r>
      <w:r>
        <w:t>16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18"/>
          <w:rFonts w:ascii="宋体" w:hAnsi="宋体"/>
        </w:rPr>
        <w:t>附件4：考察证明</w:t>
      </w:r>
      <w:r>
        <w:tab/>
      </w:r>
      <w:r>
        <w:fldChar w:fldCharType="begin"/>
      </w:r>
      <w:r>
        <w:instrText xml:space="preserve"> PAGEREF _Toc116550363 \h </w:instrText>
      </w:r>
      <w:r>
        <w:fldChar w:fldCharType="separate"/>
      </w:r>
      <w:r>
        <w:t>17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18"/>
          <w:rFonts w:ascii="宋体" w:hAnsi="宋体"/>
        </w:rPr>
        <w:t>附件5：技术服务响应/偏离表</w:t>
      </w:r>
      <w:r>
        <w:tab/>
      </w:r>
      <w:r>
        <w:fldChar w:fldCharType="begin"/>
      </w:r>
      <w:r>
        <w:instrText xml:space="preserve"> PAGEREF _Toc116550364 \h </w:instrText>
      </w:r>
      <w:r>
        <w:fldChar w:fldCharType="separate"/>
      </w:r>
      <w:r>
        <w:t>18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18"/>
          <w:rFonts w:ascii="宋体" w:hAnsi="宋体"/>
        </w:rPr>
        <w:t>附件6：商务条款响应/偏离表</w:t>
      </w:r>
      <w:r>
        <w:tab/>
      </w:r>
      <w:r>
        <w:fldChar w:fldCharType="begin"/>
      </w:r>
      <w:r>
        <w:instrText xml:space="preserve"> PAGEREF _Toc116550365 \h </w:instrText>
      </w:r>
      <w:r>
        <w:fldChar w:fldCharType="separate"/>
      </w:r>
      <w:r>
        <w:t>19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18"/>
          <w:rFonts w:ascii="宋体" w:hAnsi="宋体"/>
        </w:rPr>
        <w:t>附件7：报价一览表（货物）（本项目不适用）</w:t>
      </w:r>
      <w:r>
        <w:tab/>
      </w:r>
      <w:r>
        <w:fldChar w:fldCharType="begin"/>
      </w:r>
      <w:r>
        <w:instrText xml:space="preserve"> PAGEREF _Toc116550366 \h </w:instrText>
      </w:r>
      <w:r>
        <w:fldChar w:fldCharType="separate"/>
      </w:r>
      <w:r>
        <w:t>20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18"/>
          <w:rFonts w:ascii="宋体" w:hAnsi="宋体"/>
        </w:rPr>
        <w:t>附件8：报价一览表（服务）</w:t>
      </w:r>
      <w:r>
        <w:tab/>
      </w:r>
      <w:r>
        <w:fldChar w:fldCharType="begin"/>
      </w:r>
      <w:r>
        <w:instrText xml:space="preserve"> PAGEREF _Toc116550367 \h </w:instrText>
      </w:r>
      <w:r>
        <w:fldChar w:fldCharType="separate"/>
      </w:r>
      <w:r>
        <w:t>21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18"/>
          <w:rFonts w:ascii="宋体" w:hAnsi="宋体"/>
        </w:rPr>
        <w:t>附件9：报价一览表（工程）（本项目不适用）</w:t>
      </w:r>
      <w:r>
        <w:tab/>
      </w:r>
      <w:r>
        <w:fldChar w:fldCharType="begin"/>
      </w:r>
      <w:r>
        <w:instrText xml:space="preserve"> PAGEREF _Toc116550368 \h </w:instrText>
      </w:r>
      <w:r>
        <w:fldChar w:fldCharType="separate"/>
      </w:r>
      <w:r>
        <w:t>22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18"/>
          <w:rFonts w:ascii="宋体" w:hAnsi="宋体"/>
        </w:rPr>
        <w:t>附件10：法定代表人证明书</w:t>
      </w:r>
      <w:r>
        <w:tab/>
      </w:r>
      <w:r>
        <w:fldChar w:fldCharType="begin"/>
      </w:r>
      <w:r>
        <w:instrText xml:space="preserve"> PAGEREF _Toc116550369 \h </w:instrText>
      </w:r>
      <w:r>
        <w:fldChar w:fldCharType="separate"/>
      </w:r>
      <w:r>
        <w:t>23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18"/>
          <w:rFonts w:ascii="宋体" w:hAnsi="宋体"/>
        </w:rPr>
        <w:t>附件11：法人授权委托证明书</w:t>
      </w:r>
      <w:r>
        <w:tab/>
      </w:r>
      <w:r>
        <w:fldChar w:fldCharType="begin"/>
      </w:r>
      <w:r>
        <w:instrText xml:space="preserve"> PAGEREF _Toc116550370 \h </w:instrText>
      </w:r>
      <w:r>
        <w:fldChar w:fldCharType="separate"/>
      </w:r>
      <w:r>
        <w:t>24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18"/>
          <w:rFonts w:ascii="宋体" w:hAnsi="宋体"/>
        </w:rPr>
        <w:t>附件12：经营业绩一览表</w:t>
      </w:r>
      <w:r>
        <w:tab/>
      </w:r>
      <w:r>
        <w:fldChar w:fldCharType="begin"/>
      </w:r>
      <w:r>
        <w:instrText xml:space="preserve"> PAGEREF _Toc116550371 \h </w:instrText>
      </w:r>
      <w:r>
        <w:fldChar w:fldCharType="separate"/>
      </w:r>
      <w:r>
        <w:t>25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18"/>
          <w:rFonts w:ascii="宋体" w:hAnsi="宋体"/>
        </w:rPr>
        <w:t>附件13：售后服务承诺书（质量保证服务承诺书）</w:t>
      </w:r>
      <w:r>
        <w:tab/>
      </w:r>
      <w:r>
        <w:fldChar w:fldCharType="begin"/>
      </w:r>
      <w:r>
        <w:instrText xml:space="preserve"> PAGEREF _Toc116550372 \h </w:instrText>
      </w:r>
      <w:r>
        <w:fldChar w:fldCharType="separate"/>
      </w:r>
      <w:r>
        <w:t>26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18"/>
          <w:rFonts w:ascii="宋体" w:hAnsi="宋体"/>
        </w:rPr>
        <w:t>附件14：履约情况及社会信誉承诺书</w:t>
      </w:r>
      <w:r>
        <w:tab/>
      </w:r>
      <w:r>
        <w:fldChar w:fldCharType="begin"/>
      </w:r>
      <w:r>
        <w:instrText xml:space="preserve"> PAGEREF _Toc116550373 \h </w:instrText>
      </w:r>
      <w:r>
        <w:fldChar w:fldCharType="separate"/>
      </w:r>
      <w:r>
        <w:t>27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18"/>
          <w:rFonts w:ascii="宋体" w:hAnsi="宋体"/>
        </w:rPr>
        <w:t>附件15：投标文件密码单</w:t>
      </w:r>
      <w:r>
        <w:tab/>
      </w:r>
      <w:r>
        <w:fldChar w:fldCharType="begin"/>
      </w:r>
      <w:r>
        <w:instrText xml:space="preserve"> PAGEREF _Toc116550374 \h </w:instrText>
      </w:r>
      <w:r>
        <w:fldChar w:fldCharType="separate"/>
      </w:r>
      <w:r>
        <w:t>28</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szCs w:val="21"/>
              </w:rPr>
            </w:pPr>
            <w:r>
              <w:rPr>
                <w:rFonts w:hint="eastAsia" w:ascii="宋体" w:hAnsi="宋体"/>
                <w:b/>
                <w:szCs w:val="21"/>
              </w:rPr>
              <w:t>条款号</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szCs w:val="21"/>
              </w:rPr>
            </w:pPr>
            <w:r>
              <w:rPr>
                <w:rFonts w:hint="eastAsia" w:ascii="宋体" w:hAnsi="宋体"/>
                <w:b/>
                <w:szCs w:val="21"/>
              </w:rPr>
              <w:t>名称</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szCs w:val="21"/>
              </w:rPr>
            </w:pPr>
            <w:r>
              <w:rPr>
                <w:rFonts w:hint="default"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1</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Cs/>
                <w:szCs w:val="21"/>
              </w:rPr>
            </w:pPr>
            <w:r>
              <w:rPr>
                <w:rFonts w:hint="eastAsia" w:ascii="宋体" w:hAnsi="宋体"/>
                <w:bCs/>
                <w:szCs w:val="21"/>
              </w:rPr>
              <w:t>招标人</w:t>
            </w:r>
          </w:p>
        </w:tc>
        <w:tc>
          <w:tcPr>
            <w:tcW w:w="7029" w:type="dxa"/>
            <w:vAlign w:val="center"/>
          </w:tcPr>
          <w:p>
            <w:pPr>
              <w:keepNext w:val="0"/>
              <w:keepLines w:val="0"/>
              <w:suppressLineNumbers w:val="0"/>
              <w:wordWrap w:val="0"/>
              <w:autoSpaceDE w:val="0"/>
              <w:autoSpaceDN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名称：深圳会展中心管理有限责任公司</w:t>
            </w:r>
          </w:p>
          <w:p>
            <w:pPr>
              <w:keepNext w:val="0"/>
              <w:keepLines w:val="0"/>
              <w:suppressLineNumbers w:val="0"/>
              <w:wordWrap w:val="0"/>
              <w:autoSpaceDE w:val="0"/>
              <w:autoSpaceDN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联系地址：深圳市福田区福华三路深圳会展中心</w:t>
            </w:r>
          </w:p>
          <w:p>
            <w:pPr>
              <w:keepNext w:val="0"/>
              <w:keepLines w:val="0"/>
              <w:suppressLineNumbers w:val="0"/>
              <w:wordWrap w:val="0"/>
              <w:autoSpaceDE w:val="0"/>
              <w:autoSpaceDN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联</w:t>
            </w:r>
            <w:r>
              <w:rPr>
                <w:rFonts w:hint="eastAsia" w:ascii="宋体" w:hAnsi="宋体"/>
                <w:color w:val="000000"/>
                <w:szCs w:val="21"/>
              </w:rPr>
              <w:t>系人：</w:t>
            </w:r>
            <w:r>
              <w:rPr>
                <w:rFonts w:hint="eastAsia" w:ascii="宋体" w:hAnsi="宋体"/>
                <w:szCs w:val="21"/>
              </w:rPr>
              <w:t>黄生</w:t>
            </w:r>
          </w:p>
          <w:p>
            <w:pPr>
              <w:keepNext w:val="0"/>
              <w:keepLines w:val="0"/>
              <w:suppressLineNumbers w:val="0"/>
              <w:wordWrap w:val="0"/>
              <w:autoSpaceDE w:val="0"/>
              <w:autoSpaceDN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电话：0755-82848822</w:t>
            </w:r>
          </w:p>
          <w:p>
            <w:pPr>
              <w:keepNext w:val="0"/>
              <w:keepLines w:val="0"/>
              <w:suppressLineNumbers w:val="0"/>
              <w:wordWrap w:val="0"/>
              <w:autoSpaceDE w:val="0"/>
              <w:autoSpaceDN w:val="0"/>
              <w:adjustRightInd w:val="0"/>
              <w:snapToGrid w:val="0"/>
              <w:spacing w:before="0" w:beforeAutospacing="0" w:after="0" w:afterAutospacing="0"/>
              <w:ind w:left="0" w:right="0"/>
              <w:rPr>
                <w:rFonts w:hint="default" w:ascii="宋体" w:hAnsi="宋体"/>
                <w:color w:val="000000"/>
                <w:szCs w:val="21"/>
              </w:rPr>
            </w:pPr>
            <w:r>
              <w:rPr>
                <w:rFonts w:hint="eastAsia" w:ascii="宋体" w:hAnsi="宋体"/>
                <w:color w:val="000000"/>
                <w:szCs w:val="21"/>
              </w:rPr>
              <w:t>传真：0755-82848694</w:t>
            </w:r>
          </w:p>
          <w:p>
            <w:pPr>
              <w:keepNext w:val="0"/>
              <w:keepLines w:val="0"/>
              <w:suppressLineNumbers w:val="0"/>
              <w:wordWrap w:val="0"/>
              <w:autoSpaceDE w:val="0"/>
              <w:autoSpaceDN w:val="0"/>
              <w:adjustRightInd w:val="0"/>
              <w:snapToGrid w:val="0"/>
              <w:spacing w:before="0" w:beforeAutospacing="0" w:after="0" w:afterAutospacing="0"/>
              <w:ind w:left="0" w:right="0"/>
              <w:rPr>
                <w:rFonts w:hint="default" w:ascii="宋体" w:hAnsi="宋体"/>
                <w:kern w:val="0"/>
                <w:szCs w:val="21"/>
                <w:u w:val="single"/>
              </w:rPr>
            </w:pPr>
            <w:r>
              <w:rPr>
                <w:rFonts w:hint="eastAsia" w:ascii="宋体" w:hAnsi="宋体"/>
                <w:szCs w:val="21"/>
              </w:rPr>
              <w:t>邮箱：</w:t>
            </w:r>
            <w:r>
              <w:rPr>
                <w:rFonts w:hint="default"/>
              </w:rPr>
              <w:fldChar w:fldCharType="begin"/>
            </w:r>
            <w:r>
              <w:rPr>
                <w:rFonts w:hint="default"/>
              </w:rPr>
              <w:instrText xml:space="preserve"> HYPERLINK "mailto:*@qq.com" </w:instrText>
            </w:r>
            <w:r>
              <w:rPr>
                <w:rFonts w:hint="default"/>
              </w:rPr>
              <w:fldChar w:fldCharType="separate"/>
            </w:r>
            <w:r>
              <w:rPr>
                <w:rFonts w:hint="eastAsia" w:ascii="宋体" w:hAnsi="宋体"/>
                <w:szCs w:val="21"/>
              </w:rPr>
              <w:t>cghyz@</w:t>
            </w:r>
            <w:r>
              <w:rPr>
                <w:rFonts w:hint="eastAsia" w:ascii="宋体" w:hAnsi="宋体"/>
                <w:szCs w:val="21"/>
              </w:rPr>
              <w:fldChar w:fldCharType="end"/>
            </w:r>
            <w:r>
              <w:rPr>
                <w:rFonts w:hint="eastAsia" w:ascii="宋体" w:hAnsi="宋体"/>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2</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default" w:ascii="宋体" w:hAnsi="宋体"/>
                <w:szCs w:val="21"/>
              </w:rPr>
              <w:t>项目名称</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深圳会展中心固定资产</w:t>
            </w:r>
            <w:r>
              <w:rPr>
                <w:rFonts w:hint="eastAsia" w:ascii="宋体" w:hAnsi="宋体"/>
                <w:color w:val="auto"/>
                <w:szCs w:val="21"/>
                <w:highlight w:val="none"/>
                <w:lang w:val="en-US" w:eastAsia="zh-CN"/>
              </w:rPr>
              <w:t>清查</w:t>
            </w:r>
            <w:r>
              <w:rPr>
                <w:rFonts w:hint="eastAsia" w:ascii="宋体" w:hAnsi="宋体"/>
                <w:color w:val="auto"/>
                <w:szCs w:val="21"/>
                <w:highlight w:val="none"/>
              </w:rPr>
              <w:t>盘点</w:t>
            </w:r>
            <w:r>
              <w:rPr>
                <w:rFonts w:hint="eastAsia" w:ascii="宋体" w:hAnsi="宋体"/>
                <w:color w:val="auto"/>
                <w:szCs w:val="21"/>
                <w:highlight w:val="none"/>
                <w:lang w:val="en-US" w:eastAsia="zh-CN"/>
              </w:rPr>
              <w:t>服务</w:t>
            </w:r>
            <w:r>
              <w:rPr>
                <w:rFonts w:hint="eastAsia" w:ascii="宋体" w:hAnsi="宋体"/>
                <w:color w:val="auto"/>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项目类别</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项目介绍</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i/>
                <w:color w:val="FF0000"/>
                <w:szCs w:val="21"/>
                <w:highlight w:val="none"/>
                <w:lang w:val="en-US"/>
              </w:rPr>
            </w:pPr>
            <w:r>
              <w:rPr>
                <w:rFonts w:hint="eastAsia" w:ascii="宋体" w:hAnsi="宋体"/>
                <w:color w:val="auto"/>
                <w:szCs w:val="21"/>
                <w:highlight w:val="none"/>
                <w:lang w:val="en-US" w:eastAsia="zh-CN"/>
              </w:rPr>
              <w:t>为深化资产管理工作，梳理厘清公司资产，深圳会展中心拟启动固定资产盘点项目，对深圳会展中心自有固定资产、原属委托代管理行政性资产、拟划入下属公司两个业务模块的资产等进行全面实地盘点、整理清册、标签补充等工作，识别资产管理过程中的风险和管理漏洞，针对财产管理办法提出优化建议，完成出具深圳会展中心拟划入下属公司两个业务模块资产清查报告、深圳会展中心整体固定资产清查盘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实施地点</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服务期</w:t>
            </w:r>
            <w:r>
              <w:rPr>
                <w:rFonts w:hint="default" w:ascii="宋体" w:hAnsi="宋体"/>
                <w:color w:val="auto"/>
                <w:szCs w:val="21"/>
              </w:rPr>
              <w:t>/</w:t>
            </w:r>
            <w:r>
              <w:rPr>
                <w:rFonts w:hint="eastAsia" w:ascii="宋体" w:hAnsi="宋体"/>
                <w:color w:val="auto"/>
                <w:szCs w:val="21"/>
              </w:rPr>
              <w:t>交货期/工期</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u w:val="none"/>
                <w:lang w:val="en-US" w:eastAsia="zh-CN"/>
              </w:rPr>
              <w:t>90</w:t>
            </w:r>
            <w:r>
              <w:rPr>
                <w:rFonts w:hint="eastAsia" w:ascii="宋体" w:hAnsi="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3</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报名(文件获取）开始时间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2</w:t>
            </w:r>
            <w:r>
              <w:rPr>
                <w:rFonts w:hint="default" w:ascii="宋体" w:hAnsi="宋体"/>
                <w:szCs w:val="21"/>
              </w:rPr>
              <w:t>02</w:t>
            </w:r>
            <w:r>
              <w:rPr>
                <w:rFonts w:hint="eastAsia" w:ascii="宋体" w:hAnsi="宋体"/>
                <w:szCs w:val="21"/>
                <w:lang w:val="en-US" w:eastAsia="zh-CN"/>
              </w:rPr>
              <w:t>3</w:t>
            </w:r>
            <w:r>
              <w:rPr>
                <w:rFonts w:hint="default" w:ascii="宋体" w:hAnsi="宋体"/>
                <w:szCs w:val="21"/>
              </w:rPr>
              <w:t>-</w:t>
            </w:r>
            <w:r>
              <w:rPr>
                <w:rFonts w:hint="eastAsia" w:ascii="宋体" w:hAnsi="宋体"/>
                <w:szCs w:val="21"/>
                <w:lang w:val="en-US" w:eastAsia="zh-CN"/>
              </w:rPr>
              <w:t>9</w:t>
            </w:r>
            <w:r>
              <w:rPr>
                <w:rFonts w:hint="default" w:ascii="宋体" w:hAnsi="宋体"/>
                <w:szCs w:val="21"/>
              </w:rPr>
              <w:t>-</w:t>
            </w:r>
            <w:r>
              <w:rPr>
                <w:rFonts w:hint="eastAsia" w:ascii="宋体" w:hAnsi="宋体"/>
                <w:szCs w:val="21"/>
                <w:lang w:val="en-US" w:eastAsia="zh-CN"/>
              </w:rPr>
              <w:t>15</w:t>
            </w:r>
            <w:r>
              <w:rPr>
                <w:rFonts w:hint="default" w:ascii="宋体" w:hAnsi="宋体"/>
                <w:szCs w:val="21"/>
              </w:rPr>
              <w:t xml:space="preserve"> </w:t>
            </w:r>
            <w:r>
              <w:rPr>
                <w:rFonts w:hint="eastAsia" w:ascii="宋体" w:hAnsi="宋体"/>
                <w:szCs w:val="21"/>
                <w:lang w:val="en-US" w:eastAsia="zh-CN"/>
              </w:rPr>
              <w:t>9</w:t>
            </w:r>
            <w:r>
              <w:rPr>
                <w:rFonts w:hint="default"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hint="default"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kern w:val="0"/>
                <w:szCs w:val="21"/>
              </w:rPr>
              <w:t>报名方式</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szCs w:val="21"/>
              </w:rPr>
            </w:pPr>
            <w:r>
              <w:rPr>
                <w:rFonts w:hint="eastAsia" w:ascii="宋体" w:hAnsi="宋体"/>
                <w:bCs/>
                <w:szCs w:val="21"/>
              </w:rPr>
              <w:t>完</w:t>
            </w:r>
            <w:r>
              <w:rPr>
                <w:rFonts w:hint="eastAsia" w:ascii="宋体" w:hAnsi="宋体"/>
                <w:bCs/>
                <w:szCs w:val="21"/>
                <w:highlight w:val="none"/>
              </w:rPr>
              <w:t>整填写本项目报名回函（详见采购公告）并加盖公司公章后，按要求</w:t>
            </w:r>
            <w:r>
              <w:rPr>
                <w:rFonts w:hint="eastAsia" w:ascii="宋体" w:hAnsi="宋体"/>
                <w:bCs/>
                <w:highlight w:val="none"/>
              </w:rPr>
              <w:t>上传至</w:t>
            </w:r>
            <w:r>
              <w:rPr>
                <w:rFonts w:hint="default" w:ascii="宋体" w:hAnsi="宋体"/>
                <w:bCs/>
                <w:color w:val="FF0000"/>
                <w:highlight w:val="yellow"/>
              </w:rPr>
              <w:t>https://cg.szcec.com/sharing/Z7QEZl73o</w:t>
            </w:r>
            <w:r>
              <w:rPr>
                <w:rFonts w:hint="eastAsia" w:ascii="宋体" w:hAnsi="宋体"/>
                <w:bCs/>
                <w:color w:val="FF0000"/>
                <w:highlight w:val="none"/>
              </w:rPr>
              <w:t>，</w:t>
            </w:r>
            <w:r>
              <w:rPr>
                <w:rFonts w:hint="eastAsia" w:ascii="宋体" w:hAnsi="宋体"/>
                <w:bCs/>
                <w:szCs w:val="21"/>
                <w:highlight w:val="none"/>
              </w:rPr>
              <w:t>并致电确认。</w:t>
            </w:r>
            <w:r>
              <w:rPr>
                <w:rFonts w:hint="eastAsia" w:ascii="宋体" w:hAnsi="宋体"/>
                <w:szCs w:val="21"/>
                <w:highlight w:val="none"/>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招标文件</w:t>
            </w:r>
            <w:r>
              <w:rPr>
                <w:rFonts w:hint="default" w:ascii="宋体" w:hAnsi="宋体"/>
                <w:kern w:val="0"/>
                <w:szCs w:val="21"/>
              </w:rPr>
              <w:t>获取</w:t>
            </w:r>
            <w:r>
              <w:rPr>
                <w:rFonts w:hint="eastAsia" w:ascii="宋体" w:hAnsi="宋体"/>
                <w:kern w:val="0"/>
                <w:szCs w:val="21"/>
              </w:rPr>
              <w:t>方式</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深圳会展中心官网采购公告栏目下载:</w:t>
            </w:r>
            <w:r>
              <w:rPr>
                <w:rFonts w:hint="default"/>
              </w:rPr>
              <w:fldChar w:fldCharType="begin"/>
            </w:r>
            <w:r>
              <w:rPr>
                <w:rFonts w:hint="default"/>
              </w:rPr>
              <w:instrText xml:space="preserve"> HYPERLINK "https://www.szcec.com/News/index/id/256.html" </w:instrText>
            </w:r>
            <w:r>
              <w:rPr>
                <w:rFonts w:hint="default"/>
              </w:rPr>
              <w:fldChar w:fldCharType="separate"/>
            </w:r>
            <w:r>
              <w:rPr>
                <w:rStyle w:val="18"/>
                <w:rFonts w:hint="default" w:ascii="宋体" w:hAnsi="宋体"/>
                <w:szCs w:val="21"/>
              </w:rPr>
              <w:t>https://www.szcec.com/News/index/id/256.html</w:t>
            </w:r>
            <w:r>
              <w:rPr>
                <w:rStyle w:val="18"/>
                <w:rFonts w:hint="default"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4</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keepNext w:val="0"/>
              <w:keepLines w:val="0"/>
              <w:suppressLineNumbers w:val="0"/>
              <w:tabs>
                <w:tab w:val="left" w:pos="284"/>
              </w:tabs>
              <w:spacing w:before="0" w:beforeAutospacing="0" w:after="0" w:afterAutospacing="0"/>
              <w:ind w:left="0" w:right="0"/>
              <w:jc w:val="left"/>
              <w:rPr>
                <w:rFonts w:hint="default" w:ascii="宋体" w:hAnsi="宋体"/>
                <w:szCs w:val="21"/>
              </w:rPr>
            </w:pPr>
            <w:r>
              <w:rPr>
                <w:rFonts w:hint="eastAsia" w:ascii="宋体" w:hAnsi="宋体"/>
                <w:szCs w:val="21"/>
              </w:rPr>
              <w:t>2</w:t>
            </w:r>
            <w:r>
              <w:rPr>
                <w:rFonts w:hint="default" w:ascii="宋体" w:hAnsi="宋体"/>
                <w:szCs w:val="21"/>
              </w:rPr>
              <w:t>02</w:t>
            </w:r>
            <w:r>
              <w:rPr>
                <w:rFonts w:hint="eastAsia" w:ascii="宋体" w:hAnsi="宋体"/>
                <w:szCs w:val="21"/>
                <w:lang w:val="en-US" w:eastAsia="zh-CN"/>
              </w:rPr>
              <w:t>3</w:t>
            </w:r>
            <w:r>
              <w:rPr>
                <w:rFonts w:hint="default" w:ascii="宋体" w:hAnsi="宋体"/>
                <w:szCs w:val="21"/>
              </w:rPr>
              <w:t>-</w:t>
            </w:r>
            <w:r>
              <w:rPr>
                <w:rFonts w:hint="eastAsia" w:ascii="宋体" w:hAnsi="宋体"/>
                <w:szCs w:val="21"/>
                <w:lang w:val="en-US" w:eastAsia="zh-CN"/>
              </w:rPr>
              <w:t>9</w:t>
            </w:r>
            <w:r>
              <w:rPr>
                <w:rFonts w:hint="default" w:ascii="宋体" w:hAnsi="宋体"/>
                <w:szCs w:val="21"/>
              </w:rPr>
              <w:t>-</w:t>
            </w:r>
            <w:r>
              <w:rPr>
                <w:rFonts w:hint="eastAsia" w:ascii="宋体" w:hAnsi="宋体"/>
                <w:szCs w:val="21"/>
                <w:lang w:val="en-US" w:eastAsia="zh-CN"/>
              </w:rPr>
              <w:t>20</w:t>
            </w:r>
            <w:r>
              <w:rPr>
                <w:rFonts w:hint="default" w:ascii="宋体" w:hAnsi="宋体"/>
                <w:szCs w:val="21"/>
              </w:rPr>
              <w:t xml:space="preserve"> </w:t>
            </w:r>
            <w:r>
              <w:rPr>
                <w:rFonts w:hint="eastAsia" w:ascii="宋体" w:hAnsi="宋体"/>
                <w:szCs w:val="21"/>
                <w:lang w:val="en-US" w:eastAsia="zh-CN"/>
              </w:rPr>
              <w:t>17</w:t>
            </w:r>
            <w:r>
              <w:rPr>
                <w:rFonts w:hint="default"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hint="default"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5</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shd w:val="clear" w:color="auto" w:fill="FFFFFF"/>
              </w:rPr>
            </w:pPr>
            <w:r>
              <w:rPr>
                <w:rFonts w:hint="eastAsia" w:ascii="宋体" w:hAnsi="宋体"/>
                <w:szCs w:val="21"/>
                <w:shd w:val="clear" w:color="auto" w:fill="FFFFFF"/>
              </w:rPr>
              <w:t>投标人提出质疑</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2</w:t>
            </w:r>
            <w:r>
              <w:rPr>
                <w:rFonts w:hint="default" w:ascii="宋体" w:hAnsi="宋体"/>
                <w:szCs w:val="21"/>
              </w:rPr>
              <w:t>02</w:t>
            </w:r>
            <w:r>
              <w:rPr>
                <w:rFonts w:hint="eastAsia" w:ascii="宋体" w:hAnsi="宋体"/>
                <w:szCs w:val="21"/>
                <w:lang w:val="en-US" w:eastAsia="zh-CN"/>
              </w:rPr>
              <w:t>3</w:t>
            </w:r>
            <w:r>
              <w:rPr>
                <w:rFonts w:hint="default" w:ascii="宋体" w:hAnsi="宋体"/>
                <w:szCs w:val="21"/>
              </w:rPr>
              <w:t>-</w:t>
            </w:r>
            <w:r>
              <w:rPr>
                <w:rFonts w:hint="eastAsia" w:ascii="宋体" w:hAnsi="宋体"/>
                <w:szCs w:val="21"/>
                <w:lang w:val="en-US" w:eastAsia="zh-CN"/>
              </w:rPr>
              <w:t>9</w:t>
            </w:r>
            <w:r>
              <w:rPr>
                <w:rFonts w:hint="default" w:ascii="宋体" w:hAnsi="宋体"/>
                <w:szCs w:val="21"/>
              </w:rPr>
              <w:t>-</w:t>
            </w:r>
            <w:r>
              <w:rPr>
                <w:rFonts w:hint="eastAsia" w:ascii="宋体" w:hAnsi="宋体"/>
                <w:szCs w:val="21"/>
                <w:lang w:val="en-US" w:eastAsia="zh-CN"/>
              </w:rPr>
              <w:t>20</w:t>
            </w:r>
            <w:r>
              <w:rPr>
                <w:rFonts w:hint="default" w:ascii="宋体" w:hAnsi="宋体"/>
                <w:szCs w:val="21"/>
              </w:rPr>
              <w:t xml:space="preserve"> </w:t>
            </w:r>
            <w:r>
              <w:rPr>
                <w:rFonts w:hint="eastAsia" w:ascii="宋体" w:hAnsi="宋体"/>
                <w:szCs w:val="21"/>
                <w:lang w:val="en-US" w:eastAsia="zh-CN"/>
              </w:rPr>
              <w:t>17</w:t>
            </w:r>
            <w:r>
              <w:rPr>
                <w:rFonts w:hint="default" w:ascii="宋体" w:hAnsi="宋体"/>
                <w:szCs w:val="21"/>
              </w:rPr>
              <w:t>:</w:t>
            </w:r>
            <w:r>
              <w:rPr>
                <w:rFonts w:hint="eastAsia" w:ascii="宋体" w:hAnsi="宋体"/>
                <w:szCs w:val="21"/>
                <w:lang w:val="en-US" w:eastAsia="zh-CN"/>
              </w:rPr>
              <w:t>00</w:t>
            </w:r>
            <w:r>
              <w:rPr>
                <w:rFonts w:hint="eastAsia" w:ascii="宋体" w:hAnsi="宋体"/>
                <w:szCs w:val="21"/>
              </w:rPr>
              <w:t>（北京时间</w:t>
            </w:r>
            <w:r>
              <w:rPr>
                <w:rFonts w:hint="default"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szCs w:val="21"/>
                <w:shd w:val="clear" w:color="auto" w:fill="FFFFFF"/>
              </w:rPr>
            </w:pPr>
            <w:r>
              <w:rPr>
                <w:rFonts w:hint="eastAsia" w:ascii="宋体" w:hAnsi="宋体" w:cs="宋体"/>
                <w:szCs w:val="21"/>
                <w:shd w:val="clear" w:color="auto" w:fill="FFFFFF"/>
              </w:rPr>
              <w:t>招标人澄清、修改、</w:t>
            </w:r>
            <w:r>
              <w:rPr>
                <w:rFonts w:hint="default"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2</w:t>
            </w:r>
            <w:r>
              <w:rPr>
                <w:rFonts w:hint="default" w:ascii="宋体" w:hAnsi="宋体"/>
                <w:szCs w:val="21"/>
              </w:rPr>
              <w:t>02</w:t>
            </w:r>
            <w:r>
              <w:rPr>
                <w:rFonts w:hint="eastAsia" w:ascii="宋体" w:hAnsi="宋体"/>
                <w:szCs w:val="21"/>
                <w:lang w:val="en-US" w:eastAsia="zh-CN"/>
              </w:rPr>
              <w:t>3</w:t>
            </w:r>
            <w:r>
              <w:rPr>
                <w:rFonts w:hint="default" w:ascii="宋体" w:hAnsi="宋体"/>
                <w:szCs w:val="21"/>
              </w:rPr>
              <w:t>-</w:t>
            </w:r>
            <w:r>
              <w:rPr>
                <w:rFonts w:hint="eastAsia" w:ascii="宋体" w:hAnsi="宋体"/>
                <w:szCs w:val="21"/>
                <w:lang w:val="en-US" w:eastAsia="zh-CN"/>
              </w:rPr>
              <w:t>9</w:t>
            </w:r>
            <w:r>
              <w:rPr>
                <w:rFonts w:hint="default" w:ascii="宋体" w:hAnsi="宋体"/>
                <w:szCs w:val="21"/>
              </w:rPr>
              <w:t>-</w:t>
            </w:r>
            <w:r>
              <w:rPr>
                <w:rFonts w:hint="eastAsia" w:ascii="宋体" w:hAnsi="宋体"/>
                <w:szCs w:val="21"/>
                <w:lang w:val="en-US" w:eastAsia="zh-CN"/>
              </w:rPr>
              <w:t>21</w:t>
            </w:r>
            <w:r>
              <w:rPr>
                <w:rFonts w:hint="default" w:ascii="宋体" w:hAnsi="宋体"/>
                <w:szCs w:val="21"/>
              </w:rPr>
              <w:t xml:space="preserve"> </w:t>
            </w:r>
            <w:r>
              <w:rPr>
                <w:rFonts w:hint="eastAsia" w:ascii="宋体" w:hAnsi="宋体"/>
                <w:szCs w:val="21"/>
                <w:lang w:val="en-US" w:eastAsia="zh-CN"/>
              </w:rPr>
              <w:t>17</w:t>
            </w:r>
            <w:r>
              <w:rPr>
                <w:rFonts w:hint="default"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hint="default"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6</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shd w:val="clear" w:color="auto" w:fill="FFFFFF"/>
              </w:rPr>
            </w:pPr>
            <w:r>
              <w:rPr>
                <w:rFonts w:hint="default" w:ascii="宋体" w:hAnsi="宋体"/>
                <w:szCs w:val="21"/>
                <w:shd w:val="clear" w:color="auto" w:fill="FFFFFF"/>
              </w:rPr>
              <w:t>投标</w:t>
            </w:r>
            <w:r>
              <w:rPr>
                <w:rFonts w:hint="eastAsia" w:ascii="宋体" w:hAnsi="宋体"/>
                <w:szCs w:val="21"/>
                <w:shd w:val="clear" w:color="auto" w:fill="FFFFFF"/>
              </w:rPr>
              <w:t>文件递交</w:t>
            </w:r>
            <w:r>
              <w:rPr>
                <w:rFonts w:hint="default" w:ascii="宋体" w:hAnsi="宋体"/>
                <w:szCs w:val="21"/>
                <w:shd w:val="clear" w:color="auto" w:fill="FFFFFF"/>
              </w:rPr>
              <w:t>截止时间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2</w:t>
            </w:r>
            <w:r>
              <w:rPr>
                <w:rFonts w:hint="default" w:ascii="宋体" w:hAnsi="宋体"/>
                <w:szCs w:val="21"/>
              </w:rPr>
              <w:t>02</w:t>
            </w:r>
            <w:r>
              <w:rPr>
                <w:rFonts w:hint="eastAsia" w:ascii="宋体" w:hAnsi="宋体"/>
                <w:szCs w:val="21"/>
                <w:lang w:val="en-US" w:eastAsia="zh-CN"/>
              </w:rPr>
              <w:t>3</w:t>
            </w:r>
            <w:r>
              <w:rPr>
                <w:rFonts w:hint="default" w:ascii="宋体" w:hAnsi="宋体"/>
                <w:szCs w:val="21"/>
              </w:rPr>
              <w:t>-</w:t>
            </w:r>
            <w:r>
              <w:rPr>
                <w:rFonts w:hint="eastAsia" w:ascii="宋体" w:hAnsi="宋体"/>
                <w:szCs w:val="21"/>
                <w:lang w:val="en-US" w:eastAsia="zh-CN"/>
              </w:rPr>
              <w:t>9</w:t>
            </w:r>
            <w:r>
              <w:rPr>
                <w:rFonts w:hint="default" w:ascii="宋体" w:hAnsi="宋体"/>
                <w:szCs w:val="21"/>
              </w:rPr>
              <w:t>-</w:t>
            </w:r>
            <w:r>
              <w:rPr>
                <w:rFonts w:hint="eastAsia" w:ascii="宋体" w:hAnsi="宋体"/>
                <w:szCs w:val="21"/>
                <w:lang w:val="en-US" w:eastAsia="zh-CN"/>
              </w:rPr>
              <w:t>24</w:t>
            </w:r>
            <w:r>
              <w:rPr>
                <w:rFonts w:hint="default" w:ascii="宋体" w:hAnsi="宋体"/>
                <w:szCs w:val="21"/>
              </w:rPr>
              <w:t xml:space="preserve"> </w:t>
            </w:r>
            <w:r>
              <w:rPr>
                <w:rFonts w:hint="eastAsia" w:ascii="宋体" w:hAnsi="宋体"/>
                <w:szCs w:val="21"/>
                <w:lang w:val="en-US" w:eastAsia="zh-CN"/>
              </w:rPr>
              <w:t>17</w:t>
            </w:r>
            <w:r>
              <w:rPr>
                <w:rFonts w:hint="default"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hint="default"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7</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szCs w:val="21"/>
                <w:shd w:val="clear" w:color="auto" w:fill="FFFFFF"/>
              </w:rPr>
              <w:t>投标文件递交方式及注意事项</w:t>
            </w:r>
          </w:p>
        </w:tc>
        <w:tc>
          <w:tcPr>
            <w:tcW w:w="7029" w:type="dxa"/>
          </w:tcPr>
          <w:p>
            <w:pPr>
              <w:keepNext w:val="0"/>
              <w:keepLines w:val="0"/>
              <w:suppressLineNumbers w:val="0"/>
              <w:spacing w:before="0" w:beforeAutospacing="0" w:after="0" w:afterAutospacing="0"/>
              <w:ind w:left="0" w:right="0"/>
              <w:rPr>
                <w:rFonts w:hint="default" w:ascii="宋体" w:hAnsi="宋体"/>
                <w:highlight w:val="none"/>
              </w:rPr>
            </w:pPr>
            <w:r>
              <w:rPr>
                <w:rFonts w:hint="eastAsia" w:ascii="宋体" w:hAnsi="宋体"/>
                <w:szCs w:val="21"/>
                <w:highlight w:val="none"/>
              </w:rPr>
              <w:t>响应文件应以扫描</w:t>
            </w:r>
            <w:r>
              <w:rPr>
                <w:rFonts w:hint="default" w:ascii="宋体" w:hAnsi="宋体"/>
                <w:szCs w:val="21"/>
                <w:highlight w:val="none"/>
              </w:rPr>
              <w:t>版（PDF</w:t>
            </w:r>
            <w:r>
              <w:rPr>
                <w:rFonts w:hint="eastAsia" w:ascii="宋体" w:hAnsi="宋体"/>
                <w:szCs w:val="21"/>
                <w:highlight w:val="none"/>
              </w:rPr>
              <w:t>版</w:t>
            </w:r>
            <w:r>
              <w:rPr>
                <w:rFonts w:hint="default" w:ascii="宋体" w:hAnsi="宋体"/>
                <w:szCs w:val="21"/>
                <w:highlight w:val="none"/>
              </w:rPr>
              <w:t>）</w:t>
            </w:r>
            <w:r>
              <w:rPr>
                <w:rFonts w:hint="eastAsia" w:ascii="宋体" w:hAnsi="宋体"/>
                <w:szCs w:val="21"/>
                <w:highlight w:val="none"/>
              </w:rPr>
              <w:t>及可编辑版（</w:t>
            </w:r>
            <w:r>
              <w:rPr>
                <w:rFonts w:hint="default" w:ascii="宋体" w:hAnsi="宋体"/>
                <w:szCs w:val="21"/>
                <w:highlight w:val="none"/>
              </w:rPr>
              <w:t>Word</w:t>
            </w:r>
            <w:r>
              <w:rPr>
                <w:rFonts w:hint="eastAsia" w:ascii="宋体" w:hAnsi="宋体"/>
                <w:szCs w:val="21"/>
                <w:highlight w:val="none"/>
              </w:rPr>
              <w:t>或WPS版）</w:t>
            </w:r>
            <w:r>
              <w:rPr>
                <w:rFonts w:hint="default" w:ascii="宋体" w:hAnsi="宋体"/>
                <w:szCs w:val="21"/>
                <w:highlight w:val="none"/>
              </w:rPr>
              <w:t>文件</w:t>
            </w:r>
            <w:r>
              <w:rPr>
                <w:rFonts w:hint="eastAsia" w:ascii="宋体" w:hAnsi="宋体"/>
                <w:szCs w:val="21"/>
                <w:highlight w:val="none"/>
              </w:rPr>
              <w:t>加密形式上传至</w:t>
            </w:r>
            <w:r>
              <w:rPr>
                <w:rFonts w:hint="default" w:ascii="宋体" w:hAnsi="宋体"/>
                <w:bCs/>
                <w:color w:val="FF0000"/>
                <w:highlight w:val="yellow"/>
              </w:rPr>
              <w:t>https://cg.szcec.com/sharing/xQU5jYjXp</w:t>
            </w:r>
            <w:r>
              <w:rPr>
                <w:rFonts w:hint="eastAsia" w:ascii="宋体" w:hAnsi="宋体"/>
                <w:bCs/>
                <w:color w:val="FF0000"/>
                <w:highlight w:val="none"/>
              </w:rPr>
              <w:t>，</w:t>
            </w:r>
            <w:r>
              <w:rPr>
                <w:rFonts w:hint="eastAsia" w:ascii="宋体" w:hAnsi="宋体"/>
                <w:szCs w:val="21"/>
                <w:highlight w:val="none"/>
              </w:rPr>
              <w:t>并致电确认</w:t>
            </w:r>
            <w:bookmarkStart w:id="3" w:name="_Toc478110532"/>
            <w:bookmarkStart w:id="4" w:name="_Toc478393187"/>
            <w:bookmarkStart w:id="5" w:name="_Toc478392822"/>
            <w:r>
              <w:rPr>
                <w:rFonts w:hint="eastAsia" w:ascii="宋体" w:hAnsi="宋体"/>
                <w:szCs w:val="21"/>
                <w:highlight w:val="none"/>
              </w:rPr>
              <w:t>。</w:t>
            </w:r>
            <w:r>
              <w:rPr>
                <w:rFonts w:hint="eastAsia" w:ascii="宋体" w:hAnsi="宋体"/>
                <w:highlight w:val="none"/>
              </w:rPr>
              <w:t>注意事项如下：</w:t>
            </w:r>
          </w:p>
          <w:p>
            <w:pPr>
              <w:pStyle w:val="22"/>
              <w:keepNext w:val="0"/>
              <w:keepLines w:val="0"/>
              <w:numPr>
                <w:ilvl w:val="0"/>
                <w:numId w:val="3"/>
              </w:numPr>
              <w:suppressLineNumbers w:val="0"/>
              <w:spacing w:before="0" w:beforeAutospacing="0" w:after="0" w:afterAutospacing="0"/>
              <w:ind w:left="0" w:right="0" w:firstLine="0" w:firstLineChars="0"/>
              <w:rPr>
                <w:rFonts w:hint="default" w:ascii="宋体" w:hAnsi="宋体" w:eastAsia="宋体"/>
                <w:szCs w:val="21"/>
                <w:highlight w:val="none"/>
              </w:rPr>
            </w:pPr>
            <w:bookmarkStart w:id="6" w:name="_Hlk60498011"/>
            <w:r>
              <w:rPr>
                <w:rFonts w:hint="eastAsia" w:ascii="宋体" w:hAnsi="宋体" w:eastAsia="宋体"/>
                <w:szCs w:val="21"/>
                <w:highlight w:val="none"/>
              </w:rPr>
              <w:t>为便于开标时的解密操作，投标文件（</w:t>
            </w:r>
            <w:r>
              <w:rPr>
                <w:rFonts w:hint="default" w:ascii="宋体" w:hAnsi="宋体" w:eastAsia="宋体"/>
                <w:szCs w:val="21"/>
                <w:highlight w:val="none"/>
              </w:rPr>
              <w:t>PDF</w:t>
            </w:r>
            <w:r>
              <w:rPr>
                <w:rFonts w:hint="eastAsia" w:ascii="宋体" w:hAnsi="宋体" w:eastAsia="宋体"/>
                <w:szCs w:val="21"/>
                <w:highlight w:val="none"/>
              </w:rPr>
              <w:t>版及Word/WPS版</w:t>
            </w:r>
            <w:r>
              <w:rPr>
                <w:rFonts w:hint="default" w:ascii="宋体" w:hAnsi="宋体" w:eastAsia="宋体"/>
                <w:szCs w:val="21"/>
                <w:highlight w:val="none"/>
              </w:rPr>
              <w:t>）</w:t>
            </w:r>
            <w:r>
              <w:rPr>
                <w:rFonts w:hint="eastAsia" w:ascii="宋体" w:hAnsi="宋体" w:eastAsia="宋体"/>
                <w:szCs w:val="21"/>
                <w:highlight w:val="none"/>
              </w:rPr>
              <w:t>必须制作为一个压缩文件后再行加密，否则投标文件将被拒收。</w:t>
            </w:r>
            <w:r>
              <w:rPr>
                <w:rFonts w:hint="default" w:ascii="宋体" w:hAnsi="宋体" w:eastAsia="宋体"/>
                <w:b/>
                <w:bCs/>
                <w:color w:val="FF0000"/>
                <w:szCs w:val="21"/>
                <w:highlight w:val="none"/>
              </w:rPr>
              <w:t>建议</w:t>
            </w:r>
            <w:r>
              <w:rPr>
                <w:rFonts w:hint="eastAsia" w:ascii="宋体" w:hAnsi="宋体" w:eastAsia="宋体"/>
                <w:b/>
                <w:bCs/>
                <w:color w:val="FF0000"/>
                <w:szCs w:val="21"/>
                <w:highlight w:val="none"/>
              </w:rPr>
              <w:t>编制文件目录</w:t>
            </w:r>
            <w:r>
              <w:rPr>
                <w:rFonts w:hint="eastAsia" w:ascii="宋体" w:hAnsi="宋体" w:eastAsia="宋体"/>
                <w:szCs w:val="21"/>
                <w:highlight w:val="none"/>
              </w:rPr>
              <w:t>并采用</w:t>
            </w:r>
            <w:r>
              <w:rPr>
                <w:rFonts w:hint="default" w:ascii="宋体" w:hAnsi="宋体" w:eastAsia="宋体"/>
                <w:szCs w:val="21"/>
                <w:highlight w:val="none"/>
              </w:rPr>
              <w:t>WinRAR</w:t>
            </w:r>
            <w:r>
              <w:rPr>
                <w:rFonts w:hint="eastAsia" w:ascii="宋体" w:hAnsi="宋体" w:eastAsia="宋体"/>
                <w:szCs w:val="21"/>
                <w:highlight w:val="none"/>
              </w:rPr>
              <w:t>或</w:t>
            </w:r>
            <w:r>
              <w:rPr>
                <w:rFonts w:hint="default" w:ascii="宋体" w:hAnsi="宋体" w:eastAsia="宋体"/>
                <w:szCs w:val="21"/>
                <w:highlight w:val="none"/>
              </w:rPr>
              <w:t>WinZip</w:t>
            </w:r>
            <w:r>
              <w:rPr>
                <w:rFonts w:hint="eastAsia" w:ascii="宋体" w:hAnsi="宋体" w:eastAsia="宋体"/>
                <w:szCs w:val="21"/>
                <w:highlight w:val="none"/>
              </w:rPr>
              <w:t>等常用</w:t>
            </w:r>
            <w:r>
              <w:rPr>
                <w:rFonts w:hint="default" w:ascii="宋体" w:hAnsi="宋体" w:eastAsia="宋体"/>
                <w:szCs w:val="21"/>
                <w:highlight w:val="none"/>
              </w:rPr>
              <w:t>压缩</w:t>
            </w:r>
            <w:r>
              <w:rPr>
                <w:rFonts w:hint="eastAsia" w:ascii="宋体" w:hAnsi="宋体" w:eastAsia="宋体"/>
                <w:szCs w:val="21"/>
                <w:highlight w:val="none"/>
              </w:rPr>
              <w:t>软件进行压缩和</w:t>
            </w:r>
            <w:r>
              <w:rPr>
                <w:rFonts w:hint="default" w:ascii="宋体" w:hAnsi="宋体" w:eastAsia="宋体"/>
                <w:szCs w:val="21"/>
                <w:highlight w:val="none"/>
              </w:rPr>
              <w:t>加密</w:t>
            </w:r>
            <w:bookmarkEnd w:id="6"/>
            <w:r>
              <w:rPr>
                <w:rFonts w:hint="eastAsia" w:ascii="宋体" w:hAnsi="宋体" w:eastAsia="宋体"/>
                <w:szCs w:val="21"/>
                <w:highlight w:val="none"/>
              </w:rPr>
              <w:t>。</w:t>
            </w:r>
          </w:p>
          <w:p>
            <w:pPr>
              <w:pStyle w:val="22"/>
              <w:keepNext w:val="0"/>
              <w:keepLines w:val="0"/>
              <w:numPr>
                <w:ilvl w:val="0"/>
                <w:numId w:val="3"/>
              </w:numPr>
              <w:suppressLineNumbers w:val="0"/>
              <w:spacing w:before="0" w:beforeAutospacing="0" w:after="0" w:afterAutospacing="0"/>
              <w:ind w:left="0" w:right="0" w:firstLine="0" w:firstLineChars="0"/>
              <w:rPr>
                <w:rFonts w:hint="default" w:ascii="宋体" w:hAnsi="宋体" w:eastAsia="宋体"/>
                <w:szCs w:val="21"/>
                <w:highlight w:val="none"/>
              </w:rPr>
            </w:pPr>
            <w:r>
              <w:rPr>
                <w:rFonts w:hint="eastAsia" w:ascii="宋体" w:hAnsi="宋体" w:eastAsia="宋体"/>
                <w:szCs w:val="21"/>
                <w:highlight w:val="none"/>
              </w:rPr>
              <w:t>投标人授权代表须熟记文件密码，并在开标前按时将</w:t>
            </w:r>
            <w:r>
              <w:rPr>
                <w:rFonts w:hint="eastAsia" w:ascii="宋体" w:hAnsi="宋体" w:eastAsia="宋体"/>
                <w:highlight w:val="none"/>
              </w:rPr>
              <w:t>投标文件解密密码（格式详见附件）上传至指定地址，</w:t>
            </w:r>
            <w:r>
              <w:rPr>
                <w:rFonts w:hint="eastAsia" w:ascii="宋体" w:hAnsi="宋体" w:eastAsia="宋体"/>
                <w:szCs w:val="21"/>
                <w:highlight w:val="none"/>
              </w:rPr>
              <w:t>否则做废标处理。投标文件递交时间截止后，不再接受任何理由的撤回或重新提交文件请求。</w:t>
            </w:r>
          </w:p>
          <w:p>
            <w:pPr>
              <w:pStyle w:val="22"/>
              <w:keepNext w:val="0"/>
              <w:keepLines w:val="0"/>
              <w:numPr>
                <w:ilvl w:val="0"/>
                <w:numId w:val="3"/>
              </w:numPr>
              <w:suppressLineNumbers w:val="0"/>
              <w:spacing w:before="0" w:beforeAutospacing="0" w:after="0" w:afterAutospacing="0"/>
              <w:ind w:left="0" w:right="0" w:firstLine="0" w:firstLineChars="0"/>
              <w:rPr>
                <w:rFonts w:hint="default" w:ascii="宋体" w:hAnsi="宋体" w:eastAsia="宋体"/>
                <w:szCs w:val="21"/>
                <w:highlight w:val="none"/>
              </w:rPr>
            </w:pPr>
            <w:r>
              <w:rPr>
                <w:rFonts w:hint="eastAsia" w:ascii="宋体" w:hAnsi="宋体" w:eastAsia="宋体"/>
                <w:szCs w:val="21"/>
                <w:highlight w:val="none"/>
              </w:rPr>
              <w:t>所有需要加盖公章的页面均须加盖公章，要求签名之处须有相应的亲笔手写签名或法定有效的私章。</w:t>
            </w:r>
          </w:p>
          <w:p>
            <w:pPr>
              <w:pStyle w:val="22"/>
              <w:keepNext w:val="0"/>
              <w:keepLines w:val="0"/>
              <w:numPr>
                <w:ilvl w:val="0"/>
                <w:numId w:val="3"/>
              </w:numPr>
              <w:suppressLineNumbers w:val="0"/>
              <w:spacing w:before="0" w:beforeAutospacing="0" w:after="0" w:afterAutospacing="0"/>
              <w:ind w:left="0" w:right="0" w:firstLine="0" w:firstLineChars="0"/>
              <w:rPr>
                <w:rFonts w:hint="default" w:ascii="宋体" w:hAnsi="宋体" w:eastAsia="宋体"/>
                <w:szCs w:val="21"/>
                <w:highlight w:val="none"/>
              </w:rPr>
            </w:pPr>
            <w:r>
              <w:rPr>
                <w:rFonts w:hint="eastAsia" w:ascii="宋体" w:hAnsi="宋体" w:eastAsia="宋体"/>
                <w:szCs w:val="21"/>
                <w:highlight w:val="none"/>
              </w:rPr>
              <w:t>本项目实质性响应内容以盖章扫描版（</w:t>
            </w:r>
            <w:r>
              <w:rPr>
                <w:rFonts w:hint="default" w:ascii="宋体" w:hAnsi="宋体" w:eastAsia="宋体"/>
                <w:szCs w:val="21"/>
                <w:highlight w:val="none"/>
              </w:rPr>
              <w:t>PDF</w:t>
            </w:r>
            <w:r>
              <w:rPr>
                <w:rFonts w:hint="eastAsia" w:ascii="宋体" w:hAnsi="宋体" w:eastAsia="宋体"/>
                <w:szCs w:val="21"/>
                <w:highlight w:val="none"/>
              </w:rPr>
              <w:t>版）文件为准，可编辑版（W</w:t>
            </w:r>
            <w:r>
              <w:rPr>
                <w:rFonts w:hint="default" w:ascii="宋体" w:hAnsi="宋体" w:eastAsia="宋体"/>
                <w:szCs w:val="21"/>
                <w:highlight w:val="none"/>
              </w:rPr>
              <w:t>ord</w:t>
            </w:r>
            <w:r>
              <w:rPr>
                <w:rFonts w:hint="eastAsia" w:ascii="宋体" w:hAnsi="宋体" w:eastAsia="宋体"/>
                <w:szCs w:val="21"/>
                <w:highlight w:val="none"/>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8</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keepNext w:val="0"/>
              <w:keepLines w:val="0"/>
              <w:suppressLineNumbers w:val="0"/>
              <w:spacing w:before="0" w:beforeAutospacing="0" w:after="0" w:afterAutospacing="0"/>
              <w:ind w:left="0" w:right="0"/>
              <w:rPr>
                <w:rFonts w:hint="default" w:ascii="宋体" w:hAnsi="宋体"/>
              </w:rPr>
            </w:pPr>
            <w:r>
              <w:rPr>
                <w:rFonts w:hint="eastAsia" w:ascii="宋体" w:hAnsi="宋体"/>
                <w:szCs w:val="21"/>
              </w:rPr>
              <w:t>2</w:t>
            </w:r>
            <w:r>
              <w:rPr>
                <w:rFonts w:hint="default" w:ascii="宋体" w:hAnsi="宋体"/>
                <w:szCs w:val="21"/>
              </w:rPr>
              <w:t>02</w:t>
            </w:r>
            <w:r>
              <w:rPr>
                <w:rFonts w:hint="eastAsia" w:ascii="宋体" w:hAnsi="宋体"/>
                <w:szCs w:val="21"/>
                <w:lang w:val="en-US" w:eastAsia="zh-CN"/>
              </w:rPr>
              <w:t>3</w:t>
            </w:r>
            <w:r>
              <w:rPr>
                <w:rFonts w:hint="default" w:ascii="宋体" w:hAnsi="宋体"/>
                <w:szCs w:val="21"/>
              </w:rPr>
              <w:t>-</w:t>
            </w:r>
            <w:r>
              <w:rPr>
                <w:rFonts w:hint="eastAsia" w:ascii="宋体" w:hAnsi="宋体"/>
                <w:szCs w:val="21"/>
                <w:lang w:val="en-US" w:eastAsia="zh-CN"/>
              </w:rPr>
              <w:t>9</w:t>
            </w:r>
            <w:r>
              <w:rPr>
                <w:rFonts w:hint="default" w:ascii="宋体" w:hAnsi="宋体"/>
                <w:szCs w:val="21"/>
              </w:rPr>
              <w:t>-</w:t>
            </w:r>
            <w:r>
              <w:rPr>
                <w:rFonts w:hint="eastAsia" w:ascii="宋体" w:hAnsi="宋体"/>
                <w:szCs w:val="21"/>
                <w:lang w:val="en-US" w:eastAsia="zh-CN"/>
              </w:rPr>
              <w:t>25</w:t>
            </w:r>
            <w:r>
              <w:rPr>
                <w:rFonts w:hint="default" w:ascii="宋体" w:hAnsi="宋体"/>
                <w:szCs w:val="21"/>
              </w:rPr>
              <w:t xml:space="preserve"> </w:t>
            </w:r>
            <w:r>
              <w:rPr>
                <w:rFonts w:hint="eastAsia" w:ascii="宋体" w:hAnsi="宋体"/>
                <w:szCs w:val="21"/>
                <w:lang w:val="en-US" w:eastAsia="zh-CN"/>
              </w:rPr>
              <w:t>9</w:t>
            </w:r>
            <w:r>
              <w:rPr>
                <w:rFonts w:hint="default"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hint="default"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shd w:val="clear" w:color="auto" w:fill="FFFFFF"/>
              </w:rPr>
            </w:pPr>
            <w:r>
              <w:rPr>
                <w:rFonts w:hint="eastAsia" w:ascii="宋体" w:hAnsi="宋体"/>
                <w:szCs w:val="21"/>
              </w:rPr>
              <w:t>开标地点</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szCs w:val="21"/>
                <w:highlight w:val="yellow"/>
              </w:rPr>
            </w:pPr>
            <w:r>
              <w:rPr>
                <w:rFonts w:hint="eastAsia" w:ascii="宋体" w:hAnsi="宋体"/>
                <w:szCs w:val="21"/>
                <w:highlight w:val="none"/>
              </w:rPr>
              <w:t>腾讯会议号：</w:t>
            </w:r>
            <w:r>
              <w:rPr>
                <w:rFonts w:hint="eastAsia" w:ascii="宋体" w:hAnsi="宋体"/>
                <w:szCs w:val="21"/>
                <w:highlight w:val="yellow"/>
              </w:rPr>
              <w:t>645-967-377</w:t>
            </w:r>
          </w:p>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szCs w:val="21"/>
                <w:highlight w:val="none"/>
              </w:rPr>
            </w:pPr>
            <w:r>
              <w:rPr>
                <w:rFonts w:hint="eastAsia" w:ascii="宋体" w:hAnsi="宋体"/>
                <w:szCs w:val="21"/>
                <w:highlight w:val="none"/>
              </w:rPr>
              <w:t>（免密，入会前必须改名为“</w:t>
            </w:r>
            <w:r>
              <w:rPr>
                <w:rFonts w:hint="eastAsia" w:ascii="宋体" w:hAnsi="宋体"/>
                <w:b/>
                <w:bCs/>
                <w:color w:val="FF0000"/>
                <w:szCs w:val="21"/>
                <w:highlight w:val="none"/>
              </w:rPr>
              <w:t>公司简称+姓名</w:t>
            </w:r>
            <w:r>
              <w:rPr>
                <w:rFonts w:hint="eastAsia" w:ascii="宋体" w:hAnsi="宋体"/>
                <w:szCs w:val="21"/>
                <w:highlight w:val="none"/>
              </w:rPr>
              <w:t>”,会议期间</w:t>
            </w:r>
            <w:r>
              <w:rPr>
                <w:rFonts w:hint="eastAsia" w:ascii="宋体" w:hAnsi="宋体"/>
                <w:b/>
                <w:color w:val="FF0000"/>
                <w:szCs w:val="21"/>
                <w:highlight w:val="none"/>
              </w:rPr>
              <w:t>禁止使用虚拟背景</w:t>
            </w:r>
            <w:r>
              <w:rPr>
                <w:rFonts w:hint="eastAsia" w:ascii="宋体" w:hAnsi="宋体"/>
                <w:szCs w:val="21"/>
                <w:highlight w:val="none"/>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投标文件密码</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在开标时按照招标人现场指令</w:t>
            </w:r>
            <w:r>
              <w:rPr>
                <w:rFonts w:hint="eastAsia" w:ascii="宋体" w:hAnsi="宋体"/>
                <w:color w:val="auto"/>
                <w:highlight w:val="none"/>
              </w:rPr>
              <w:t>将投标文件解密密码（详见附件）上传至</w:t>
            </w:r>
            <w:r>
              <w:rPr>
                <w:rFonts w:hint="default"/>
                <w:color w:val="auto"/>
                <w:highlight w:val="yellow"/>
              </w:rPr>
              <w:t>https://cg.szcec.com/sharing/ZQ725HT99</w:t>
            </w:r>
            <w:r>
              <w:rPr>
                <w:rFonts w:hint="eastAsia" w:ascii="宋体" w:hAnsi="宋体"/>
                <w:color w:val="auto"/>
                <w:szCs w:val="21"/>
                <w:highlight w:val="none"/>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是否接受</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联合体投标</w:t>
            </w:r>
          </w:p>
        </w:tc>
        <w:tc>
          <w:tcPr>
            <w:tcW w:w="7029" w:type="dxa"/>
            <w:tcBorders>
              <w:top w:val="single" w:color="auto" w:sz="4" w:space="0"/>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10</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theme="minorBidi"/>
                <w:kern w:val="0"/>
                <w:szCs w:val="21"/>
              </w:rPr>
            </w:pPr>
            <w:r>
              <w:rPr>
                <w:rFonts w:hint="eastAsia" w:ascii="宋体" w:hAnsi="宋体" w:cstheme="minorBidi"/>
                <w:kern w:val="0"/>
                <w:szCs w:val="21"/>
              </w:rPr>
              <w:t>现场踏勘</w:t>
            </w:r>
          </w:p>
        </w:tc>
        <w:tc>
          <w:tcPr>
            <w:tcW w:w="7029" w:type="dxa"/>
            <w:vAlign w:val="center"/>
          </w:tcPr>
          <w:p>
            <w:pPr>
              <w:keepNext w:val="0"/>
              <w:keepLines w:val="0"/>
              <w:numPr>
                <w:ilvl w:val="0"/>
                <w:numId w:val="4"/>
              </w:numPr>
              <w:suppressLineNumbers w:val="0"/>
              <w:tabs>
                <w:tab w:val="left" w:pos="281"/>
                <w:tab w:val="left" w:pos="541"/>
              </w:tabs>
              <w:snapToGrid w:val="0"/>
              <w:spacing w:before="0" w:beforeAutospacing="0" w:after="0" w:afterAutospacing="0"/>
              <w:ind w:right="0"/>
              <w:rPr>
                <w:rFonts w:hint="default" w:ascii="宋体" w:hAnsi="宋体" w:cstheme="minorBidi"/>
                <w:kern w:val="0"/>
                <w:szCs w:val="21"/>
                <w:highlight w:val="none"/>
              </w:rPr>
            </w:pPr>
            <w:r>
              <w:rPr>
                <w:rFonts w:hint="eastAsia" w:ascii="宋体" w:hAnsi="宋体" w:cs="Segoe UI Symbol"/>
                <w:kern w:val="0"/>
                <w:szCs w:val="21"/>
                <w:highlight w:val="none"/>
              </w:rPr>
              <w:sym w:font="Wingdings 2" w:char="0052"/>
            </w:r>
            <w:r>
              <w:rPr>
                <w:rFonts w:hint="eastAsia" w:ascii="宋体" w:hAnsi="宋体" w:cstheme="minorBidi"/>
                <w:kern w:val="0"/>
                <w:szCs w:val="21"/>
                <w:highlight w:val="none"/>
              </w:rPr>
              <w:t>不组织,投标人可在本项目招标公告发布后至报名（文件获取）时间截止前自行踏勘。</w:t>
            </w:r>
          </w:p>
          <w:p>
            <w:pPr>
              <w:keepNext w:val="0"/>
              <w:keepLines w:val="0"/>
              <w:numPr>
                <w:ilvl w:val="0"/>
                <w:numId w:val="4"/>
              </w:numPr>
              <w:suppressLineNumbers w:val="0"/>
              <w:tabs>
                <w:tab w:val="left" w:pos="281"/>
                <w:tab w:val="left" w:pos="541"/>
              </w:tabs>
              <w:snapToGrid w:val="0"/>
              <w:spacing w:before="0" w:beforeAutospacing="0" w:after="0" w:afterAutospacing="0"/>
              <w:ind w:right="0"/>
              <w:rPr>
                <w:rFonts w:hint="default" w:ascii="宋体" w:hAnsi="宋体" w:cstheme="minorBidi"/>
                <w:kern w:val="0"/>
                <w:szCs w:val="21"/>
                <w:highlight w:val="none"/>
              </w:rPr>
            </w:pPr>
            <w:r>
              <w:rPr>
                <w:rFonts w:hint="eastAsia" w:ascii="宋体" w:hAnsi="宋体" w:cstheme="minorBidi"/>
                <w:kern w:val="0"/>
                <w:szCs w:val="21"/>
                <w:highlight w:val="none"/>
              </w:rPr>
              <w:t>□组织，踏勘要求：</w:t>
            </w:r>
          </w:p>
          <w:p>
            <w:pPr>
              <w:pStyle w:val="22"/>
              <w:keepNext w:val="0"/>
              <w:keepLines w:val="0"/>
              <w:numPr>
                <w:ilvl w:val="0"/>
                <w:numId w:val="5"/>
              </w:numPr>
              <w:suppressLineNumbers w:val="0"/>
              <w:tabs>
                <w:tab w:val="left" w:pos="541"/>
              </w:tabs>
              <w:snapToGrid w:val="0"/>
              <w:spacing w:before="0" w:beforeAutospacing="0" w:after="0" w:afterAutospacing="0"/>
              <w:ind w:left="805" w:right="0" w:hanging="227" w:firstLineChars="0"/>
              <w:rPr>
                <w:rFonts w:hint="default" w:ascii="宋体" w:hAnsi="宋体" w:eastAsia="宋体"/>
                <w:kern w:val="0"/>
                <w:szCs w:val="21"/>
                <w:highlight w:val="none"/>
              </w:rPr>
            </w:pPr>
            <w:r>
              <w:rPr>
                <w:rFonts w:hint="eastAsia" w:ascii="宋体" w:hAnsi="宋体" w:eastAsia="宋体"/>
                <w:kern w:val="0"/>
                <w:szCs w:val="21"/>
                <w:highlight w:val="none"/>
              </w:rPr>
              <w:t>投标人是否必须参加：</w:t>
            </w:r>
          </w:p>
          <w:p>
            <w:pPr>
              <w:pStyle w:val="22"/>
              <w:keepNext w:val="0"/>
              <w:keepLines w:val="0"/>
              <w:suppressLineNumbers w:val="0"/>
              <w:tabs>
                <w:tab w:val="left" w:pos="541"/>
              </w:tabs>
              <w:snapToGrid w:val="0"/>
              <w:spacing w:before="0" w:beforeAutospacing="0" w:after="0" w:afterAutospacing="0"/>
              <w:ind w:left="805" w:right="0" w:firstLine="8" w:firstLineChars="4"/>
              <w:rPr>
                <w:rFonts w:hint="default" w:ascii="宋体" w:hAnsi="宋体" w:eastAsia="宋体"/>
                <w:kern w:val="0"/>
                <w:szCs w:val="21"/>
                <w:highlight w:val="none"/>
              </w:rPr>
            </w:pPr>
            <w:r>
              <w:rPr>
                <w:rFonts w:hint="eastAsia" w:ascii="宋体" w:hAnsi="宋体" w:eastAsia="宋体"/>
                <w:kern w:val="0"/>
                <w:szCs w:val="21"/>
                <w:highlight w:val="none"/>
              </w:rPr>
              <w:t>□是（若不参加，将因投标文件不完整导致失去本项目投标资格）</w:t>
            </w:r>
          </w:p>
          <w:p>
            <w:pPr>
              <w:pStyle w:val="22"/>
              <w:keepNext w:val="0"/>
              <w:keepLines w:val="0"/>
              <w:suppressLineNumbers w:val="0"/>
              <w:tabs>
                <w:tab w:val="left" w:pos="541"/>
              </w:tabs>
              <w:snapToGrid w:val="0"/>
              <w:spacing w:before="0" w:beforeAutospacing="0" w:after="0" w:afterAutospacing="0"/>
              <w:ind w:left="805" w:right="0" w:firstLine="8" w:firstLineChars="4"/>
              <w:rPr>
                <w:rFonts w:hint="default" w:ascii="宋体" w:hAnsi="宋体" w:eastAsia="宋体"/>
                <w:kern w:val="0"/>
                <w:szCs w:val="21"/>
                <w:highlight w:val="none"/>
              </w:rPr>
            </w:pPr>
            <w:r>
              <w:rPr>
                <w:rFonts w:hint="eastAsia" w:ascii="宋体" w:hAnsi="宋体" w:eastAsia="宋体"/>
                <w:kern w:val="0"/>
                <w:szCs w:val="21"/>
                <w:highlight w:val="none"/>
              </w:rPr>
              <w:t>□否（可选择不参加，不影响投标资格但可能会产生不利后果）</w:t>
            </w:r>
          </w:p>
          <w:p>
            <w:pPr>
              <w:pStyle w:val="22"/>
              <w:keepNext w:val="0"/>
              <w:keepLines w:val="0"/>
              <w:numPr>
                <w:ilvl w:val="0"/>
                <w:numId w:val="6"/>
              </w:numPr>
              <w:suppressLineNumbers w:val="0"/>
              <w:tabs>
                <w:tab w:val="left" w:pos="541"/>
              </w:tabs>
              <w:snapToGrid w:val="0"/>
              <w:spacing w:before="0" w:beforeAutospacing="0" w:after="0" w:afterAutospacing="0"/>
              <w:ind w:left="805" w:right="0" w:hanging="224" w:firstLineChars="0"/>
              <w:rPr>
                <w:rFonts w:hint="default" w:ascii="宋体" w:hAnsi="宋体" w:eastAsia="宋体"/>
                <w:kern w:val="0"/>
                <w:szCs w:val="21"/>
                <w:highlight w:val="none"/>
              </w:rPr>
            </w:pPr>
            <w:r>
              <w:rPr>
                <w:rFonts w:hint="eastAsia" w:ascii="宋体" w:hAnsi="宋体" w:eastAsia="宋体"/>
                <w:kern w:val="0"/>
                <w:szCs w:val="21"/>
                <w:highlight w:val="none"/>
              </w:rPr>
              <w:t>招标人定于202×-××-×× ××: ××邀请投标人人员察看现场并讲解项目需求；投标人应指派符合要求的人员参加本项目的现场踏勘。</w:t>
            </w:r>
          </w:p>
          <w:p>
            <w:pPr>
              <w:pStyle w:val="22"/>
              <w:keepNext w:val="0"/>
              <w:keepLines w:val="0"/>
              <w:numPr>
                <w:ilvl w:val="0"/>
                <w:numId w:val="6"/>
              </w:numPr>
              <w:suppressLineNumbers w:val="0"/>
              <w:tabs>
                <w:tab w:val="left" w:pos="541"/>
              </w:tabs>
              <w:snapToGrid w:val="0"/>
              <w:spacing w:before="0" w:beforeAutospacing="0" w:after="0" w:afterAutospacing="0"/>
              <w:ind w:left="805" w:right="0" w:hanging="224" w:firstLineChars="0"/>
              <w:rPr>
                <w:rFonts w:hint="default" w:ascii="宋体" w:hAnsi="宋体" w:eastAsia="宋体"/>
                <w:kern w:val="0"/>
                <w:szCs w:val="21"/>
                <w:highlight w:val="none"/>
              </w:rPr>
            </w:pPr>
            <w:r>
              <w:rPr>
                <w:rFonts w:hint="eastAsia" w:ascii="宋体" w:hAnsi="宋体" w:eastAsia="宋体"/>
                <w:kern w:val="0"/>
                <w:szCs w:val="21"/>
                <w:highlight w:val="none"/>
              </w:rPr>
              <w:t>投标人须持《现场考察证明》（格式见附件）参加现场踏勘，并在完成现场踏勘后交由招标人管理人员签字确认，并附于投标文件中。</w:t>
            </w:r>
          </w:p>
          <w:p>
            <w:pPr>
              <w:pStyle w:val="22"/>
              <w:keepNext w:val="0"/>
              <w:keepLines w:val="0"/>
              <w:numPr>
                <w:ilvl w:val="0"/>
                <w:numId w:val="6"/>
              </w:numPr>
              <w:suppressLineNumbers w:val="0"/>
              <w:tabs>
                <w:tab w:val="left" w:pos="541"/>
              </w:tabs>
              <w:snapToGrid w:val="0"/>
              <w:spacing w:before="0" w:beforeAutospacing="0" w:after="0" w:afterAutospacing="0"/>
              <w:ind w:left="805" w:right="0" w:hanging="224" w:firstLineChars="0"/>
              <w:rPr>
                <w:rFonts w:hint="default" w:ascii="宋体" w:hAnsi="宋体" w:eastAsia="宋体"/>
                <w:kern w:val="0"/>
                <w:szCs w:val="21"/>
                <w:highlight w:val="none"/>
              </w:rPr>
            </w:pPr>
            <w:r>
              <w:rPr>
                <w:rFonts w:hint="eastAsia" w:ascii="宋体" w:hAnsi="宋体" w:eastAsia="宋体"/>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keepNext w:val="0"/>
              <w:keepLines w:val="0"/>
              <w:numPr>
                <w:ilvl w:val="0"/>
                <w:numId w:val="6"/>
              </w:numPr>
              <w:suppressLineNumbers w:val="0"/>
              <w:tabs>
                <w:tab w:val="left" w:pos="541"/>
              </w:tabs>
              <w:snapToGrid w:val="0"/>
              <w:spacing w:before="0" w:beforeAutospacing="0" w:after="0" w:afterAutospacing="0"/>
              <w:ind w:left="805" w:right="0" w:hanging="224" w:firstLineChars="0"/>
              <w:rPr>
                <w:rFonts w:hint="default" w:ascii="宋体" w:hAnsi="宋体" w:eastAsia="宋体"/>
                <w:kern w:val="0"/>
                <w:szCs w:val="21"/>
                <w:highlight w:val="none"/>
              </w:rPr>
            </w:pPr>
            <w:r>
              <w:rPr>
                <w:rFonts w:hint="eastAsia" w:ascii="宋体" w:hAnsi="宋体" w:eastAsia="宋体"/>
                <w:kern w:val="0"/>
                <w:highlight w:val="none"/>
              </w:rPr>
              <w:t>投标人须至少提前一天与踏勘联系人预约。否则，将可能导致投标人不能进入踏勘现场的不利后果。</w:t>
            </w:r>
          </w:p>
          <w:p>
            <w:pPr>
              <w:pStyle w:val="22"/>
              <w:keepNext w:val="0"/>
              <w:keepLines w:val="0"/>
              <w:numPr>
                <w:ilvl w:val="0"/>
                <w:numId w:val="6"/>
              </w:numPr>
              <w:suppressLineNumbers w:val="0"/>
              <w:tabs>
                <w:tab w:val="left" w:pos="541"/>
              </w:tabs>
              <w:snapToGrid w:val="0"/>
              <w:spacing w:before="0" w:beforeAutospacing="0" w:after="0" w:afterAutospacing="0"/>
              <w:ind w:left="805" w:right="0" w:hanging="224" w:firstLineChars="0"/>
              <w:rPr>
                <w:rFonts w:hint="default" w:ascii="宋体" w:hAnsi="宋体" w:eastAsia="宋体"/>
                <w:kern w:val="0"/>
                <w:szCs w:val="21"/>
                <w:highlight w:val="none"/>
              </w:rPr>
            </w:pPr>
            <w:r>
              <w:rPr>
                <w:rFonts w:hint="eastAsia" w:ascii="宋体" w:hAnsi="宋体" w:eastAsia="宋体"/>
                <w:kern w:val="0"/>
                <w:szCs w:val="21"/>
                <w:highlight w:val="none"/>
              </w:rPr>
              <w:t>踏勘联系人：×××</w:t>
            </w:r>
          </w:p>
          <w:p>
            <w:pPr>
              <w:pStyle w:val="22"/>
              <w:keepNext w:val="0"/>
              <w:keepLines w:val="0"/>
              <w:suppressLineNumbers w:val="0"/>
              <w:tabs>
                <w:tab w:val="left" w:pos="541"/>
              </w:tabs>
              <w:snapToGrid w:val="0"/>
              <w:spacing w:before="0" w:beforeAutospacing="0" w:after="0" w:afterAutospacing="0"/>
              <w:ind w:left="805" w:right="0" w:firstLine="0" w:firstLineChars="0"/>
              <w:rPr>
                <w:rFonts w:hint="default" w:ascii="宋体" w:hAnsi="宋体" w:eastAsia="宋体"/>
                <w:kern w:val="0"/>
                <w:szCs w:val="21"/>
                <w:highlight w:val="none"/>
              </w:rPr>
            </w:pPr>
            <w:r>
              <w:rPr>
                <w:rFonts w:hint="eastAsia" w:ascii="宋体" w:hAnsi="宋体" w:eastAsia="宋体"/>
                <w:kern w:val="0"/>
                <w:szCs w:val="21"/>
                <w:highlight w:val="none"/>
              </w:rPr>
              <w:t>电话：0755-8284××××，手机：XXXXX</w:t>
            </w:r>
          </w:p>
          <w:p>
            <w:pPr>
              <w:pStyle w:val="22"/>
              <w:keepNext w:val="0"/>
              <w:keepLines w:val="0"/>
              <w:suppressLineNumbers w:val="0"/>
              <w:tabs>
                <w:tab w:val="left" w:pos="541"/>
              </w:tabs>
              <w:snapToGrid w:val="0"/>
              <w:spacing w:before="0" w:beforeAutospacing="0" w:after="0" w:afterAutospacing="0"/>
              <w:ind w:left="805" w:right="0" w:firstLine="0" w:firstLineChars="0"/>
              <w:rPr>
                <w:rFonts w:hint="default" w:ascii="宋体" w:hAnsi="宋体" w:eastAsia="宋体"/>
                <w:kern w:val="0"/>
                <w:szCs w:val="21"/>
                <w:highlight w:val="none"/>
              </w:rPr>
            </w:pPr>
            <w:r>
              <w:rPr>
                <w:rFonts w:hint="eastAsia" w:ascii="宋体" w:hAnsi="宋体" w:eastAsia="宋体"/>
                <w:kern w:val="0"/>
                <w:szCs w:val="21"/>
                <w:highlight w:val="none"/>
              </w:rPr>
              <w:t>集合地点：××××××××××××××</w:t>
            </w:r>
          </w:p>
          <w:p>
            <w:pPr>
              <w:pStyle w:val="22"/>
              <w:keepNext w:val="0"/>
              <w:keepLines w:val="0"/>
              <w:numPr>
                <w:ilvl w:val="0"/>
                <w:numId w:val="6"/>
              </w:numPr>
              <w:suppressLineNumbers w:val="0"/>
              <w:tabs>
                <w:tab w:val="left" w:pos="541"/>
              </w:tabs>
              <w:snapToGrid w:val="0"/>
              <w:spacing w:before="0" w:beforeAutospacing="0" w:after="0" w:afterAutospacing="0"/>
              <w:ind w:left="805" w:right="0" w:hanging="224" w:firstLineChars="0"/>
              <w:rPr>
                <w:rFonts w:hint="default" w:ascii="宋体" w:hAnsi="宋体" w:eastAsia="宋体"/>
                <w:kern w:val="0"/>
                <w:szCs w:val="21"/>
                <w:highlight w:val="none"/>
              </w:rPr>
            </w:pPr>
            <w:r>
              <w:rPr>
                <w:rFonts w:hint="eastAsia" w:ascii="宋体" w:hAnsi="宋体" w:eastAsia="宋体"/>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1</w:t>
            </w:r>
            <w:r>
              <w:rPr>
                <w:rFonts w:hint="default" w:ascii="宋体" w:hAnsi="宋体"/>
                <w:szCs w:val="21"/>
              </w:rPr>
              <w:t>1</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履约</w:t>
            </w:r>
            <w:r>
              <w:rPr>
                <w:rFonts w:hint="default" w:ascii="宋体" w:hAnsi="宋体"/>
                <w:szCs w:val="21"/>
              </w:rPr>
              <w:t>保证金</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hint="default" w:ascii="宋体" w:hAnsi="宋体" w:cs="Segoe UI Symbol"/>
                <w:color w:val="auto"/>
                <w:kern w:val="0"/>
                <w:szCs w:val="21"/>
                <w:highlight w:val="none"/>
              </w:rPr>
              <w:t xml:space="preserve"> </w:t>
            </w:r>
          </w:p>
          <w:p>
            <w:pPr>
              <w:pStyle w:val="22"/>
              <w:keepNext w:val="0"/>
              <w:keepLines w:val="0"/>
              <w:numPr>
                <w:ilvl w:val="0"/>
                <w:numId w:val="7"/>
              </w:numPr>
              <w:suppressLineNumbers w:val="0"/>
              <w:autoSpaceDE w:val="0"/>
              <w:autoSpaceDN w:val="0"/>
              <w:adjustRightInd w:val="0"/>
              <w:snapToGrid w:val="0"/>
              <w:spacing w:before="0" w:beforeAutospacing="0" w:after="0" w:afterAutospacing="0"/>
              <w:ind w:left="536" w:right="0" w:hanging="536" w:firstLineChars="0"/>
              <w:rPr>
                <w:rFonts w:hint="default"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2"/>
              <w:keepNext w:val="0"/>
              <w:keepLines w:val="0"/>
              <w:numPr>
                <w:ilvl w:val="0"/>
                <w:numId w:val="7"/>
              </w:numPr>
              <w:suppressLineNumbers w:val="0"/>
              <w:autoSpaceDE w:val="0"/>
              <w:autoSpaceDN w:val="0"/>
              <w:adjustRightInd w:val="0"/>
              <w:snapToGrid w:val="0"/>
              <w:spacing w:before="0" w:beforeAutospacing="0" w:after="0" w:afterAutospacing="0"/>
              <w:ind w:left="536" w:right="0" w:hanging="536" w:firstLineChars="0"/>
              <w:rPr>
                <w:rFonts w:hint="default"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2"/>
              <w:keepNext w:val="0"/>
              <w:keepLines w:val="0"/>
              <w:numPr>
                <w:ilvl w:val="0"/>
                <w:numId w:val="8"/>
              </w:numPr>
              <w:suppressLineNumbers w:val="0"/>
              <w:autoSpaceDE w:val="0"/>
              <w:autoSpaceDN w:val="0"/>
              <w:adjustRightInd w:val="0"/>
              <w:snapToGrid w:val="0"/>
              <w:spacing w:before="0" w:beforeAutospacing="0" w:after="0" w:afterAutospacing="0"/>
              <w:ind w:left="818" w:leftChars="254" w:right="0" w:hanging="285" w:hangingChars="136"/>
              <w:jc w:val="left"/>
              <w:rPr>
                <w:rFonts w:hint="default"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hint="default"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2"/>
              <w:keepNext w:val="0"/>
              <w:keepLines w:val="0"/>
              <w:numPr>
                <w:ilvl w:val="0"/>
                <w:numId w:val="8"/>
              </w:numPr>
              <w:suppressLineNumbers w:val="0"/>
              <w:autoSpaceDE w:val="0"/>
              <w:autoSpaceDN w:val="0"/>
              <w:adjustRightInd w:val="0"/>
              <w:snapToGrid w:val="0"/>
              <w:spacing w:before="0" w:beforeAutospacing="0" w:after="0" w:afterAutospacing="0"/>
              <w:ind w:left="818" w:leftChars="254" w:right="0" w:hanging="285" w:hangingChars="136"/>
              <w:jc w:val="left"/>
              <w:rPr>
                <w:rFonts w:hint="default"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hint="default"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hint="default"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2"/>
              <w:keepNext w:val="0"/>
              <w:keepLines w:val="0"/>
              <w:numPr>
                <w:ilvl w:val="0"/>
                <w:numId w:val="8"/>
              </w:numPr>
              <w:suppressLineNumbers w:val="0"/>
              <w:autoSpaceDE w:val="0"/>
              <w:autoSpaceDN w:val="0"/>
              <w:adjustRightInd w:val="0"/>
              <w:snapToGrid w:val="0"/>
              <w:spacing w:before="0" w:beforeAutospacing="0" w:after="0" w:afterAutospacing="0"/>
              <w:ind w:left="818" w:leftChars="254" w:right="0" w:hanging="285" w:hangingChars="136"/>
              <w:jc w:val="left"/>
              <w:rPr>
                <w:rFonts w:hint="default"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hint="default"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hint="default"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hint="default" w:ascii="宋体" w:hAnsi="宋体" w:eastAsia="宋体" w:cs="Segoe UI Symbol"/>
                <w:color w:val="auto"/>
                <w:kern w:val="0"/>
                <w:szCs w:val="21"/>
                <w:highlight w:val="none"/>
              </w:rPr>
              <w:t>）</w:t>
            </w:r>
          </w:p>
          <w:p>
            <w:pPr>
              <w:keepNext w:val="0"/>
              <w:keepLines w:val="0"/>
              <w:suppressLineNumbers w:val="0"/>
              <w:autoSpaceDE w:val="0"/>
              <w:autoSpaceDN w:val="0"/>
              <w:adjustRightInd w:val="0"/>
              <w:snapToGrid w:val="0"/>
              <w:spacing w:before="0" w:beforeAutospacing="0" w:after="0" w:afterAutospacing="0"/>
              <w:ind w:left="819" w:leftChars="390" w:right="0" w:firstLine="1"/>
              <w:jc w:val="left"/>
              <w:rPr>
                <w:rFonts w:hint="default" w:ascii="宋体" w:hAnsi="宋体" w:cs="Segoe UI Symbol"/>
                <w:color w:val="auto"/>
                <w:kern w:val="0"/>
                <w:szCs w:val="21"/>
                <w:highlight w:val="none"/>
              </w:rPr>
            </w:pPr>
            <w:r>
              <w:rPr>
                <w:rFonts w:hint="default"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keepNext w:val="0"/>
              <w:keepLines w:val="0"/>
              <w:suppressLineNumbers w:val="0"/>
              <w:autoSpaceDE w:val="0"/>
              <w:autoSpaceDN w:val="0"/>
              <w:adjustRightInd w:val="0"/>
              <w:snapToGrid w:val="0"/>
              <w:spacing w:before="0" w:beforeAutospacing="0" w:after="0" w:afterAutospacing="0"/>
              <w:ind w:left="819" w:leftChars="390" w:right="0" w:firstLine="1"/>
              <w:jc w:val="left"/>
              <w:rPr>
                <w:rFonts w:hint="default" w:ascii="宋体" w:hAnsi="宋体" w:cs="Segoe UI Symbol"/>
                <w:color w:val="auto"/>
                <w:kern w:val="0"/>
                <w:szCs w:val="21"/>
                <w:highlight w:val="none"/>
              </w:rPr>
            </w:pPr>
            <w:r>
              <w:rPr>
                <w:rFonts w:hint="default" w:ascii="宋体" w:hAnsi="宋体" w:cs="Segoe UI Symbol"/>
                <w:color w:val="auto"/>
                <w:kern w:val="0"/>
                <w:szCs w:val="21"/>
                <w:highlight w:val="none"/>
              </w:rPr>
              <w:t>开户银行：</w:t>
            </w:r>
            <w:r>
              <w:rPr>
                <w:rFonts w:hint="default"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hint="default" w:ascii="宋体" w:hAnsi="宋体" w:cs="Segoe UI Symbol"/>
                <w:color w:val="auto"/>
                <w:kern w:val="0"/>
                <w:szCs w:val="21"/>
                <w:highlight w:val="none"/>
                <w:u w:val="single"/>
              </w:rPr>
              <w:t xml:space="preserve">       </w:t>
            </w:r>
          </w:p>
          <w:p>
            <w:pPr>
              <w:keepNext w:val="0"/>
              <w:keepLines w:val="0"/>
              <w:suppressLineNumbers w:val="0"/>
              <w:autoSpaceDE w:val="0"/>
              <w:autoSpaceDN w:val="0"/>
              <w:adjustRightInd w:val="0"/>
              <w:snapToGrid w:val="0"/>
              <w:spacing w:before="0" w:beforeAutospacing="0" w:after="0" w:afterAutospacing="0"/>
              <w:ind w:left="819" w:leftChars="390" w:right="0" w:firstLine="1"/>
              <w:jc w:val="left"/>
              <w:rPr>
                <w:rFonts w:hint="default"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hint="default" w:ascii="宋体" w:hAnsi="宋体" w:cs="Segoe UI Symbol"/>
                <w:color w:val="auto"/>
                <w:kern w:val="0"/>
                <w:szCs w:val="21"/>
                <w:highlight w:val="none"/>
              </w:rPr>
              <w:t>：</w:t>
            </w:r>
            <w:r>
              <w:rPr>
                <w:rFonts w:hint="default"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hint="default" w:ascii="宋体" w:hAnsi="宋体" w:cs="Segoe UI Symbol"/>
                <w:color w:val="auto"/>
                <w:kern w:val="0"/>
                <w:szCs w:val="21"/>
                <w:highlight w:val="none"/>
                <w:u w:val="single"/>
              </w:rPr>
              <w:t xml:space="preserve">       </w:t>
            </w:r>
          </w:p>
          <w:p>
            <w:pPr>
              <w:pStyle w:val="22"/>
              <w:keepNext w:val="0"/>
              <w:keepLines w:val="0"/>
              <w:numPr>
                <w:ilvl w:val="0"/>
                <w:numId w:val="8"/>
              </w:numPr>
              <w:suppressLineNumbers w:val="0"/>
              <w:autoSpaceDE w:val="0"/>
              <w:autoSpaceDN w:val="0"/>
              <w:adjustRightInd w:val="0"/>
              <w:snapToGrid w:val="0"/>
              <w:spacing w:before="0" w:beforeAutospacing="0" w:after="0" w:afterAutospacing="0"/>
              <w:ind w:left="818" w:leftChars="254" w:right="0" w:hanging="285" w:hangingChars="136"/>
              <w:jc w:val="left"/>
              <w:rPr>
                <w:rFonts w:hint="default"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hint="default"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1</w:t>
            </w:r>
            <w:r>
              <w:rPr>
                <w:rFonts w:hint="default" w:ascii="宋体" w:hAnsi="宋体"/>
                <w:szCs w:val="21"/>
              </w:rPr>
              <w:t>2</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投标样品</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szCs w:val="21"/>
                <w:highlight w:val="none"/>
              </w:rPr>
            </w:pPr>
            <w:r>
              <w:rPr>
                <w:rFonts w:hint="default"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hint="default"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1</w:t>
            </w:r>
            <w:r>
              <w:rPr>
                <w:rFonts w:hint="default" w:ascii="宋体" w:hAnsi="宋体"/>
                <w:szCs w:val="21"/>
              </w:rPr>
              <w:t>3</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评标方法</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s="Segoe UI Symbol"/>
                <w:color w:val="auto"/>
                <w:kern w:val="0"/>
                <w:szCs w:val="21"/>
                <w:highlight w:val="none"/>
              </w:rPr>
            </w:pPr>
            <w:r>
              <w:rPr>
                <w:rFonts w:hint="default"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1</w:t>
            </w:r>
            <w:r>
              <w:rPr>
                <w:rFonts w:hint="default" w:ascii="宋体" w:hAnsi="宋体"/>
                <w:szCs w:val="21"/>
              </w:rPr>
              <w:t>4</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推荐中标</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cs="宋体"/>
                <w:szCs w:val="21"/>
              </w:rPr>
              <w:t>候选人数量</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s="宋体"/>
                <w:color w:val="auto"/>
                <w:szCs w:val="21"/>
                <w:highlight w:val="none"/>
              </w:rPr>
            </w:pPr>
            <w:r>
              <w:rPr>
                <w:rFonts w:hint="default"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hint="default"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7" w:name="_Toc82591925"/>
      <w:bookmarkEnd w:id="7"/>
      <w:bookmarkStart w:id="8" w:name="_Toc82684588"/>
      <w:bookmarkEnd w:id="8"/>
      <w:bookmarkStart w:id="9" w:name="_Toc82591927"/>
      <w:bookmarkEnd w:id="9"/>
      <w:bookmarkStart w:id="10" w:name="_Toc82685543"/>
      <w:bookmarkEnd w:id="10"/>
      <w:bookmarkStart w:id="11" w:name="_Toc82684703"/>
      <w:bookmarkEnd w:id="11"/>
      <w:bookmarkStart w:id="12" w:name="_Toc82684589"/>
      <w:bookmarkEnd w:id="12"/>
      <w:bookmarkStart w:id="13" w:name="_Toc82684706"/>
      <w:bookmarkEnd w:id="13"/>
      <w:bookmarkStart w:id="14" w:name="_Toc82591926"/>
      <w:bookmarkEnd w:id="14"/>
      <w:bookmarkStart w:id="15" w:name="_Toc82685542"/>
      <w:bookmarkEnd w:id="15"/>
      <w:bookmarkStart w:id="16" w:name="_Toc82591928"/>
      <w:bookmarkEnd w:id="16"/>
      <w:bookmarkStart w:id="17" w:name="_Toc82685541"/>
      <w:bookmarkEnd w:id="17"/>
      <w:bookmarkStart w:id="18" w:name="_Toc82684704"/>
      <w:bookmarkEnd w:id="18"/>
      <w:bookmarkStart w:id="19" w:name="_Toc82684591"/>
      <w:bookmarkEnd w:id="19"/>
      <w:bookmarkStart w:id="20" w:name="_Toc82684705"/>
      <w:bookmarkEnd w:id="20"/>
      <w:bookmarkStart w:id="21" w:name="_Toc82685540"/>
      <w:bookmarkEnd w:id="21"/>
      <w:bookmarkStart w:id="22" w:name="_Toc82684590"/>
      <w:bookmarkEnd w:id="22"/>
      <w:bookmarkStart w:id="23" w:name="_Toc116550346"/>
      <w:r>
        <w:rPr>
          <w:rFonts w:hint="eastAsia" w:ascii="宋体" w:hAnsi="宋体"/>
          <w:b/>
          <w:szCs w:val="21"/>
        </w:rPr>
        <w:t>特别说明</w:t>
      </w:r>
      <w:bookmarkEnd w:id="23"/>
    </w:p>
    <w:p>
      <w:pPr>
        <w:pStyle w:val="22"/>
        <w:numPr>
          <w:ilvl w:val="0"/>
          <w:numId w:val="9"/>
        </w:numPr>
        <w:spacing w:line="360" w:lineRule="auto"/>
        <w:ind w:left="0" w:firstLine="420" w:firstLineChars="0"/>
        <w:rPr>
          <w:rFonts w:ascii="宋体" w:hAnsi="宋体" w:eastAsia="宋体" w:cs="宋体"/>
          <w:szCs w:val="21"/>
        </w:rPr>
      </w:pPr>
      <w:bookmarkStart w:id="24" w:name="_Toc478387747"/>
      <w:bookmarkStart w:id="25" w:name="_Toc517278751"/>
      <w:bookmarkStart w:id="26" w:name="_Toc45028463"/>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684708"/>
      <w:bookmarkEnd w:id="27"/>
      <w:bookmarkStart w:id="28" w:name="_Toc82685545"/>
      <w:bookmarkEnd w:id="28"/>
      <w:bookmarkStart w:id="29" w:name="_Toc82591988"/>
      <w:bookmarkEnd w:id="29"/>
      <w:bookmarkStart w:id="30" w:name="_Toc82591985"/>
      <w:bookmarkEnd w:id="30"/>
      <w:bookmarkStart w:id="31" w:name="_Toc82591987"/>
      <w:bookmarkEnd w:id="31"/>
      <w:bookmarkStart w:id="32" w:name="_Toc82591986"/>
      <w:bookmarkEnd w:id="32"/>
      <w:bookmarkStart w:id="33" w:name="_Toc82591989"/>
      <w:bookmarkEnd w:id="33"/>
      <w:bookmarkStart w:id="34" w:name="_Toc82591930"/>
      <w:bookmarkEnd w:id="34"/>
      <w:bookmarkStart w:id="35" w:name="_Toc82684593"/>
      <w:bookmarkEnd w:id="35"/>
      <w:bookmarkStart w:id="36" w:name="_Toc116550347"/>
      <w:r>
        <w:rPr>
          <w:rFonts w:hint="eastAsia" w:ascii="宋体" w:hAnsi="宋体"/>
          <w:b/>
          <w:szCs w:val="21"/>
        </w:rPr>
        <w:t>投标文件编制</w:t>
      </w:r>
      <w:bookmarkEnd w:id="36"/>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szCs w:val="21"/>
              </w:rPr>
            </w:pPr>
            <w:r>
              <w:rPr>
                <w:rFonts w:hint="eastAsia" w:ascii="宋体" w:hAnsi="宋体"/>
                <w:b/>
                <w:szCs w:val="21"/>
              </w:rPr>
              <w:t>条款号</w:t>
            </w:r>
          </w:p>
        </w:tc>
        <w:tc>
          <w:tcPr>
            <w:tcW w:w="2090" w:type="dxa"/>
            <w:shd w:val="clear" w:color="auto" w:fill="auto"/>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szCs w:val="21"/>
              </w:rPr>
            </w:pPr>
            <w:r>
              <w:rPr>
                <w:rFonts w:hint="eastAsia" w:ascii="宋体" w:hAnsi="宋体"/>
                <w:b/>
                <w:szCs w:val="21"/>
              </w:rPr>
              <w:t>名称</w:t>
            </w:r>
          </w:p>
        </w:tc>
        <w:tc>
          <w:tcPr>
            <w:tcW w:w="5746" w:type="dxa"/>
            <w:shd w:val="clear" w:color="auto" w:fill="auto"/>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szCs w:val="21"/>
                <w:shd w:val="clear" w:color="auto" w:fill="FFFFFF"/>
              </w:rPr>
            </w:pPr>
            <w:r>
              <w:rPr>
                <w:rFonts w:hint="default"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1</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rPr>
            </w:pPr>
            <w:r>
              <w:rPr>
                <w:rFonts w:hint="eastAsia" w:ascii="宋体" w:hAnsi="宋体" w:cs="Segoe UI Symbol"/>
                <w:kern w:val="0"/>
                <w:szCs w:val="21"/>
              </w:rPr>
              <w:sym w:font="Wingdings 2" w:char="0052"/>
            </w:r>
            <w:r>
              <w:rPr>
                <w:rFonts w:hint="eastAsia"/>
              </w:rPr>
              <w:t>资格审查文件</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rPr>
            </w:pPr>
            <w:r>
              <w:rPr>
                <w:rFonts w:hint="eastAsia" w:ascii="宋体" w:hAnsi="宋体" w:cs="Segoe UI Symbol"/>
                <w:kern w:val="0"/>
                <w:szCs w:val="21"/>
              </w:rPr>
              <w:sym w:font="Wingdings 2" w:char="0052"/>
            </w:r>
            <w:r>
              <w:rPr>
                <w:rFonts w:hint="eastAsia"/>
              </w:rPr>
              <w:t>商务标部分</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rPr>
            </w:pPr>
            <w:r>
              <w:rPr>
                <w:rFonts w:hint="eastAsia" w:ascii="宋体" w:hAnsi="宋体" w:cs="Segoe UI Symbol"/>
                <w:kern w:val="0"/>
                <w:szCs w:val="21"/>
              </w:rPr>
              <w:sym w:font="Wingdings 2" w:char="0052"/>
            </w:r>
            <w:r>
              <w:rPr>
                <w:rFonts w:hint="eastAsia"/>
              </w:rPr>
              <w:t>技术/服务标部分</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rPr>
            </w:pPr>
            <w:r>
              <w:rPr>
                <w:rFonts w:hint="eastAsia" w:ascii="宋体" w:hAnsi="宋体" w:cs="Segoe UI Symbol"/>
                <w:kern w:val="0"/>
                <w:szCs w:val="21"/>
              </w:rPr>
              <w:sym w:font="Wingdings 2" w:char="0052"/>
            </w:r>
            <w:r>
              <w:rPr>
                <w:rFonts w:hint="eastAsia"/>
              </w:rPr>
              <w:t>价格标部分</w:t>
            </w:r>
          </w:p>
          <w:p>
            <w:pPr>
              <w:pStyle w:val="11"/>
              <w:keepNext w:val="0"/>
              <w:keepLines w:val="0"/>
              <w:suppressLineNumbers w:val="0"/>
              <w:spacing w:before="0" w:beforeAutospacing="0" w:after="0" w:afterAutospacing="0"/>
              <w:ind w:left="0" w:right="0"/>
              <w:rPr>
                <w:rFonts w:hint="default"/>
              </w:rPr>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2</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Segoe UI Symbol"/>
                <w:kern w:val="0"/>
                <w:szCs w:val="21"/>
              </w:rPr>
              <w:sym w:font="Wingdings 2" w:char="0052"/>
            </w:r>
            <w:r>
              <w:rPr>
                <w:rFonts w:hint="default" w:ascii="宋体" w:hAnsi="宋体"/>
              </w:rPr>
              <w:t>信用中国网站</w:t>
            </w:r>
            <w:r>
              <w:rPr>
                <w:rFonts w:hint="eastAsia" w:ascii="宋体" w:hAnsi="宋体"/>
              </w:rPr>
              <w:t>（</w:t>
            </w:r>
            <w:r>
              <w:rPr>
                <w:rFonts w:hint="default" w:ascii="宋体" w:hAnsi="宋体"/>
              </w:rPr>
              <w:t>www.creditchina.gov.cn</w:t>
            </w:r>
            <w:r>
              <w:rPr>
                <w:rFonts w:hint="eastAsia" w:ascii="宋体" w:hAnsi="宋体"/>
              </w:rPr>
              <w:t>）</w:t>
            </w:r>
            <w:r>
              <w:rPr>
                <w:rFonts w:hint="eastAsia" w:ascii="宋体" w:hAnsi="宋体" w:cs="Courier New"/>
                <w:kern w:val="0"/>
                <w:szCs w:val="21"/>
              </w:rPr>
              <w:t>公示的企业信息打印件</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Courier New"/>
                <w:kern w:val="0"/>
                <w:szCs w:val="21"/>
              </w:rPr>
              <w:t>□经营业绩一览表及业绩证明文件</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Courier New"/>
                <w:kern w:val="0"/>
                <w:szCs w:val="21"/>
              </w:rPr>
              <w:t>□联合体协议书</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Courier New"/>
                <w:kern w:val="0"/>
                <w:szCs w:val="21"/>
              </w:rPr>
              <w:t>□投标人股东关系构成表</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3</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商务标部分</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Courier New"/>
                <w:kern w:val="0"/>
                <w:szCs w:val="21"/>
              </w:rPr>
              <w:t>□现场考察证明</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4</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textAlignment w:val="baseline"/>
              <w:rPr>
                <w:rFonts w:hint="default"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hint="default"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hint="default" w:ascii="宋体" w:hAnsi="宋体" w:cs="Courier New"/>
                <w:kern w:val="0"/>
                <w:szCs w:val="21"/>
              </w:rPr>
            </w:pPr>
            <w:r>
              <w:rPr>
                <w:rFonts w:hint="eastAsia" w:ascii="宋体" w:hAnsi="宋体" w:cs="Courier New"/>
                <w:kern w:val="0"/>
                <w:szCs w:val="21"/>
              </w:rPr>
              <w:sym w:font="Wingdings 2" w:char="00A3"/>
            </w:r>
            <w:r>
              <w:rPr>
                <w:rFonts w:hint="eastAsia" w:ascii="宋体" w:hAnsi="宋体" w:cs="Courier New"/>
                <w:kern w:val="0"/>
                <w:szCs w:val="21"/>
              </w:rPr>
              <w:t>项目管理及</w:t>
            </w:r>
            <w:r>
              <w:rPr>
                <w:rFonts w:hint="default" w:ascii="宋体" w:hAnsi="宋体" w:cs="Courier New"/>
                <w:kern w:val="0"/>
                <w:szCs w:val="21"/>
              </w:rPr>
              <w:t>服务能力</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hint="default" w:ascii="宋体" w:hAnsi="宋体" w:cs="Courier New"/>
                <w:kern w:val="0"/>
                <w:szCs w:val="21"/>
              </w:rPr>
            </w:pPr>
            <w:r>
              <w:rPr>
                <w:rFonts w:hint="eastAsia" w:ascii="宋体" w:hAnsi="宋体" w:cs="Courier New"/>
                <w:kern w:val="0"/>
                <w:szCs w:val="21"/>
              </w:rPr>
              <w:t>□工程质保/（售后）服务承诺书</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hint="default" w:ascii="宋体" w:hAnsi="宋体" w:cs="Courier New"/>
                <w:kern w:val="0"/>
                <w:szCs w:val="21"/>
              </w:rPr>
            </w:pPr>
            <w:r>
              <w:rPr>
                <w:rFonts w:hint="eastAsia" w:ascii="宋体" w:hAnsi="宋体" w:cs="Courier New"/>
                <w:kern w:val="0"/>
                <w:szCs w:val="21"/>
              </w:rPr>
              <w:t>□项目团队</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5</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价格标部分</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hint="default"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1386" w:leftChars="660" w:right="0" w:firstLine="1136" w:firstLineChars="539"/>
              <w:rPr>
                <w:rFonts w:hint="default"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suppressLineNumbers w:val="0"/>
              <w:spacing w:before="0" w:beforeAutospacing="0" w:after="0" w:afterAutospacing="0"/>
              <w:ind w:left="0" w:right="0" w:firstLine="0" w:firstLineChars="0"/>
              <w:jc w:val="center"/>
              <w:rPr>
                <w:rFonts w:hint="default"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0"/>
              </w:numPr>
              <w:suppressLineNumbers w:val="0"/>
              <w:tabs>
                <w:tab w:val="left" w:pos="531"/>
              </w:tabs>
              <w:kinsoku/>
              <w:wordWrap/>
              <w:overflowPunct/>
              <w:topLinePunct w:val="0"/>
              <w:autoSpaceDE/>
              <w:autoSpaceDN/>
              <w:bidi w:val="0"/>
              <w:adjustRightInd/>
              <w:snapToGrid w:val="0"/>
              <w:spacing w:before="0" w:beforeAutospacing="0" w:after="200" w:afterAutospacing="0"/>
              <w:ind w:left="0" w:right="0" w:firstLine="0"/>
              <w:textAlignment w:val="auto"/>
              <w:rPr>
                <w:rFonts w:hint="default" w:ascii="宋体"/>
                <w:highlight w:val="none"/>
              </w:rPr>
            </w:pPr>
            <w:r>
              <w:rPr>
                <w:rFonts w:hint="eastAsia" w:ascii="宋体" w:hAnsi="宋体" w:cs="仿宋_GB2312"/>
                <w:szCs w:val="21"/>
                <w:highlight w:val="none"/>
                <w:lang w:eastAsia="zh-CN"/>
              </w:rPr>
              <w:t>投标人</w:t>
            </w:r>
            <w:r>
              <w:rPr>
                <w:rFonts w:hint="eastAsia" w:ascii="宋体" w:hAnsi="宋体" w:cs="仿宋_GB2312"/>
                <w:szCs w:val="21"/>
                <w:highlight w:val="none"/>
              </w:rPr>
              <w:t>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Next w:val="0"/>
              <w:keepLines w:val="0"/>
              <w:pageBreakBefore w:val="0"/>
              <w:numPr>
                <w:ilvl w:val="0"/>
                <w:numId w:val="10"/>
              </w:numPr>
              <w:suppressLineNumbers w:val="0"/>
              <w:tabs>
                <w:tab w:val="left" w:pos="531"/>
              </w:tabs>
              <w:kinsoku/>
              <w:wordWrap/>
              <w:overflowPunct/>
              <w:topLinePunct w:val="0"/>
              <w:autoSpaceDE/>
              <w:autoSpaceDN/>
              <w:bidi w:val="0"/>
              <w:adjustRightInd/>
              <w:snapToGrid w:val="0"/>
              <w:spacing w:before="0" w:beforeAutospacing="0" w:after="0" w:afterAutospacing="0"/>
              <w:ind w:left="0" w:right="0" w:firstLine="0"/>
              <w:textAlignment w:val="auto"/>
              <w:rPr>
                <w:rFonts w:hint="default"/>
                <w:color w:val="auto"/>
                <w:highlight w:val="none"/>
              </w:rPr>
            </w:pPr>
            <w:r>
              <w:rPr>
                <w:rFonts w:hint="eastAsia"/>
                <w:highlight w:val="none"/>
              </w:rPr>
              <w:t>投标人代表必须是投标单位的法定代表人或持有法定代表人亲自签署的法人授权委托证明书的人员。（提供法定代表人证明书、法人授权委托证明书</w:t>
            </w:r>
            <w:r>
              <w:rPr>
                <w:rFonts w:hint="eastAsia" w:ascii="宋体" w:hAnsi="宋体" w:cs="宋体"/>
                <w:highlight w:val="none"/>
              </w:rPr>
              <w:t>及法定代表人、被委托人身份证扫描件并加盖投标人公章；</w:t>
            </w:r>
            <w:r>
              <w:rPr>
                <w:rFonts w:hint="eastAsia"/>
                <w:highlight w:val="none"/>
              </w:rPr>
              <w:t>如单位法定代表人为</w:t>
            </w:r>
            <w:r>
              <w:rPr>
                <w:rFonts w:hint="eastAsia"/>
                <w:color w:val="auto"/>
                <w:highlight w:val="none"/>
              </w:rPr>
              <w:t>本项目授权代表，则仅提供法定代表人证明书及身份证复印件，各证明书须加盖公章，身份证原件备查）。</w:t>
            </w:r>
          </w:p>
          <w:p>
            <w:pPr>
              <w:keepNext w:val="0"/>
              <w:keepLines w:val="0"/>
              <w:pageBreakBefore w:val="0"/>
              <w:numPr>
                <w:ilvl w:val="0"/>
                <w:numId w:val="10"/>
              </w:numPr>
              <w:suppressLineNumbers w:val="0"/>
              <w:tabs>
                <w:tab w:val="left" w:pos="531"/>
              </w:tabs>
              <w:kinsoku/>
              <w:wordWrap/>
              <w:overflowPunct/>
              <w:topLinePunct w:val="0"/>
              <w:autoSpaceDE/>
              <w:autoSpaceDN/>
              <w:bidi w:val="0"/>
              <w:adjustRightInd/>
              <w:snapToGrid w:val="0"/>
              <w:spacing w:before="0" w:beforeAutospacing="0" w:after="0" w:afterAutospacing="0"/>
              <w:ind w:left="0" w:right="0" w:firstLine="0"/>
              <w:textAlignment w:val="auto"/>
              <w:rPr>
                <w:rFonts w:hint="default" w:ascii="宋体" w:hAnsi="宋体" w:cs="宋体"/>
                <w:color w:val="FF0000"/>
                <w:highlight w:val="none"/>
              </w:rPr>
            </w:pPr>
            <w:r>
              <w:rPr>
                <w:rFonts w:hint="eastAsia" w:ascii="宋体" w:hAnsi="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default"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adjustRightInd/>
              <w:spacing w:before="0" w:beforeAutospacing="0" w:after="0" w:afterAutospacing="0" w:line="240" w:lineRule="auto"/>
              <w:ind w:left="0" w:right="0"/>
              <w:rPr>
                <w:rFonts w:hint="default"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1"/>
              </w:numPr>
              <w:suppressLineNumbers w:val="0"/>
              <w:tabs>
                <w:tab w:val="left" w:pos="531"/>
              </w:tabs>
              <w:kinsoku/>
              <w:wordWrap/>
              <w:overflowPunct/>
              <w:topLinePunct w:val="0"/>
              <w:autoSpaceDE/>
              <w:autoSpaceDN/>
              <w:bidi w:val="0"/>
              <w:adjustRightInd/>
              <w:snapToGrid w:val="0"/>
              <w:spacing w:before="0" w:beforeAutospacing="0" w:after="0" w:afterAutospacing="0"/>
              <w:ind w:left="0" w:right="0" w:firstLine="0"/>
              <w:textAlignment w:val="auto"/>
              <w:rPr>
                <w:rFonts w:hint="default" w:ascii="宋体" w:hAnsi="宋体"/>
                <w:color w:val="auto"/>
                <w:szCs w:val="21"/>
                <w:highlight w:val="none"/>
              </w:rPr>
            </w:pPr>
            <w:r>
              <w:rPr>
                <w:rFonts w:hint="eastAsia" w:ascii="宋体" w:hAnsi="宋体" w:cs="仿宋_GB2312"/>
                <w:szCs w:val="21"/>
                <w:highlight w:val="none"/>
              </w:rPr>
              <w:t>报价以人民币为结算币</w:t>
            </w:r>
            <w:r>
              <w:rPr>
                <w:rFonts w:hint="eastAsia" w:ascii="宋体" w:hAnsi="宋体" w:cs="仿宋_GB2312"/>
                <w:color w:val="auto"/>
                <w:szCs w:val="21"/>
                <w:highlight w:val="none"/>
              </w:rPr>
              <w:t>种，《投标一览表》报价应包含税率、</w:t>
            </w:r>
            <w:r>
              <w:rPr>
                <w:rFonts w:hint="eastAsia" w:ascii="宋体" w:hAnsi="宋体" w:cs="仿宋_GB2312"/>
                <w:color w:val="auto"/>
                <w:szCs w:val="21"/>
                <w:highlight w:val="none"/>
                <w:lang w:val="en-US" w:eastAsia="zh-CN"/>
              </w:rPr>
              <w:t>税前</w:t>
            </w:r>
            <w:r>
              <w:rPr>
                <w:rFonts w:hint="eastAsia" w:ascii="宋体" w:hAnsi="宋体" w:cs="仿宋_GB2312"/>
                <w:color w:val="auto"/>
                <w:szCs w:val="21"/>
                <w:highlight w:val="none"/>
              </w:rPr>
              <w:t>价和</w:t>
            </w:r>
            <w:r>
              <w:rPr>
                <w:rFonts w:hint="eastAsia" w:ascii="宋体" w:hAnsi="宋体" w:cs="仿宋_GB2312"/>
                <w:color w:val="auto"/>
                <w:szCs w:val="21"/>
                <w:highlight w:val="none"/>
                <w:lang w:val="en-US" w:eastAsia="zh-CN"/>
              </w:rPr>
              <w:t>含税</w:t>
            </w:r>
            <w:r>
              <w:rPr>
                <w:rFonts w:hint="eastAsia" w:ascii="宋体" w:hAnsi="宋体" w:cs="仿宋_GB2312"/>
                <w:color w:val="auto"/>
                <w:szCs w:val="21"/>
                <w:highlight w:val="none"/>
              </w:rPr>
              <w:t>总价。</w:t>
            </w:r>
          </w:p>
          <w:p>
            <w:pPr>
              <w:keepNext w:val="0"/>
              <w:keepLines w:val="0"/>
              <w:pageBreakBefore w:val="0"/>
              <w:numPr>
                <w:ilvl w:val="0"/>
                <w:numId w:val="11"/>
              </w:numPr>
              <w:suppressLineNumbers w:val="0"/>
              <w:tabs>
                <w:tab w:val="left" w:pos="531"/>
              </w:tabs>
              <w:kinsoku/>
              <w:wordWrap/>
              <w:overflowPunct/>
              <w:topLinePunct w:val="0"/>
              <w:autoSpaceDE/>
              <w:autoSpaceDN/>
              <w:bidi w:val="0"/>
              <w:adjustRightInd/>
              <w:snapToGrid w:val="0"/>
              <w:spacing w:before="0" w:beforeAutospacing="0" w:after="0" w:afterAutospacing="0"/>
              <w:ind w:left="0" w:right="0" w:firstLine="0"/>
              <w:textAlignment w:val="auto"/>
              <w:rPr>
                <w:rFonts w:hint="default" w:ascii="宋体" w:hAnsi="宋体" w:cs="仿宋_GB2312"/>
                <w:color w:val="auto"/>
                <w:szCs w:val="21"/>
                <w:highlight w:val="none"/>
              </w:rPr>
            </w:pPr>
            <w:r>
              <w:rPr>
                <w:rFonts w:hint="eastAsia" w:ascii="宋体" w:hAnsi="宋体" w:cs="仿宋_GB2312"/>
                <w:color w:val="auto"/>
                <w:szCs w:val="21"/>
                <w:highlight w:val="none"/>
              </w:rPr>
              <w:t>投标报价不得出现可选择性的报价,含有备选方案的报价将导致废标。</w:t>
            </w:r>
          </w:p>
          <w:p>
            <w:pPr>
              <w:keepNext w:val="0"/>
              <w:keepLines w:val="0"/>
              <w:pageBreakBefore w:val="0"/>
              <w:numPr>
                <w:ilvl w:val="0"/>
                <w:numId w:val="11"/>
              </w:numPr>
              <w:suppressLineNumbers w:val="0"/>
              <w:tabs>
                <w:tab w:val="left" w:pos="531"/>
              </w:tabs>
              <w:kinsoku/>
              <w:wordWrap/>
              <w:overflowPunct/>
              <w:topLinePunct w:val="0"/>
              <w:autoSpaceDE/>
              <w:autoSpaceDN/>
              <w:bidi w:val="0"/>
              <w:adjustRightInd/>
              <w:snapToGrid w:val="0"/>
              <w:spacing w:before="0" w:beforeAutospacing="0" w:after="0" w:afterAutospacing="0"/>
              <w:ind w:left="0" w:right="0" w:firstLine="0"/>
              <w:textAlignment w:val="auto"/>
              <w:rPr>
                <w:rFonts w:hint="default" w:ascii="宋体" w:hAnsi="宋体" w:cs="仿宋_GB2312"/>
                <w:color w:val="auto"/>
                <w:szCs w:val="21"/>
                <w:highlight w:val="none"/>
              </w:rPr>
            </w:pPr>
            <w:r>
              <w:rPr>
                <w:rFonts w:hint="eastAsia" w:ascii="宋体" w:hAnsi="宋体" w:cs="仿宋_GB2312"/>
                <w:color w:val="auto"/>
                <w:szCs w:val="21"/>
                <w:highlight w:val="none"/>
              </w:rPr>
              <w:t>投标报价包括但不限于</w:t>
            </w:r>
            <w:r>
              <w:rPr>
                <w:rFonts w:hint="eastAsia" w:ascii="宋体" w:hAnsi="宋体"/>
                <w:color w:val="auto"/>
                <w:szCs w:val="21"/>
                <w:highlight w:val="none"/>
              </w:rPr>
              <w:t>咨询费、人工费、交通费、管理费及增值税</w:t>
            </w:r>
            <w:r>
              <w:rPr>
                <w:rFonts w:hint="eastAsia" w:ascii="宋体" w:hAnsi="宋体"/>
                <w:color w:val="auto"/>
                <w:szCs w:val="21"/>
                <w:highlight w:val="none"/>
                <w:lang w:val="en-US" w:eastAsia="zh-CN"/>
              </w:rPr>
              <w:t>等</w:t>
            </w:r>
            <w:r>
              <w:rPr>
                <w:rFonts w:hint="eastAsia" w:ascii="宋体" w:hAnsi="宋体" w:cs="仿宋_GB2312"/>
                <w:color w:val="auto"/>
                <w:szCs w:val="21"/>
                <w:highlight w:val="none"/>
              </w:rPr>
              <w:t>完成本项目所需的全部费用。</w:t>
            </w:r>
          </w:p>
          <w:p>
            <w:pPr>
              <w:keepNext w:val="0"/>
              <w:keepLines w:val="0"/>
              <w:pageBreakBefore w:val="0"/>
              <w:numPr>
                <w:ilvl w:val="0"/>
                <w:numId w:val="11"/>
              </w:numPr>
              <w:suppressLineNumbers w:val="0"/>
              <w:tabs>
                <w:tab w:val="left" w:pos="531"/>
              </w:tabs>
              <w:kinsoku/>
              <w:wordWrap/>
              <w:overflowPunct/>
              <w:topLinePunct w:val="0"/>
              <w:autoSpaceDE/>
              <w:autoSpaceDN/>
              <w:bidi w:val="0"/>
              <w:adjustRightInd/>
              <w:snapToGrid w:val="0"/>
              <w:spacing w:before="0" w:beforeAutospacing="0" w:after="0" w:afterAutospacing="0"/>
              <w:ind w:left="0" w:right="0" w:firstLine="0"/>
              <w:textAlignment w:val="auto"/>
              <w:rPr>
                <w:rFonts w:hint="default"/>
                <w:color w:val="FF0000"/>
                <w:highlight w:val="none"/>
              </w:rPr>
            </w:pPr>
            <w:r>
              <w:rPr>
                <w:rFonts w:hint="eastAsia" w:ascii="宋体" w:hAnsi="宋体" w:eastAsia="宋体" w:cs="宋体"/>
                <w:color w:val="auto"/>
                <w:sz w:val="21"/>
                <w:szCs w:val="21"/>
                <w:highlight w:val="none"/>
                <w:u w:val="none"/>
              </w:rPr>
              <w:t>本次投标的费用由</w:t>
            </w:r>
            <w:r>
              <w:rPr>
                <w:rFonts w:hint="eastAsia" w:ascii="宋体" w:hAnsi="宋体" w:cs="宋体"/>
                <w:color w:val="auto"/>
                <w:sz w:val="21"/>
                <w:szCs w:val="21"/>
                <w:highlight w:val="none"/>
                <w:u w:val="none"/>
                <w:lang w:val="en-US" w:eastAsia="zh-CN"/>
              </w:rPr>
              <w:t>投标人</w:t>
            </w:r>
            <w:r>
              <w:rPr>
                <w:rFonts w:hint="eastAsia" w:ascii="宋体" w:hAnsi="宋体" w:cs="仿宋_GB2312"/>
                <w:color w:val="auto"/>
                <w:szCs w:val="21"/>
                <w:highlight w:val="none"/>
              </w:rPr>
              <w:t>自理</w:t>
            </w:r>
            <w:r>
              <w:rPr>
                <w:rFonts w:hint="eastAsia" w:ascii="宋体" w:hAnsi="宋体" w:eastAsia="宋体" w:cs="宋体"/>
                <w:color w:val="auto"/>
                <w:sz w:val="21"/>
                <w:szCs w:val="21"/>
                <w:highlight w:val="none"/>
                <w:u w:val="none"/>
              </w:rPr>
              <w:t>。</w:t>
            </w:r>
            <w:r>
              <w:rPr>
                <w:rFonts w:hint="eastAsia" w:ascii="宋体" w:hAnsi="宋体"/>
                <w:color w:val="auto"/>
                <w:szCs w:val="21"/>
                <w:highlight w:val="none"/>
              </w:rPr>
              <w:t>本项目承包方式为总价包干，</w:t>
            </w:r>
            <w:r>
              <w:rPr>
                <w:rFonts w:hint="eastAsia" w:ascii="宋体" w:hAnsi="宋体"/>
                <w:color w:val="auto"/>
                <w:szCs w:val="21"/>
                <w:highlight w:val="none"/>
                <w:lang w:eastAsia="zh-CN"/>
              </w:rPr>
              <w:t>招标人</w:t>
            </w:r>
            <w:r>
              <w:rPr>
                <w:rFonts w:hint="eastAsia" w:ascii="宋体" w:hAnsi="宋体"/>
                <w:color w:val="auto"/>
                <w:szCs w:val="21"/>
                <w:highlight w:val="none"/>
              </w:rPr>
              <w:t>不再支付其他任何费用。</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default"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adjustRightInd/>
              <w:spacing w:before="0" w:beforeAutospacing="0" w:after="0" w:afterAutospacing="0" w:line="240" w:lineRule="auto"/>
              <w:ind w:left="0" w:right="0"/>
              <w:rPr>
                <w:rFonts w:hint="default"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255"/>
                <w:numId w:val="0"/>
              </w:numPr>
              <w:suppressLineNumbers w:val="0"/>
              <w:kinsoku/>
              <w:wordWrap/>
              <w:overflowPunct/>
              <w:topLinePunct w:val="0"/>
              <w:autoSpaceDE/>
              <w:autoSpaceDN/>
              <w:bidi w:val="0"/>
              <w:adjustRightInd/>
              <w:spacing w:before="0" w:beforeAutospacing="0" w:after="200" w:afterAutospacing="0"/>
              <w:ind w:left="0" w:right="0"/>
              <w:jc w:val="left"/>
              <w:textAlignment w:val="auto"/>
              <w:rPr>
                <w:rFonts w:hint="default" w:ascii="宋体" w:hAnsi="宋体" w:cs="宋体"/>
                <w:color w:val="auto"/>
                <w:szCs w:val="21"/>
                <w:highlight w:val="none"/>
              </w:rPr>
            </w:pPr>
            <w:r>
              <w:rPr>
                <w:rFonts w:hint="eastAsia" w:ascii="宋体" w:hAnsi="宋体" w:cs="宋体"/>
                <w:color w:val="auto"/>
                <w:szCs w:val="21"/>
                <w:highlight w:val="none"/>
              </w:rPr>
              <w:t>本项目采购控制金额为人民币</w:t>
            </w:r>
            <w:r>
              <w:rPr>
                <w:rFonts w:hint="eastAsia" w:ascii="宋体" w:hAnsi="宋体"/>
                <w:color w:val="auto"/>
                <w:szCs w:val="21"/>
                <w:highlight w:val="none"/>
                <w:lang w:val="en-US" w:eastAsia="zh-CN"/>
              </w:rPr>
              <w:t>26</w:t>
            </w:r>
            <w:r>
              <w:rPr>
                <w:rFonts w:hint="default" w:ascii="宋体" w:hAnsi="宋体" w:cs="宋体"/>
                <w:color w:val="auto"/>
                <w:szCs w:val="21"/>
                <w:highlight w:val="none"/>
              </w:rPr>
              <w:t>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adjustRightInd/>
              <w:spacing w:before="0" w:beforeAutospacing="0" w:after="0" w:afterAutospacing="0" w:line="240" w:lineRule="auto"/>
              <w:ind w:left="0" w:right="0"/>
              <w:rPr>
                <w:rFonts w:hint="default"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2"/>
              </w:numPr>
              <w:suppressLineNumbers w:val="0"/>
              <w:tabs>
                <w:tab w:val="left" w:pos="531"/>
              </w:tabs>
              <w:kinsoku/>
              <w:wordWrap/>
              <w:overflowPunct/>
              <w:topLinePunct w:val="0"/>
              <w:autoSpaceDE/>
              <w:autoSpaceDN/>
              <w:bidi w:val="0"/>
              <w:adjustRightInd/>
              <w:snapToGrid w:val="0"/>
              <w:spacing w:before="0" w:beforeAutospacing="0" w:after="0" w:afterAutospacing="0"/>
              <w:ind w:left="0" w:right="0" w:firstLine="0"/>
              <w:textAlignment w:val="auto"/>
              <w:rPr>
                <w:rFonts w:hint="default" w:ascii="宋体" w:hAnsi="宋体" w:cs="宋体"/>
                <w:color w:val="auto"/>
                <w:highlight w:val="none"/>
              </w:rPr>
            </w:pPr>
            <w:r>
              <w:rPr>
                <w:rFonts w:hint="eastAsia" w:ascii="宋体" w:hAnsi="宋体" w:cs="宋体"/>
                <w:color w:val="auto"/>
                <w:highlight w:val="none"/>
                <w:lang w:val="en-US" w:eastAsia="zh-CN"/>
              </w:rPr>
              <w:t>第一阶段工作（深圳会展中心拟划入下属公司两个业务模块资产清查报告）完成，项目成果经招标人验收合格后，招标人支付合同总金额的50%；</w:t>
            </w:r>
          </w:p>
          <w:p>
            <w:pPr>
              <w:keepNext w:val="0"/>
              <w:keepLines w:val="0"/>
              <w:pageBreakBefore w:val="0"/>
              <w:numPr>
                <w:ilvl w:val="0"/>
                <w:numId w:val="12"/>
              </w:numPr>
              <w:suppressLineNumbers w:val="0"/>
              <w:tabs>
                <w:tab w:val="left" w:pos="531"/>
              </w:tabs>
              <w:kinsoku/>
              <w:wordWrap/>
              <w:overflowPunct/>
              <w:topLinePunct w:val="0"/>
              <w:autoSpaceDE/>
              <w:autoSpaceDN/>
              <w:bidi w:val="0"/>
              <w:adjustRightInd/>
              <w:snapToGrid w:val="0"/>
              <w:spacing w:before="0" w:beforeAutospacing="0" w:after="0" w:afterAutospacing="0"/>
              <w:ind w:left="0" w:right="0" w:firstLine="0"/>
              <w:textAlignment w:val="auto"/>
              <w:rPr>
                <w:rFonts w:hint="default" w:ascii="宋体" w:hAnsi="宋体" w:cs="宋体"/>
                <w:color w:val="auto"/>
                <w:highlight w:val="none"/>
              </w:rPr>
            </w:pPr>
            <w:r>
              <w:rPr>
                <w:rFonts w:hint="eastAsia" w:ascii="宋体" w:hAnsi="宋体" w:cs="宋体"/>
                <w:color w:val="auto"/>
                <w:highlight w:val="none"/>
                <w:lang w:val="en-US" w:eastAsia="zh-CN"/>
              </w:rPr>
              <w:t>第二阶段工作（实地盘点、整理清册、标签补充、制度建议、深圳会展中心固定资产清查盘点报告）完成后，项目成果经招标人验收合格后，招标人支付合同总金额的50%。</w:t>
            </w:r>
          </w:p>
          <w:p>
            <w:pPr>
              <w:keepNext w:val="0"/>
              <w:keepLines w:val="0"/>
              <w:pageBreakBefore w:val="0"/>
              <w:numPr>
                <w:ilvl w:val="0"/>
                <w:numId w:val="12"/>
              </w:numPr>
              <w:suppressLineNumbers w:val="0"/>
              <w:tabs>
                <w:tab w:val="left" w:pos="531"/>
              </w:tabs>
              <w:kinsoku/>
              <w:wordWrap/>
              <w:overflowPunct/>
              <w:topLinePunct w:val="0"/>
              <w:autoSpaceDE/>
              <w:autoSpaceDN/>
              <w:bidi w:val="0"/>
              <w:adjustRightInd/>
              <w:snapToGrid w:val="0"/>
              <w:spacing w:before="0" w:beforeAutospacing="0" w:after="0" w:afterAutospacing="0"/>
              <w:ind w:left="0" w:right="0" w:firstLine="0"/>
              <w:textAlignment w:val="auto"/>
              <w:rPr>
                <w:rFonts w:hint="default"/>
                <w:color w:val="FF0000"/>
                <w:highlight w:val="none"/>
              </w:rPr>
            </w:pPr>
            <w:r>
              <w:rPr>
                <w:rFonts w:hint="eastAsia" w:ascii="宋体" w:hAnsi="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right="0"/>
              <w:jc w:val="center"/>
              <w:rPr>
                <w:rFonts w:hint="default"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szCs w:val="21"/>
                <w:highlight w:val="none"/>
              </w:rPr>
            </w:pPr>
            <w:r>
              <w:rPr>
                <w:rFonts w:hint="eastAsia" w:ascii="宋体" w:hAnsi="宋体" w:cs="宋体"/>
                <w:b/>
                <w:szCs w:val="21"/>
                <w:highlight w:val="none"/>
              </w:rPr>
              <w:t>（二）技术</w:t>
            </w:r>
            <w:r>
              <w:rPr>
                <w:rFonts w:hint="default" w:ascii="宋体" w:hAnsi="宋体" w:cs="宋体"/>
                <w:b/>
                <w:szCs w:val="21"/>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szCs w:val="21"/>
                <w:highlight w:val="none"/>
              </w:rPr>
            </w:pPr>
            <w:r>
              <w:rPr>
                <w:rFonts w:hint="eastAsia" w:ascii="宋体" w:hAnsi="宋体" w:cs="宋体"/>
                <w:b/>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szCs w:val="21"/>
                <w:highlight w:val="none"/>
              </w:rPr>
            </w:pPr>
            <w:r>
              <w:rPr>
                <w:rFonts w:hint="eastAsia" w:ascii="宋体" w:hAnsi="宋体" w:cs="宋体"/>
                <w:b/>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1386" w:leftChars="660" w:right="0" w:firstLine="1136" w:firstLineChars="539"/>
              <w:rPr>
                <w:rFonts w:hint="default" w:ascii="宋体" w:hAnsi="宋体" w:cs="宋体"/>
                <w:b/>
                <w:szCs w:val="21"/>
                <w:highlight w:val="none"/>
              </w:rPr>
            </w:pPr>
            <w:r>
              <w:rPr>
                <w:rFonts w:hint="eastAsia" w:ascii="宋体" w:hAnsi="宋体" w:cs="宋体"/>
                <w:b/>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szCs w:val="21"/>
                <w:highlight w:val="none"/>
              </w:rPr>
            </w:pPr>
            <w:r>
              <w:rPr>
                <w:rFonts w:hint="eastAsia" w:ascii="宋体" w:hAnsi="宋体" w:cs="宋体"/>
                <w:b/>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adjustRightInd/>
              <w:spacing w:before="0" w:beforeAutospacing="0" w:after="0" w:afterAutospacing="0" w:line="240" w:lineRule="auto"/>
              <w:ind w:left="0" w:right="0"/>
              <w:rPr>
                <w:rFonts w:hint="default"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项目实施要求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服务内容：</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宋体"/>
                <w:kern w:val="2"/>
                <w:sz w:val="21"/>
                <w:szCs w:val="21"/>
                <w:highlight w:val="none"/>
                <w:lang w:val="en-US" w:eastAsia="zh-CN" w:bidi="ar-SA"/>
              </w:rPr>
            </w:pPr>
            <w:r>
              <w:rPr>
                <w:rFonts w:hint="eastAsia" w:ascii="宋体" w:hAnsi="宋体" w:cs="宋体"/>
                <w:color w:val="auto"/>
                <w:highlight w:val="none"/>
                <w:lang w:val="en-US" w:eastAsia="zh-CN"/>
              </w:rPr>
              <w:t>第一阶段工作：</w:t>
            </w:r>
            <w:r>
              <w:rPr>
                <w:rFonts w:hint="eastAsia" w:ascii="宋体" w:hAnsi="宋体" w:eastAsia="宋体" w:cs="宋体"/>
                <w:kern w:val="2"/>
                <w:sz w:val="21"/>
                <w:szCs w:val="21"/>
                <w:highlight w:val="none"/>
                <w:lang w:val="en-US" w:eastAsia="zh-CN" w:bidi="ar-SA"/>
              </w:rPr>
              <w:t xml:space="preserve"> </w:t>
            </w:r>
          </w:p>
          <w:p>
            <w:pPr>
              <w:keepNext w:val="0"/>
              <w:keepLines w:val="0"/>
              <w:pageBreakBefore w:val="0"/>
              <w:widowControl w:val="0"/>
              <w:numPr>
                <w:ilvl w:val="0"/>
                <w:numId w:val="13"/>
              </w:numPr>
              <w:suppressLineNumbers w:val="0"/>
              <w:tabs>
                <w:tab w:val="left" w:pos="531"/>
              </w:tabs>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lang w:val="en-US" w:eastAsia="zh-CN"/>
              </w:rPr>
            </w:pPr>
            <w:r>
              <w:rPr>
                <w:rFonts w:hint="eastAsia" w:ascii="宋体" w:hAnsi="宋体" w:eastAsia="宋体" w:cs="宋体"/>
                <w:kern w:val="2"/>
                <w:sz w:val="21"/>
                <w:szCs w:val="21"/>
                <w:highlight w:val="none"/>
                <w:lang w:val="en-US" w:eastAsia="zh-CN" w:bidi="ar-SA"/>
              </w:rPr>
              <w:t>深圳会展中心拟划入下属公司两个业务模块资产清查报告</w:t>
            </w:r>
            <w:r>
              <w:rPr>
                <w:rFonts w:hint="eastAsia" w:ascii="宋体" w:hAnsi="宋体" w:cs="宋体"/>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内容包括但不限于资产总体情况、固定资产情况、</w:t>
            </w:r>
            <w:r>
              <w:rPr>
                <w:rFonts w:hint="eastAsia" w:ascii="宋体" w:hAnsi="宋体" w:cs="宋体"/>
                <w:kern w:val="2"/>
                <w:sz w:val="21"/>
                <w:szCs w:val="21"/>
                <w:highlight w:val="none"/>
                <w:lang w:val="en-US" w:eastAsia="zh-CN" w:bidi="ar-SA"/>
              </w:rPr>
              <w:t>无形资产情况、</w:t>
            </w:r>
            <w:r>
              <w:rPr>
                <w:rFonts w:hint="eastAsia" w:ascii="宋体" w:hAnsi="宋体" w:eastAsia="宋体" w:cs="宋体"/>
                <w:kern w:val="2"/>
                <w:sz w:val="21"/>
                <w:szCs w:val="21"/>
                <w:highlight w:val="none"/>
                <w:lang w:val="en-US" w:eastAsia="zh-CN" w:bidi="ar-SA"/>
              </w:rPr>
              <w:t>资产清查</w:t>
            </w:r>
            <w:r>
              <w:rPr>
                <w:rFonts w:hint="eastAsia" w:ascii="宋体" w:hAnsi="宋体" w:cs="宋体"/>
                <w:kern w:val="2"/>
                <w:sz w:val="21"/>
                <w:szCs w:val="21"/>
                <w:highlight w:val="none"/>
                <w:lang w:val="en-US" w:eastAsia="zh-CN" w:bidi="ar-SA"/>
              </w:rPr>
              <w:t>结果</w:t>
            </w:r>
            <w:r>
              <w:rPr>
                <w:rFonts w:hint="eastAsia" w:ascii="宋体" w:hAnsi="宋体" w:eastAsia="宋体" w:cs="宋体"/>
                <w:kern w:val="2"/>
                <w:sz w:val="21"/>
                <w:szCs w:val="21"/>
                <w:highlight w:val="none"/>
                <w:lang w:val="en-US" w:eastAsia="zh-CN" w:bidi="ar-SA"/>
              </w:rPr>
              <w:t>等</w:t>
            </w:r>
            <w:r>
              <w:rPr>
                <w:rFonts w:hint="eastAsia" w:ascii="宋体" w:hAnsi="宋体" w:cs="宋体"/>
                <w:kern w:val="2"/>
                <w:sz w:val="21"/>
                <w:szCs w:val="21"/>
                <w:highlight w:val="none"/>
                <w:lang w:val="en-US" w:eastAsia="zh-CN" w:bidi="ar-SA"/>
              </w:rPr>
              <w:t>。</w:t>
            </w:r>
          </w:p>
          <w:p>
            <w:pPr>
              <w:keepNext w:val="0"/>
              <w:keepLines w:val="0"/>
              <w:pageBreakBefore w:val="0"/>
              <w:widowControl w:val="0"/>
              <w:numPr>
                <w:ilvl w:val="0"/>
                <w:numId w:val="13"/>
              </w:numPr>
              <w:suppressLineNumbers w:val="0"/>
              <w:tabs>
                <w:tab w:val="left" w:pos="531"/>
              </w:tabs>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lang w:val="en-US" w:eastAsia="zh-CN"/>
              </w:rPr>
            </w:pPr>
            <w:r>
              <w:rPr>
                <w:rFonts w:hint="eastAsia"/>
                <w:lang w:val="en-US" w:eastAsia="zh-CN"/>
              </w:rPr>
              <w:t>同步预启动第二阶段工作。</w:t>
            </w:r>
          </w:p>
          <w:p>
            <w:pPr>
              <w:pStyle w:val="2"/>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leftChars="0" w:right="0" w:firstLine="0" w:firstLineChars="0"/>
              <w:textAlignment w:val="auto"/>
              <w:rPr>
                <w:rFonts w:hint="eastAsia" w:ascii="宋体" w:hAnsi="宋体" w:eastAsia="宋体" w:cs="宋体"/>
                <w:color w:val="auto"/>
                <w:spacing w:val="0"/>
                <w:kern w:val="2"/>
                <w:sz w:val="21"/>
                <w:szCs w:val="24"/>
                <w:highlight w:val="none"/>
                <w:lang w:val="en-US" w:eastAsia="zh-CN" w:bidi="ar-SA"/>
              </w:rPr>
            </w:pPr>
            <w:r>
              <w:rPr>
                <w:rFonts w:hint="eastAsia" w:ascii="宋体" w:hAnsi="宋体" w:eastAsia="宋体" w:cs="宋体"/>
                <w:color w:val="auto"/>
                <w:spacing w:val="0"/>
                <w:kern w:val="2"/>
                <w:sz w:val="21"/>
                <w:szCs w:val="24"/>
                <w:highlight w:val="none"/>
                <w:lang w:val="en-US" w:eastAsia="zh-CN" w:bidi="ar-SA"/>
              </w:rPr>
              <w:t>第二阶段工作：</w:t>
            </w:r>
          </w:p>
          <w:p>
            <w:pPr>
              <w:keepNext w:val="0"/>
              <w:keepLines w:val="0"/>
              <w:pageBreakBefore w:val="0"/>
              <w:widowControl w:val="0"/>
              <w:numPr>
                <w:ilvl w:val="0"/>
                <w:numId w:val="14"/>
              </w:numPr>
              <w:suppressLineNumbers w:val="0"/>
              <w:tabs>
                <w:tab w:val="left" w:pos="531"/>
              </w:tabs>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实地盘点：根据深圳会展中心固定资产明细，编制盘点计划。通过条码扫描、人工清点等方式，区分部门和设备类别，实施有序盘点。为确保固定资产全面实盘实点，须以盘点表单和拍照的形式记录盘点工作，在盘点表单中注明固定资产实际状态，经由盘点人、资产保管人签字确认，形成深圳会展中心固定资产清查盘点明细表。</w:t>
            </w:r>
          </w:p>
          <w:p>
            <w:pPr>
              <w:keepNext w:val="0"/>
              <w:keepLines w:val="0"/>
              <w:pageBreakBefore w:val="0"/>
              <w:widowControl w:val="0"/>
              <w:numPr>
                <w:ilvl w:val="0"/>
                <w:numId w:val="14"/>
              </w:numPr>
              <w:suppressLineNumbers w:val="0"/>
              <w:tabs>
                <w:tab w:val="left" w:pos="531"/>
              </w:tabs>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整理</w:t>
            </w:r>
            <w:r>
              <w:rPr>
                <w:rFonts w:hint="eastAsia" w:ascii="宋体" w:hAnsi="宋体" w:eastAsia="宋体" w:cs="宋体"/>
                <w:kern w:val="2"/>
                <w:sz w:val="21"/>
                <w:szCs w:val="21"/>
                <w:highlight w:val="none"/>
                <w:lang w:val="en-US" w:eastAsia="zh-CN" w:bidi="ar-SA"/>
              </w:rPr>
              <w:t>清册：</w:t>
            </w:r>
            <w:r>
              <w:rPr>
                <w:rFonts w:hint="eastAsia" w:ascii="宋体" w:hAnsi="宋体" w:eastAsia="宋体"/>
                <w:color w:val="000000"/>
                <w:sz w:val="21"/>
                <w:szCs w:val="21"/>
                <w:highlight w:val="none"/>
                <w:lang w:val="en-US" w:eastAsia="zh-CN"/>
              </w:rPr>
              <w:t>整理</w:t>
            </w:r>
            <w:r>
              <w:rPr>
                <w:rFonts w:hint="eastAsia" w:ascii="宋体" w:hAnsi="宋体" w:eastAsia="宋体" w:cs="宋体"/>
                <w:kern w:val="2"/>
                <w:sz w:val="21"/>
                <w:szCs w:val="21"/>
                <w:highlight w:val="none"/>
                <w:lang w:val="en-US" w:eastAsia="zh-CN" w:bidi="ar-SA"/>
              </w:rPr>
              <w:t>固定资产实地盘点结果，将盘点情况与资产归口管理部门账、财务账进行核对，登记盘盈盘亏、毁损报废等各种情况，形成深圳会展中心固定资产清查盘点财产清册。</w:t>
            </w:r>
          </w:p>
          <w:p>
            <w:pPr>
              <w:keepNext w:val="0"/>
              <w:keepLines w:val="0"/>
              <w:pageBreakBefore w:val="0"/>
              <w:widowControl w:val="0"/>
              <w:numPr>
                <w:ilvl w:val="0"/>
                <w:numId w:val="14"/>
              </w:numPr>
              <w:suppressLineNumbers w:val="0"/>
              <w:tabs>
                <w:tab w:val="left" w:pos="531"/>
              </w:tabs>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标签</w:t>
            </w:r>
            <w:r>
              <w:rPr>
                <w:rFonts w:hint="eastAsia" w:ascii="宋体" w:hAnsi="宋体" w:cs="宋体"/>
                <w:kern w:val="2"/>
                <w:sz w:val="21"/>
                <w:szCs w:val="21"/>
                <w:highlight w:val="none"/>
                <w:lang w:val="en-US" w:eastAsia="zh-CN" w:bidi="ar-SA"/>
              </w:rPr>
              <w:t>补充</w:t>
            </w:r>
            <w:r>
              <w:rPr>
                <w:rFonts w:hint="eastAsia" w:ascii="宋体" w:hAnsi="宋体" w:eastAsia="宋体" w:cs="宋体"/>
                <w:kern w:val="2"/>
                <w:sz w:val="21"/>
                <w:szCs w:val="21"/>
                <w:highlight w:val="none"/>
                <w:lang w:val="en-US" w:eastAsia="zh-CN" w:bidi="ar-SA"/>
              </w:rPr>
              <w:t>：对资产标签脱落或模糊难以辨认缺失的固定资产，据实完成标签补打与补贴。</w:t>
            </w:r>
          </w:p>
          <w:p>
            <w:pPr>
              <w:keepNext w:val="0"/>
              <w:keepLines w:val="0"/>
              <w:pageBreakBefore w:val="0"/>
              <w:widowControl w:val="0"/>
              <w:numPr>
                <w:ilvl w:val="0"/>
                <w:numId w:val="14"/>
              </w:numPr>
              <w:suppressLineNumbers w:val="0"/>
              <w:tabs>
                <w:tab w:val="left" w:pos="531"/>
              </w:tabs>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lang w:val="en-US" w:eastAsia="zh-CN"/>
              </w:rPr>
            </w:pPr>
            <w:r>
              <w:rPr>
                <w:rFonts w:hint="eastAsia"/>
                <w:lang w:val="en-US" w:eastAsia="zh-CN"/>
              </w:rPr>
              <w:t>制度建议：对</w:t>
            </w:r>
            <w:r>
              <w:rPr>
                <w:rFonts w:hint="eastAsia" w:ascii="宋体" w:hAnsi="宋体" w:eastAsia="宋体" w:cs="宋体"/>
                <w:kern w:val="2"/>
                <w:sz w:val="21"/>
                <w:szCs w:val="21"/>
                <w:highlight w:val="none"/>
                <w:lang w:val="en-US" w:eastAsia="zh-CN" w:bidi="ar-SA"/>
              </w:rPr>
              <w:t>深圳</w:t>
            </w:r>
            <w:r>
              <w:rPr>
                <w:rFonts w:hint="eastAsia"/>
                <w:lang w:val="en-US" w:eastAsia="zh-CN"/>
              </w:rPr>
              <w:t>会展中心现有财产管理办法提出优化建议。</w:t>
            </w:r>
          </w:p>
          <w:p>
            <w:pPr>
              <w:keepNext w:val="0"/>
              <w:keepLines w:val="0"/>
              <w:pageBreakBefore w:val="0"/>
              <w:widowControl w:val="0"/>
              <w:numPr>
                <w:ilvl w:val="0"/>
                <w:numId w:val="14"/>
              </w:numPr>
              <w:suppressLineNumbers w:val="0"/>
              <w:tabs>
                <w:tab w:val="left" w:pos="531"/>
              </w:tabs>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lang w:val="en-US" w:eastAsia="zh-CN"/>
              </w:rPr>
            </w:pPr>
            <w:r>
              <w:rPr>
                <w:rFonts w:hint="eastAsia" w:ascii="宋体" w:hAnsi="宋体" w:eastAsia="宋体" w:cs="宋体"/>
                <w:kern w:val="2"/>
                <w:sz w:val="21"/>
                <w:szCs w:val="21"/>
                <w:highlight w:val="none"/>
                <w:lang w:val="en-US" w:eastAsia="zh-CN" w:bidi="ar-SA"/>
              </w:rPr>
              <w:t>深圳会展中心固定资产清查盘点报告</w:t>
            </w:r>
            <w:r>
              <w:rPr>
                <w:rFonts w:hint="eastAsia" w:ascii="宋体" w:hAnsi="宋体" w:cs="宋体"/>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内容包括但不限于盘点结果概要、资产总体情况、盘点差异分析、问题发现及管控建议。</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right="0"/>
              <w:jc w:val="center"/>
              <w:rPr>
                <w:rFonts w:hint="default" w:ascii="宋体" w:hAnsi="宋体" w:cs="宋体"/>
                <w:color w:val="FF0000"/>
                <w:szCs w:val="21"/>
              </w:rPr>
            </w:pPr>
            <w:r>
              <w:rPr>
                <w:rFonts w:hint="default" w:ascii="宋体" w:hAnsi="宋体" w:eastAsia="宋体" w:cs="宋体"/>
                <w:color w:val="auto"/>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adjustRightInd/>
              <w:spacing w:before="0" w:beforeAutospacing="0" w:after="0" w:afterAutospacing="0" w:line="240" w:lineRule="auto"/>
              <w:ind w:left="0" w:right="0"/>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成果交付</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tabs>
                <w:tab w:val="left" w:pos="531"/>
              </w:tabs>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本次项目需出具相关成果包括：</w:t>
            </w:r>
          </w:p>
          <w:p>
            <w:pPr>
              <w:pStyle w:val="22"/>
              <w:keepNext w:val="0"/>
              <w:keepLines w:val="0"/>
              <w:pageBreakBefore w:val="0"/>
              <w:widowControl w:val="0"/>
              <w:numPr>
                <w:ilvl w:val="0"/>
                <w:numId w:val="15"/>
              </w:numPr>
              <w:suppressLineNumbers w:val="0"/>
              <w:tabs>
                <w:tab w:val="left" w:pos="531"/>
              </w:tabs>
              <w:kinsoku/>
              <w:wordWrap/>
              <w:overflowPunct/>
              <w:topLinePunct w:val="0"/>
              <w:autoSpaceDE/>
              <w:autoSpaceDN/>
              <w:bidi w:val="0"/>
              <w:adjustRightInd/>
              <w:snapToGrid/>
              <w:spacing w:before="0" w:beforeAutospacing="0" w:after="0" w:afterAutospacing="0" w:line="240" w:lineRule="auto"/>
              <w:ind w:left="726" w:right="0" w:hanging="363"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深圳会展中心拟划入下属公司两个业务模块资产清查报告</w:t>
            </w:r>
          </w:p>
          <w:p>
            <w:pPr>
              <w:pStyle w:val="22"/>
              <w:keepNext w:val="0"/>
              <w:keepLines w:val="0"/>
              <w:pageBreakBefore w:val="0"/>
              <w:widowControl w:val="0"/>
              <w:numPr>
                <w:ilvl w:val="0"/>
                <w:numId w:val="15"/>
              </w:numPr>
              <w:suppressLineNumbers w:val="0"/>
              <w:tabs>
                <w:tab w:val="left" w:pos="531"/>
              </w:tabs>
              <w:kinsoku/>
              <w:wordWrap/>
              <w:overflowPunct/>
              <w:topLinePunct w:val="0"/>
              <w:autoSpaceDE/>
              <w:autoSpaceDN/>
              <w:bidi w:val="0"/>
              <w:adjustRightInd/>
              <w:snapToGrid/>
              <w:spacing w:before="0" w:beforeAutospacing="0" w:after="0" w:afterAutospacing="0" w:line="240" w:lineRule="auto"/>
              <w:ind w:left="726" w:right="0" w:hanging="363"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深圳会展中心固定资产清查盘点明细表</w:t>
            </w:r>
          </w:p>
          <w:p>
            <w:pPr>
              <w:pStyle w:val="22"/>
              <w:keepNext w:val="0"/>
              <w:keepLines w:val="0"/>
              <w:pageBreakBefore w:val="0"/>
              <w:widowControl w:val="0"/>
              <w:numPr>
                <w:ilvl w:val="0"/>
                <w:numId w:val="15"/>
              </w:numPr>
              <w:suppressLineNumbers w:val="0"/>
              <w:tabs>
                <w:tab w:val="left" w:pos="531"/>
              </w:tabs>
              <w:kinsoku/>
              <w:wordWrap/>
              <w:overflowPunct/>
              <w:topLinePunct w:val="0"/>
              <w:autoSpaceDE/>
              <w:autoSpaceDN/>
              <w:bidi w:val="0"/>
              <w:adjustRightInd/>
              <w:snapToGrid/>
              <w:spacing w:before="0" w:beforeAutospacing="0" w:after="0" w:afterAutospacing="0" w:line="240" w:lineRule="auto"/>
              <w:ind w:left="726" w:right="0" w:hanging="363"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深圳会展中心固定资产清查盘点财产清册</w:t>
            </w:r>
          </w:p>
          <w:p>
            <w:pPr>
              <w:pStyle w:val="22"/>
              <w:keepNext w:val="0"/>
              <w:keepLines w:val="0"/>
              <w:pageBreakBefore w:val="0"/>
              <w:widowControl w:val="0"/>
              <w:numPr>
                <w:ilvl w:val="0"/>
                <w:numId w:val="15"/>
              </w:numPr>
              <w:suppressLineNumbers w:val="0"/>
              <w:tabs>
                <w:tab w:val="left" w:pos="531"/>
              </w:tabs>
              <w:kinsoku/>
              <w:wordWrap/>
              <w:overflowPunct/>
              <w:topLinePunct w:val="0"/>
              <w:autoSpaceDE/>
              <w:autoSpaceDN/>
              <w:bidi w:val="0"/>
              <w:adjustRightInd/>
              <w:snapToGrid/>
              <w:spacing w:before="0" w:beforeAutospacing="0" w:after="0" w:afterAutospacing="0" w:line="240" w:lineRule="auto"/>
              <w:ind w:left="726" w:right="0" w:hanging="363"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深圳会展中心财产管理办法优化建议</w:t>
            </w:r>
          </w:p>
          <w:p>
            <w:pPr>
              <w:pStyle w:val="22"/>
              <w:keepNext w:val="0"/>
              <w:keepLines w:val="0"/>
              <w:pageBreakBefore w:val="0"/>
              <w:widowControl w:val="0"/>
              <w:numPr>
                <w:ilvl w:val="0"/>
                <w:numId w:val="15"/>
              </w:numPr>
              <w:suppressLineNumbers w:val="0"/>
              <w:tabs>
                <w:tab w:val="left" w:pos="531"/>
              </w:tabs>
              <w:kinsoku/>
              <w:wordWrap/>
              <w:overflowPunct/>
              <w:topLinePunct w:val="0"/>
              <w:autoSpaceDE/>
              <w:autoSpaceDN/>
              <w:bidi w:val="0"/>
              <w:adjustRightInd/>
              <w:snapToGrid/>
              <w:spacing w:before="0" w:beforeAutospacing="0" w:after="0" w:afterAutospacing="0" w:line="240" w:lineRule="auto"/>
              <w:ind w:right="0" w:firstLineChars="0"/>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深圳会展中心固定资产清查盘点报告</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adjustRightInd/>
              <w:spacing w:before="0" w:beforeAutospacing="0" w:after="0" w:afterAutospacing="0" w:line="240" w:lineRule="auto"/>
              <w:ind w:left="0" w:right="0"/>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rPr>
              <w:t>人员</w:t>
            </w:r>
            <w:r>
              <w:rPr>
                <w:rFonts w:hint="default" w:ascii="宋体" w:hAnsi="宋体" w:eastAsia="宋体" w:cs="宋体"/>
                <w:kern w:val="2"/>
                <w:sz w:val="21"/>
                <w:szCs w:val="21"/>
                <w:lang w:val="en-US" w:eastAsia="zh-CN" w:bidi="ar-SA"/>
              </w:rPr>
              <w:t>团队</w:t>
            </w:r>
          </w:p>
        </w:tc>
        <w:tc>
          <w:tcPr>
            <w:tcW w:w="743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numPr>
                <w:ilvl w:val="0"/>
                <w:numId w:val="16"/>
              </w:numPr>
              <w:suppressLineNumbers w:val="0"/>
              <w:kinsoku/>
              <w:wordWrap/>
              <w:overflowPunct/>
              <w:topLinePunct w:val="0"/>
              <w:autoSpaceDE/>
              <w:autoSpaceDN/>
              <w:bidi w:val="0"/>
              <w:adjustRightInd/>
              <w:spacing w:before="0" w:beforeAutospacing="0" w:after="0" w:afterAutospacing="0" w:line="24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投标人</w:t>
            </w:r>
            <w:r>
              <w:rPr>
                <w:rFonts w:hint="default" w:ascii="宋体" w:hAnsi="宋体" w:eastAsia="宋体" w:cs="宋体"/>
                <w:sz w:val="21"/>
                <w:szCs w:val="21"/>
                <w:highlight w:val="none"/>
              </w:rPr>
              <w:t>须指定本项目负责人，</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包括但不仅限于如下信息：姓名、职务、联系</w:t>
            </w:r>
            <w:r>
              <w:rPr>
                <w:rFonts w:hint="eastAsia" w:ascii="宋体" w:hAnsi="宋体" w:eastAsia="宋体" w:cs="宋体"/>
                <w:color w:val="auto"/>
                <w:sz w:val="21"/>
                <w:szCs w:val="21"/>
                <w:highlight w:val="none"/>
                <w:lang w:val="en-US" w:eastAsia="zh-CN"/>
              </w:rPr>
              <w:t>方式、</w:t>
            </w:r>
            <w:r>
              <w:rPr>
                <w:rFonts w:hint="eastAsia" w:ascii="宋体" w:hAnsi="宋体" w:eastAsia="宋体" w:cs="宋体"/>
                <w:color w:val="auto"/>
                <w:sz w:val="21"/>
                <w:szCs w:val="21"/>
                <w:highlight w:val="none"/>
              </w:rPr>
              <w:t>职称或执业资格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highlight w:val="none"/>
                <w:lang w:eastAsia="zh-CN"/>
              </w:rPr>
              <w:t>。</w:t>
            </w:r>
            <w:r>
              <w:rPr>
                <w:rFonts w:hint="eastAsia" w:ascii="宋体" w:hAnsi="宋体" w:eastAsia="宋体" w:cs="宋体"/>
                <w:color w:val="auto"/>
                <w:sz w:val="21"/>
                <w:szCs w:val="21"/>
                <w:highlight w:val="none"/>
              </w:rPr>
              <w:t>项目负责人一经指定，不得随意更换，除非</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提出更换。如</w:t>
            </w:r>
            <w:r>
              <w:rPr>
                <w:rFonts w:hint="eastAsia" w:ascii="宋体" w:hAnsi="宋体" w:eastAsia="宋体" w:cs="宋体"/>
                <w:color w:val="auto"/>
                <w:sz w:val="21"/>
                <w:szCs w:val="21"/>
                <w:highlight w:val="none"/>
                <w:lang w:val="en-US" w:eastAsia="zh-CN"/>
              </w:rPr>
              <w:t>中标单位</w:t>
            </w:r>
            <w:r>
              <w:rPr>
                <w:rFonts w:hint="eastAsia" w:ascii="宋体" w:hAnsi="宋体" w:eastAsia="宋体" w:cs="宋体"/>
                <w:color w:val="auto"/>
                <w:sz w:val="21"/>
                <w:szCs w:val="21"/>
                <w:highlight w:val="none"/>
              </w:rPr>
              <w:t>确需更换</w:t>
            </w:r>
            <w:r>
              <w:rPr>
                <w:rFonts w:hint="eastAsia" w:ascii="宋体" w:hAnsi="宋体" w:eastAsia="宋体" w:cs="宋体"/>
                <w:color w:val="auto"/>
                <w:sz w:val="21"/>
                <w:szCs w:val="21"/>
                <w:highlight w:val="none"/>
                <w:lang w:val="en-US" w:eastAsia="zh-CN"/>
              </w:rPr>
              <w:t>项目负责人</w:t>
            </w:r>
            <w:r>
              <w:rPr>
                <w:rFonts w:hint="eastAsia" w:ascii="宋体" w:hAnsi="宋体" w:eastAsia="宋体" w:cs="宋体"/>
                <w:color w:val="auto"/>
                <w:sz w:val="21"/>
                <w:szCs w:val="21"/>
                <w:highlight w:val="none"/>
              </w:rPr>
              <w:t>，需取得</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同意。</w:t>
            </w:r>
          </w:p>
          <w:p>
            <w:pPr>
              <w:pStyle w:val="22"/>
              <w:keepNext w:val="0"/>
              <w:keepLines w:val="0"/>
              <w:pageBreakBefore w:val="0"/>
              <w:numPr>
                <w:ilvl w:val="0"/>
                <w:numId w:val="16"/>
              </w:numPr>
              <w:suppressLineNumbers w:val="0"/>
              <w:kinsoku/>
              <w:wordWrap/>
              <w:overflowPunct/>
              <w:topLinePunct w:val="0"/>
              <w:autoSpaceDE/>
              <w:autoSpaceDN/>
              <w:bidi w:val="0"/>
              <w:adjustRightInd/>
              <w:spacing w:before="0" w:beforeAutospacing="0" w:after="0" w:afterAutospacing="0" w:line="240" w:lineRule="auto"/>
              <w:ind w:left="0" w:leftChars="0" w:right="0"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须安排不少于4人的项目</w:t>
            </w:r>
            <w:r>
              <w:rPr>
                <w:rFonts w:hint="eastAsia" w:ascii="宋体" w:hAnsi="宋体" w:eastAsia="宋体" w:cs="宋体"/>
                <w:color w:val="auto"/>
                <w:sz w:val="21"/>
                <w:szCs w:val="21"/>
                <w:highlight w:val="none"/>
                <w:lang w:val="en-US" w:eastAsia="zh-CN"/>
              </w:rPr>
              <w:t>团队</w:t>
            </w:r>
            <w:r>
              <w:rPr>
                <w:rFonts w:hint="eastAsia" w:ascii="宋体" w:hAnsi="宋体" w:eastAsia="宋体" w:cs="宋体"/>
                <w:color w:val="auto"/>
                <w:sz w:val="21"/>
                <w:szCs w:val="21"/>
                <w:highlight w:val="none"/>
              </w:rPr>
              <w:t>成员（含项目负责人），提供包括但不仅限于如下信息：姓名、职务、学历、联系方式、职称或执业资格（如有）。</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adjustRightInd/>
              <w:spacing w:before="0" w:beforeAutospacing="0" w:after="0" w:afterAutospacing="0" w:line="240" w:lineRule="auto"/>
              <w:ind w:left="0" w:right="0"/>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auto"/>
                <w:kern w:val="2"/>
                <w:sz w:val="21"/>
                <w:szCs w:val="21"/>
                <w:lang w:val="en-US" w:eastAsia="zh-CN" w:bidi="ar-SA"/>
              </w:rPr>
            </w:pPr>
            <w:r>
              <w:rPr>
                <w:rFonts w:hint="default" w:ascii="宋体" w:eastAsia="宋体"/>
                <w:color w:val="auto"/>
                <w:sz w:val="21"/>
                <w:szCs w:val="24"/>
              </w:rPr>
              <w:t>时间要求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40" w:lineRule="auto"/>
              <w:ind w:left="0" w:leftChars="0" w:right="0" w:firstLine="0" w:firstLineChars="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中标通知书发布之日起，90日历日内完成深圳会展中心固定资产清查盘点项目，具体实施要求如下。</w:t>
            </w:r>
          </w:p>
          <w:p>
            <w:pPr>
              <w:pStyle w:val="22"/>
              <w:keepNext w:val="0"/>
              <w:keepLines w:val="0"/>
              <w:pageBreakBefore w:val="0"/>
              <w:numPr>
                <w:ilvl w:val="0"/>
                <w:numId w:val="17"/>
              </w:numPr>
              <w:suppressLineNumbers w:val="0"/>
              <w:kinsoku/>
              <w:wordWrap/>
              <w:overflowPunct/>
              <w:topLinePunct w:val="0"/>
              <w:autoSpaceDE/>
              <w:autoSpaceDN/>
              <w:bidi w:val="0"/>
              <w:adjustRightInd/>
              <w:spacing w:before="0" w:beforeAutospacing="0" w:after="0" w:afterAutospacing="0" w:line="240" w:lineRule="auto"/>
              <w:ind w:left="0" w:leftChars="0" w:right="0" w:firstLine="0" w:firstLineChars="0"/>
              <w:textAlignment w:val="auto"/>
              <w:rPr>
                <w:rFonts w:hint="default" w:ascii="宋体" w:hAnsi="宋体" w:eastAsia="宋体" w:cs="宋体"/>
                <w:sz w:val="21"/>
                <w:szCs w:val="21"/>
                <w:highlight w:val="none"/>
              </w:rPr>
            </w:pPr>
            <w:r>
              <w:rPr>
                <w:rFonts w:hint="eastAsia" w:ascii="宋体" w:hAnsi="宋体" w:eastAsia="宋体" w:cs="宋体"/>
                <w:sz w:val="21"/>
                <w:szCs w:val="21"/>
                <w:highlight w:val="none"/>
                <w:lang w:val="en-US" w:eastAsia="zh-CN"/>
              </w:rPr>
              <w:t>第一阶段工作：前20日历日</w:t>
            </w:r>
            <w:r>
              <w:rPr>
                <w:rFonts w:hint="default" w:ascii="宋体" w:hAnsi="宋体" w:eastAsia="宋体" w:cs="宋体"/>
                <w:sz w:val="21"/>
                <w:szCs w:val="21"/>
                <w:highlight w:val="none"/>
              </w:rPr>
              <w:t>内完成深圳会展中心拟划入下属公司两个业务模块资产清查报告</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同步预启动第二阶段工作</w:t>
            </w:r>
            <w:r>
              <w:rPr>
                <w:rFonts w:hint="eastAsia" w:ascii="宋体" w:hAnsi="宋体" w:eastAsia="宋体" w:cs="宋体"/>
                <w:sz w:val="21"/>
                <w:szCs w:val="21"/>
                <w:highlight w:val="none"/>
                <w:lang w:eastAsia="zh-CN"/>
              </w:rPr>
              <w:t>。</w:t>
            </w:r>
          </w:p>
          <w:p>
            <w:pPr>
              <w:pStyle w:val="22"/>
              <w:keepNext w:val="0"/>
              <w:keepLines w:val="0"/>
              <w:pageBreakBefore w:val="0"/>
              <w:numPr>
                <w:ilvl w:val="0"/>
                <w:numId w:val="17"/>
              </w:numPr>
              <w:suppressLineNumbers w:val="0"/>
              <w:kinsoku/>
              <w:wordWrap/>
              <w:overflowPunct/>
              <w:topLinePunct w:val="0"/>
              <w:autoSpaceDE/>
              <w:autoSpaceDN/>
              <w:bidi w:val="0"/>
              <w:adjustRightInd/>
              <w:spacing w:before="0" w:beforeAutospacing="0" w:after="0" w:afterAutospacing="0" w:line="240" w:lineRule="auto"/>
              <w:ind w:left="0" w:leftChars="0" w:right="0" w:firstLine="0" w:firstLineChars="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第二阶段工作：后70日历日内完成实地盘点、整理清册、标签补充、制度建议，出具深圳会展中心固定资产清查盘点报告等工作</w:t>
            </w:r>
            <w:r>
              <w:rPr>
                <w:rFonts w:hint="default" w:ascii="宋体" w:hAnsi="宋体" w:eastAsia="宋体" w:cs="宋体"/>
                <w:sz w:val="21"/>
                <w:szCs w:val="21"/>
                <w:highlight w:val="none"/>
              </w:rPr>
              <w:t>。</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adjustRightInd/>
              <w:spacing w:before="0" w:beforeAutospacing="0" w:after="0" w:afterAutospacing="0" w:line="240" w:lineRule="auto"/>
              <w:ind w:left="0" w:right="0"/>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default" w:ascii="宋体" w:hAnsi="Times New Roman" w:eastAsia="宋体" w:cs="Times New Roman"/>
                <w:color w:val="000000"/>
                <w:kern w:val="2"/>
                <w:sz w:val="21"/>
                <w:szCs w:val="24"/>
                <w:lang w:val="en-US" w:eastAsia="zh-CN" w:bidi="ar-SA"/>
              </w:rPr>
            </w:pPr>
            <w:r>
              <w:rPr>
                <w:rFonts w:hint="default" w:ascii="宋体" w:eastAsia="宋体"/>
                <w:color w:val="000000"/>
                <w:sz w:val="21"/>
                <w:szCs w:val="24"/>
              </w:rPr>
              <w:t>项目</w:t>
            </w:r>
            <w:r>
              <w:rPr>
                <w:rFonts w:hint="eastAsia" w:ascii="宋体"/>
                <w:color w:val="000000"/>
                <w:sz w:val="21"/>
                <w:szCs w:val="24"/>
                <w:lang w:val="en-US" w:eastAsia="zh-CN"/>
              </w:rPr>
              <w:t>验收及</w:t>
            </w:r>
            <w:r>
              <w:rPr>
                <w:rFonts w:hint="default" w:ascii="宋体" w:eastAsia="宋体"/>
                <w:color w:val="000000"/>
                <w:sz w:val="21"/>
                <w:szCs w:val="24"/>
                <w:lang w:val="en-US"/>
              </w:rPr>
              <w:t>交付</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suppressLineNumbers w:val="0"/>
              <w:tabs>
                <w:tab w:val="left" w:pos="531"/>
              </w:tabs>
              <w:kinsoku/>
              <w:wordWrap/>
              <w:overflowPunct/>
              <w:topLinePunct w:val="0"/>
              <w:autoSpaceDE/>
              <w:autoSpaceDN/>
              <w:bidi w:val="0"/>
              <w:adjustRightInd/>
              <w:snapToGrid w:val="0"/>
              <w:spacing w:before="0" w:beforeAutospacing="0" w:after="0" w:afterAutospacing="0" w:line="240" w:lineRule="auto"/>
              <w:ind w:left="0" w:right="0" w:rightChars="0"/>
              <w:textAlignment w:val="auto"/>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第一阶段工作：</w:t>
            </w:r>
          </w:p>
          <w:p>
            <w:pPr>
              <w:keepNext w:val="0"/>
              <w:keepLines w:val="0"/>
              <w:pageBreakBefore w:val="0"/>
              <w:widowControl w:val="0"/>
              <w:numPr>
                <w:ilvl w:val="0"/>
                <w:numId w:val="18"/>
              </w:numPr>
              <w:suppressLineNumbers w:val="0"/>
              <w:tabs>
                <w:tab w:val="left" w:pos="531"/>
              </w:tabs>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深圳会展中心拟划入下属公司两个业务模块资产清查报告，终稿文件交付须以</w:t>
            </w:r>
            <w:r>
              <w:rPr>
                <w:rFonts w:hint="eastAsia"/>
                <w:sz w:val="21"/>
                <w:szCs w:val="21"/>
                <w:highlight w:val="none"/>
                <w:lang w:val="en-US" w:eastAsia="zh-CN"/>
              </w:rPr>
              <w:t>原始电子文档（</w:t>
            </w:r>
            <w:r>
              <w:rPr>
                <w:rFonts w:hint="eastAsia" w:ascii="宋体" w:hAnsi="宋体" w:eastAsia="宋体"/>
                <w:color w:val="000000"/>
                <w:sz w:val="21"/>
                <w:szCs w:val="21"/>
                <w:highlight w:val="none"/>
                <w:lang w:val="en-US" w:eastAsia="zh-CN"/>
              </w:rPr>
              <w:t>WORD格式和PDF格式）提交，另</w:t>
            </w:r>
            <w:r>
              <w:rPr>
                <w:rFonts w:hint="default" w:ascii="宋体" w:hAnsi="宋体" w:eastAsia="宋体"/>
                <w:color w:val="000000"/>
                <w:sz w:val="21"/>
                <w:szCs w:val="21"/>
                <w:highlight w:val="none"/>
                <w:lang w:val="en-US" w:eastAsia="zh-CN"/>
              </w:rPr>
              <w:t>须提交</w:t>
            </w:r>
            <w:r>
              <w:rPr>
                <w:rFonts w:hint="eastAsia" w:ascii="宋体" w:hAnsi="宋体" w:eastAsia="宋体"/>
                <w:color w:val="000000"/>
                <w:sz w:val="21"/>
                <w:szCs w:val="21"/>
                <w:highlight w:val="none"/>
                <w:lang w:val="en-US" w:eastAsia="zh-CN"/>
              </w:rPr>
              <w:t>10</w:t>
            </w:r>
            <w:r>
              <w:rPr>
                <w:rFonts w:hint="default" w:ascii="宋体" w:hAnsi="宋体" w:eastAsia="宋体"/>
                <w:color w:val="000000"/>
                <w:sz w:val="21"/>
                <w:szCs w:val="21"/>
                <w:highlight w:val="none"/>
                <w:lang w:val="en-US" w:eastAsia="zh-CN"/>
              </w:rPr>
              <w:t>份印刷成品资料</w:t>
            </w:r>
            <w:r>
              <w:rPr>
                <w:rFonts w:hint="eastAsia" w:ascii="宋体" w:hAnsi="宋体"/>
                <w:color w:val="000000"/>
                <w:sz w:val="21"/>
                <w:szCs w:val="21"/>
                <w:highlight w:val="none"/>
                <w:lang w:val="en-US" w:eastAsia="zh-CN"/>
              </w:rPr>
              <w:t>。</w:t>
            </w:r>
          </w:p>
          <w:p>
            <w:pPr>
              <w:keepNext w:val="0"/>
              <w:keepLines w:val="0"/>
              <w:pageBreakBefore w:val="0"/>
              <w:widowControl w:val="0"/>
              <w:numPr>
                <w:ilvl w:val="0"/>
                <w:numId w:val="0"/>
              </w:numPr>
              <w:suppressLineNumbers w:val="0"/>
              <w:tabs>
                <w:tab w:val="left" w:pos="531"/>
              </w:tabs>
              <w:kinsoku/>
              <w:wordWrap/>
              <w:overflowPunct/>
              <w:topLinePunct w:val="0"/>
              <w:autoSpaceDE/>
              <w:autoSpaceDN/>
              <w:bidi w:val="0"/>
              <w:adjustRightInd/>
              <w:snapToGrid w:val="0"/>
              <w:spacing w:before="0" w:beforeAutospacing="0" w:after="0" w:afterAutospacing="0" w:line="240" w:lineRule="auto"/>
              <w:ind w:left="0" w:right="0" w:rightChars="0"/>
              <w:textAlignment w:val="auto"/>
              <w:rPr>
                <w:rFonts w:hint="eastAsia"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第一阶段工作</w:t>
            </w:r>
            <w:r>
              <w:rPr>
                <w:rFonts w:hint="eastAsia" w:ascii="宋体" w:hAnsi="宋体" w:eastAsia="宋体"/>
                <w:color w:val="000000"/>
                <w:sz w:val="21"/>
                <w:szCs w:val="21"/>
                <w:highlight w:val="none"/>
                <w:lang w:val="en-US" w:eastAsia="zh-CN"/>
              </w:rPr>
              <w:t>由</w:t>
            </w:r>
            <w:r>
              <w:rPr>
                <w:rFonts w:hint="eastAsia" w:ascii="宋体" w:hAnsi="宋体"/>
                <w:color w:val="000000"/>
                <w:sz w:val="21"/>
                <w:szCs w:val="21"/>
                <w:highlight w:val="none"/>
                <w:lang w:val="en-US" w:eastAsia="zh-CN"/>
              </w:rPr>
              <w:t>招标人</w:t>
            </w:r>
            <w:r>
              <w:rPr>
                <w:rFonts w:hint="eastAsia" w:ascii="宋体" w:hAnsi="宋体" w:eastAsia="宋体"/>
                <w:color w:val="000000"/>
                <w:sz w:val="21"/>
                <w:szCs w:val="21"/>
                <w:highlight w:val="none"/>
                <w:lang w:val="en-US" w:eastAsia="zh-CN"/>
              </w:rPr>
              <w:t>内部决策会或</w:t>
            </w:r>
            <w:r>
              <w:rPr>
                <w:rFonts w:hint="eastAsia" w:ascii="宋体" w:hAnsi="宋体"/>
                <w:color w:val="000000"/>
                <w:sz w:val="21"/>
                <w:szCs w:val="21"/>
                <w:highlight w:val="none"/>
                <w:lang w:val="en-US" w:eastAsia="zh-CN"/>
              </w:rPr>
              <w:t>相关部门</w:t>
            </w:r>
            <w:r>
              <w:rPr>
                <w:rFonts w:hint="eastAsia" w:ascii="宋体" w:hAnsi="宋体" w:eastAsia="宋体"/>
                <w:color w:val="000000"/>
                <w:sz w:val="21"/>
                <w:szCs w:val="21"/>
                <w:highlight w:val="none"/>
                <w:lang w:val="en-US" w:eastAsia="zh-CN"/>
              </w:rPr>
              <w:t>审</w:t>
            </w:r>
            <w:r>
              <w:rPr>
                <w:rFonts w:hint="eastAsia" w:ascii="宋体" w:hAnsi="宋体"/>
                <w:color w:val="000000"/>
                <w:sz w:val="21"/>
                <w:szCs w:val="21"/>
                <w:highlight w:val="none"/>
                <w:lang w:val="en-US" w:eastAsia="zh-CN"/>
              </w:rPr>
              <w:t>议</w:t>
            </w:r>
            <w:r>
              <w:rPr>
                <w:rFonts w:hint="eastAsia" w:ascii="宋体" w:hAnsi="宋体" w:eastAsia="宋体"/>
                <w:color w:val="000000"/>
                <w:sz w:val="21"/>
                <w:szCs w:val="21"/>
                <w:highlight w:val="none"/>
                <w:lang w:val="en-US" w:eastAsia="zh-CN"/>
              </w:rPr>
              <w:t>通过为验收</w:t>
            </w:r>
            <w:r>
              <w:rPr>
                <w:rFonts w:hint="eastAsia" w:ascii="宋体" w:hAnsi="宋体"/>
                <w:color w:val="000000"/>
                <w:sz w:val="21"/>
                <w:szCs w:val="21"/>
                <w:highlight w:val="none"/>
                <w:lang w:val="en-US" w:eastAsia="zh-CN"/>
              </w:rPr>
              <w:t>合格</w:t>
            </w:r>
            <w:r>
              <w:rPr>
                <w:rFonts w:hint="eastAsia" w:ascii="宋体" w:hAnsi="宋体" w:eastAsia="宋体"/>
                <w:color w:val="000000"/>
                <w:sz w:val="21"/>
                <w:szCs w:val="21"/>
                <w:highlight w:val="none"/>
                <w:lang w:val="en-US" w:eastAsia="zh-CN"/>
              </w:rPr>
              <w:t>依据</w:t>
            </w:r>
            <w:r>
              <w:rPr>
                <w:rFonts w:hint="eastAsia" w:ascii="宋体" w:hAnsi="宋体"/>
                <w:color w:val="000000"/>
                <w:sz w:val="21"/>
                <w:szCs w:val="21"/>
                <w:highlight w:val="none"/>
                <w:lang w:val="en-US" w:eastAsia="zh-CN"/>
              </w:rPr>
              <w:t>，由招标人需求部门形成书面验收合格单</w:t>
            </w:r>
            <w:r>
              <w:rPr>
                <w:rFonts w:hint="eastAsia" w:ascii="宋体" w:hAnsi="宋体" w:eastAsia="宋体"/>
                <w:color w:val="000000"/>
                <w:sz w:val="21"/>
                <w:szCs w:val="21"/>
                <w:highlight w:val="none"/>
                <w:lang w:val="en-US" w:eastAsia="zh-CN"/>
              </w:rPr>
              <w:t>。</w:t>
            </w:r>
          </w:p>
          <w:p>
            <w:pPr>
              <w:keepNext w:val="0"/>
              <w:keepLines w:val="0"/>
              <w:pageBreakBefore w:val="0"/>
              <w:widowControl w:val="0"/>
              <w:numPr>
                <w:ilvl w:val="0"/>
                <w:numId w:val="0"/>
              </w:numPr>
              <w:suppressLineNumbers w:val="0"/>
              <w:tabs>
                <w:tab w:val="left" w:pos="531"/>
              </w:tabs>
              <w:kinsoku/>
              <w:wordWrap/>
              <w:overflowPunct/>
              <w:topLinePunct w:val="0"/>
              <w:autoSpaceDE/>
              <w:autoSpaceDN/>
              <w:bidi w:val="0"/>
              <w:adjustRightInd/>
              <w:snapToGrid w:val="0"/>
              <w:spacing w:before="0" w:beforeAutospacing="0" w:after="0" w:afterAutospacing="0" w:line="240" w:lineRule="auto"/>
              <w:ind w:left="0" w:right="0" w:rightChars="0"/>
              <w:textAlignment w:val="auto"/>
              <w:rPr>
                <w:rFonts w:hint="eastAsia" w:ascii="宋体" w:hAnsi="宋体"/>
                <w:color w:val="000000"/>
                <w:sz w:val="21"/>
                <w:szCs w:val="21"/>
                <w:highlight w:val="none"/>
                <w:lang w:val="en-US" w:eastAsia="zh-CN"/>
              </w:rPr>
            </w:pPr>
            <w:r>
              <w:rPr>
                <w:rFonts w:hint="eastAsia"/>
                <w:sz w:val="21"/>
                <w:szCs w:val="21"/>
                <w:highlight w:val="none"/>
                <w:lang w:val="en-US" w:eastAsia="zh-CN"/>
              </w:rPr>
              <w:t>第二阶段工作：</w:t>
            </w:r>
          </w:p>
          <w:p>
            <w:pPr>
              <w:keepNext w:val="0"/>
              <w:keepLines w:val="0"/>
              <w:pageBreakBefore w:val="0"/>
              <w:widowControl w:val="0"/>
              <w:numPr>
                <w:ilvl w:val="0"/>
                <w:numId w:val="19"/>
              </w:numPr>
              <w:suppressLineNumbers w:val="0"/>
              <w:tabs>
                <w:tab w:val="left" w:pos="531"/>
              </w:tabs>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实地盘点：终稿文件（</w:t>
            </w:r>
            <w:r>
              <w:rPr>
                <w:rFonts w:hint="eastAsia" w:ascii="宋体" w:hAnsi="宋体" w:eastAsia="宋体" w:cs="宋体"/>
                <w:kern w:val="2"/>
                <w:sz w:val="21"/>
                <w:szCs w:val="21"/>
                <w:highlight w:val="none"/>
                <w:lang w:val="en-US" w:eastAsia="zh-CN" w:bidi="ar-SA"/>
              </w:rPr>
              <w:t>深圳会展中心固定资产清查盘点明细表</w:t>
            </w:r>
            <w:r>
              <w:rPr>
                <w:rFonts w:hint="eastAsia" w:ascii="宋体" w:hAnsi="宋体"/>
                <w:color w:val="000000"/>
                <w:sz w:val="21"/>
                <w:szCs w:val="21"/>
                <w:highlight w:val="none"/>
                <w:lang w:val="en-US" w:eastAsia="zh-CN"/>
              </w:rPr>
              <w:t>）交付须以</w:t>
            </w:r>
            <w:r>
              <w:rPr>
                <w:rFonts w:hint="default" w:ascii="宋体" w:hAnsi="宋体" w:eastAsia="宋体"/>
                <w:color w:val="000000"/>
                <w:sz w:val="21"/>
                <w:szCs w:val="21"/>
                <w:highlight w:val="none"/>
              </w:rPr>
              <w:t>原始</w:t>
            </w:r>
            <w:r>
              <w:rPr>
                <w:rFonts w:hint="eastAsia" w:ascii="宋体" w:hAnsi="宋体"/>
                <w:color w:val="000000"/>
                <w:sz w:val="21"/>
                <w:szCs w:val="21"/>
                <w:highlight w:val="none"/>
                <w:lang w:val="en-US" w:eastAsia="zh-CN"/>
              </w:rPr>
              <w:t>纸质文档、</w:t>
            </w:r>
            <w:r>
              <w:rPr>
                <w:rFonts w:hint="eastAsia"/>
                <w:sz w:val="21"/>
                <w:szCs w:val="21"/>
                <w:highlight w:val="none"/>
                <w:lang w:val="en-US" w:eastAsia="zh-CN"/>
              </w:rPr>
              <w:t>原始电子文档</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EXCEL格式</w:t>
            </w:r>
            <w:r>
              <w:rPr>
                <w:rFonts w:hint="eastAsia" w:ascii="宋体" w:hAnsi="宋体"/>
                <w:color w:val="000000"/>
                <w:sz w:val="21"/>
                <w:szCs w:val="21"/>
                <w:highlight w:val="none"/>
                <w:lang w:eastAsia="zh-CN"/>
              </w:rPr>
              <w:t>）</w:t>
            </w:r>
            <w:r>
              <w:rPr>
                <w:rFonts w:hint="eastAsia"/>
                <w:sz w:val="21"/>
                <w:szCs w:val="21"/>
                <w:highlight w:val="none"/>
                <w:lang w:val="en-US" w:eastAsia="zh-CN"/>
              </w:rPr>
              <w:t>、扫描</w:t>
            </w:r>
            <w:r>
              <w:rPr>
                <w:rFonts w:hint="default" w:ascii="宋体" w:hAnsi="宋体" w:eastAsia="宋体"/>
                <w:color w:val="000000"/>
                <w:sz w:val="21"/>
                <w:szCs w:val="21"/>
                <w:highlight w:val="none"/>
              </w:rPr>
              <w:t>电子文档</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PDF格式</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提交；</w:t>
            </w:r>
          </w:p>
          <w:p>
            <w:pPr>
              <w:keepNext w:val="0"/>
              <w:keepLines w:val="0"/>
              <w:pageBreakBefore w:val="0"/>
              <w:widowControl w:val="0"/>
              <w:numPr>
                <w:ilvl w:val="0"/>
                <w:numId w:val="19"/>
              </w:numPr>
              <w:suppressLineNumbers w:val="0"/>
              <w:tabs>
                <w:tab w:val="left" w:pos="531"/>
              </w:tabs>
              <w:kinsoku/>
              <w:wordWrap/>
              <w:overflowPunct/>
              <w:topLinePunct w:val="0"/>
              <w:autoSpaceDE/>
              <w:autoSpaceDN/>
              <w:bidi w:val="0"/>
              <w:adjustRightInd/>
              <w:snapToGrid w:val="0"/>
              <w:spacing w:before="0" w:beforeAutospacing="0" w:after="0" w:afterAutospacing="0" w:line="240" w:lineRule="auto"/>
              <w:ind w:left="0" w:right="0"/>
              <w:textAlignment w:val="auto"/>
              <w:rPr>
                <w:rFonts w:hint="default"/>
                <w:sz w:val="21"/>
                <w:szCs w:val="21"/>
                <w:highlight w:val="none"/>
                <w:lang w:val="en-US" w:eastAsia="zh-CN"/>
              </w:rPr>
            </w:pPr>
            <w:r>
              <w:rPr>
                <w:rFonts w:hint="eastAsia"/>
                <w:sz w:val="21"/>
                <w:szCs w:val="21"/>
                <w:highlight w:val="none"/>
                <w:lang w:val="en-US" w:eastAsia="zh-CN"/>
              </w:rPr>
              <w:t>整理清册：</w:t>
            </w:r>
            <w:r>
              <w:rPr>
                <w:rFonts w:hint="eastAsia" w:ascii="宋体" w:hAnsi="宋体"/>
                <w:color w:val="000000"/>
                <w:sz w:val="21"/>
                <w:szCs w:val="21"/>
                <w:highlight w:val="none"/>
                <w:lang w:val="en-US" w:eastAsia="zh-CN"/>
              </w:rPr>
              <w:t>终稿文件（</w:t>
            </w:r>
            <w:r>
              <w:rPr>
                <w:rFonts w:hint="eastAsia" w:ascii="宋体" w:hAnsi="宋体" w:eastAsia="宋体" w:cs="宋体"/>
                <w:kern w:val="2"/>
                <w:sz w:val="21"/>
                <w:szCs w:val="21"/>
                <w:highlight w:val="none"/>
                <w:lang w:val="en-US" w:eastAsia="zh-CN" w:bidi="ar-SA"/>
              </w:rPr>
              <w:t>深圳会展中心固定资产清查盘点财产清册</w:t>
            </w:r>
            <w:r>
              <w:rPr>
                <w:rFonts w:hint="eastAsia" w:ascii="宋体" w:hAnsi="宋体"/>
                <w:color w:val="000000"/>
                <w:sz w:val="21"/>
                <w:szCs w:val="21"/>
                <w:highlight w:val="none"/>
                <w:lang w:val="en-US" w:eastAsia="zh-CN"/>
              </w:rPr>
              <w:t>）交付须以</w:t>
            </w:r>
            <w:r>
              <w:rPr>
                <w:rFonts w:hint="eastAsia"/>
                <w:sz w:val="21"/>
                <w:szCs w:val="21"/>
                <w:highlight w:val="none"/>
                <w:lang w:val="en-US" w:eastAsia="zh-CN"/>
              </w:rPr>
              <w:t>原始电子文档（</w:t>
            </w:r>
            <w:r>
              <w:rPr>
                <w:rFonts w:hint="eastAsia" w:ascii="宋体" w:hAnsi="宋体"/>
                <w:color w:val="000000"/>
                <w:sz w:val="21"/>
                <w:szCs w:val="21"/>
                <w:highlight w:val="none"/>
                <w:lang w:val="en-US" w:eastAsia="zh-CN"/>
              </w:rPr>
              <w:t>EXCEL</w:t>
            </w:r>
            <w:r>
              <w:rPr>
                <w:rFonts w:hint="eastAsia"/>
                <w:sz w:val="21"/>
                <w:szCs w:val="21"/>
                <w:highlight w:val="none"/>
                <w:lang w:val="en-US" w:eastAsia="zh-CN"/>
              </w:rPr>
              <w:t>格式）提交；</w:t>
            </w:r>
          </w:p>
          <w:p>
            <w:pPr>
              <w:keepNext w:val="0"/>
              <w:keepLines w:val="0"/>
              <w:pageBreakBefore w:val="0"/>
              <w:widowControl w:val="0"/>
              <w:numPr>
                <w:ilvl w:val="0"/>
                <w:numId w:val="19"/>
              </w:numPr>
              <w:suppressLineNumbers w:val="0"/>
              <w:tabs>
                <w:tab w:val="left" w:pos="531"/>
              </w:tabs>
              <w:kinsoku/>
              <w:wordWrap/>
              <w:overflowPunct/>
              <w:topLinePunct w:val="0"/>
              <w:autoSpaceDE/>
              <w:autoSpaceDN/>
              <w:bidi w:val="0"/>
              <w:adjustRightInd/>
              <w:snapToGrid w:val="0"/>
              <w:spacing w:before="0" w:beforeAutospacing="0" w:after="0" w:afterAutospacing="0" w:line="240" w:lineRule="auto"/>
              <w:ind w:left="0" w:right="0"/>
              <w:textAlignment w:val="auto"/>
              <w:rPr>
                <w:rFonts w:hint="default"/>
                <w:lang w:val="en-US" w:eastAsia="zh-CN"/>
              </w:rPr>
            </w:pPr>
            <w:r>
              <w:rPr>
                <w:rFonts w:hint="eastAsia"/>
                <w:lang w:val="en-US" w:eastAsia="zh-CN"/>
              </w:rPr>
              <w:t>制度建议：根据清查盘点工作结果，对深圳会展中心现有财产</w:t>
            </w:r>
            <w:r>
              <w:rPr>
                <w:rFonts w:hint="eastAsia" w:ascii="宋体" w:hAnsi="宋体" w:eastAsia="宋体" w:cs="宋体"/>
                <w:kern w:val="2"/>
                <w:sz w:val="21"/>
                <w:szCs w:val="21"/>
                <w:highlight w:val="none"/>
                <w:lang w:val="en-US" w:eastAsia="zh-CN" w:bidi="ar-SA"/>
              </w:rPr>
              <w:t>管理</w:t>
            </w:r>
            <w:r>
              <w:rPr>
                <w:rFonts w:hint="eastAsia"/>
                <w:lang w:val="en-US" w:eastAsia="zh-CN"/>
              </w:rPr>
              <w:t>办法提出</w:t>
            </w:r>
            <w:r>
              <w:rPr>
                <w:rFonts w:hint="eastAsia" w:ascii="宋体" w:hAnsi="宋体" w:eastAsia="宋体" w:cs="宋体"/>
                <w:sz w:val="21"/>
                <w:szCs w:val="21"/>
                <w:highlight w:val="none"/>
                <w:lang w:val="en-US" w:eastAsia="zh-CN"/>
              </w:rPr>
              <w:t>详细</w:t>
            </w:r>
            <w:r>
              <w:rPr>
                <w:rFonts w:hint="eastAsia"/>
                <w:lang w:val="en-US" w:eastAsia="zh-CN"/>
              </w:rPr>
              <w:t>优化建议，</w:t>
            </w:r>
            <w:r>
              <w:rPr>
                <w:rFonts w:hint="eastAsia" w:ascii="宋体" w:hAnsi="宋体"/>
                <w:color w:val="000000"/>
                <w:sz w:val="21"/>
                <w:szCs w:val="21"/>
                <w:highlight w:val="none"/>
                <w:lang w:val="en-US" w:eastAsia="zh-CN"/>
              </w:rPr>
              <w:t>终稿文件交付须以</w:t>
            </w:r>
            <w:r>
              <w:rPr>
                <w:rFonts w:hint="eastAsia"/>
                <w:sz w:val="21"/>
                <w:szCs w:val="21"/>
                <w:highlight w:val="none"/>
                <w:lang w:val="en-US" w:eastAsia="zh-CN"/>
              </w:rPr>
              <w:t>原始电子文档原始电子文档（</w:t>
            </w:r>
            <w:r>
              <w:rPr>
                <w:rFonts w:hint="eastAsia" w:ascii="宋体" w:hAnsi="宋体" w:eastAsia="宋体"/>
                <w:color w:val="000000"/>
                <w:sz w:val="21"/>
                <w:szCs w:val="21"/>
                <w:highlight w:val="none"/>
                <w:lang w:val="en-US" w:eastAsia="zh-CN"/>
              </w:rPr>
              <w:t>WORD格式和PDF格式）</w:t>
            </w:r>
            <w:r>
              <w:rPr>
                <w:rFonts w:hint="eastAsia"/>
                <w:sz w:val="21"/>
                <w:szCs w:val="21"/>
                <w:highlight w:val="none"/>
                <w:lang w:val="en-US" w:eastAsia="zh-CN"/>
              </w:rPr>
              <w:t>提交；</w:t>
            </w:r>
          </w:p>
          <w:p>
            <w:pPr>
              <w:keepNext w:val="0"/>
              <w:keepLines w:val="0"/>
              <w:pageBreakBefore w:val="0"/>
              <w:widowControl w:val="0"/>
              <w:numPr>
                <w:ilvl w:val="0"/>
                <w:numId w:val="19"/>
              </w:numPr>
              <w:suppressLineNumbers w:val="0"/>
              <w:tabs>
                <w:tab w:val="left" w:pos="531"/>
              </w:tabs>
              <w:kinsoku/>
              <w:wordWrap/>
              <w:overflowPunct/>
              <w:topLinePunct w:val="0"/>
              <w:autoSpaceDE/>
              <w:autoSpaceDN/>
              <w:bidi w:val="0"/>
              <w:adjustRightInd/>
              <w:snapToGrid w:val="0"/>
              <w:spacing w:before="0" w:beforeAutospacing="0" w:after="0" w:afterAutospacing="0" w:line="240" w:lineRule="auto"/>
              <w:ind w:left="0" w:right="0"/>
              <w:textAlignment w:val="auto"/>
              <w:rPr>
                <w:rFonts w:hint="default"/>
                <w:highlight w:val="none"/>
                <w:lang w:val="en-US" w:eastAsia="zh-CN"/>
              </w:rPr>
            </w:pPr>
            <w:r>
              <w:rPr>
                <w:rFonts w:hint="eastAsia" w:ascii="宋体" w:hAnsi="宋体" w:eastAsia="宋体" w:cs="宋体"/>
                <w:kern w:val="2"/>
                <w:sz w:val="21"/>
                <w:szCs w:val="21"/>
                <w:highlight w:val="none"/>
                <w:lang w:val="en-US" w:eastAsia="zh-CN" w:bidi="ar-SA"/>
              </w:rPr>
              <w:t>深圳会展中心</w:t>
            </w:r>
            <w:r>
              <w:rPr>
                <w:rFonts w:hint="eastAsia"/>
                <w:sz w:val="21"/>
                <w:szCs w:val="21"/>
                <w:highlight w:val="none"/>
                <w:lang w:val="en-US" w:eastAsia="zh-CN"/>
              </w:rPr>
              <w:t>固定资产</w:t>
            </w:r>
            <w:r>
              <w:rPr>
                <w:rFonts w:hint="eastAsia" w:ascii="宋体" w:hAnsi="宋体" w:eastAsia="宋体" w:cs="宋体"/>
                <w:kern w:val="2"/>
                <w:sz w:val="21"/>
                <w:szCs w:val="21"/>
                <w:highlight w:val="none"/>
                <w:lang w:val="en-US" w:eastAsia="zh-CN" w:bidi="ar-SA"/>
              </w:rPr>
              <w:t>清查盘点报告：</w:t>
            </w:r>
            <w:r>
              <w:rPr>
                <w:rFonts w:hint="eastAsia" w:ascii="宋体" w:hAnsi="宋体"/>
                <w:color w:val="000000"/>
                <w:sz w:val="21"/>
                <w:szCs w:val="21"/>
                <w:highlight w:val="none"/>
                <w:lang w:val="en-US" w:eastAsia="zh-CN"/>
              </w:rPr>
              <w:t>终稿文件交付须以</w:t>
            </w:r>
            <w:r>
              <w:rPr>
                <w:rFonts w:hint="eastAsia"/>
                <w:sz w:val="21"/>
                <w:szCs w:val="21"/>
                <w:highlight w:val="none"/>
                <w:lang w:val="en-US" w:eastAsia="zh-CN"/>
              </w:rPr>
              <w:t>原始电子文档原始电子文档（</w:t>
            </w:r>
            <w:r>
              <w:rPr>
                <w:rFonts w:hint="eastAsia" w:ascii="宋体" w:hAnsi="宋体" w:eastAsia="宋体"/>
                <w:color w:val="000000"/>
                <w:sz w:val="21"/>
                <w:szCs w:val="21"/>
                <w:highlight w:val="none"/>
                <w:lang w:val="en-US" w:eastAsia="zh-CN"/>
              </w:rPr>
              <w:t>WORD格式和PDF格式）</w:t>
            </w:r>
            <w:r>
              <w:rPr>
                <w:rFonts w:hint="eastAsia"/>
                <w:sz w:val="21"/>
                <w:szCs w:val="21"/>
                <w:highlight w:val="none"/>
                <w:lang w:val="en-US" w:eastAsia="zh-CN"/>
              </w:rPr>
              <w:t>提交，</w:t>
            </w:r>
            <w:r>
              <w:rPr>
                <w:rFonts w:hint="eastAsia" w:ascii="宋体" w:hAnsi="宋体" w:eastAsia="宋体"/>
                <w:color w:val="auto"/>
                <w:sz w:val="21"/>
                <w:szCs w:val="24"/>
                <w:highlight w:val="none"/>
                <w:lang w:val="en-US" w:eastAsia="zh-CN"/>
              </w:rPr>
              <w:t>另</w:t>
            </w:r>
            <w:r>
              <w:rPr>
                <w:rFonts w:hint="default" w:ascii="宋体" w:hAnsi="宋体" w:eastAsia="宋体"/>
                <w:color w:val="auto"/>
                <w:sz w:val="21"/>
                <w:szCs w:val="24"/>
                <w:highlight w:val="none"/>
              </w:rPr>
              <w:t>须提交</w:t>
            </w:r>
            <w:r>
              <w:rPr>
                <w:rFonts w:hint="eastAsia" w:ascii="宋体" w:hAnsi="宋体" w:eastAsia="宋体"/>
                <w:color w:val="auto"/>
                <w:sz w:val="21"/>
                <w:szCs w:val="24"/>
                <w:highlight w:val="none"/>
                <w:lang w:val="en-US" w:eastAsia="zh-CN"/>
              </w:rPr>
              <w:t>10</w:t>
            </w:r>
            <w:r>
              <w:rPr>
                <w:rFonts w:hint="default" w:ascii="宋体" w:hAnsi="宋体" w:eastAsia="宋体"/>
                <w:color w:val="auto"/>
                <w:sz w:val="21"/>
                <w:szCs w:val="24"/>
                <w:highlight w:val="none"/>
              </w:rPr>
              <w:t>份印刷成品资料</w:t>
            </w:r>
            <w:r>
              <w:rPr>
                <w:rFonts w:hint="eastAsia" w:ascii="宋体" w:hAnsi="宋体" w:eastAsia="宋体"/>
                <w:color w:val="auto"/>
                <w:sz w:val="21"/>
                <w:szCs w:val="24"/>
                <w:highlight w:val="none"/>
                <w:lang w:eastAsia="zh-CN"/>
              </w:rPr>
              <w:t>，</w:t>
            </w:r>
            <w:r>
              <w:rPr>
                <w:rFonts w:hint="eastAsia" w:ascii="宋体" w:hAnsi="宋体" w:eastAsia="宋体"/>
                <w:color w:val="000000"/>
                <w:sz w:val="21"/>
                <w:szCs w:val="21"/>
                <w:highlight w:val="none"/>
                <w:lang w:val="en-US" w:eastAsia="zh-CN"/>
              </w:rPr>
              <w:t>由</w:t>
            </w:r>
            <w:r>
              <w:rPr>
                <w:rFonts w:hint="eastAsia" w:ascii="宋体" w:hAnsi="宋体"/>
                <w:color w:val="000000"/>
                <w:sz w:val="21"/>
                <w:szCs w:val="21"/>
                <w:highlight w:val="none"/>
                <w:lang w:val="en-US" w:eastAsia="zh-CN"/>
              </w:rPr>
              <w:t>招标人</w:t>
            </w:r>
            <w:r>
              <w:rPr>
                <w:rFonts w:hint="eastAsia" w:ascii="宋体" w:hAnsi="宋体" w:eastAsia="宋体"/>
                <w:color w:val="000000"/>
                <w:sz w:val="21"/>
                <w:szCs w:val="21"/>
                <w:highlight w:val="none"/>
                <w:lang w:val="en-US" w:eastAsia="zh-CN"/>
              </w:rPr>
              <w:t>内部决策会或</w:t>
            </w:r>
            <w:r>
              <w:rPr>
                <w:rFonts w:hint="eastAsia" w:ascii="宋体" w:hAnsi="宋体"/>
                <w:color w:val="000000"/>
                <w:sz w:val="21"/>
                <w:szCs w:val="21"/>
                <w:highlight w:val="none"/>
                <w:lang w:val="en-US" w:eastAsia="zh-CN"/>
              </w:rPr>
              <w:t>相关部门</w:t>
            </w:r>
            <w:r>
              <w:rPr>
                <w:rFonts w:hint="eastAsia" w:ascii="宋体" w:hAnsi="宋体" w:eastAsia="宋体"/>
                <w:color w:val="000000"/>
                <w:sz w:val="21"/>
                <w:szCs w:val="21"/>
                <w:highlight w:val="none"/>
                <w:lang w:val="en-US" w:eastAsia="zh-CN"/>
              </w:rPr>
              <w:t>审</w:t>
            </w:r>
            <w:r>
              <w:rPr>
                <w:rFonts w:hint="eastAsia" w:ascii="宋体" w:hAnsi="宋体"/>
                <w:color w:val="000000"/>
                <w:sz w:val="21"/>
                <w:szCs w:val="21"/>
                <w:highlight w:val="none"/>
                <w:lang w:val="en-US" w:eastAsia="zh-CN"/>
              </w:rPr>
              <w:t>议</w:t>
            </w:r>
            <w:r>
              <w:rPr>
                <w:rFonts w:hint="eastAsia" w:ascii="宋体" w:hAnsi="宋体" w:eastAsia="宋体"/>
                <w:color w:val="000000"/>
                <w:sz w:val="21"/>
                <w:szCs w:val="21"/>
                <w:highlight w:val="none"/>
                <w:lang w:val="en-US" w:eastAsia="zh-CN"/>
              </w:rPr>
              <w:t>通过为验收</w:t>
            </w:r>
            <w:r>
              <w:rPr>
                <w:rFonts w:hint="eastAsia" w:ascii="宋体" w:hAnsi="宋体"/>
                <w:color w:val="000000"/>
                <w:sz w:val="21"/>
                <w:szCs w:val="21"/>
                <w:highlight w:val="none"/>
                <w:lang w:val="en-US" w:eastAsia="zh-CN"/>
              </w:rPr>
              <w:t>合格</w:t>
            </w:r>
            <w:r>
              <w:rPr>
                <w:rFonts w:hint="eastAsia" w:ascii="宋体" w:hAnsi="宋体" w:eastAsia="宋体"/>
                <w:color w:val="000000"/>
                <w:sz w:val="21"/>
                <w:szCs w:val="21"/>
                <w:highlight w:val="none"/>
                <w:lang w:val="en-US" w:eastAsia="zh-CN"/>
              </w:rPr>
              <w:t>依据</w:t>
            </w:r>
            <w:r>
              <w:rPr>
                <w:rFonts w:hint="eastAsia" w:ascii="宋体" w:hAnsi="宋体"/>
                <w:color w:val="000000"/>
                <w:sz w:val="21"/>
                <w:szCs w:val="21"/>
                <w:highlight w:val="none"/>
                <w:lang w:val="en-US" w:eastAsia="zh-CN"/>
              </w:rPr>
              <w:t>，其余工作均由招标人需求部门验收</w:t>
            </w:r>
            <w:r>
              <w:rPr>
                <w:rFonts w:hint="eastAsia" w:ascii="宋体" w:hAnsi="宋体" w:eastAsia="宋体"/>
                <w:color w:val="000000"/>
                <w:sz w:val="21"/>
                <w:szCs w:val="21"/>
                <w:highlight w:val="none"/>
                <w:lang w:val="en-US" w:eastAsia="zh-CN"/>
              </w:rPr>
              <w:t>。</w:t>
            </w:r>
          </w:p>
          <w:p>
            <w:pPr>
              <w:keepNext w:val="0"/>
              <w:keepLines w:val="0"/>
              <w:pageBreakBefore w:val="0"/>
              <w:widowControl w:val="0"/>
              <w:numPr>
                <w:ilvl w:val="0"/>
                <w:numId w:val="0"/>
              </w:numPr>
              <w:suppressLineNumbers w:val="0"/>
              <w:tabs>
                <w:tab w:val="left" w:pos="531"/>
              </w:tabs>
              <w:kinsoku/>
              <w:wordWrap/>
              <w:overflowPunct/>
              <w:topLinePunct w:val="0"/>
              <w:autoSpaceDE/>
              <w:autoSpaceDN/>
              <w:bidi w:val="0"/>
              <w:adjustRightInd/>
              <w:snapToGrid w:val="0"/>
              <w:spacing w:before="0" w:beforeAutospacing="0" w:after="0" w:afterAutospacing="0" w:line="240" w:lineRule="auto"/>
              <w:ind w:left="0" w:right="0" w:rightChars="0"/>
              <w:textAlignment w:val="auto"/>
              <w:rPr>
                <w:rFonts w:hint="default"/>
                <w:lang w:val="en-US" w:eastAsia="zh-CN"/>
              </w:rPr>
            </w:pPr>
            <w:r>
              <w:rPr>
                <w:rFonts w:hint="eastAsia" w:ascii="宋体" w:hAnsi="宋体"/>
                <w:color w:val="000000"/>
                <w:sz w:val="21"/>
                <w:szCs w:val="21"/>
                <w:highlight w:val="none"/>
                <w:lang w:val="en-US" w:eastAsia="zh-CN"/>
              </w:rPr>
              <w:t>（5）投标人需对项目所有最终交付成果、盘点情况、</w:t>
            </w:r>
            <w:r>
              <w:rPr>
                <w:rFonts w:hint="eastAsia" w:ascii="宋体" w:hAnsi="宋体" w:eastAsia="宋体" w:cs="宋体"/>
                <w:kern w:val="2"/>
                <w:sz w:val="21"/>
                <w:szCs w:val="21"/>
                <w:highlight w:val="none"/>
                <w:lang w:val="en-US" w:eastAsia="zh-CN" w:bidi="ar-SA"/>
              </w:rPr>
              <w:t>标签</w:t>
            </w:r>
            <w:r>
              <w:rPr>
                <w:rFonts w:hint="eastAsia"/>
                <w:sz w:val="21"/>
                <w:szCs w:val="21"/>
                <w:highlight w:val="none"/>
                <w:lang w:val="en-US" w:eastAsia="zh-CN"/>
              </w:rPr>
              <w:t>补充、</w:t>
            </w:r>
            <w:r>
              <w:rPr>
                <w:rFonts w:hint="eastAsia" w:ascii="宋体" w:hAnsi="宋体"/>
                <w:color w:val="000000"/>
                <w:sz w:val="21"/>
                <w:szCs w:val="21"/>
                <w:highlight w:val="none"/>
                <w:lang w:val="en-US" w:eastAsia="zh-CN"/>
              </w:rPr>
              <w:t>意见建议等统一出具项目验收报告</w:t>
            </w:r>
            <w:r>
              <w:rPr>
                <w:rFonts w:hint="eastAsia" w:ascii="宋体" w:hAnsi="宋体" w:eastAsia="宋体"/>
                <w:color w:val="000000"/>
                <w:sz w:val="21"/>
                <w:szCs w:val="21"/>
                <w:highlight w:val="none"/>
                <w:lang w:val="en-US"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adjustRightInd/>
              <w:spacing w:before="0" w:beforeAutospacing="0" w:after="0" w:afterAutospacing="0" w:line="240" w:lineRule="auto"/>
              <w:ind w:left="0" w:right="0"/>
              <w:rPr>
                <w:rFonts w:hint="default"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default" w:ascii="宋体" w:hAnsi="Times New Roman" w:eastAsia="宋体" w:cs="Times New Roman"/>
                <w:color w:val="000000"/>
                <w:kern w:val="2"/>
                <w:sz w:val="21"/>
                <w:szCs w:val="24"/>
                <w:lang w:val="en-US" w:eastAsia="zh-CN" w:bidi="ar-SA"/>
              </w:rPr>
            </w:pPr>
            <w:r>
              <w:rPr>
                <w:rFonts w:hint="default" w:ascii="宋体" w:eastAsia="宋体"/>
                <w:color w:val="000000"/>
                <w:sz w:val="21"/>
                <w:szCs w:val="24"/>
              </w:rPr>
              <w:t>版权</w:t>
            </w:r>
            <w:r>
              <w:rPr>
                <w:rFonts w:hint="default" w:ascii="宋体" w:hAnsi="宋体" w:eastAsia="宋体" w:cs="宋体"/>
                <w:kern w:val="2"/>
                <w:sz w:val="21"/>
                <w:szCs w:val="21"/>
                <w:lang w:val="en-US" w:eastAsia="zh-CN" w:bidi="ar-SA"/>
              </w:rPr>
              <w:t>归属</w:t>
            </w:r>
          </w:p>
        </w:tc>
        <w:tc>
          <w:tcPr>
            <w:tcW w:w="743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numPr>
                <w:ilvl w:val="0"/>
                <w:numId w:val="2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项目所有成果版权归深圳会展中心管理有限责任公司所有。</w:t>
            </w:r>
          </w:p>
          <w:p>
            <w:pPr>
              <w:pStyle w:val="22"/>
              <w:keepNext w:val="0"/>
              <w:keepLines w:val="0"/>
              <w:pageBreakBefore w:val="0"/>
              <w:widowControl w:val="0"/>
              <w:numPr>
                <w:ilvl w:val="0"/>
                <w:numId w:val="2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必须对编制内容拥有原创知识产权，不得有模仿、抄袭等侵权行为。</w:t>
            </w:r>
            <w:r>
              <w:rPr>
                <w:rFonts w:hint="eastAsia" w:ascii="宋体" w:hAnsi="宋体" w:eastAsia="宋体" w:cs="宋体"/>
                <w:color w:val="auto"/>
                <w:highlight w:val="none"/>
                <w:lang w:val="en-US" w:eastAsia="zh-CN"/>
              </w:rPr>
              <w:t>招标人</w:t>
            </w:r>
            <w:r>
              <w:rPr>
                <w:rFonts w:hint="eastAsia" w:ascii="宋体" w:hAnsi="宋体" w:eastAsia="宋体" w:cs="宋体"/>
                <w:color w:val="auto"/>
                <w:highlight w:val="none"/>
              </w:rPr>
              <w:t>在使用项目成果的任何一部分时，免受第三方提出的涉及侵犯其知识产权的起诉；由此所带来的任何法律和经济赔偿责任全部由投标人承担，与招标人无关。</w:t>
            </w:r>
          </w:p>
          <w:p>
            <w:pPr>
              <w:pStyle w:val="22"/>
              <w:keepNext w:val="0"/>
              <w:keepLines w:val="0"/>
              <w:pageBreakBefore w:val="0"/>
              <w:widowControl w:val="0"/>
              <w:numPr>
                <w:ilvl w:val="0"/>
                <w:numId w:val="2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color w:val="auto"/>
                <w:highlight w:val="none"/>
                <w:lang w:eastAsia="zh-CN"/>
              </w:rPr>
              <w:t>招标人</w:t>
            </w:r>
            <w:r>
              <w:rPr>
                <w:rFonts w:hint="eastAsia" w:ascii="宋体" w:hAnsi="宋体" w:eastAsia="宋体" w:cs="宋体"/>
                <w:color w:val="auto"/>
                <w:highlight w:val="none"/>
              </w:rPr>
              <w:t>及</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双方都有责任对对方提供的技术情报、资料数据及商业秘密保密。未经对方同意，任何一方不得以任何形式向第三方泄露本项目资料或在项目中接触到的资料，不得将其用于履行本合同之外的其他用途。</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违反本条约定，给</w:t>
            </w:r>
            <w:r>
              <w:rPr>
                <w:rFonts w:hint="eastAsia" w:ascii="宋体" w:hAnsi="宋体" w:eastAsia="宋体" w:cs="宋体"/>
                <w:color w:val="auto"/>
                <w:highlight w:val="none"/>
                <w:lang w:eastAsia="zh-CN"/>
              </w:rPr>
              <w:t>招标人</w:t>
            </w:r>
            <w:r>
              <w:rPr>
                <w:rFonts w:hint="eastAsia" w:ascii="宋体" w:hAnsi="宋体" w:eastAsia="宋体" w:cs="宋体"/>
                <w:color w:val="auto"/>
                <w:highlight w:val="none"/>
              </w:rPr>
              <w:t>造成损失的，应当赔偿造成的全部损失。本条约定的保密义务不因本合同的变更、解除、终止而受影响。</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cs="宋体"/>
                <w:snapToGrid/>
                <w:spacing w:val="0"/>
                <w:kern w:val="2"/>
                <w:sz w:val="21"/>
                <w:szCs w:val="21"/>
                <w:lang w:val="en-US" w:eastAsia="zh-CN"/>
              </w:rPr>
            </w:pPr>
            <w:r>
              <w:rPr>
                <w:rFonts w:hint="eastAsia" w:ascii="宋体" w:hAnsi="宋体" w:eastAsia="宋体" w:cs="Times New Roman"/>
                <w:color w:val="auto"/>
                <w:kern w:val="2"/>
                <w:sz w:val="24"/>
                <w:szCs w:val="24"/>
                <w:highlight w:val="none"/>
                <w:lang w:val="en-US" w:eastAsia="zh-CN" w:bidi="ar-SA"/>
              </w:rPr>
              <w:t>7</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center"/>
              <w:rPr>
                <w:rFonts w:hint="default" w:ascii="宋体" w:eastAsia="宋体"/>
                <w:color w:val="000000"/>
                <w:sz w:val="21"/>
                <w:szCs w:val="24"/>
              </w:rPr>
            </w:pPr>
            <w:r>
              <w:rPr>
                <w:rFonts w:hint="eastAsia" w:ascii="宋体" w:hAnsi="宋体"/>
                <w:color w:val="auto"/>
                <w:sz w:val="24"/>
                <w:highlight w:val="none"/>
              </w:rPr>
              <w:t>其他</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200" w:afterAutospacing="0" w:line="240" w:lineRule="auto"/>
              <w:ind w:left="0" w:leftChars="0" w:right="0" w:rightChars="0"/>
              <w:jc w:val="left"/>
              <w:textAlignment w:val="auto"/>
              <w:rPr>
                <w:rFonts w:hint="default" w:ascii="宋体" w:hAnsi="宋体" w:eastAsia="宋体"/>
                <w:color w:val="000000"/>
                <w:sz w:val="21"/>
                <w:szCs w:val="24"/>
                <w:highlight w:val="yellow"/>
              </w:rPr>
            </w:pPr>
            <w:r>
              <w:rPr>
                <w:rFonts w:hint="eastAsia" w:ascii="宋体" w:hAnsi="宋体"/>
                <w:color w:val="auto"/>
                <w:sz w:val="21"/>
                <w:szCs w:val="21"/>
                <w:highlight w:val="none"/>
                <w:lang w:val="en-US" w:eastAsia="zh-CN"/>
              </w:rPr>
              <w:t>投标文件中应包含项目服务方案，方案应对商务需求和技术需求做出响应。</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leftChars="0" w:right="0" w:rightChars="0"/>
              <w:jc w:val="center"/>
              <w:rPr>
                <w:rFonts w:hint="default" w:ascii="宋体" w:hAnsi="宋体" w:eastAsia="宋体" w:cs="宋体"/>
                <w:color w:val="auto"/>
                <w:sz w:val="21"/>
                <w:szCs w:val="21"/>
              </w:rPr>
            </w:pPr>
            <w:r>
              <w:rPr>
                <w:rFonts w:hint="default" w:ascii="宋体" w:hAnsi="宋体" w:eastAsia="宋体" w:cs="宋体"/>
                <w:color w:val="auto"/>
                <w:sz w:val="21"/>
                <w:szCs w:val="21"/>
                <w:highlight w:val="none"/>
              </w:rPr>
              <w:t>不可偏离</w:t>
            </w:r>
          </w:p>
        </w:tc>
      </w:tr>
    </w:tbl>
    <w:p>
      <w:pPr>
        <w:numPr>
          <w:ilvl w:val="0"/>
          <w:numId w:val="1"/>
        </w:numPr>
        <w:jc w:val="left"/>
        <w:outlineLvl w:val="1"/>
        <w:rPr>
          <w:rFonts w:ascii="宋体" w:hAnsi="宋体"/>
          <w:b/>
          <w:szCs w:val="21"/>
          <w:highlight w:val="none"/>
        </w:rPr>
      </w:pPr>
      <w:bookmarkStart w:id="38" w:name="_Toc82684600"/>
      <w:bookmarkEnd w:id="38"/>
      <w:bookmarkStart w:id="39" w:name="_Toc82684715"/>
      <w:bookmarkEnd w:id="39"/>
      <w:bookmarkStart w:id="40" w:name="_Toc82591996"/>
      <w:bookmarkEnd w:id="40"/>
      <w:bookmarkStart w:id="41" w:name="_Toc82685552"/>
      <w:bookmarkEnd w:id="41"/>
      <w:bookmarkStart w:id="42" w:name="_Toc116550349"/>
      <w:r>
        <w:rPr>
          <w:rFonts w:hint="eastAsia" w:ascii="宋体" w:hAnsi="宋体"/>
          <w:b/>
          <w:szCs w:val="21"/>
          <w:highlight w:val="none"/>
        </w:rPr>
        <w:t>其他项目说明资料</w:t>
      </w:r>
      <w:bookmarkEnd w:id="42"/>
    </w:p>
    <w:p>
      <w:pPr>
        <w:widowControl/>
        <w:jc w:val="left"/>
        <w:rPr>
          <w:color w:val="auto"/>
          <w:highlight w:val="none"/>
        </w:rPr>
      </w:pPr>
      <w:r>
        <w:rPr>
          <w:rFonts w:hint="eastAsia"/>
          <w:color w:val="auto"/>
          <w:highlight w:val="none"/>
          <w:lang w:val="en-US" w:eastAsia="zh-CN"/>
        </w:rPr>
        <w:t>无</w:t>
      </w:r>
      <w:r>
        <w:rPr>
          <w:color w:val="auto"/>
          <w:highlight w:val="none"/>
        </w:rPr>
        <w:br w:type="page"/>
      </w:r>
    </w:p>
    <w:p>
      <w:pPr>
        <w:spacing w:line="360" w:lineRule="auto"/>
        <w:jc w:val="center"/>
        <w:outlineLvl w:val="0"/>
        <w:rPr>
          <w:rFonts w:ascii="宋体" w:hAnsi="宋体"/>
          <w:b/>
          <w:sz w:val="32"/>
          <w:szCs w:val="32"/>
        </w:rPr>
      </w:pPr>
      <w:bookmarkStart w:id="43" w:name="_Toc116550350"/>
      <w:r>
        <w:rPr>
          <w:rFonts w:hint="eastAsia" w:ascii="宋体" w:hAnsi="宋体"/>
          <w:b/>
          <w:sz w:val="32"/>
          <w:szCs w:val="32"/>
        </w:rPr>
        <w:t>第二部分：开标评标流程</w:t>
      </w:r>
      <w:bookmarkEnd w:id="43"/>
    </w:p>
    <w:p>
      <w:pPr>
        <w:numPr>
          <w:ilvl w:val="0"/>
          <w:numId w:val="1"/>
        </w:numPr>
        <w:spacing w:line="360" w:lineRule="auto"/>
        <w:outlineLvl w:val="1"/>
        <w:rPr>
          <w:b/>
        </w:rPr>
      </w:pPr>
      <w:bookmarkStart w:id="44" w:name="_Toc116550351"/>
      <w:bookmarkStart w:id="45" w:name="_Toc104994641"/>
      <w:bookmarkStart w:id="46" w:name="_Hlk104908581"/>
      <w:bookmarkStart w:id="47" w:name="_Hlk104908397"/>
      <w:r>
        <w:rPr>
          <w:rFonts w:hint="eastAsia"/>
          <w:b/>
        </w:rPr>
        <w:t>开标阶段</w:t>
      </w:r>
      <w:bookmarkEnd w:id="44"/>
      <w:bookmarkEnd w:id="45"/>
    </w:p>
    <w:bookmarkEnd w:id="46"/>
    <w:p>
      <w:pPr>
        <w:pStyle w:val="22"/>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2"/>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2"/>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2"/>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116550352"/>
      <w:bookmarkStart w:id="49" w:name="_Toc104994642"/>
      <w:r>
        <w:rPr>
          <w:rFonts w:hint="eastAsia"/>
          <w:b/>
        </w:rPr>
        <w:t>评标阶段</w:t>
      </w:r>
      <w:bookmarkEnd w:id="48"/>
      <w:bookmarkEnd w:id="49"/>
    </w:p>
    <w:p>
      <w:pPr>
        <w:pStyle w:val="22"/>
        <w:numPr>
          <w:ilvl w:val="0"/>
          <w:numId w:val="22"/>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2"/>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2"/>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2"/>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2"/>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ascii="仿宋_GB2312" w:hAnsi="宋体" w:eastAsia="仿宋_GB2312"/>
        </w:rPr>
      </w:pPr>
      <w:r>
        <w:br w:type="page"/>
      </w:r>
    </w:p>
    <w:p>
      <w:pPr>
        <w:pStyle w:val="11"/>
        <w:rPr>
          <w:rFonts w:ascii="宋体"/>
          <w:b/>
          <w:sz w:val="28"/>
        </w:rPr>
      </w:pPr>
    </w:p>
    <w:p>
      <w:pPr>
        <w:spacing w:line="360" w:lineRule="auto"/>
        <w:jc w:val="center"/>
        <w:outlineLvl w:val="0"/>
        <w:rPr>
          <w:rFonts w:ascii="宋体" w:hAnsi="宋体"/>
          <w:b/>
          <w:sz w:val="32"/>
          <w:szCs w:val="32"/>
        </w:rPr>
      </w:pPr>
      <w:bookmarkStart w:id="50" w:name="_Toc116550353"/>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1" w:name="_Toc116550354"/>
      <w:r>
        <w:rPr>
          <w:rFonts w:hint="eastAsia" w:ascii="宋体" w:hAnsi="宋体"/>
          <w:b/>
          <w:bCs/>
          <w:szCs w:val="21"/>
        </w:rPr>
        <w:t>评审办法</w:t>
      </w:r>
      <w:bookmarkEnd w:id="51"/>
    </w:p>
    <w:p>
      <w:pPr>
        <w:spacing w:line="360" w:lineRule="auto"/>
        <w:ind w:firstLine="420" w:firstLineChars="200"/>
        <w:rPr>
          <w:rFonts w:ascii="宋体" w:hAnsi="宋体"/>
          <w:szCs w:val="21"/>
          <w:highlight w:val="none"/>
        </w:rPr>
      </w:pPr>
      <w:r>
        <w:rPr>
          <w:rFonts w:hint="eastAsia" w:ascii="宋体" w:hAnsi="宋体"/>
          <w:szCs w:val="21"/>
        </w:rPr>
        <w:t>首先对各</w:t>
      </w:r>
      <w:r>
        <w:rPr>
          <w:rFonts w:hint="eastAsia" w:ascii="宋体" w:hAnsi="宋体"/>
          <w:szCs w:val="21"/>
          <w:lang w:eastAsia="zh-CN"/>
        </w:rPr>
        <w:t>投标人</w:t>
      </w:r>
      <w:r>
        <w:rPr>
          <w:rFonts w:hint="eastAsia" w:ascii="宋体" w:hAnsi="宋体"/>
          <w:szCs w:val="21"/>
        </w:rPr>
        <w:t>进行</w:t>
      </w:r>
      <w:r>
        <w:rPr>
          <w:rFonts w:hint="eastAsia" w:ascii="宋体" w:hAnsi="宋体"/>
          <w:szCs w:val="21"/>
          <w:highlight w:val="none"/>
        </w:rPr>
        <w:t>符合性审查，然后进行不可偏离项检查。对通过符合性审查及不可偏离项检查的</w:t>
      </w:r>
      <w:r>
        <w:rPr>
          <w:rFonts w:hint="eastAsia" w:ascii="宋体" w:hAnsi="宋体"/>
          <w:szCs w:val="21"/>
          <w:highlight w:val="none"/>
          <w:lang w:eastAsia="zh-CN"/>
        </w:rPr>
        <w:t>投标人</w:t>
      </w:r>
      <w:r>
        <w:rPr>
          <w:rFonts w:hint="eastAsia" w:ascii="宋体" w:hAnsi="宋体"/>
          <w:szCs w:val="21"/>
          <w:highlight w:val="none"/>
        </w:rPr>
        <w:t>，采用</w:t>
      </w:r>
      <w:r>
        <w:rPr>
          <w:rFonts w:hint="eastAsia" w:ascii="宋体" w:hAnsi="宋体"/>
          <w:b/>
          <w:szCs w:val="21"/>
          <w:highlight w:val="none"/>
        </w:rPr>
        <w:t>100分制综合评分法</w:t>
      </w:r>
      <w:r>
        <w:rPr>
          <w:rFonts w:hint="eastAsia" w:ascii="宋体" w:hAnsi="宋体"/>
          <w:szCs w:val="21"/>
          <w:highlight w:val="none"/>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90" w:type="dxa"/>
            <w:gridSpan w:val="4"/>
            <w:vAlign w:val="center"/>
          </w:tcPr>
          <w:p>
            <w:pPr>
              <w:pStyle w:val="2"/>
              <w:keepNext w:val="0"/>
              <w:keepLines w:val="0"/>
              <w:suppressLineNumbers w:val="0"/>
              <w:spacing w:before="0" w:beforeAutospacing="0" w:after="0" w:afterAutospacing="0" w:line="240" w:lineRule="auto"/>
              <w:ind w:right="0"/>
              <w:jc w:val="center"/>
              <w:rPr>
                <w:rFonts w:hint="default"/>
                <w:sz w:val="21"/>
                <w:szCs w:val="21"/>
                <w:highlight w:val="none"/>
              </w:rPr>
            </w:pPr>
            <w:r>
              <w:rPr>
                <w:rFonts w:hint="eastAsia" w:ascii="宋体" w:hAnsi="宋体" w:cs="仿宋"/>
                <w:b/>
                <w:bCs/>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szCs w:val="21"/>
                <w:highlight w:val="none"/>
              </w:rPr>
            </w:pPr>
            <w:r>
              <w:rPr>
                <w:rFonts w:hint="eastAsia" w:ascii="宋体" w:hAnsi="宋体"/>
                <w:b/>
                <w:szCs w:val="21"/>
                <w:highlight w:val="none"/>
              </w:rPr>
              <w:t>权重名称</w:t>
            </w:r>
          </w:p>
        </w:tc>
        <w:tc>
          <w:tcPr>
            <w:tcW w:w="213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szCs w:val="21"/>
                <w:highlight w:val="none"/>
              </w:rPr>
            </w:pPr>
            <w:r>
              <w:rPr>
                <w:rFonts w:hint="eastAsia" w:ascii="宋体" w:hAnsi="宋体"/>
                <w:b/>
                <w:szCs w:val="21"/>
                <w:highlight w:val="none"/>
              </w:rPr>
              <w:t>商务标权重</w:t>
            </w:r>
          </w:p>
        </w:tc>
        <w:tc>
          <w:tcPr>
            <w:tcW w:w="213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szCs w:val="21"/>
                <w:highlight w:val="none"/>
              </w:rPr>
            </w:pPr>
            <w:r>
              <w:rPr>
                <w:rFonts w:hint="eastAsia" w:ascii="宋体" w:hAnsi="宋体"/>
                <w:b/>
                <w:szCs w:val="21"/>
                <w:highlight w:val="none"/>
              </w:rPr>
              <w:t>技术标权重</w:t>
            </w:r>
          </w:p>
        </w:tc>
        <w:tc>
          <w:tcPr>
            <w:tcW w:w="258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b/>
                <w:szCs w:val="21"/>
                <w:highlight w:val="none"/>
              </w:rPr>
            </w:pPr>
            <w:r>
              <w:rPr>
                <w:rFonts w:hint="eastAsia" w:ascii="宋体" w:hAnsi="宋体"/>
                <w:b/>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highlight w:val="none"/>
              </w:rPr>
            </w:pPr>
            <w:r>
              <w:rPr>
                <w:rFonts w:hint="eastAsia" w:ascii="宋体" w:hAnsi="宋体"/>
                <w:szCs w:val="21"/>
                <w:highlight w:val="none"/>
              </w:rPr>
              <w:t>权重</w:t>
            </w:r>
          </w:p>
        </w:tc>
        <w:tc>
          <w:tcPr>
            <w:tcW w:w="213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highlight w:val="none"/>
              </w:rPr>
            </w:pPr>
            <w:r>
              <w:rPr>
                <w:rFonts w:hint="eastAsia" w:ascii="宋体" w:hAnsi="宋体"/>
                <w:color w:val="FF0000"/>
                <w:szCs w:val="21"/>
                <w:highlight w:val="none"/>
                <w:lang w:val="en-US" w:eastAsia="zh-CN"/>
              </w:rPr>
              <w:t>20</w:t>
            </w:r>
            <w:r>
              <w:rPr>
                <w:rFonts w:hint="eastAsia" w:ascii="宋体" w:hAnsi="宋体"/>
                <w:szCs w:val="21"/>
                <w:highlight w:val="none"/>
              </w:rPr>
              <w:t>%</w:t>
            </w:r>
          </w:p>
        </w:tc>
        <w:tc>
          <w:tcPr>
            <w:tcW w:w="213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highlight w:val="none"/>
              </w:rPr>
            </w:pPr>
            <w:r>
              <w:rPr>
                <w:rFonts w:hint="eastAsia" w:ascii="宋体" w:hAnsi="宋体"/>
                <w:color w:val="FF0000"/>
                <w:szCs w:val="21"/>
                <w:highlight w:val="none"/>
                <w:lang w:val="en-US" w:eastAsia="zh-CN"/>
              </w:rPr>
              <w:t>50</w:t>
            </w:r>
            <w:r>
              <w:rPr>
                <w:rFonts w:hint="eastAsia" w:ascii="宋体" w:hAnsi="宋体"/>
                <w:szCs w:val="21"/>
                <w:highlight w:val="none"/>
              </w:rPr>
              <w:t>%</w:t>
            </w:r>
          </w:p>
        </w:tc>
        <w:tc>
          <w:tcPr>
            <w:tcW w:w="258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szCs w:val="21"/>
                <w:highlight w:val="none"/>
              </w:rPr>
            </w:pPr>
            <w:r>
              <w:rPr>
                <w:rFonts w:hint="eastAsia" w:ascii="宋体" w:hAnsi="宋体"/>
                <w:color w:val="FF0000"/>
                <w:szCs w:val="21"/>
                <w:highlight w:val="none"/>
                <w:lang w:val="en-US" w:eastAsia="zh-CN"/>
              </w:rPr>
              <w:t>30</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keepNext w:val="0"/>
              <w:keepLines w:val="0"/>
              <w:suppressLineNumbers w:val="0"/>
              <w:spacing w:before="0" w:beforeAutospacing="0" w:after="0" w:afterAutospacing="0" w:line="240" w:lineRule="auto"/>
              <w:ind w:left="0" w:right="0"/>
              <w:jc w:val="center"/>
              <w:rPr>
                <w:rFonts w:hint="default"/>
                <w:sz w:val="21"/>
                <w:szCs w:val="21"/>
                <w:highlight w:val="none"/>
              </w:rPr>
            </w:pPr>
            <w:r>
              <w:rPr>
                <w:rFonts w:hint="eastAsia" w:ascii="宋体" w:hAnsi="宋体"/>
                <w:sz w:val="21"/>
                <w:szCs w:val="21"/>
                <w:highlight w:val="none"/>
                <w:lang w:eastAsia="zh-CN"/>
              </w:rPr>
              <w:t>投标人</w:t>
            </w:r>
            <w:r>
              <w:rPr>
                <w:rFonts w:hint="eastAsia" w:ascii="宋体" w:hAnsi="宋体"/>
                <w:sz w:val="21"/>
                <w:szCs w:val="21"/>
                <w:highlight w:val="none"/>
              </w:rPr>
              <w:t>综合得分</w:t>
            </w:r>
          </w:p>
        </w:tc>
        <w:tc>
          <w:tcPr>
            <w:tcW w:w="6846" w:type="dxa"/>
            <w:gridSpan w:val="3"/>
            <w:vAlign w:val="center"/>
          </w:tcPr>
          <w:p>
            <w:pPr>
              <w:pStyle w:val="2"/>
              <w:keepNext w:val="0"/>
              <w:keepLines w:val="0"/>
              <w:suppressLineNumbers w:val="0"/>
              <w:spacing w:before="0" w:beforeAutospacing="0" w:after="0" w:afterAutospacing="0" w:line="240" w:lineRule="auto"/>
              <w:ind w:right="0"/>
              <w:jc w:val="center"/>
              <w:rPr>
                <w:rFonts w:hint="default"/>
                <w:sz w:val="21"/>
                <w:szCs w:val="21"/>
                <w:highlight w:val="none"/>
              </w:rPr>
            </w:pPr>
            <w:r>
              <w:rPr>
                <w:rFonts w:hint="eastAsia" w:ascii="宋体" w:hAnsi="宋体"/>
                <w:sz w:val="21"/>
                <w:szCs w:val="21"/>
                <w:highlight w:val="none"/>
              </w:rPr>
              <w:t>商务标得分+技术标得分+价格标得分=100</w:t>
            </w:r>
          </w:p>
        </w:tc>
      </w:tr>
    </w:tbl>
    <w:p>
      <w:pPr>
        <w:numPr>
          <w:ilvl w:val="0"/>
          <w:numId w:val="23"/>
        </w:numPr>
        <w:spacing w:before="156" w:beforeLines="50"/>
        <w:jc w:val="left"/>
        <w:outlineLvl w:val="2"/>
        <w:rPr>
          <w:rStyle w:val="29"/>
          <w:rFonts w:ascii="宋体" w:hAnsi="宋体"/>
          <w:b/>
          <w:szCs w:val="21"/>
          <w:highlight w:val="none"/>
        </w:rPr>
      </w:pPr>
      <w:bookmarkStart w:id="52" w:name="_Toc116550355"/>
      <w:r>
        <w:rPr>
          <w:rStyle w:val="29"/>
          <w:rFonts w:hint="eastAsia" w:ascii="宋体" w:hAnsi="宋体"/>
          <w:b/>
          <w:bCs/>
          <w:szCs w:val="21"/>
          <w:highlight w:val="none"/>
        </w:rPr>
        <w:t>符合性检查</w:t>
      </w:r>
      <w:bookmarkEnd w:id="52"/>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highlight w:val="none"/>
              </w:rPr>
            </w:pPr>
            <w:r>
              <w:rPr>
                <w:rFonts w:hint="eastAsia" w:ascii="宋体" w:hAnsi="宋体" w:cs="仿宋"/>
                <w:szCs w:val="21"/>
                <w:highlight w:val="none"/>
              </w:rPr>
              <w:t>评议项目</w:t>
            </w:r>
          </w:p>
        </w:tc>
        <w:tc>
          <w:tcPr>
            <w:tcW w:w="7635" w:type="dxa"/>
            <w:tcBorders>
              <w:tl2br w:val="nil"/>
              <w:tr2bl w:val="nil"/>
            </w:tcBorders>
            <w:shd w:val="clear" w:color="auto" w:fill="EEEEEE"/>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highlight w:val="none"/>
              </w:rPr>
            </w:pPr>
            <w:r>
              <w:rPr>
                <w:rFonts w:hint="eastAsia" w:ascii="宋体" w:hAnsi="宋体" w:cs="仿宋"/>
                <w:szCs w:val="21"/>
                <w:highlight w:val="none"/>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highlight w:val="none"/>
              </w:rPr>
            </w:pPr>
            <w:r>
              <w:rPr>
                <w:rFonts w:hint="eastAsia" w:ascii="宋体" w:hAnsi="宋体" w:cs="仿宋"/>
                <w:szCs w:val="21"/>
                <w:highlight w:val="none"/>
              </w:rPr>
              <w:t>投标文件</w:t>
            </w:r>
          </w:p>
        </w:tc>
        <w:tc>
          <w:tcPr>
            <w:tcW w:w="7635" w:type="dxa"/>
            <w:tcBorders>
              <w:tl2br w:val="nil"/>
              <w:tr2bl w:val="nil"/>
            </w:tcBorders>
            <w:vAlign w:val="center"/>
          </w:tcPr>
          <w:p>
            <w:pPr>
              <w:keepNext w:val="0"/>
              <w:keepLines w:val="0"/>
              <w:suppressLineNumbers w:val="0"/>
              <w:spacing w:before="0" w:beforeAutospacing="0" w:after="0" w:afterAutospacing="0" w:line="360" w:lineRule="auto"/>
              <w:ind w:left="0" w:right="0"/>
              <w:rPr>
                <w:rFonts w:hint="default" w:ascii="宋体" w:hAnsi="宋体" w:cs="仿宋"/>
                <w:szCs w:val="21"/>
                <w:highlight w:val="none"/>
              </w:rPr>
            </w:pPr>
            <w:r>
              <w:rPr>
                <w:rFonts w:hint="eastAsia" w:ascii="宋体" w:hAnsi="宋体" w:cs="仿宋"/>
                <w:bCs/>
                <w:szCs w:val="21"/>
                <w:highlight w:val="none"/>
                <w:lang w:eastAsia="zh-CN"/>
              </w:rPr>
              <w:t>投标人</w:t>
            </w:r>
            <w:r>
              <w:rPr>
                <w:rFonts w:hint="eastAsia" w:ascii="宋体" w:hAnsi="宋体" w:cs="仿宋"/>
                <w:bCs/>
                <w:szCs w:val="21"/>
                <w:highlight w:val="none"/>
              </w:rPr>
              <w:t>提交的投标文件是否按要求编制目录、加密；投标文件的加密密码按要求发送至</w:t>
            </w:r>
            <w:r>
              <w:rPr>
                <w:rFonts w:hint="eastAsia" w:ascii="宋体" w:hAnsi="宋体" w:cs="仿宋"/>
                <w:bCs/>
                <w:szCs w:val="21"/>
                <w:highlight w:val="none"/>
                <w:lang w:eastAsia="zh-CN"/>
              </w:rPr>
              <w:t>招标人</w:t>
            </w:r>
            <w:r>
              <w:rPr>
                <w:rFonts w:hint="default" w:ascii="宋体" w:hAnsi="宋体" w:cs="仿宋"/>
                <w:bCs/>
                <w:szCs w:val="21"/>
                <w:highlight w:val="none"/>
              </w:rPr>
              <w:t>且</w:t>
            </w:r>
            <w:r>
              <w:rPr>
                <w:rFonts w:hint="eastAsia" w:ascii="宋体" w:hAnsi="宋体" w:cs="仿宋"/>
                <w:bCs/>
                <w:szCs w:val="21"/>
                <w:highlight w:val="none"/>
              </w:rPr>
              <w:t>保证</w:t>
            </w:r>
            <w:r>
              <w:rPr>
                <w:rFonts w:hint="default" w:ascii="宋体" w:hAnsi="宋体" w:cs="仿宋"/>
                <w:bCs/>
                <w:szCs w:val="21"/>
                <w:highlight w:val="none"/>
              </w:rPr>
              <w:t>文件完整可正常打开；</w:t>
            </w:r>
            <w:r>
              <w:rPr>
                <w:rFonts w:hint="eastAsia" w:ascii="宋体" w:hAnsi="宋体" w:cs="仿宋"/>
                <w:bCs/>
                <w:szCs w:val="21"/>
                <w:highlight w:val="none"/>
              </w:rPr>
              <w:t>投标人必须提供由法人代表或其书面授权人签署并加盖</w:t>
            </w:r>
            <w:r>
              <w:rPr>
                <w:rFonts w:hint="eastAsia" w:ascii="宋体" w:hAnsi="宋体" w:cs="仿宋"/>
                <w:bCs/>
                <w:szCs w:val="21"/>
                <w:highlight w:val="none"/>
                <w:lang w:eastAsia="zh-CN"/>
              </w:rPr>
              <w:t>投标人</w:t>
            </w:r>
            <w:r>
              <w:rPr>
                <w:rFonts w:hint="eastAsia" w:ascii="宋体" w:hAnsi="宋体" w:cs="仿宋"/>
                <w:bCs/>
                <w:szCs w:val="21"/>
                <w:highlight w:val="none"/>
              </w:rPr>
              <w:t>公章的投标响应文件</w:t>
            </w:r>
            <w:r>
              <w:rPr>
                <w:rFonts w:hint="eastAsia" w:ascii="宋体" w:hAnsi="宋体" w:cs="仿宋"/>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highlight w:val="none"/>
              </w:rPr>
            </w:pPr>
            <w:r>
              <w:rPr>
                <w:rFonts w:hint="eastAsia" w:ascii="宋体" w:hAnsi="宋体" w:cs="仿宋"/>
                <w:szCs w:val="21"/>
                <w:highlight w:val="none"/>
              </w:rPr>
              <w:t>法定代表人证明书及授权委托证明书</w:t>
            </w:r>
          </w:p>
        </w:tc>
        <w:tc>
          <w:tcPr>
            <w:tcW w:w="7635" w:type="dxa"/>
            <w:tcBorders>
              <w:tl2br w:val="nil"/>
              <w:tr2bl w:val="nil"/>
            </w:tcBorders>
            <w:vAlign w:val="center"/>
          </w:tcPr>
          <w:p>
            <w:pPr>
              <w:keepNext w:val="0"/>
              <w:keepLines w:val="0"/>
              <w:suppressLineNumbers w:val="0"/>
              <w:spacing w:before="0" w:beforeAutospacing="0" w:after="0" w:afterAutospacing="0" w:line="360" w:lineRule="auto"/>
              <w:ind w:left="0" w:right="0"/>
              <w:rPr>
                <w:rFonts w:hint="default" w:ascii="宋体" w:hAnsi="宋体" w:cs="仿宋"/>
                <w:szCs w:val="21"/>
                <w:highlight w:val="none"/>
              </w:rPr>
            </w:pPr>
            <w:r>
              <w:rPr>
                <w:rFonts w:hint="eastAsia" w:ascii="宋体" w:hAnsi="宋体" w:cs="仿宋"/>
                <w:szCs w:val="21"/>
                <w:highlight w:val="none"/>
              </w:rPr>
              <w:t>是否提供法定代表人证明书、法人授权委托证明书</w:t>
            </w:r>
            <w:r>
              <w:rPr>
                <w:rFonts w:hint="eastAsia" w:ascii="宋体" w:hAnsi="宋体" w:cs="宋体"/>
                <w:highlight w:val="none"/>
              </w:rPr>
              <w:t>及法定代表人、被委托人身份证扫描件并加盖投标人公章</w:t>
            </w:r>
            <w:r>
              <w:rPr>
                <w:rFonts w:hint="eastAsia" w:ascii="宋体" w:hAnsi="宋体" w:cs="宋体"/>
                <w:highlight w:val="none"/>
                <w:lang w:val="en-US" w:eastAsia="zh-CN"/>
              </w:rPr>
              <w:t>；</w:t>
            </w:r>
            <w:r>
              <w:rPr>
                <w:rFonts w:hint="eastAsia" w:ascii="宋体" w:hAnsi="宋体" w:cs="仿宋"/>
                <w:szCs w:val="21"/>
                <w:highlight w:val="none"/>
              </w:rPr>
              <w:t>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资格证明文件</w:t>
            </w:r>
          </w:p>
        </w:tc>
        <w:tc>
          <w:tcPr>
            <w:tcW w:w="7635" w:type="dxa"/>
            <w:tcBorders>
              <w:tl2br w:val="nil"/>
              <w:tr2bl w:val="nil"/>
            </w:tcBorders>
            <w:vAlign w:val="center"/>
          </w:tcPr>
          <w:p>
            <w:pPr>
              <w:keepNext w:val="0"/>
              <w:keepLines w:val="0"/>
              <w:suppressLineNumbers w:val="0"/>
              <w:spacing w:before="0" w:beforeAutospacing="0" w:after="0" w:afterAutospacing="0" w:line="360" w:lineRule="auto"/>
              <w:ind w:left="0" w:right="0"/>
              <w:rPr>
                <w:rFonts w:hint="default"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lang w:eastAsia="zh-CN"/>
                <w14:textFill>
                  <w14:solidFill>
                    <w14:schemeClr w14:val="tx1"/>
                  </w14:solidFill>
                </w14:textFill>
              </w:rPr>
              <w:t>投标人</w:t>
            </w:r>
            <w:r>
              <w:rPr>
                <w:rFonts w:hint="eastAsia" w:ascii="宋体" w:hAnsi="宋体" w:cs="仿宋"/>
                <w:color w:val="000000" w:themeColor="text1"/>
                <w:szCs w:val="21"/>
                <w:highlight w:val="none"/>
                <w14:textFill>
                  <w14:solidFill>
                    <w14:schemeClr w14:val="tx1"/>
                  </w14:solidFill>
                </w14:textFill>
              </w:rPr>
              <w:t>是否提供以下证明文件：</w:t>
            </w:r>
          </w:p>
          <w:p>
            <w:pPr>
              <w:keepNext w:val="0"/>
              <w:keepLines w:val="0"/>
              <w:numPr>
                <w:ilvl w:val="0"/>
                <w:numId w:val="0"/>
              </w:numPr>
              <w:suppressLineNumbers w:val="0"/>
              <w:tabs>
                <w:tab w:val="left" w:pos="531"/>
              </w:tabs>
              <w:snapToGrid w:val="0"/>
              <w:spacing w:before="0" w:beforeAutospacing="0" w:after="0" w:afterAutospacing="0" w:line="360" w:lineRule="auto"/>
              <w:ind w:left="0" w:right="0" w:firstLine="210" w:firstLineChars="1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lang w:val="en-US" w:eastAsia="zh-CN"/>
                <w14:textFill>
                  <w14:solidFill>
                    <w14:schemeClr w14:val="tx1"/>
                  </w14:solidFill>
                </w14:textFill>
              </w:rPr>
              <w:t>是否</w:t>
            </w:r>
            <w:r>
              <w:rPr>
                <w:rFonts w:hint="eastAsia" w:ascii="宋体" w:hAnsi="宋体"/>
                <w:color w:val="000000" w:themeColor="text1"/>
                <w:szCs w:val="21"/>
                <w:highlight w:val="none"/>
                <w14:textFill>
                  <w14:solidFill>
                    <w14:schemeClr w14:val="tx1"/>
                  </w14:solidFill>
                </w14:textFill>
              </w:rPr>
              <w:t>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公章。被列入失信主体、经营异常的，将被拒绝参与本项目的采购活动。）</w:t>
            </w:r>
          </w:p>
          <w:p>
            <w:pPr>
              <w:keepNext w:val="0"/>
              <w:keepLines w:val="0"/>
              <w:numPr>
                <w:ilvl w:val="0"/>
                <w:numId w:val="0"/>
              </w:numPr>
              <w:suppressLineNumbers w:val="0"/>
              <w:tabs>
                <w:tab w:val="left" w:pos="531"/>
              </w:tabs>
              <w:snapToGrid w:val="0"/>
              <w:spacing w:before="0" w:beforeAutospacing="0" w:after="0" w:afterAutospacing="0" w:line="360" w:lineRule="auto"/>
              <w:ind w:left="0" w:right="0"/>
              <w:rPr>
                <w:rFonts w:hint="default"/>
                <w:color w:val="000000" w:themeColor="text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highlight w:val="none"/>
              </w:rPr>
            </w:pPr>
            <w:r>
              <w:rPr>
                <w:rFonts w:hint="eastAsia" w:ascii="宋体" w:hAnsi="宋体" w:cs="仿宋"/>
                <w:szCs w:val="21"/>
                <w:highlight w:val="none"/>
              </w:rPr>
              <w:t>控制金额</w:t>
            </w:r>
          </w:p>
        </w:tc>
        <w:tc>
          <w:tcPr>
            <w:tcW w:w="7635" w:type="dxa"/>
            <w:tcBorders>
              <w:tl2br w:val="nil"/>
              <w:tr2bl w:val="nil"/>
            </w:tcBorders>
            <w:vAlign w:val="center"/>
          </w:tcPr>
          <w:p>
            <w:pPr>
              <w:keepNext w:val="0"/>
              <w:keepLines w:val="0"/>
              <w:suppressLineNumbers w:val="0"/>
              <w:spacing w:before="0" w:beforeAutospacing="0" w:after="0" w:afterAutospacing="0" w:line="360" w:lineRule="auto"/>
              <w:ind w:left="0" w:right="0"/>
              <w:rPr>
                <w:rFonts w:hint="default" w:ascii="宋体" w:hAnsi="宋体" w:cs="仿宋"/>
                <w:szCs w:val="21"/>
                <w:highlight w:val="none"/>
              </w:rPr>
            </w:pPr>
            <w:r>
              <w:rPr>
                <w:rFonts w:hint="eastAsia" w:ascii="宋体" w:hAnsi="宋体" w:cs="仿宋"/>
                <w:szCs w:val="21"/>
                <w:highlight w:val="none"/>
              </w:rPr>
              <w:t>本项目报价是否高于</w:t>
            </w:r>
            <w:r>
              <w:rPr>
                <w:rFonts w:hint="eastAsia" w:ascii="宋体" w:hAnsi="宋体"/>
                <w:color w:val="FF0000"/>
                <w:szCs w:val="21"/>
                <w:highlight w:val="none"/>
                <w:lang w:val="en-US" w:eastAsia="zh-CN"/>
              </w:rPr>
              <w:t>26</w:t>
            </w:r>
            <w:r>
              <w:rPr>
                <w:rFonts w:hint="default" w:ascii="宋体" w:hAnsi="宋体" w:cs="仿宋"/>
                <w:szCs w:val="21"/>
                <w:highlight w:val="none"/>
              </w:rPr>
              <w:t>万元（含税）</w:t>
            </w:r>
            <w:r>
              <w:rPr>
                <w:rFonts w:hint="eastAsia" w:ascii="宋体" w:hAnsi="宋体" w:cs="仿宋"/>
                <w:szCs w:val="21"/>
                <w:highlight w:val="none"/>
              </w:rPr>
              <w:t>，超过上述控制金额的视为无效报价。</w:t>
            </w:r>
          </w:p>
        </w:tc>
      </w:tr>
    </w:tbl>
    <w:p>
      <w:pPr>
        <w:numPr>
          <w:ilvl w:val="0"/>
          <w:numId w:val="23"/>
        </w:numPr>
        <w:spacing w:before="156" w:beforeLines="50"/>
        <w:jc w:val="left"/>
        <w:outlineLvl w:val="2"/>
        <w:rPr>
          <w:rStyle w:val="29"/>
          <w:rFonts w:ascii="宋体" w:hAnsi="宋体"/>
          <w:b/>
          <w:bCs/>
          <w:szCs w:val="21"/>
          <w:highlight w:val="none"/>
        </w:rPr>
      </w:pPr>
      <w:bookmarkStart w:id="53" w:name="_Toc114675512"/>
      <w:bookmarkStart w:id="54" w:name="_Toc116550356"/>
      <w:r>
        <w:rPr>
          <w:rStyle w:val="29"/>
          <w:rFonts w:hint="eastAsia" w:ascii="宋体" w:hAnsi="宋体"/>
          <w:b/>
          <w:bCs/>
          <w:szCs w:val="21"/>
          <w:highlight w:val="none"/>
        </w:rPr>
        <w:t>不可偏离项检查</w:t>
      </w:r>
      <w:bookmarkEnd w:id="53"/>
      <w:bookmarkEnd w:id="54"/>
    </w:p>
    <w:p>
      <w:pPr>
        <w:pStyle w:val="2"/>
        <w:ind w:left="0" w:firstLine="400" w:firstLineChars="200"/>
        <w:rPr>
          <w:rFonts w:ascii="宋体" w:hAnsi="宋体"/>
          <w:sz w:val="21"/>
          <w:szCs w:val="21"/>
          <w:highlight w:val="none"/>
        </w:rPr>
      </w:pPr>
      <w:r>
        <w:rPr>
          <w:rFonts w:hint="eastAsia" w:ascii="宋体" w:hAnsi="宋体"/>
          <w:sz w:val="21"/>
          <w:szCs w:val="21"/>
          <w:highlight w:val="none"/>
        </w:rPr>
        <w:t>检查内容详见第四条《项目要求》之（一）《商务需求》、（二）技术/服务需求。</w:t>
      </w:r>
    </w:p>
    <w:p>
      <w:pPr>
        <w:numPr>
          <w:ilvl w:val="0"/>
          <w:numId w:val="23"/>
        </w:numPr>
        <w:spacing w:before="156" w:beforeLines="50"/>
        <w:jc w:val="left"/>
        <w:outlineLvl w:val="2"/>
        <w:rPr>
          <w:rFonts w:ascii="宋体" w:hAnsi="宋体"/>
          <w:b/>
          <w:bCs/>
          <w:szCs w:val="21"/>
          <w:highlight w:val="none"/>
        </w:rPr>
      </w:pPr>
      <w:bookmarkStart w:id="55" w:name="_Toc116550357"/>
      <w:bookmarkStart w:id="56" w:name="_Toc114675513"/>
      <w:r>
        <w:rPr>
          <w:rStyle w:val="29"/>
          <w:rFonts w:hint="eastAsia" w:ascii="宋体" w:hAnsi="宋体"/>
          <w:b/>
          <w:bCs/>
          <w:szCs w:val="21"/>
          <w:highlight w:val="none"/>
        </w:rPr>
        <w:t>综合评议指标表</w:t>
      </w:r>
      <w:bookmarkEnd w:id="55"/>
      <w:bookmarkEnd w:id="56"/>
    </w:p>
    <w:tbl>
      <w:tblPr>
        <w:tblStyle w:val="14"/>
        <w:tblpPr w:leftFromText="180" w:rightFromText="180" w:vertAnchor="text" w:horzAnchor="page" w:tblpX="1367" w:tblpY="129"/>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40"/>
        <w:gridCol w:w="64"/>
        <w:gridCol w:w="939"/>
        <w:gridCol w:w="195"/>
        <w:gridCol w:w="467"/>
        <w:gridCol w:w="242"/>
        <w:gridCol w:w="68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gridSpan w:val="2"/>
            <w:tcBorders>
              <w:tl2br w:val="nil"/>
              <w:tr2bl w:val="nil"/>
            </w:tcBorders>
            <w:shd w:val="clear" w:color="auto" w:fill="EEEEEE"/>
          </w:tcPr>
          <w:p>
            <w:pPr>
              <w:keepNext w:val="0"/>
              <w:keepLines w:val="0"/>
              <w:suppressLineNumbers w:val="0"/>
              <w:spacing w:before="0" w:beforeAutospacing="0" w:after="0" w:afterAutospacing="0" w:line="360" w:lineRule="auto"/>
              <w:ind w:left="0" w:right="0"/>
              <w:jc w:val="center"/>
              <w:rPr>
                <w:rFonts w:hint="default" w:ascii="宋体" w:hAnsi="宋体"/>
                <w:b/>
                <w:szCs w:val="21"/>
                <w:highlight w:val="none"/>
              </w:rPr>
            </w:pPr>
            <w:r>
              <w:rPr>
                <w:rFonts w:hint="eastAsia" w:ascii="宋体" w:hAnsi="宋体"/>
                <w:b/>
                <w:szCs w:val="21"/>
                <w:highlight w:val="none"/>
              </w:rPr>
              <w:t>序号</w:t>
            </w:r>
          </w:p>
        </w:tc>
        <w:tc>
          <w:tcPr>
            <w:tcW w:w="1134" w:type="dxa"/>
            <w:gridSpan w:val="2"/>
            <w:tcBorders>
              <w:tl2br w:val="nil"/>
              <w:tr2bl w:val="nil"/>
            </w:tcBorders>
            <w:shd w:val="clear" w:color="auto" w:fill="EEEEEE"/>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b/>
                <w:szCs w:val="21"/>
                <w:highlight w:val="none"/>
              </w:rPr>
            </w:pPr>
            <w:r>
              <w:rPr>
                <w:rFonts w:hint="eastAsia" w:ascii="宋体" w:hAnsi="宋体"/>
                <w:b/>
                <w:szCs w:val="21"/>
                <w:highlight w:val="none"/>
              </w:rPr>
              <w:t>评议内容</w:t>
            </w:r>
          </w:p>
        </w:tc>
        <w:tc>
          <w:tcPr>
            <w:tcW w:w="709" w:type="dxa"/>
            <w:gridSpan w:val="2"/>
            <w:tcBorders>
              <w:tl2br w:val="nil"/>
              <w:tr2bl w:val="nil"/>
            </w:tcBorders>
            <w:shd w:val="clear" w:color="auto" w:fill="EEEEEE"/>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b/>
                <w:szCs w:val="21"/>
                <w:highlight w:val="none"/>
              </w:rPr>
            </w:pPr>
            <w:r>
              <w:rPr>
                <w:rFonts w:hint="default" w:ascii="宋体" w:hAnsi="宋体"/>
                <w:b/>
                <w:szCs w:val="21"/>
                <w:highlight w:val="none"/>
              </w:rPr>
              <w:t>分值</w:t>
            </w:r>
          </w:p>
        </w:tc>
        <w:tc>
          <w:tcPr>
            <w:tcW w:w="6804" w:type="dxa"/>
            <w:tcBorders>
              <w:tl2br w:val="nil"/>
              <w:tr2bl w:val="nil"/>
            </w:tcBorders>
            <w:shd w:val="clear" w:color="auto" w:fill="EEEEEE"/>
            <w:vAlign w:val="center"/>
          </w:tcPr>
          <w:p>
            <w:pPr>
              <w:keepNext w:val="0"/>
              <w:keepLines w:val="0"/>
              <w:suppressLineNumbers w:val="0"/>
              <w:spacing w:before="0" w:beforeAutospacing="0" w:after="0" w:afterAutospacing="0" w:line="360" w:lineRule="auto"/>
              <w:ind w:left="0" w:right="0"/>
              <w:jc w:val="center"/>
              <w:rPr>
                <w:rFonts w:hint="default" w:ascii="宋体" w:hAnsi="宋体"/>
                <w:b/>
                <w:szCs w:val="21"/>
                <w:highlight w:val="none"/>
              </w:rPr>
            </w:pPr>
            <w:r>
              <w:rPr>
                <w:rFonts w:hint="eastAsia" w:ascii="宋体" w:hAnsi="宋体"/>
                <w:b/>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7"/>
            <w:tcBorders>
              <w:tl2br w:val="nil"/>
              <w:tr2bl w:val="nil"/>
            </w:tcBorders>
            <w:shd w:val="clear" w:color="auto" w:fill="EEEEEE"/>
          </w:tcPr>
          <w:p>
            <w:pPr>
              <w:keepNext w:val="0"/>
              <w:keepLines w:val="0"/>
              <w:suppressLineNumbers w:val="0"/>
              <w:spacing w:before="0" w:beforeAutospacing="0" w:after="0" w:afterAutospacing="0" w:line="360" w:lineRule="auto"/>
              <w:ind w:left="0" w:right="0"/>
              <w:jc w:val="center"/>
              <w:rPr>
                <w:rFonts w:hint="default" w:ascii="宋体" w:hAnsi="宋体"/>
                <w:b/>
                <w:szCs w:val="21"/>
                <w:highlight w:val="none"/>
              </w:rPr>
            </w:pPr>
            <w:r>
              <w:rPr>
                <w:rFonts w:hint="eastAsia" w:ascii="宋体" w:hAnsi="宋体"/>
                <w:b/>
                <w:szCs w:val="21"/>
                <w:highlight w:val="none"/>
              </w:rPr>
              <w:t>商务评议项（</w:t>
            </w:r>
            <w:r>
              <w:rPr>
                <w:rFonts w:hint="eastAsia" w:ascii="宋体" w:hAnsi="宋体"/>
                <w:b/>
                <w:szCs w:val="21"/>
                <w:highlight w:val="none"/>
                <w:lang w:val="en-US" w:eastAsia="zh-CN"/>
              </w:rPr>
              <w:t>20</w:t>
            </w:r>
            <w:r>
              <w:rPr>
                <w:rFonts w:hint="eastAsia" w:ascii="宋体" w:hAnsi="宋体"/>
                <w:b/>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gridSpan w:val="2"/>
            <w:tcBorders>
              <w:tl2br w:val="nil"/>
              <w:tr2bl w:val="nil"/>
            </w:tcBorders>
            <w:vAlign w:val="center"/>
          </w:tcPr>
          <w:p>
            <w:pPr>
              <w:pStyle w:val="22"/>
              <w:keepNext w:val="0"/>
              <w:keepLines w:val="0"/>
              <w:numPr>
                <w:ilvl w:val="0"/>
                <w:numId w:val="24"/>
              </w:numPr>
              <w:suppressLineNumbers w:val="0"/>
              <w:spacing w:before="0" w:beforeAutospacing="0" w:after="0" w:afterAutospacing="0" w:line="360" w:lineRule="auto"/>
              <w:ind w:right="0" w:firstLineChars="0"/>
              <w:jc w:val="center"/>
              <w:rPr>
                <w:rFonts w:hint="default" w:ascii="宋体" w:hAnsi="宋体" w:eastAsia="宋体"/>
                <w:szCs w:val="21"/>
                <w:highlight w:val="none"/>
              </w:rPr>
            </w:pPr>
          </w:p>
        </w:tc>
        <w:tc>
          <w:tcPr>
            <w:tcW w:w="1134" w:type="dxa"/>
            <w:gridSpan w:val="2"/>
            <w:tcBorders>
              <w:tl2br w:val="nil"/>
              <w:tr2bl w:val="nil"/>
            </w:tcBorders>
            <w:tcMar>
              <w:top w:w="15" w:type="dxa"/>
              <w:left w:w="15" w:type="dxa"/>
              <w:bottom w:w="15" w:type="dxa"/>
              <w:right w:w="15" w:type="dxa"/>
            </w:tcMar>
            <w:vAlign w:val="center"/>
          </w:tcPr>
          <w:p>
            <w:pPr>
              <w:keepNext w:val="0"/>
              <w:keepLines w:val="0"/>
              <w:widowControl w:val="0"/>
              <w:suppressLineNumbers w:val="0"/>
              <w:autoSpaceDE w:val="0"/>
              <w:autoSpaceDN w:val="0"/>
              <w:adjustRightInd w:val="0"/>
              <w:spacing w:before="0" w:beforeAutospacing="1" w:after="160" w:afterAutospacing="0" w:line="240" w:lineRule="atLeast"/>
              <w:ind w:left="0" w:leftChars="0" w:right="63" w:rightChars="30"/>
              <w:jc w:val="center"/>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企业资质</w:t>
            </w:r>
          </w:p>
        </w:tc>
        <w:tc>
          <w:tcPr>
            <w:tcW w:w="709" w:type="dxa"/>
            <w:gridSpan w:val="2"/>
            <w:tcBorders>
              <w:tl2br w:val="nil"/>
              <w:tr2bl w:val="nil"/>
            </w:tcBorders>
            <w:tcMar>
              <w:top w:w="15" w:type="dxa"/>
              <w:left w:w="15" w:type="dxa"/>
              <w:bottom w:w="15" w:type="dxa"/>
              <w:right w:w="15" w:type="dxa"/>
            </w:tcMar>
            <w:vAlign w:val="center"/>
          </w:tcPr>
          <w:p>
            <w:pPr>
              <w:keepNext w:val="0"/>
              <w:keepLines w:val="0"/>
              <w:widowControl w:val="0"/>
              <w:suppressLineNumbers w:val="0"/>
              <w:autoSpaceDE w:val="0"/>
              <w:autoSpaceDN w:val="0"/>
              <w:adjustRightInd w:val="0"/>
              <w:spacing w:before="0" w:beforeAutospacing="1" w:after="160" w:afterAutospacing="0" w:line="240" w:lineRule="atLeast"/>
              <w:ind w:left="0" w:leftChars="0" w:right="63" w:rightChars="30"/>
              <w:jc w:val="center"/>
              <w:rPr>
                <w:rFonts w:hint="default"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5</w:t>
            </w:r>
          </w:p>
        </w:tc>
        <w:tc>
          <w:tcPr>
            <w:tcW w:w="6804"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Lines="0" w:afterAutospacing="0" w:line="240" w:lineRule="auto"/>
              <w:ind w:left="0" w:leftChars="0" w:right="0" w:right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2"/>
                <w:sz w:val="21"/>
                <w:szCs w:val="21"/>
                <w:highlight w:val="none"/>
                <w:lang w:val="en-US" w:eastAsia="zh-CN" w:bidi="ar"/>
              </w:rPr>
              <w:t>根据</w:t>
            </w:r>
            <w:r>
              <w:rPr>
                <w:rFonts w:hint="eastAsia" w:ascii="宋体" w:hAnsi="宋体" w:cs="宋体"/>
                <w:b w:val="0"/>
                <w:bCs w:val="0"/>
                <w:color w:val="auto"/>
                <w:kern w:val="2"/>
                <w:sz w:val="21"/>
                <w:szCs w:val="21"/>
                <w:highlight w:val="none"/>
                <w:lang w:val="en-US" w:eastAsia="zh-CN" w:bidi="ar"/>
              </w:rPr>
              <w:t>投标人</w:t>
            </w:r>
            <w:r>
              <w:rPr>
                <w:rFonts w:hint="eastAsia" w:ascii="宋体" w:hAnsi="宋体" w:eastAsia="宋体" w:cs="宋体"/>
                <w:b w:val="0"/>
                <w:bCs w:val="0"/>
                <w:color w:val="auto"/>
                <w:kern w:val="2"/>
                <w:sz w:val="21"/>
                <w:szCs w:val="21"/>
                <w:highlight w:val="none"/>
                <w:lang w:val="en-US" w:eastAsia="zh-CN" w:bidi="ar"/>
              </w:rPr>
              <w:t>的正式工作人员数量进行横向比较：</w:t>
            </w:r>
          </w:p>
          <w:p>
            <w:pPr>
              <w:keepNext w:val="0"/>
              <w:keepLines w:val="0"/>
              <w:pageBreakBefore w:val="0"/>
              <w:widowControl w:val="0"/>
              <w:numPr>
                <w:ilvl w:val="0"/>
                <w:numId w:val="25"/>
              </w:numPr>
              <w:suppressLineNumbers w:val="0"/>
              <w:kinsoku/>
              <w:wordWrap/>
              <w:overflowPunct/>
              <w:topLinePunct w:val="0"/>
              <w:bidi w:val="0"/>
              <w:adjustRightInd/>
              <w:snapToGrid/>
              <w:spacing w:before="0" w:beforeAutospacing="0" w:after="0" w:afterLines="0" w:afterAutospacing="0" w:line="240" w:lineRule="auto"/>
              <w:ind w:left="0" w:right="0" w:rightChars="0"/>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cs="宋体"/>
                <w:b w:val="0"/>
                <w:bCs w:val="0"/>
                <w:color w:val="auto"/>
                <w:kern w:val="2"/>
                <w:sz w:val="21"/>
                <w:szCs w:val="21"/>
                <w:highlight w:val="none"/>
                <w:lang w:val="en-US" w:eastAsia="zh-CN" w:bidi="ar"/>
              </w:rPr>
              <w:t>投标人</w:t>
            </w:r>
            <w:r>
              <w:rPr>
                <w:rFonts w:hint="eastAsia" w:ascii="宋体" w:hAnsi="宋体" w:eastAsia="宋体" w:cs="宋体"/>
                <w:b w:val="0"/>
                <w:bCs w:val="0"/>
                <w:color w:val="auto"/>
                <w:kern w:val="2"/>
                <w:sz w:val="21"/>
                <w:szCs w:val="21"/>
                <w:highlight w:val="none"/>
                <w:lang w:val="en-US" w:eastAsia="zh-CN" w:bidi="ar"/>
              </w:rPr>
              <w:t>正式工作人员≥</w:t>
            </w:r>
            <w:r>
              <w:rPr>
                <w:rFonts w:hint="eastAsia" w:ascii="宋体" w:hAnsi="宋体" w:cs="宋体"/>
                <w:b w:val="0"/>
                <w:bCs w:val="0"/>
                <w:color w:val="auto"/>
                <w:kern w:val="2"/>
                <w:sz w:val="21"/>
                <w:szCs w:val="21"/>
                <w:highlight w:val="none"/>
                <w:lang w:val="en-US" w:eastAsia="zh-CN" w:bidi="ar"/>
              </w:rPr>
              <w:t>1</w:t>
            </w:r>
            <w:r>
              <w:rPr>
                <w:rFonts w:hint="eastAsia" w:ascii="宋体" w:hAnsi="宋体" w:eastAsia="宋体" w:cs="宋体"/>
                <w:b w:val="0"/>
                <w:bCs w:val="0"/>
                <w:color w:val="auto"/>
                <w:kern w:val="2"/>
                <w:sz w:val="21"/>
                <w:szCs w:val="21"/>
                <w:highlight w:val="none"/>
                <w:lang w:val="en-US" w:eastAsia="zh-CN" w:bidi="ar"/>
              </w:rPr>
              <w:t>00人，得</w:t>
            </w:r>
            <w:r>
              <w:rPr>
                <w:rFonts w:hint="eastAsia" w:ascii="宋体" w:hAnsi="宋体" w:cs="宋体"/>
                <w:b w:val="0"/>
                <w:bCs w:val="0"/>
                <w:color w:val="auto"/>
                <w:kern w:val="2"/>
                <w:sz w:val="21"/>
                <w:szCs w:val="21"/>
                <w:highlight w:val="none"/>
                <w:lang w:val="en-US" w:eastAsia="zh-CN" w:bidi="ar"/>
              </w:rPr>
              <w:t>5</w:t>
            </w:r>
            <w:r>
              <w:rPr>
                <w:rFonts w:hint="eastAsia" w:ascii="宋体" w:hAnsi="宋体" w:eastAsia="宋体" w:cs="宋体"/>
                <w:b w:val="0"/>
                <w:bCs w:val="0"/>
                <w:color w:val="auto"/>
                <w:kern w:val="2"/>
                <w:sz w:val="21"/>
                <w:szCs w:val="21"/>
                <w:highlight w:val="none"/>
                <w:lang w:val="en-US" w:eastAsia="zh-CN" w:bidi="ar"/>
              </w:rPr>
              <w:t>分；</w:t>
            </w:r>
          </w:p>
          <w:p>
            <w:pPr>
              <w:keepNext w:val="0"/>
              <w:keepLines w:val="0"/>
              <w:pageBreakBefore w:val="0"/>
              <w:widowControl w:val="0"/>
              <w:numPr>
                <w:ilvl w:val="0"/>
                <w:numId w:val="25"/>
              </w:numPr>
              <w:suppressLineNumbers w:val="0"/>
              <w:kinsoku/>
              <w:wordWrap/>
              <w:overflowPunct/>
              <w:topLinePunct w:val="0"/>
              <w:bidi w:val="0"/>
              <w:adjustRightInd/>
              <w:snapToGrid/>
              <w:spacing w:before="0" w:beforeAutospacing="0" w:after="0" w:afterLines="0" w:afterAutospacing="0" w:line="240" w:lineRule="auto"/>
              <w:ind w:left="0" w:right="0" w:rightChars="0"/>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cs="宋体"/>
                <w:b w:val="0"/>
                <w:bCs w:val="0"/>
                <w:color w:val="auto"/>
                <w:kern w:val="2"/>
                <w:sz w:val="21"/>
                <w:szCs w:val="21"/>
                <w:highlight w:val="none"/>
                <w:lang w:val="en-US" w:eastAsia="zh-CN" w:bidi="ar"/>
              </w:rPr>
              <w:t>5</w:t>
            </w:r>
            <w:r>
              <w:rPr>
                <w:rFonts w:hint="eastAsia" w:ascii="宋体" w:hAnsi="宋体" w:eastAsia="宋体" w:cs="宋体"/>
                <w:b w:val="0"/>
                <w:bCs w:val="0"/>
                <w:color w:val="auto"/>
                <w:kern w:val="2"/>
                <w:sz w:val="21"/>
                <w:szCs w:val="21"/>
                <w:highlight w:val="none"/>
                <w:lang w:val="en-US" w:eastAsia="zh-CN" w:bidi="ar"/>
              </w:rPr>
              <w:t>0人</w:t>
            </w:r>
            <w:r>
              <w:rPr>
                <w:rFonts w:hint="eastAsia" w:ascii="宋体" w:hAnsi="宋体" w:eastAsia="宋体" w:cs="宋体"/>
                <w:color w:val="auto"/>
                <w:sz w:val="21"/>
                <w:szCs w:val="21"/>
                <w:highlight w:val="none"/>
              </w:rPr>
              <w:t>≤</w:t>
            </w:r>
            <w:r>
              <w:rPr>
                <w:rFonts w:hint="eastAsia" w:ascii="宋体" w:hAnsi="宋体" w:cs="宋体"/>
                <w:b w:val="0"/>
                <w:bCs w:val="0"/>
                <w:color w:val="auto"/>
                <w:kern w:val="2"/>
                <w:sz w:val="21"/>
                <w:szCs w:val="21"/>
                <w:highlight w:val="none"/>
                <w:lang w:val="en-US" w:eastAsia="zh-CN" w:bidi="ar"/>
              </w:rPr>
              <w:t>投标人</w:t>
            </w:r>
            <w:r>
              <w:rPr>
                <w:rFonts w:hint="eastAsia" w:ascii="宋体" w:hAnsi="宋体" w:eastAsia="宋体" w:cs="宋体"/>
                <w:b w:val="0"/>
                <w:bCs w:val="0"/>
                <w:color w:val="auto"/>
                <w:kern w:val="2"/>
                <w:sz w:val="21"/>
                <w:szCs w:val="21"/>
                <w:highlight w:val="none"/>
                <w:lang w:val="en-US" w:eastAsia="zh-CN" w:bidi="ar"/>
              </w:rPr>
              <w:t>正式工作人员</w:t>
            </w:r>
            <w:r>
              <w:rPr>
                <w:rFonts w:hint="eastAsia" w:ascii="宋体" w:hAnsi="宋体" w:eastAsia="宋体" w:cs="宋体"/>
                <w:color w:val="auto"/>
                <w:sz w:val="21"/>
                <w:szCs w:val="21"/>
                <w:highlight w:val="none"/>
              </w:rPr>
              <w:t>&lt;</w:t>
            </w:r>
            <w:r>
              <w:rPr>
                <w:rFonts w:hint="eastAsia" w:ascii="宋体" w:hAnsi="宋体" w:cs="宋体"/>
                <w:color w:val="auto"/>
                <w:sz w:val="21"/>
                <w:szCs w:val="21"/>
                <w:highlight w:val="none"/>
                <w:lang w:val="en-US" w:eastAsia="zh-CN"/>
              </w:rPr>
              <w:t>1</w:t>
            </w:r>
            <w:r>
              <w:rPr>
                <w:rFonts w:hint="eastAsia" w:ascii="宋体" w:hAnsi="宋体" w:eastAsia="宋体" w:cs="宋体"/>
                <w:b w:val="0"/>
                <w:bCs w:val="0"/>
                <w:color w:val="auto"/>
                <w:kern w:val="2"/>
                <w:sz w:val="21"/>
                <w:szCs w:val="21"/>
                <w:highlight w:val="none"/>
                <w:lang w:val="en-US" w:eastAsia="zh-CN" w:bidi="ar"/>
              </w:rPr>
              <w:t>00人，得</w:t>
            </w:r>
            <w:r>
              <w:rPr>
                <w:rFonts w:hint="eastAsia" w:ascii="宋体" w:hAnsi="宋体" w:cs="宋体"/>
                <w:b w:val="0"/>
                <w:bCs w:val="0"/>
                <w:color w:val="auto"/>
                <w:kern w:val="2"/>
                <w:sz w:val="21"/>
                <w:szCs w:val="21"/>
                <w:highlight w:val="none"/>
                <w:lang w:val="en-US" w:eastAsia="zh-CN" w:bidi="ar"/>
              </w:rPr>
              <w:t>3</w:t>
            </w:r>
            <w:r>
              <w:rPr>
                <w:rFonts w:hint="eastAsia" w:ascii="宋体" w:hAnsi="宋体" w:eastAsia="宋体" w:cs="宋体"/>
                <w:b w:val="0"/>
                <w:bCs w:val="0"/>
                <w:color w:val="auto"/>
                <w:kern w:val="2"/>
                <w:sz w:val="21"/>
                <w:szCs w:val="21"/>
                <w:highlight w:val="none"/>
                <w:lang w:val="en-US" w:eastAsia="zh-CN" w:bidi="ar"/>
              </w:rPr>
              <w:t>分；</w:t>
            </w:r>
          </w:p>
          <w:p>
            <w:pPr>
              <w:keepNext w:val="0"/>
              <w:keepLines w:val="0"/>
              <w:pageBreakBefore w:val="0"/>
              <w:widowControl w:val="0"/>
              <w:numPr>
                <w:ilvl w:val="0"/>
                <w:numId w:val="25"/>
              </w:numPr>
              <w:suppressLineNumbers w:val="0"/>
              <w:kinsoku/>
              <w:wordWrap/>
              <w:overflowPunct/>
              <w:topLinePunct w:val="0"/>
              <w:bidi w:val="0"/>
              <w:adjustRightInd/>
              <w:snapToGrid/>
              <w:spacing w:before="0" w:beforeAutospacing="0" w:after="0" w:afterLines="0" w:afterAutospacing="0" w:line="240" w:lineRule="auto"/>
              <w:ind w:left="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2</w:t>
            </w:r>
            <w:r>
              <w:rPr>
                <w:rFonts w:hint="eastAsia" w:ascii="宋体" w:hAnsi="宋体" w:eastAsia="宋体" w:cs="宋体"/>
                <w:b w:val="0"/>
                <w:bCs w:val="0"/>
                <w:color w:val="auto"/>
                <w:kern w:val="2"/>
                <w:sz w:val="21"/>
                <w:szCs w:val="21"/>
                <w:highlight w:val="none"/>
                <w:lang w:val="en-US" w:eastAsia="zh-CN" w:bidi="ar"/>
              </w:rPr>
              <w:t>0人</w:t>
            </w:r>
            <w:r>
              <w:rPr>
                <w:rFonts w:hint="eastAsia" w:ascii="宋体" w:hAnsi="宋体" w:eastAsia="宋体" w:cs="宋体"/>
                <w:color w:val="auto"/>
                <w:sz w:val="21"/>
                <w:szCs w:val="21"/>
                <w:highlight w:val="none"/>
              </w:rPr>
              <w:t>≤</w:t>
            </w:r>
            <w:r>
              <w:rPr>
                <w:rFonts w:hint="eastAsia" w:ascii="宋体" w:hAnsi="宋体" w:cs="宋体"/>
                <w:b w:val="0"/>
                <w:bCs w:val="0"/>
                <w:color w:val="auto"/>
                <w:kern w:val="2"/>
                <w:sz w:val="21"/>
                <w:szCs w:val="21"/>
                <w:highlight w:val="none"/>
                <w:lang w:val="en-US" w:eastAsia="zh-CN" w:bidi="ar"/>
              </w:rPr>
              <w:t>投标人</w:t>
            </w:r>
            <w:r>
              <w:rPr>
                <w:rFonts w:hint="eastAsia" w:ascii="宋体" w:hAnsi="宋体" w:eastAsia="宋体" w:cs="宋体"/>
                <w:b w:val="0"/>
                <w:bCs w:val="0"/>
                <w:color w:val="auto"/>
                <w:kern w:val="2"/>
                <w:sz w:val="21"/>
                <w:szCs w:val="21"/>
                <w:highlight w:val="none"/>
                <w:lang w:val="en-US" w:eastAsia="zh-CN" w:bidi="ar"/>
              </w:rPr>
              <w:t>正式工作人员</w:t>
            </w:r>
            <w:r>
              <w:rPr>
                <w:rFonts w:hint="eastAsia" w:ascii="宋体" w:hAnsi="宋体" w:eastAsia="宋体" w:cs="宋体"/>
                <w:color w:val="auto"/>
                <w:sz w:val="21"/>
                <w:szCs w:val="21"/>
                <w:highlight w:val="none"/>
              </w:rPr>
              <w:t>&lt;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w:t>
            </w:r>
            <w:r>
              <w:rPr>
                <w:rFonts w:hint="eastAsia" w:ascii="宋体" w:hAnsi="宋体" w:eastAsia="宋体" w:cs="宋体"/>
                <w:b w:val="0"/>
                <w:bCs w:val="0"/>
                <w:color w:val="auto"/>
                <w:kern w:val="2"/>
                <w:sz w:val="21"/>
                <w:szCs w:val="21"/>
                <w:highlight w:val="none"/>
                <w:lang w:val="en-US" w:eastAsia="zh-CN" w:bidi="ar"/>
              </w:rPr>
              <w:t>人，得</w:t>
            </w:r>
            <w:r>
              <w:rPr>
                <w:rFonts w:hint="eastAsia" w:ascii="宋体" w:hAnsi="宋体" w:cs="宋体"/>
                <w:b w:val="0"/>
                <w:bCs w:val="0"/>
                <w:color w:val="auto"/>
                <w:kern w:val="2"/>
                <w:sz w:val="21"/>
                <w:szCs w:val="21"/>
                <w:highlight w:val="none"/>
                <w:lang w:val="en-US" w:eastAsia="zh-CN" w:bidi="ar"/>
              </w:rPr>
              <w:t>2</w:t>
            </w:r>
            <w:r>
              <w:rPr>
                <w:rFonts w:hint="eastAsia" w:ascii="宋体" w:hAnsi="宋体" w:eastAsia="宋体" w:cs="宋体"/>
                <w:b w:val="0"/>
                <w:bCs w:val="0"/>
                <w:color w:val="auto"/>
                <w:kern w:val="2"/>
                <w:sz w:val="21"/>
                <w:szCs w:val="21"/>
                <w:highlight w:val="none"/>
                <w:lang w:val="en-US" w:eastAsia="zh-CN" w:bidi="ar"/>
              </w:rPr>
              <w:t>分；</w:t>
            </w:r>
          </w:p>
          <w:p>
            <w:pPr>
              <w:keepNext w:val="0"/>
              <w:keepLines w:val="0"/>
              <w:pageBreakBefore w:val="0"/>
              <w:widowControl w:val="0"/>
              <w:numPr>
                <w:ilvl w:val="0"/>
                <w:numId w:val="25"/>
              </w:numPr>
              <w:suppressLineNumbers w:val="0"/>
              <w:kinsoku/>
              <w:wordWrap/>
              <w:overflowPunct/>
              <w:topLinePunct w:val="0"/>
              <w:bidi w:val="0"/>
              <w:adjustRightInd/>
              <w:snapToGrid/>
              <w:spacing w:before="0" w:beforeAutospacing="0" w:after="0" w:afterLines="0" w:afterAutospacing="0" w:line="240" w:lineRule="auto"/>
              <w:ind w:left="0" w:right="0" w:rightChars="0"/>
              <w:textAlignment w:val="auto"/>
              <w:rPr>
                <w:rFonts w:hint="eastAsia" w:ascii="宋体" w:hAnsi="宋体" w:eastAsia="宋体" w:cs="宋体"/>
                <w:sz w:val="21"/>
                <w:szCs w:val="21"/>
                <w:lang w:val="en-US" w:eastAsia="zh-CN"/>
              </w:rPr>
            </w:pPr>
            <w:r>
              <w:rPr>
                <w:rFonts w:hint="eastAsia" w:ascii="宋体" w:hAnsi="宋体" w:cs="宋体"/>
                <w:b w:val="0"/>
                <w:bCs w:val="0"/>
                <w:color w:val="auto"/>
                <w:kern w:val="2"/>
                <w:sz w:val="21"/>
                <w:szCs w:val="21"/>
                <w:highlight w:val="none"/>
                <w:lang w:val="en-US" w:eastAsia="zh-CN" w:bidi="ar"/>
              </w:rPr>
              <w:t>投标人</w:t>
            </w:r>
            <w:r>
              <w:rPr>
                <w:rFonts w:hint="eastAsia" w:ascii="宋体" w:hAnsi="宋体" w:eastAsia="宋体" w:cs="宋体"/>
                <w:b w:val="0"/>
                <w:bCs w:val="0"/>
                <w:color w:val="auto"/>
                <w:kern w:val="2"/>
                <w:sz w:val="21"/>
                <w:szCs w:val="21"/>
                <w:highlight w:val="none"/>
                <w:lang w:val="en-US" w:eastAsia="zh-CN" w:bidi="ar"/>
              </w:rPr>
              <w:t>正式工作人员</w:t>
            </w:r>
            <w:r>
              <w:rPr>
                <w:rFonts w:hint="eastAsia" w:ascii="宋体" w:hAnsi="宋体" w:eastAsia="宋体" w:cs="宋体"/>
                <w:color w:val="auto"/>
                <w:sz w:val="21"/>
                <w:szCs w:val="21"/>
                <w:highlight w:val="none"/>
              </w:rPr>
              <w:t>&lt;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b w:val="0"/>
                <w:bCs w:val="0"/>
                <w:color w:val="auto"/>
                <w:kern w:val="2"/>
                <w:sz w:val="21"/>
                <w:szCs w:val="21"/>
                <w:highlight w:val="none"/>
                <w:lang w:val="en-US" w:eastAsia="zh-CN" w:bidi="ar"/>
              </w:rPr>
              <w:t>人，得</w:t>
            </w:r>
            <w:r>
              <w:rPr>
                <w:rFonts w:hint="eastAsia" w:ascii="宋体" w:hAnsi="宋体" w:cs="宋体"/>
                <w:b w:val="0"/>
                <w:bCs w:val="0"/>
                <w:color w:val="auto"/>
                <w:kern w:val="2"/>
                <w:sz w:val="21"/>
                <w:szCs w:val="21"/>
                <w:highlight w:val="none"/>
                <w:lang w:val="en-US" w:eastAsia="zh-CN" w:bidi="ar"/>
              </w:rPr>
              <w:t>1</w:t>
            </w:r>
            <w:r>
              <w:rPr>
                <w:rFonts w:hint="eastAsia" w:ascii="宋体" w:hAnsi="宋体" w:eastAsia="宋体" w:cs="宋体"/>
                <w:b w:val="0"/>
                <w:bCs w:val="0"/>
                <w:color w:val="auto"/>
                <w:kern w:val="2"/>
                <w:sz w:val="21"/>
                <w:szCs w:val="21"/>
                <w:highlight w:val="none"/>
                <w:lang w:val="en-US" w:eastAsia="zh-CN" w:bidi="ar"/>
              </w:rPr>
              <w:t>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Lines="0" w:afterAutospacing="0" w:line="240" w:lineRule="auto"/>
              <w:ind w:left="0" w:leftChars="0" w:right="0" w:rightChars="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说明：</w:t>
            </w:r>
          </w:p>
          <w:p>
            <w:pPr>
              <w:keepNext w:val="0"/>
              <w:keepLines w:val="0"/>
              <w:pageBreakBefore w:val="0"/>
              <w:suppressLineNumbers w:val="0"/>
              <w:kinsoku/>
              <w:wordWrap/>
              <w:overflowPunct/>
              <w:topLinePunct w:val="0"/>
              <w:bidi w:val="0"/>
              <w:snapToGrid/>
              <w:spacing w:before="0" w:beforeAutospacing="0" w:after="0" w:afterLines="0" w:afterAutospacing="0" w:line="240" w:lineRule="auto"/>
              <w:ind w:left="0" w:right="0" w:rightChars="0"/>
              <w:textAlignment w:val="auto"/>
              <w:rPr>
                <w:rFonts w:hint="eastAsia" w:ascii="宋体" w:hAnsi="宋体" w:eastAsia="宋体" w:cs="宋体"/>
                <w:sz w:val="21"/>
                <w:szCs w:val="21"/>
                <w:lang w:val="en-US" w:eastAsia="zh-CN"/>
              </w:rPr>
            </w:pPr>
            <w:r>
              <w:rPr>
                <w:rFonts w:hint="eastAsia" w:ascii="宋体" w:hAnsi="宋体" w:cs="宋体"/>
                <w:b w:val="0"/>
                <w:bCs w:val="0"/>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须提供</w:t>
            </w:r>
            <w:r>
              <w:rPr>
                <w:rFonts w:hint="eastAsia" w:ascii="宋体" w:hAnsi="宋体" w:eastAsia="宋体" w:cs="宋体"/>
                <w:b w:val="0"/>
                <w:bCs w:val="0"/>
                <w:color w:val="auto"/>
                <w:kern w:val="2"/>
                <w:sz w:val="21"/>
                <w:szCs w:val="21"/>
                <w:highlight w:val="none"/>
                <w:lang w:val="en-US" w:eastAsia="zh-CN" w:bidi="ar"/>
              </w:rPr>
              <w:t>为员工缴交社保的近</w:t>
            </w:r>
            <w:r>
              <w:rPr>
                <w:rFonts w:hint="eastAsia" w:ascii="宋体" w:hAnsi="宋体" w:cs="宋体"/>
                <w:b w:val="0"/>
                <w:bCs w:val="0"/>
                <w:color w:val="auto"/>
                <w:kern w:val="2"/>
                <w:sz w:val="21"/>
                <w:szCs w:val="21"/>
                <w:highlight w:val="none"/>
                <w:lang w:val="en-US" w:eastAsia="zh-CN" w:bidi="ar"/>
              </w:rPr>
              <w:t>3</w:t>
            </w:r>
            <w:r>
              <w:rPr>
                <w:rFonts w:hint="eastAsia" w:ascii="宋体" w:hAnsi="宋体" w:eastAsia="宋体" w:cs="宋体"/>
                <w:b w:val="0"/>
                <w:bCs w:val="0"/>
                <w:color w:val="auto"/>
                <w:kern w:val="2"/>
                <w:sz w:val="21"/>
                <w:szCs w:val="21"/>
                <w:highlight w:val="none"/>
                <w:lang w:val="en-US" w:eastAsia="zh-CN" w:bidi="ar"/>
              </w:rPr>
              <w:t>个月的参保人数证明资料</w:t>
            </w:r>
            <w:r>
              <w:rPr>
                <w:rFonts w:hint="eastAsia" w:ascii="宋体" w:hAnsi="宋体" w:eastAsia="宋体" w:cs="宋体"/>
                <w:color w:val="auto"/>
                <w:kern w:val="2"/>
                <w:sz w:val="21"/>
                <w:szCs w:val="21"/>
                <w:highlight w:val="none"/>
                <w:lang w:val="en-US" w:eastAsia="zh-CN" w:bidi="ar"/>
              </w:rPr>
              <w:t>并加盖社保部门和</w:t>
            </w:r>
            <w:r>
              <w:rPr>
                <w:rFonts w:hint="eastAsia" w:ascii="宋体" w:hAnsi="宋体" w:cs="宋体"/>
                <w:b w:val="0"/>
                <w:bCs w:val="0"/>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公章（须保留验真码）</w:t>
            </w:r>
            <w:r>
              <w:rPr>
                <w:rFonts w:hint="eastAsia" w:ascii="宋体" w:hAnsi="宋体" w:eastAsia="宋体" w:cs="宋体"/>
                <w:b w:val="0"/>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未按要求提供上述资料者，不得分。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gridSpan w:val="2"/>
            <w:tcBorders>
              <w:tl2br w:val="nil"/>
              <w:tr2bl w:val="nil"/>
            </w:tcBorders>
            <w:vAlign w:val="center"/>
          </w:tcPr>
          <w:p>
            <w:pPr>
              <w:pStyle w:val="22"/>
              <w:keepNext w:val="0"/>
              <w:keepLines w:val="0"/>
              <w:numPr>
                <w:ilvl w:val="0"/>
                <w:numId w:val="24"/>
              </w:numPr>
              <w:suppressLineNumbers w:val="0"/>
              <w:spacing w:before="0" w:beforeAutospacing="0" w:after="0" w:afterAutospacing="0" w:line="360" w:lineRule="auto"/>
              <w:ind w:right="0" w:firstLineChars="0"/>
              <w:jc w:val="center"/>
              <w:rPr>
                <w:rFonts w:hint="default" w:ascii="宋体" w:hAnsi="宋体" w:eastAsia="宋体"/>
                <w:szCs w:val="21"/>
                <w:highlight w:val="none"/>
              </w:rPr>
            </w:pPr>
          </w:p>
        </w:tc>
        <w:tc>
          <w:tcPr>
            <w:tcW w:w="1134" w:type="dxa"/>
            <w:gridSpan w:val="2"/>
            <w:tcBorders>
              <w:tl2br w:val="nil"/>
              <w:tr2bl w:val="nil"/>
            </w:tcBorders>
            <w:tcMar>
              <w:top w:w="15" w:type="dxa"/>
              <w:left w:w="15" w:type="dxa"/>
              <w:bottom w:w="15" w:type="dxa"/>
              <w:right w:w="15" w:type="dxa"/>
            </w:tcMar>
            <w:vAlign w:val="center"/>
          </w:tcPr>
          <w:p>
            <w:pPr>
              <w:keepNext w:val="0"/>
              <w:keepLines w:val="0"/>
              <w:widowControl w:val="0"/>
              <w:suppressLineNumbers w:val="0"/>
              <w:autoSpaceDE w:val="0"/>
              <w:autoSpaceDN w:val="0"/>
              <w:adjustRightInd w:val="0"/>
              <w:spacing w:before="0" w:beforeAutospacing="1" w:after="160" w:afterAutospacing="0" w:line="240" w:lineRule="atLeast"/>
              <w:ind w:left="0" w:leftChars="0" w:right="63" w:rightChars="30"/>
              <w:jc w:val="center"/>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企业</w:t>
            </w:r>
            <w:r>
              <w:rPr>
                <w:rFonts w:hint="eastAsia" w:ascii="宋体" w:hAnsi="宋体" w:eastAsia="宋体" w:cs="宋体"/>
                <w:kern w:val="2"/>
                <w:sz w:val="21"/>
                <w:szCs w:val="21"/>
                <w:highlight w:val="none"/>
                <w:lang w:val="en-US" w:eastAsia="zh-CN" w:bidi="ar"/>
              </w:rPr>
              <w:t>业绩</w:t>
            </w:r>
          </w:p>
        </w:tc>
        <w:tc>
          <w:tcPr>
            <w:tcW w:w="709" w:type="dxa"/>
            <w:gridSpan w:val="2"/>
            <w:tcBorders>
              <w:tl2br w:val="nil"/>
              <w:tr2bl w:val="nil"/>
            </w:tcBorders>
            <w:tcMar>
              <w:top w:w="15" w:type="dxa"/>
              <w:left w:w="15" w:type="dxa"/>
              <w:bottom w:w="15" w:type="dxa"/>
              <w:right w:w="15" w:type="dxa"/>
            </w:tcMar>
            <w:vAlign w:val="center"/>
          </w:tcPr>
          <w:p>
            <w:pPr>
              <w:keepNext w:val="0"/>
              <w:keepLines w:val="0"/>
              <w:widowControl w:val="0"/>
              <w:suppressLineNumbers w:val="0"/>
              <w:autoSpaceDE w:val="0"/>
              <w:autoSpaceDN w:val="0"/>
              <w:adjustRightInd w:val="0"/>
              <w:spacing w:before="0" w:beforeAutospacing="1" w:after="160" w:afterAutospacing="0" w:line="240" w:lineRule="atLeast"/>
              <w:ind w:left="0" w:leftChars="0" w:right="63" w:rightChars="30"/>
              <w:jc w:val="center"/>
              <w:rPr>
                <w:rFonts w:hint="default"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15</w:t>
            </w:r>
          </w:p>
        </w:tc>
        <w:tc>
          <w:tcPr>
            <w:tcW w:w="6804"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根据</w:t>
            </w:r>
            <w:r>
              <w:rPr>
                <w:rFonts w:hint="eastAsia" w:ascii="宋体" w:hAnsi="宋体" w:cs="宋体"/>
                <w:kern w:val="2"/>
                <w:sz w:val="21"/>
                <w:szCs w:val="21"/>
                <w:highlight w:val="none"/>
                <w:lang w:val="en-US" w:eastAsia="zh-CN" w:bidi="ar"/>
              </w:rPr>
              <w:t>投标人</w:t>
            </w:r>
            <w:r>
              <w:rPr>
                <w:rFonts w:hint="eastAsia" w:ascii="宋体" w:hAnsi="宋体" w:eastAsia="宋体" w:cs="宋体"/>
                <w:kern w:val="2"/>
                <w:sz w:val="21"/>
                <w:szCs w:val="21"/>
                <w:highlight w:val="none"/>
                <w:lang w:val="en-US" w:eastAsia="zh-CN" w:bidi="ar"/>
              </w:rPr>
              <w:t>提供的2020年1月1日起至本项目招标公告发布之日止</w:t>
            </w:r>
            <w:r>
              <w:rPr>
                <w:rFonts w:hint="eastAsia" w:ascii="宋体" w:hAnsi="宋体" w:cs="宋体"/>
                <w:kern w:val="2"/>
                <w:sz w:val="21"/>
                <w:szCs w:val="21"/>
                <w:highlight w:val="none"/>
                <w:lang w:val="en-US" w:eastAsia="zh-CN" w:bidi="ar"/>
              </w:rPr>
              <w:t>的5份</w:t>
            </w:r>
            <w:r>
              <w:rPr>
                <w:rFonts w:hint="eastAsia" w:ascii="宋体" w:hAnsi="宋体" w:eastAsia="宋体" w:cs="宋体"/>
                <w:kern w:val="2"/>
                <w:sz w:val="21"/>
                <w:szCs w:val="21"/>
                <w:highlight w:val="none"/>
                <w:lang w:val="en-US" w:eastAsia="zh-CN" w:bidi="ar"/>
              </w:rPr>
              <w:t>固定资产</w:t>
            </w:r>
            <w:r>
              <w:rPr>
                <w:rFonts w:hint="eastAsia" w:ascii="宋体" w:hAnsi="宋体" w:cs="宋体"/>
                <w:kern w:val="2"/>
                <w:sz w:val="21"/>
                <w:szCs w:val="21"/>
                <w:highlight w:val="none"/>
                <w:lang w:val="en-US" w:eastAsia="zh-CN" w:bidi="ar"/>
              </w:rPr>
              <w:t>清查盘点审计</w:t>
            </w:r>
            <w:r>
              <w:rPr>
                <w:rFonts w:hint="eastAsia" w:ascii="宋体" w:hAnsi="宋体" w:eastAsia="宋体" w:cs="宋体"/>
                <w:kern w:val="2"/>
                <w:sz w:val="21"/>
                <w:szCs w:val="21"/>
                <w:highlight w:val="none"/>
                <w:lang w:val="en-US" w:eastAsia="zh-CN" w:bidi="ar"/>
              </w:rPr>
              <w:t>项目相关</w:t>
            </w:r>
            <w:r>
              <w:rPr>
                <w:rFonts w:hint="eastAsia" w:ascii="宋体" w:hAnsi="宋体" w:cs="宋体"/>
                <w:kern w:val="2"/>
                <w:sz w:val="21"/>
                <w:szCs w:val="21"/>
                <w:highlight w:val="none"/>
                <w:lang w:val="en-US" w:eastAsia="zh-CN" w:bidi="ar"/>
              </w:rPr>
              <w:t>业绩</w:t>
            </w:r>
            <w:r>
              <w:rPr>
                <w:rFonts w:hint="eastAsia" w:ascii="宋体" w:hAnsi="宋体" w:eastAsia="宋体" w:cs="宋体"/>
                <w:kern w:val="2"/>
                <w:sz w:val="21"/>
                <w:szCs w:val="21"/>
                <w:highlight w:val="none"/>
                <w:lang w:val="en-US" w:eastAsia="zh-CN" w:bidi="ar"/>
              </w:rPr>
              <w:t>进行评议</w:t>
            </w:r>
            <w:r>
              <w:rPr>
                <w:rFonts w:hint="eastAsia" w:ascii="宋体" w:hAnsi="宋体" w:cs="宋体"/>
                <w:kern w:val="2"/>
                <w:sz w:val="21"/>
                <w:szCs w:val="21"/>
                <w:highlight w:val="none"/>
                <w:lang w:val="en-US" w:eastAsia="zh-CN" w:bidi="ar"/>
              </w:rPr>
              <w:t>：</w:t>
            </w:r>
          </w:p>
          <w:p>
            <w:pPr>
              <w:keepNext w:val="0"/>
              <w:keepLines w:val="0"/>
              <w:pageBreakBefore w:val="0"/>
              <w:widowControl w:val="0"/>
              <w:numPr>
                <w:ilvl w:val="0"/>
                <w:numId w:val="26"/>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投标人固定资产清查盘点项目中，完成盘点固定资产超10万项的，</w:t>
            </w:r>
            <w:r>
              <w:rPr>
                <w:rFonts w:hint="eastAsia" w:ascii="宋体" w:hAnsi="宋体" w:eastAsia="宋体" w:cs="宋体"/>
                <w:kern w:val="2"/>
                <w:sz w:val="21"/>
                <w:szCs w:val="21"/>
                <w:highlight w:val="none"/>
                <w:lang w:val="en-US" w:eastAsia="zh-CN" w:bidi="ar"/>
              </w:rPr>
              <w:t>每提供1份得</w:t>
            </w:r>
            <w:r>
              <w:rPr>
                <w:rFonts w:hint="eastAsia" w:ascii="宋体" w:hAnsi="宋体" w:cs="宋体"/>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分</w:t>
            </w:r>
            <w:r>
              <w:rPr>
                <w:rFonts w:hint="eastAsia" w:ascii="宋体" w:hAnsi="宋体" w:cs="宋体"/>
                <w:kern w:val="2"/>
                <w:sz w:val="21"/>
                <w:szCs w:val="21"/>
                <w:highlight w:val="none"/>
                <w:lang w:val="en-US" w:eastAsia="zh-CN" w:bidi="ar"/>
              </w:rPr>
              <w:t>；</w:t>
            </w:r>
          </w:p>
          <w:p>
            <w:pPr>
              <w:keepNext w:val="0"/>
              <w:keepLines w:val="0"/>
              <w:pageBreakBefore w:val="0"/>
              <w:widowControl w:val="0"/>
              <w:numPr>
                <w:ilvl w:val="0"/>
                <w:numId w:val="26"/>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投标人固定资产清查盘点项目中，完成盘点固定资产超8万项的，</w:t>
            </w:r>
            <w:r>
              <w:rPr>
                <w:rFonts w:hint="eastAsia" w:ascii="宋体" w:hAnsi="宋体" w:eastAsia="宋体" w:cs="宋体"/>
                <w:kern w:val="2"/>
                <w:sz w:val="21"/>
                <w:szCs w:val="21"/>
                <w:highlight w:val="none"/>
                <w:lang w:val="en-US" w:eastAsia="zh-CN" w:bidi="ar"/>
              </w:rPr>
              <w:t>每提供1份得</w:t>
            </w:r>
            <w:r>
              <w:rPr>
                <w:rFonts w:hint="eastAsia" w:ascii="宋体" w:hAnsi="宋体" w:cs="宋体"/>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分</w:t>
            </w:r>
            <w:r>
              <w:rPr>
                <w:rFonts w:hint="eastAsia" w:ascii="宋体" w:hAnsi="宋体" w:cs="宋体"/>
                <w:kern w:val="2"/>
                <w:sz w:val="21"/>
                <w:szCs w:val="21"/>
                <w:highlight w:val="none"/>
                <w:lang w:val="en-US" w:eastAsia="zh-CN" w:bidi="ar"/>
              </w:rPr>
              <w:t>；</w:t>
            </w:r>
          </w:p>
          <w:p>
            <w:pPr>
              <w:keepNext w:val="0"/>
              <w:keepLines w:val="0"/>
              <w:pageBreakBefore w:val="0"/>
              <w:widowControl w:val="0"/>
              <w:numPr>
                <w:ilvl w:val="0"/>
                <w:numId w:val="26"/>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lang w:val="en-US" w:eastAsia="zh-CN"/>
              </w:rPr>
            </w:pPr>
            <w:r>
              <w:rPr>
                <w:rFonts w:hint="eastAsia" w:ascii="宋体" w:hAnsi="宋体" w:cs="宋体"/>
                <w:kern w:val="2"/>
                <w:sz w:val="21"/>
                <w:szCs w:val="21"/>
                <w:highlight w:val="none"/>
                <w:lang w:val="en-US" w:eastAsia="zh-CN" w:bidi="ar"/>
              </w:rPr>
              <w:t>投标人固定资产清查盘点项目中，完成盘点固定资产超5万项的，</w:t>
            </w:r>
            <w:r>
              <w:rPr>
                <w:rFonts w:hint="eastAsia" w:ascii="宋体" w:hAnsi="宋体" w:eastAsia="宋体" w:cs="宋体"/>
                <w:kern w:val="2"/>
                <w:sz w:val="21"/>
                <w:szCs w:val="21"/>
                <w:highlight w:val="none"/>
                <w:lang w:val="en-US" w:eastAsia="zh-CN" w:bidi="ar"/>
              </w:rPr>
              <w:t>每提供1份得</w:t>
            </w:r>
            <w:r>
              <w:rPr>
                <w:rFonts w:hint="eastAsia" w:ascii="宋体" w:hAnsi="宋体" w:cs="宋体"/>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分</w:t>
            </w:r>
            <w:r>
              <w:rPr>
                <w:rFonts w:hint="eastAsia" w:ascii="宋体" w:hAnsi="宋体" w:cs="宋体"/>
                <w:kern w:val="2"/>
                <w:sz w:val="21"/>
                <w:szCs w:val="21"/>
                <w:highlight w:val="none"/>
                <w:lang w:val="en-US" w:eastAsia="zh-CN" w:bidi="ar"/>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说明：</w:t>
            </w:r>
          </w:p>
          <w:p>
            <w:pPr>
              <w:keepNext w:val="0"/>
              <w:keepLines w:val="0"/>
              <w:pageBreakBefore w:val="0"/>
              <w:widowControl w:val="0"/>
              <w:numPr>
                <w:ilvl w:val="0"/>
                <w:numId w:val="27"/>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kern w:val="2"/>
                <w:sz w:val="21"/>
                <w:szCs w:val="21"/>
                <w:highlight w:val="none"/>
                <w:lang w:val="en-US" w:eastAsia="zh-CN" w:bidi="ar"/>
              </w:rPr>
            </w:pPr>
            <w:r>
              <w:rPr>
                <w:rFonts w:hint="eastAsia"/>
                <w:lang w:val="en-US" w:eastAsia="zh-CN"/>
              </w:rPr>
              <w:t>投标人最多</w:t>
            </w:r>
            <w:r>
              <w:rPr>
                <w:rFonts w:hint="eastAsia" w:ascii="宋体" w:hAnsi="宋体" w:eastAsia="宋体" w:cs="宋体"/>
                <w:kern w:val="2"/>
                <w:sz w:val="21"/>
                <w:szCs w:val="21"/>
                <w:highlight w:val="none"/>
                <w:lang w:val="en-US" w:eastAsia="zh-CN" w:bidi="ar"/>
              </w:rPr>
              <w:t>提供</w:t>
            </w:r>
            <w:r>
              <w:rPr>
                <w:rFonts w:hint="eastAsia"/>
                <w:lang w:val="en-US" w:eastAsia="zh-CN"/>
              </w:rPr>
              <w:t>3份项目业绩</w:t>
            </w:r>
            <w:r>
              <w:rPr>
                <w:rFonts w:hint="eastAsia" w:ascii="宋体" w:hAnsi="宋体" w:cs="宋体"/>
                <w:kern w:val="2"/>
                <w:sz w:val="21"/>
                <w:szCs w:val="21"/>
                <w:highlight w:val="none"/>
                <w:lang w:val="en-US" w:eastAsia="zh-CN" w:bidi="ar"/>
              </w:rPr>
              <w:t>可信证明材料</w:t>
            </w:r>
            <w:r>
              <w:rPr>
                <w:rFonts w:hint="eastAsia"/>
                <w:lang w:val="en-US" w:eastAsia="zh-CN"/>
              </w:rPr>
              <w:t>，份数超过的，将取3份最高分业绩进行计算，本项最高得15分。</w:t>
            </w:r>
          </w:p>
          <w:p>
            <w:pPr>
              <w:keepNext w:val="0"/>
              <w:keepLines w:val="0"/>
              <w:pageBreakBefore w:val="0"/>
              <w:widowControl w:val="0"/>
              <w:numPr>
                <w:ilvl w:val="0"/>
                <w:numId w:val="27"/>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投标人</w:t>
            </w:r>
            <w:r>
              <w:rPr>
                <w:rFonts w:hint="eastAsia"/>
                <w:lang w:val="en-US" w:eastAsia="zh-CN"/>
              </w:rPr>
              <w:t>可</w:t>
            </w:r>
            <w:r>
              <w:rPr>
                <w:rFonts w:hint="eastAsia" w:ascii="宋体" w:hAnsi="宋体" w:eastAsia="宋体" w:cs="宋体"/>
                <w:kern w:val="2"/>
                <w:sz w:val="21"/>
                <w:szCs w:val="21"/>
                <w:highlight w:val="none"/>
                <w:lang w:val="en-US" w:eastAsia="zh-CN" w:bidi="ar"/>
              </w:rPr>
              <w:t>提供</w:t>
            </w:r>
            <w:r>
              <w:rPr>
                <w:rFonts w:hint="eastAsia" w:ascii="宋体" w:hAnsi="宋体" w:cs="宋体"/>
                <w:kern w:val="2"/>
                <w:sz w:val="21"/>
                <w:szCs w:val="21"/>
                <w:highlight w:val="none"/>
                <w:lang w:val="en-US" w:eastAsia="zh-CN" w:bidi="ar"/>
              </w:rPr>
              <w:t>如</w:t>
            </w:r>
            <w:r>
              <w:rPr>
                <w:rFonts w:hint="eastAsia" w:ascii="宋体" w:hAnsi="宋体" w:eastAsia="宋体" w:cs="宋体"/>
                <w:kern w:val="2"/>
                <w:sz w:val="21"/>
                <w:szCs w:val="21"/>
                <w:highlight w:val="none"/>
                <w:lang w:val="en-US" w:eastAsia="zh-CN" w:bidi="ar"/>
              </w:rPr>
              <w:t>合同、固定资产审计报告、验收报告或加盖甲方公章的甲方证明等</w:t>
            </w:r>
            <w:r>
              <w:rPr>
                <w:rFonts w:hint="eastAsia" w:ascii="宋体" w:hAnsi="宋体" w:cs="宋体"/>
                <w:kern w:val="2"/>
                <w:sz w:val="21"/>
                <w:szCs w:val="21"/>
                <w:highlight w:val="none"/>
                <w:lang w:val="en-US" w:eastAsia="zh-CN" w:bidi="ar"/>
              </w:rPr>
              <w:t>任一资料作为业绩可信证明材料，提供材料</w:t>
            </w:r>
            <w:r>
              <w:rPr>
                <w:rFonts w:hint="eastAsia" w:ascii="宋体" w:hAnsi="宋体" w:eastAsia="宋体" w:cs="宋体"/>
                <w:kern w:val="2"/>
                <w:sz w:val="21"/>
                <w:szCs w:val="21"/>
                <w:highlight w:val="none"/>
                <w:lang w:val="en-US" w:eastAsia="zh-CN" w:bidi="ar"/>
              </w:rPr>
              <w:t>关键页复印件并加盖参加单位公章。未按要求提供上述资料者，不得分。</w:t>
            </w:r>
          </w:p>
          <w:p>
            <w:pPr>
              <w:keepNext w:val="0"/>
              <w:keepLines w:val="0"/>
              <w:pageBreakBefore w:val="0"/>
              <w:widowControl w:val="0"/>
              <w:numPr>
                <w:ilvl w:val="0"/>
                <w:numId w:val="27"/>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default"/>
                <w:lang w:val="en-US" w:eastAsia="zh-CN"/>
              </w:rPr>
            </w:pPr>
            <w:r>
              <w:rPr>
                <w:rFonts w:hint="eastAsia" w:ascii="宋体" w:hAnsi="宋体" w:cs="宋体"/>
                <w:kern w:val="2"/>
                <w:sz w:val="21"/>
                <w:szCs w:val="21"/>
                <w:highlight w:val="none"/>
                <w:lang w:val="en-US" w:eastAsia="zh-CN" w:bidi="ar"/>
              </w:rPr>
              <w:t>业绩可信证明材料</w:t>
            </w:r>
            <w:r>
              <w:rPr>
                <w:rFonts w:hint="eastAsia" w:ascii="宋体" w:hAnsi="宋体" w:eastAsia="宋体" w:cs="宋体"/>
                <w:kern w:val="2"/>
                <w:sz w:val="21"/>
                <w:szCs w:val="21"/>
                <w:highlight w:val="none"/>
                <w:lang w:val="en-US" w:eastAsia="zh-CN" w:bidi="ar"/>
              </w:rPr>
              <w:t>关键页</w:t>
            </w:r>
            <w:r>
              <w:rPr>
                <w:rFonts w:hint="eastAsia" w:ascii="宋体" w:hAnsi="宋体" w:cs="宋体"/>
                <w:kern w:val="2"/>
                <w:sz w:val="21"/>
                <w:szCs w:val="21"/>
                <w:highlight w:val="none"/>
                <w:lang w:val="en-US" w:eastAsia="zh-CN" w:bidi="ar"/>
              </w:rPr>
              <w:t>须体现</w:t>
            </w:r>
            <w:r>
              <w:rPr>
                <w:rFonts w:hint="eastAsia" w:ascii="宋体" w:hAnsi="宋体" w:eastAsia="宋体" w:cs="宋体"/>
                <w:kern w:val="2"/>
                <w:sz w:val="21"/>
                <w:szCs w:val="21"/>
                <w:highlight w:val="none"/>
                <w:lang w:val="en-US" w:eastAsia="zh-CN" w:bidi="ar"/>
              </w:rPr>
              <w:t>内容包括但不限于项目名称、项目主要内容、合同签订时间、项目客户名称、项目履约地点</w:t>
            </w:r>
            <w:r>
              <w:rPr>
                <w:rFonts w:hint="eastAsia" w:ascii="宋体" w:hAnsi="宋体" w:cs="宋体"/>
                <w:kern w:val="2"/>
                <w:sz w:val="21"/>
                <w:szCs w:val="21"/>
                <w:highlight w:val="none"/>
                <w:lang w:val="en-US" w:eastAsia="zh-CN" w:bidi="ar"/>
              </w:rPr>
              <w:t>、盘点固定资产数量</w:t>
            </w:r>
            <w:r>
              <w:rPr>
                <w:rFonts w:hint="eastAsia" w:ascii="宋体" w:hAnsi="宋体" w:eastAsia="宋体" w:cs="宋体"/>
                <w:kern w:val="2"/>
                <w:sz w:val="21"/>
                <w:szCs w:val="21"/>
                <w:highlight w:val="none"/>
                <w:lang w:val="en-US" w:eastAsia="zh-CN" w:bidi="ar"/>
              </w:rPr>
              <w:t>等。未按要求提供上述资料者，不得分。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gridSpan w:val="2"/>
            <w:tcBorders>
              <w:tl2br w:val="nil"/>
              <w:tr2bl w:val="nil"/>
            </w:tcBorders>
          </w:tcPr>
          <w:p>
            <w:pPr>
              <w:keepNext w:val="0"/>
              <w:keepLines w:val="0"/>
              <w:suppressLineNumbers w:val="0"/>
              <w:spacing w:before="0" w:beforeAutospacing="0" w:after="0" w:afterAutospacing="0" w:line="360" w:lineRule="auto"/>
              <w:ind w:left="0" w:right="0"/>
              <w:jc w:val="center"/>
              <w:rPr>
                <w:rFonts w:hint="default" w:ascii="宋体" w:hAnsi="宋体"/>
                <w:b/>
                <w:szCs w:val="21"/>
                <w:highlight w:val="none"/>
              </w:rPr>
            </w:pPr>
          </w:p>
        </w:tc>
        <w:tc>
          <w:tcPr>
            <w:tcW w:w="8647" w:type="dxa"/>
            <w:gridSpan w:val="5"/>
            <w:tcBorders>
              <w:tl2br w:val="nil"/>
              <w:tr2bl w:val="nil"/>
            </w:tcBorders>
            <w:tcMar>
              <w:top w:w="15" w:type="dxa"/>
              <w:left w:w="15" w:type="dxa"/>
              <w:bottom w:w="15" w:type="dxa"/>
              <w:right w:w="15" w:type="dxa"/>
            </w:tcMar>
            <w:vAlign w:val="center"/>
          </w:tcPr>
          <w:p>
            <w:pPr>
              <w:keepNext w:val="0"/>
              <w:keepLines w:val="0"/>
              <w:pageBreakBefore w:val="0"/>
              <w:suppressLineNumbers w:val="0"/>
              <w:kinsoku/>
              <w:wordWrap/>
              <w:overflowPunct/>
              <w:topLinePunct w:val="0"/>
              <w:bidi w:val="0"/>
              <w:snapToGrid/>
              <w:spacing w:before="0" w:beforeAutospacing="0" w:after="220" w:afterAutospacing="0" w:line="240" w:lineRule="auto"/>
              <w:ind w:left="0" w:right="0" w:rightChars="0"/>
              <w:jc w:val="center"/>
              <w:textAlignment w:val="auto"/>
              <w:rPr>
                <w:rFonts w:hint="eastAsia" w:ascii="宋体" w:hAnsi="宋体" w:eastAsia="宋体" w:cs="宋体"/>
                <w:b/>
                <w:color w:val="FF0000"/>
                <w:sz w:val="21"/>
                <w:szCs w:val="21"/>
                <w:highlight w:val="none"/>
              </w:rPr>
            </w:pPr>
            <w:r>
              <w:rPr>
                <w:rFonts w:hint="eastAsia" w:ascii="宋体" w:hAnsi="宋体" w:eastAsia="宋体" w:cs="宋体"/>
                <w:b/>
                <w:sz w:val="21"/>
                <w:szCs w:val="21"/>
                <w:highlight w:val="none"/>
              </w:rPr>
              <w:t>技术服务评议项</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50</w:t>
            </w:r>
            <w:r>
              <w:rPr>
                <w:rFonts w:hint="eastAsia" w:ascii="宋体" w:hAnsi="宋体" w:eastAsia="宋体" w:cs="宋体"/>
                <w:b/>
                <w:sz w:val="21"/>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30" w:hRule="atLeast"/>
          <w:tblCellSpacing w:w="0" w:type="dxa"/>
        </w:trPr>
        <w:tc>
          <w:tcPr>
            <w:tcW w:w="704" w:type="dxa"/>
            <w:gridSpan w:val="2"/>
            <w:tcBorders>
              <w:tl2br w:val="nil"/>
              <w:tr2bl w:val="nil"/>
            </w:tcBorders>
            <w:vAlign w:val="center"/>
          </w:tcPr>
          <w:p>
            <w:pPr>
              <w:pStyle w:val="22"/>
              <w:keepNext w:val="0"/>
              <w:keepLines w:val="0"/>
              <w:numPr>
                <w:ilvl w:val="0"/>
                <w:numId w:val="28"/>
              </w:numPr>
              <w:suppressLineNumbers w:val="0"/>
              <w:spacing w:before="0" w:beforeAutospacing="0" w:after="0" w:afterAutospacing="0" w:line="360" w:lineRule="auto"/>
              <w:ind w:right="0" w:firstLineChars="0"/>
              <w:jc w:val="center"/>
              <w:rPr>
                <w:rFonts w:hint="default" w:ascii="宋体" w:hAnsi="宋体" w:eastAsia="宋体"/>
                <w:szCs w:val="21"/>
                <w:highlight w:val="none"/>
              </w:rPr>
            </w:pPr>
          </w:p>
        </w:tc>
        <w:tc>
          <w:tcPr>
            <w:tcW w:w="1134" w:type="dxa"/>
            <w:gridSpan w:val="2"/>
            <w:tcBorders>
              <w:tl2br w:val="nil"/>
              <w:tr2bl w:val="nil"/>
            </w:tcBorders>
            <w:tcMar>
              <w:top w:w="15" w:type="dxa"/>
              <w:left w:w="15" w:type="dxa"/>
              <w:bottom w:w="15" w:type="dxa"/>
              <w:right w:w="15" w:type="dxa"/>
            </w:tcMar>
            <w:vAlign w:val="center"/>
          </w:tcPr>
          <w:p>
            <w:pPr>
              <w:keepNext w:val="0"/>
              <w:keepLines w:val="0"/>
              <w:widowControl w:val="0"/>
              <w:suppressLineNumbers w:val="0"/>
              <w:spacing w:before="0" w:beforeAutospacing="1" w:after="160" w:afterAutospacing="0" w:line="320" w:lineRule="exact"/>
              <w:ind w:left="0" w:leftChars="0" w:right="0" w:rightChars="0"/>
              <w:jc w:val="center"/>
              <w:rPr>
                <w:rFonts w:hint="eastAsia" w:ascii="宋体" w:hAnsi="宋体" w:eastAsia="宋体" w:cs="Times New Roman"/>
                <w:kern w:val="2"/>
                <w:sz w:val="21"/>
                <w:szCs w:val="21"/>
                <w:highlight w:val="none"/>
                <w:lang w:val="en-US" w:eastAsia="zh-CN" w:bidi="ar-SA"/>
              </w:rPr>
            </w:pPr>
            <w:r>
              <w:rPr>
                <w:rFonts w:hint="eastAsia" w:ascii="宋体" w:hAnsi="宋体" w:cs="宋体"/>
                <w:kern w:val="2"/>
                <w:sz w:val="21"/>
                <w:szCs w:val="21"/>
                <w:highlight w:val="none"/>
                <w:lang w:val="en-US" w:eastAsia="zh-CN" w:bidi="ar"/>
              </w:rPr>
              <w:t>项目实施</w:t>
            </w:r>
            <w:r>
              <w:rPr>
                <w:rFonts w:hint="eastAsia" w:ascii="宋体" w:hAnsi="宋体" w:eastAsia="宋体" w:cs="宋体"/>
                <w:kern w:val="2"/>
                <w:sz w:val="21"/>
                <w:szCs w:val="21"/>
                <w:highlight w:val="none"/>
                <w:lang w:val="en-US" w:eastAsia="zh-CN" w:bidi="ar"/>
              </w:rPr>
              <w:t>方案</w:t>
            </w:r>
          </w:p>
        </w:tc>
        <w:tc>
          <w:tcPr>
            <w:tcW w:w="709" w:type="dxa"/>
            <w:gridSpan w:val="2"/>
            <w:tcBorders>
              <w:tl2br w:val="nil"/>
              <w:tr2bl w:val="nil"/>
            </w:tcBorders>
            <w:tcMar>
              <w:top w:w="15" w:type="dxa"/>
              <w:left w:w="15" w:type="dxa"/>
              <w:bottom w:w="15" w:type="dxa"/>
              <w:right w:w="15" w:type="dxa"/>
            </w:tcMar>
            <w:vAlign w:val="center"/>
          </w:tcPr>
          <w:p>
            <w:pPr>
              <w:keepNext w:val="0"/>
              <w:keepLines w:val="0"/>
              <w:widowControl w:val="0"/>
              <w:suppressLineNumbers w:val="0"/>
              <w:spacing w:before="0" w:beforeAutospacing="1" w:after="160" w:afterAutospacing="0" w:line="360" w:lineRule="auto"/>
              <w:ind w:left="0" w:leftChars="0" w:right="0" w:rightChars="0"/>
              <w:jc w:val="center"/>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20</w:t>
            </w:r>
          </w:p>
        </w:tc>
        <w:tc>
          <w:tcPr>
            <w:tcW w:w="6804"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
              </w:rPr>
              <w:t>根据投标人</w:t>
            </w:r>
            <w:r>
              <w:rPr>
                <w:rFonts w:hint="eastAsia" w:ascii="宋体" w:hAnsi="宋体" w:eastAsia="宋体" w:cs="宋体"/>
                <w:kern w:val="2"/>
                <w:sz w:val="21"/>
                <w:szCs w:val="21"/>
                <w:highlight w:val="none"/>
                <w:lang w:val="en-US" w:eastAsia="zh-CN" w:bidi="ar"/>
              </w:rPr>
              <w:t>对</w:t>
            </w:r>
            <w:r>
              <w:rPr>
                <w:rFonts w:hint="eastAsia" w:ascii="宋体" w:hAnsi="宋体" w:eastAsia="宋体" w:cs="宋体"/>
                <w:b/>
                <w:bCs/>
                <w:kern w:val="2"/>
                <w:sz w:val="21"/>
                <w:szCs w:val="21"/>
                <w:highlight w:val="none"/>
                <w:lang w:val="en-US" w:eastAsia="zh-CN" w:bidi="ar"/>
              </w:rPr>
              <w:t>固定资产盘点工作、固定资产清查报告</w:t>
            </w:r>
            <w:r>
              <w:rPr>
                <w:rFonts w:hint="eastAsia" w:ascii="宋体" w:hAnsi="宋体" w:cs="宋体"/>
                <w:b/>
                <w:bCs/>
                <w:kern w:val="2"/>
                <w:sz w:val="21"/>
                <w:szCs w:val="21"/>
                <w:highlight w:val="none"/>
                <w:lang w:val="en-US" w:eastAsia="zh-CN" w:bidi="ar"/>
              </w:rPr>
              <w:t>、识别资产管理中的风险和管理漏洞</w:t>
            </w:r>
            <w:r>
              <w:rPr>
                <w:rFonts w:hint="eastAsia" w:ascii="宋体" w:hAnsi="宋体" w:cs="宋体"/>
                <w:kern w:val="2"/>
                <w:sz w:val="21"/>
                <w:szCs w:val="21"/>
                <w:highlight w:val="none"/>
                <w:lang w:val="en-US" w:eastAsia="zh-CN" w:bidi="ar"/>
              </w:rPr>
              <w:t>提出的优化建议等方面</w:t>
            </w:r>
            <w:r>
              <w:rPr>
                <w:rFonts w:hint="eastAsia" w:ascii="宋体" w:hAnsi="宋体" w:eastAsia="宋体" w:cs="宋体"/>
                <w:kern w:val="2"/>
                <w:sz w:val="21"/>
                <w:szCs w:val="21"/>
                <w:highlight w:val="none"/>
                <w:lang w:val="en-US" w:eastAsia="zh-CN" w:bidi="ar"/>
              </w:rPr>
              <w:t>是否有深刻认识，方案是否表达清晰、完整、严谨、合理、具体、有效，是否阐明咨询方案主要特点</w:t>
            </w:r>
            <w:r>
              <w:rPr>
                <w:rFonts w:hint="eastAsia" w:ascii="宋体" w:hAnsi="宋体" w:cs="宋体"/>
                <w:kern w:val="2"/>
                <w:sz w:val="21"/>
                <w:szCs w:val="21"/>
                <w:highlight w:val="none"/>
                <w:lang w:val="en-US" w:eastAsia="zh-CN" w:bidi="ar"/>
              </w:rPr>
              <w:t>等进行</w:t>
            </w:r>
            <w:r>
              <w:rPr>
                <w:rFonts w:hint="eastAsia" w:ascii="宋体" w:hAnsi="宋体" w:eastAsia="宋体" w:cs="宋体"/>
                <w:kern w:val="2"/>
                <w:sz w:val="21"/>
                <w:szCs w:val="21"/>
                <w:highlight w:val="none"/>
                <w:lang w:val="en-US" w:eastAsia="zh-CN" w:bidi="ar"/>
              </w:rPr>
              <w:t>评</w:t>
            </w:r>
            <w:r>
              <w:rPr>
                <w:rFonts w:hint="eastAsia" w:ascii="宋体" w:hAnsi="宋体" w:cs="宋体"/>
                <w:kern w:val="2"/>
                <w:sz w:val="21"/>
                <w:szCs w:val="21"/>
                <w:highlight w:val="none"/>
                <w:lang w:val="en-US" w:eastAsia="zh-CN" w:bidi="ar"/>
              </w:rPr>
              <w:t>议：</w:t>
            </w:r>
            <w:r>
              <w:rPr>
                <w:rFonts w:hint="eastAsia" w:ascii="宋体" w:hAnsi="宋体" w:eastAsia="宋体" w:cs="宋体"/>
                <w:kern w:val="2"/>
                <w:sz w:val="21"/>
                <w:szCs w:val="21"/>
                <w:highlight w:val="none"/>
                <w:lang w:val="en-US" w:eastAsia="zh-CN" w:bidi="ar"/>
              </w:rPr>
              <w:t>优秀</w:t>
            </w:r>
            <w:r>
              <w:rPr>
                <w:rFonts w:hint="eastAsia" w:ascii="宋体" w:hAnsi="宋体" w:cs="宋体"/>
                <w:kern w:val="2"/>
                <w:sz w:val="21"/>
                <w:szCs w:val="21"/>
                <w:highlight w:val="none"/>
                <w:lang w:val="en-US" w:eastAsia="zh-CN" w:bidi="ar"/>
              </w:rPr>
              <w:t>得</w:t>
            </w:r>
            <w:r>
              <w:rPr>
                <w:rFonts w:hint="eastAsia" w:ascii="宋体" w:hAnsi="宋体" w:eastAsia="宋体" w:cs="宋体"/>
                <w:kern w:val="2"/>
                <w:sz w:val="21"/>
                <w:szCs w:val="21"/>
                <w:highlight w:val="none"/>
                <w:lang w:val="en-US" w:eastAsia="zh-CN" w:bidi="ar"/>
              </w:rPr>
              <w:t>16-20分</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良好</w:t>
            </w:r>
            <w:r>
              <w:rPr>
                <w:rFonts w:hint="eastAsia" w:ascii="宋体" w:hAnsi="宋体" w:cs="宋体"/>
                <w:kern w:val="2"/>
                <w:sz w:val="21"/>
                <w:szCs w:val="21"/>
                <w:highlight w:val="none"/>
                <w:lang w:val="en-US" w:eastAsia="zh-CN" w:bidi="ar"/>
              </w:rPr>
              <w:t>得</w:t>
            </w:r>
            <w:r>
              <w:rPr>
                <w:rFonts w:hint="eastAsia" w:ascii="宋体" w:hAnsi="宋体" w:eastAsia="宋体" w:cs="宋体"/>
                <w:kern w:val="2"/>
                <w:sz w:val="21"/>
                <w:szCs w:val="21"/>
                <w:highlight w:val="none"/>
                <w:lang w:val="en-US" w:eastAsia="zh-CN" w:bidi="ar"/>
              </w:rPr>
              <w:t>11-15分，</w:t>
            </w:r>
            <w:r>
              <w:rPr>
                <w:rFonts w:hint="eastAsia" w:ascii="宋体" w:hAnsi="宋体" w:cs="宋体"/>
                <w:kern w:val="2"/>
                <w:sz w:val="21"/>
                <w:szCs w:val="21"/>
                <w:highlight w:val="none"/>
                <w:lang w:val="en-US" w:eastAsia="zh-CN" w:bidi="ar"/>
              </w:rPr>
              <w:t>一般得</w:t>
            </w:r>
            <w:r>
              <w:rPr>
                <w:rFonts w:hint="eastAsia" w:ascii="宋体" w:hAnsi="宋体" w:eastAsia="宋体" w:cs="宋体"/>
                <w:kern w:val="2"/>
                <w:sz w:val="21"/>
                <w:szCs w:val="21"/>
                <w:highlight w:val="none"/>
                <w:lang w:val="en-US" w:eastAsia="zh-CN" w:bidi="ar"/>
              </w:rPr>
              <w:t>6-10分，差</w:t>
            </w:r>
            <w:r>
              <w:rPr>
                <w:rFonts w:hint="eastAsia" w:ascii="宋体" w:hAnsi="宋体" w:cs="宋体"/>
                <w:kern w:val="2"/>
                <w:sz w:val="21"/>
                <w:szCs w:val="21"/>
                <w:highlight w:val="none"/>
                <w:lang w:val="en-US" w:eastAsia="zh-CN" w:bidi="ar"/>
              </w:rPr>
              <w:t>得</w:t>
            </w:r>
            <w:r>
              <w:rPr>
                <w:rFonts w:hint="eastAsia" w:ascii="宋体" w:hAnsi="宋体" w:eastAsia="宋体" w:cs="宋体"/>
                <w:kern w:val="2"/>
                <w:sz w:val="21"/>
                <w:szCs w:val="21"/>
                <w:highlight w:val="none"/>
                <w:lang w:val="en-US" w:eastAsia="zh-CN" w:bidi="ar"/>
              </w:rPr>
              <w:t>0-5分。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tblCellSpacing w:w="0" w:type="dxa"/>
        </w:trPr>
        <w:tc>
          <w:tcPr>
            <w:tcW w:w="704" w:type="dxa"/>
            <w:gridSpan w:val="2"/>
            <w:tcBorders>
              <w:tl2br w:val="nil"/>
              <w:tr2bl w:val="nil"/>
            </w:tcBorders>
            <w:vAlign w:val="center"/>
          </w:tcPr>
          <w:p>
            <w:pPr>
              <w:pStyle w:val="22"/>
              <w:keepNext w:val="0"/>
              <w:keepLines w:val="0"/>
              <w:numPr>
                <w:ilvl w:val="0"/>
                <w:numId w:val="28"/>
              </w:numPr>
              <w:suppressLineNumbers w:val="0"/>
              <w:spacing w:before="0" w:beforeAutospacing="0" w:after="0" w:afterAutospacing="0" w:line="360" w:lineRule="auto"/>
              <w:ind w:right="0" w:firstLineChars="0"/>
              <w:jc w:val="center"/>
              <w:rPr>
                <w:rFonts w:hint="default" w:ascii="宋体" w:hAnsi="宋体" w:eastAsia="宋体"/>
                <w:szCs w:val="21"/>
                <w:highlight w:val="none"/>
              </w:rPr>
            </w:pPr>
          </w:p>
        </w:tc>
        <w:tc>
          <w:tcPr>
            <w:tcW w:w="1134" w:type="dxa"/>
            <w:gridSpan w:val="2"/>
            <w:tcBorders>
              <w:tl2br w:val="nil"/>
              <w:tr2bl w:val="nil"/>
            </w:tcBorders>
            <w:tcMar>
              <w:top w:w="15" w:type="dxa"/>
              <w:left w:w="15" w:type="dxa"/>
              <w:bottom w:w="15" w:type="dxa"/>
              <w:right w:w="15" w:type="dxa"/>
            </w:tcMar>
            <w:vAlign w:val="center"/>
          </w:tcPr>
          <w:p>
            <w:pPr>
              <w:keepNext w:val="0"/>
              <w:keepLines w:val="0"/>
              <w:widowControl w:val="0"/>
              <w:suppressLineNumbers w:val="0"/>
              <w:spacing w:before="0" w:beforeAutospacing="1" w:after="160" w:afterAutospacing="0" w:line="320" w:lineRule="exact"/>
              <w:ind w:left="0" w:leftChars="0" w:right="0" w:rightChars="0"/>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项目实施进度计划</w:t>
            </w:r>
          </w:p>
        </w:tc>
        <w:tc>
          <w:tcPr>
            <w:tcW w:w="709" w:type="dxa"/>
            <w:gridSpan w:val="2"/>
            <w:tcBorders>
              <w:tl2br w:val="nil"/>
              <w:tr2bl w:val="nil"/>
            </w:tcBorders>
            <w:tcMar>
              <w:top w:w="15" w:type="dxa"/>
              <w:left w:w="15" w:type="dxa"/>
              <w:bottom w:w="15" w:type="dxa"/>
              <w:right w:w="15" w:type="dxa"/>
            </w:tcMar>
            <w:vAlign w:val="center"/>
          </w:tcPr>
          <w:p>
            <w:pPr>
              <w:keepNext w:val="0"/>
              <w:keepLines w:val="0"/>
              <w:widowControl w:val="0"/>
              <w:suppressLineNumbers w:val="0"/>
              <w:spacing w:before="0" w:beforeAutospacing="1" w:after="160" w:afterAutospacing="0" w:line="360" w:lineRule="auto"/>
              <w:ind w:left="0" w:leftChars="0" w:right="0" w:rightChars="0"/>
              <w:jc w:val="center"/>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5</w:t>
            </w:r>
          </w:p>
        </w:tc>
        <w:tc>
          <w:tcPr>
            <w:tcW w:w="6804"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
              </w:rPr>
              <w:t>根据投标人</w:t>
            </w:r>
            <w:r>
              <w:rPr>
                <w:rFonts w:hint="eastAsia" w:ascii="宋体" w:hAnsi="宋体" w:eastAsia="宋体" w:cs="宋体"/>
                <w:kern w:val="2"/>
                <w:sz w:val="21"/>
                <w:szCs w:val="21"/>
                <w:highlight w:val="none"/>
                <w:lang w:val="en-US" w:eastAsia="zh-CN" w:bidi="ar"/>
              </w:rPr>
              <w:t>项目推进计划是否安排合理、进度控制措施是否安排得当进行评</w:t>
            </w:r>
            <w:r>
              <w:rPr>
                <w:rFonts w:hint="eastAsia" w:ascii="宋体" w:hAnsi="宋体" w:cs="宋体"/>
                <w:kern w:val="2"/>
                <w:sz w:val="21"/>
                <w:szCs w:val="21"/>
                <w:highlight w:val="none"/>
                <w:lang w:val="en-US" w:eastAsia="zh-CN" w:bidi="ar"/>
              </w:rPr>
              <w:t>议：</w:t>
            </w:r>
            <w:r>
              <w:rPr>
                <w:rFonts w:hint="eastAsia" w:ascii="宋体" w:hAnsi="宋体" w:eastAsia="宋体" w:cs="宋体"/>
                <w:kern w:val="2"/>
                <w:sz w:val="21"/>
                <w:szCs w:val="21"/>
                <w:highlight w:val="none"/>
                <w:lang w:val="en-US" w:eastAsia="zh-CN" w:bidi="ar"/>
              </w:rPr>
              <w:t>优秀</w:t>
            </w:r>
            <w:r>
              <w:rPr>
                <w:rFonts w:hint="eastAsia" w:ascii="宋体" w:hAnsi="宋体" w:cs="宋体"/>
                <w:kern w:val="2"/>
                <w:sz w:val="21"/>
                <w:szCs w:val="21"/>
                <w:highlight w:val="none"/>
                <w:lang w:val="en-US" w:eastAsia="zh-CN" w:bidi="ar"/>
              </w:rPr>
              <w:t>得5</w:t>
            </w:r>
            <w:r>
              <w:rPr>
                <w:rFonts w:hint="eastAsia" w:ascii="宋体" w:hAnsi="宋体" w:eastAsia="宋体" w:cs="宋体"/>
                <w:kern w:val="2"/>
                <w:sz w:val="21"/>
                <w:szCs w:val="21"/>
                <w:highlight w:val="none"/>
                <w:lang w:val="en-US" w:eastAsia="zh-CN" w:bidi="ar"/>
              </w:rPr>
              <w:t>分，良好</w:t>
            </w:r>
            <w:r>
              <w:rPr>
                <w:rFonts w:hint="eastAsia" w:ascii="宋体" w:hAnsi="宋体" w:cs="宋体"/>
                <w:kern w:val="2"/>
                <w:sz w:val="21"/>
                <w:szCs w:val="21"/>
                <w:highlight w:val="none"/>
                <w:lang w:val="en-US" w:eastAsia="zh-CN" w:bidi="ar"/>
              </w:rPr>
              <w:t>得3</w:t>
            </w:r>
            <w:r>
              <w:rPr>
                <w:rFonts w:hint="eastAsia" w:ascii="宋体" w:hAnsi="宋体" w:eastAsia="宋体" w:cs="宋体"/>
                <w:kern w:val="2"/>
                <w:sz w:val="21"/>
                <w:szCs w:val="21"/>
                <w:highlight w:val="none"/>
                <w:lang w:val="en-US" w:eastAsia="zh-CN" w:bidi="ar"/>
              </w:rPr>
              <w:t>分，</w:t>
            </w:r>
            <w:r>
              <w:rPr>
                <w:rFonts w:hint="eastAsia" w:ascii="宋体" w:hAnsi="宋体" w:cs="宋体"/>
                <w:kern w:val="2"/>
                <w:sz w:val="21"/>
                <w:szCs w:val="21"/>
                <w:highlight w:val="none"/>
                <w:lang w:val="en-US" w:eastAsia="zh-CN" w:bidi="ar"/>
              </w:rPr>
              <w:t>一般得2</w:t>
            </w:r>
            <w:r>
              <w:rPr>
                <w:rFonts w:hint="eastAsia" w:ascii="宋体" w:hAnsi="宋体" w:eastAsia="宋体" w:cs="宋体"/>
                <w:kern w:val="2"/>
                <w:sz w:val="21"/>
                <w:szCs w:val="21"/>
                <w:highlight w:val="none"/>
                <w:lang w:val="en-US" w:eastAsia="zh-CN" w:bidi="ar"/>
              </w:rPr>
              <w:t>分，差</w:t>
            </w:r>
            <w:r>
              <w:rPr>
                <w:rFonts w:hint="eastAsia" w:ascii="宋体" w:hAnsi="宋体" w:cs="宋体"/>
                <w:kern w:val="2"/>
                <w:sz w:val="21"/>
                <w:szCs w:val="21"/>
                <w:highlight w:val="none"/>
                <w:lang w:val="en-US" w:eastAsia="zh-CN" w:bidi="ar"/>
              </w:rPr>
              <w:t>得</w:t>
            </w:r>
            <w:r>
              <w:rPr>
                <w:rFonts w:hint="eastAsia" w:ascii="宋体" w:hAnsi="宋体" w:eastAsia="宋体" w:cs="宋体"/>
                <w:kern w:val="2"/>
                <w:sz w:val="21"/>
                <w:szCs w:val="21"/>
                <w:highlight w:val="none"/>
                <w:lang w:val="en-US" w:eastAsia="zh-CN" w:bidi="ar"/>
              </w:rPr>
              <w:t>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0" w:hRule="atLeast"/>
          <w:tblCellSpacing w:w="0" w:type="dxa"/>
        </w:trPr>
        <w:tc>
          <w:tcPr>
            <w:tcW w:w="704" w:type="dxa"/>
            <w:gridSpan w:val="2"/>
            <w:tcBorders>
              <w:tl2br w:val="nil"/>
              <w:tr2bl w:val="nil"/>
            </w:tcBorders>
            <w:vAlign w:val="center"/>
          </w:tcPr>
          <w:p>
            <w:pPr>
              <w:pStyle w:val="22"/>
              <w:keepNext w:val="0"/>
              <w:keepLines w:val="0"/>
              <w:numPr>
                <w:ilvl w:val="0"/>
                <w:numId w:val="28"/>
              </w:numPr>
              <w:suppressLineNumbers w:val="0"/>
              <w:spacing w:before="0" w:beforeAutospacing="0" w:after="0" w:afterAutospacing="0" w:line="360" w:lineRule="auto"/>
              <w:ind w:right="0" w:firstLineChars="0"/>
              <w:jc w:val="center"/>
              <w:rPr>
                <w:rFonts w:hint="default" w:ascii="宋体" w:hAnsi="宋体" w:eastAsia="宋体"/>
                <w:szCs w:val="21"/>
                <w:highlight w:val="none"/>
              </w:rPr>
            </w:pPr>
          </w:p>
        </w:tc>
        <w:tc>
          <w:tcPr>
            <w:tcW w:w="1134" w:type="dxa"/>
            <w:gridSpan w:val="2"/>
            <w:tcBorders>
              <w:tl2br w:val="nil"/>
              <w:tr2bl w:val="nil"/>
            </w:tcBorders>
            <w:tcMar>
              <w:top w:w="15" w:type="dxa"/>
              <w:left w:w="15" w:type="dxa"/>
              <w:bottom w:w="15" w:type="dxa"/>
              <w:right w:w="15" w:type="dxa"/>
            </w:tcMar>
            <w:vAlign w:val="center"/>
          </w:tcPr>
          <w:p>
            <w:pPr>
              <w:keepNext w:val="0"/>
              <w:keepLines w:val="0"/>
              <w:widowControl w:val="0"/>
              <w:suppressLineNumbers w:val="0"/>
              <w:spacing w:before="0" w:beforeAutospacing="1" w:after="160" w:afterAutospacing="0" w:line="320" w:lineRule="exact"/>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质量目标、质量保证体系及组织措施</w:t>
            </w:r>
          </w:p>
        </w:tc>
        <w:tc>
          <w:tcPr>
            <w:tcW w:w="709" w:type="dxa"/>
            <w:gridSpan w:val="2"/>
            <w:tcBorders>
              <w:tl2br w:val="nil"/>
              <w:tr2bl w:val="nil"/>
            </w:tcBorders>
            <w:tcMar>
              <w:top w:w="15" w:type="dxa"/>
              <w:left w:w="15" w:type="dxa"/>
              <w:bottom w:w="15" w:type="dxa"/>
              <w:right w:w="15" w:type="dxa"/>
            </w:tcMar>
            <w:vAlign w:val="center"/>
          </w:tcPr>
          <w:p>
            <w:pPr>
              <w:keepNext w:val="0"/>
              <w:keepLines w:val="0"/>
              <w:widowControl w:val="0"/>
              <w:suppressLineNumbers w:val="0"/>
              <w:spacing w:before="0" w:beforeAutospacing="1" w:after="160" w:afterAutospacing="0" w:line="360" w:lineRule="auto"/>
              <w:ind w:left="0" w:leftChars="0" w:right="0" w:right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5</w:t>
            </w:r>
          </w:p>
        </w:tc>
        <w:tc>
          <w:tcPr>
            <w:tcW w:w="6804"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
              </w:rPr>
              <w:t>根据投标人</w:t>
            </w:r>
            <w:r>
              <w:rPr>
                <w:rFonts w:hint="eastAsia" w:ascii="宋体" w:hAnsi="宋体" w:eastAsia="宋体" w:cs="宋体"/>
                <w:kern w:val="2"/>
                <w:sz w:val="21"/>
                <w:szCs w:val="21"/>
                <w:highlight w:val="none"/>
                <w:lang w:val="en-US" w:eastAsia="zh-CN" w:bidi="ar"/>
              </w:rPr>
              <w:t>项目工作流程及管理措施</w:t>
            </w:r>
            <w:r>
              <w:rPr>
                <w:rFonts w:hint="eastAsia" w:ascii="宋体" w:hAnsi="宋体" w:cs="宋体"/>
                <w:kern w:val="2"/>
                <w:sz w:val="21"/>
                <w:szCs w:val="21"/>
                <w:highlight w:val="none"/>
                <w:lang w:val="en-US" w:eastAsia="zh-CN" w:bidi="ar"/>
              </w:rPr>
              <w:t>是否</w:t>
            </w:r>
            <w:r>
              <w:rPr>
                <w:rFonts w:hint="eastAsia" w:ascii="宋体" w:hAnsi="宋体" w:eastAsia="宋体" w:cs="宋体"/>
                <w:kern w:val="2"/>
                <w:sz w:val="21"/>
                <w:szCs w:val="21"/>
                <w:highlight w:val="none"/>
                <w:lang w:val="en-US" w:eastAsia="zh-CN" w:bidi="ar"/>
              </w:rPr>
              <w:t>齐全、质量保证体系</w:t>
            </w:r>
            <w:r>
              <w:rPr>
                <w:rFonts w:hint="eastAsia" w:ascii="宋体" w:hAnsi="宋体" w:cs="宋体"/>
                <w:kern w:val="2"/>
                <w:sz w:val="21"/>
                <w:szCs w:val="21"/>
                <w:highlight w:val="none"/>
                <w:lang w:val="en-US" w:eastAsia="zh-CN" w:bidi="ar"/>
              </w:rPr>
              <w:t>是否</w:t>
            </w:r>
            <w:r>
              <w:rPr>
                <w:rFonts w:hint="eastAsia" w:ascii="宋体" w:hAnsi="宋体" w:eastAsia="宋体" w:cs="宋体"/>
                <w:kern w:val="2"/>
                <w:sz w:val="21"/>
                <w:szCs w:val="21"/>
                <w:highlight w:val="none"/>
                <w:lang w:val="en-US" w:eastAsia="zh-CN" w:bidi="ar"/>
              </w:rPr>
              <w:t>完整、质量目标</w:t>
            </w:r>
            <w:r>
              <w:rPr>
                <w:rFonts w:hint="eastAsia" w:ascii="宋体" w:hAnsi="宋体" w:cs="宋体"/>
                <w:kern w:val="2"/>
                <w:sz w:val="21"/>
                <w:szCs w:val="21"/>
                <w:highlight w:val="none"/>
                <w:lang w:val="en-US" w:eastAsia="zh-CN" w:bidi="ar"/>
              </w:rPr>
              <w:t>是否</w:t>
            </w:r>
            <w:r>
              <w:rPr>
                <w:rFonts w:hint="eastAsia" w:ascii="宋体" w:hAnsi="宋体" w:eastAsia="宋体" w:cs="宋体"/>
                <w:kern w:val="2"/>
                <w:sz w:val="21"/>
                <w:szCs w:val="21"/>
                <w:highlight w:val="none"/>
                <w:lang w:val="en-US" w:eastAsia="zh-CN" w:bidi="ar"/>
              </w:rPr>
              <w:t>明确、是否有相应管理保障</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是否有健全的客户服务管理和监督</w:t>
            </w:r>
            <w:r>
              <w:rPr>
                <w:rFonts w:hint="eastAsia" w:ascii="宋体" w:hAnsi="宋体" w:cs="宋体"/>
                <w:kern w:val="2"/>
                <w:sz w:val="21"/>
                <w:szCs w:val="21"/>
                <w:highlight w:val="none"/>
                <w:lang w:val="en-US" w:eastAsia="zh-CN" w:bidi="ar"/>
              </w:rPr>
              <w:t>等</w:t>
            </w:r>
            <w:r>
              <w:rPr>
                <w:rFonts w:hint="eastAsia" w:ascii="宋体" w:hAnsi="宋体" w:eastAsia="宋体" w:cs="宋体"/>
                <w:kern w:val="2"/>
                <w:sz w:val="21"/>
                <w:szCs w:val="21"/>
                <w:highlight w:val="none"/>
                <w:lang w:val="en-US" w:eastAsia="zh-CN" w:bidi="ar"/>
              </w:rPr>
              <w:t>进行评</w:t>
            </w:r>
            <w:r>
              <w:rPr>
                <w:rFonts w:hint="eastAsia" w:ascii="宋体" w:hAnsi="宋体" w:cs="宋体"/>
                <w:kern w:val="2"/>
                <w:sz w:val="21"/>
                <w:szCs w:val="21"/>
                <w:highlight w:val="none"/>
                <w:lang w:val="en-US" w:eastAsia="zh-CN" w:bidi="ar"/>
              </w:rPr>
              <w:t>议：</w:t>
            </w:r>
            <w:r>
              <w:rPr>
                <w:rFonts w:hint="eastAsia" w:ascii="宋体" w:hAnsi="宋体" w:eastAsia="宋体" w:cs="宋体"/>
                <w:kern w:val="2"/>
                <w:sz w:val="21"/>
                <w:szCs w:val="21"/>
                <w:highlight w:val="none"/>
                <w:lang w:val="en-US" w:eastAsia="zh-CN" w:bidi="ar"/>
              </w:rPr>
              <w:t>优秀</w:t>
            </w:r>
            <w:r>
              <w:rPr>
                <w:rFonts w:hint="eastAsia" w:ascii="宋体" w:hAnsi="宋体" w:cs="宋体"/>
                <w:kern w:val="2"/>
                <w:sz w:val="21"/>
                <w:szCs w:val="21"/>
                <w:highlight w:val="none"/>
                <w:lang w:val="en-US" w:eastAsia="zh-CN" w:bidi="ar"/>
              </w:rPr>
              <w:t>得</w:t>
            </w:r>
            <w:r>
              <w:rPr>
                <w:rFonts w:hint="eastAsia" w:ascii="宋体" w:hAnsi="宋体" w:eastAsia="宋体" w:cs="宋体"/>
                <w:kern w:val="2"/>
                <w:sz w:val="21"/>
                <w:szCs w:val="21"/>
                <w:highlight w:val="none"/>
                <w:lang w:val="en-US" w:eastAsia="zh-CN" w:bidi="ar"/>
              </w:rPr>
              <w:t>5分</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良好</w:t>
            </w:r>
            <w:r>
              <w:rPr>
                <w:rFonts w:hint="eastAsia" w:ascii="宋体" w:hAnsi="宋体" w:cs="宋体"/>
                <w:kern w:val="2"/>
                <w:sz w:val="21"/>
                <w:szCs w:val="21"/>
                <w:highlight w:val="none"/>
                <w:lang w:val="en-US" w:eastAsia="zh-CN" w:bidi="ar"/>
              </w:rPr>
              <w:t>得</w:t>
            </w:r>
            <w:r>
              <w:rPr>
                <w:rFonts w:hint="eastAsia" w:ascii="宋体" w:hAnsi="宋体" w:eastAsia="宋体" w:cs="宋体"/>
                <w:kern w:val="2"/>
                <w:sz w:val="21"/>
                <w:szCs w:val="21"/>
                <w:highlight w:val="none"/>
                <w:lang w:val="en-US" w:eastAsia="zh-CN" w:bidi="ar"/>
              </w:rPr>
              <w:t>3分，</w:t>
            </w:r>
            <w:r>
              <w:rPr>
                <w:rFonts w:hint="eastAsia" w:ascii="宋体" w:hAnsi="宋体" w:cs="宋体"/>
                <w:kern w:val="2"/>
                <w:sz w:val="21"/>
                <w:szCs w:val="21"/>
                <w:highlight w:val="none"/>
                <w:lang w:val="en-US" w:eastAsia="zh-CN" w:bidi="ar"/>
              </w:rPr>
              <w:t>一般得</w:t>
            </w:r>
            <w:r>
              <w:rPr>
                <w:rFonts w:hint="eastAsia" w:ascii="宋体" w:hAnsi="宋体" w:eastAsia="宋体" w:cs="宋体"/>
                <w:kern w:val="2"/>
                <w:sz w:val="21"/>
                <w:szCs w:val="21"/>
                <w:highlight w:val="none"/>
                <w:lang w:val="en-US" w:eastAsia="zh-CN" w:bidi="ar"/>
              </w:rPr>
              <w:t>2分，差</w:t>
            </w:r>
            <w:r>
              <w:rPr>
                <w:rFonts w:hint="eastAsia" w:ascii="宋体" w:hAnsi="宋体" w:cs="宋体"/>
                <w:kern w:val="2"/>
                <w:sz w:val="21"/>
                <w:szCs w:val="21"/>
                <w:highlight w:val="none"/>
                <w:lang w:val="en-US" w:eastAsia="zh-CN" w:bidi="ar"/>
              </w:rPr>
              <w:t>得</w:t>
            </w:r>
            <w:r>
              <w:rPr>
                <w:rFonts w:hint="eastAsia" w:ascii="宋体" w:hAnsi="宋体" w:eastAsia="宋体" w:cs="宋体"/>
                <w:kern w:val="2"/>
                <w:sz w:val="21"/>
                <w:szCs w:val="21"/>
                <w:highlight w:val="none"/>
                <w:lang w:val="en-US" w:eastAsia="zh-CN" w:bidi="ar"/>
              </w:rPr>
              <w:t>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trPr>
        <w:tc>
          <w:tcPr>
            <w:tcW w:w="704" w:type="dxa"/>
            <w:gridSpan w:val="2"/>
            <w:tcBorders>
              <w:tl2br w:val="nil"/>
              <w:tr2bl w:val="nil"/>
            </w:tcBorders>
            <w:vAlign w:val="center"/>
          </w:tcPr>
          <w:p>
            <w:pPr>
              <w:pStyle w:val="22"/>
              <w:keepNext w:val="0"/>
              <w:keepLines w:val="0"/>
              <w:numPr>
                <w:ilvl w:val="0"/>
                <w:numId w:val="28"/>
              </w:numPr>
              <w:suppressLineNumbers w:val="0"/>
              <w:spacing w:before="0" w:beforeAutospacing="0" w:after="0" w:afterAutospacing="0" w:line="360" w:lineRule="auto"/>
              <w:ind w:right="0" w:firstLineChars="0"/>
              <w:jc w:val="center"/>
              <w:rPr>
                <w:rFonts w:hint="default" w:ascii="宋体" w:hAnsi="宋体" w:eastAsia="宋体"/>
                <w:szCs w:val="21"/>
                <w:highlight w:val="none"/>
              </w:rPr>
            </w:pPr>
          </w:p>
        </w:tc>
        <w:tc>
          <w:tcPr>
            <w:tcW w:w="1134" w:type="dxa"/>
            <w:gridSpan w:val="2"/>
            <w:tcBorders>
              <w:tl2br w:val="nil"/>
              <w:tr2bl w:val="nil"/>
            </w:tcBorders>
            <w:tcMar>
              <w:top w:w="15" w:type="dxa"/>
              <w:left w:w="15" w:type="dxa"/>
              <w:bottom w:w="15" w:type="dxa"/>
              <w:right w:w="15" w:type="dxa"/>
            </w:tcMar>
            <w:vAlign w:val="center"/>
          </w:tcPr>
          <w:p>
            <w:pPr>
              <w:keepNext w:val="0"/>
              <w:keepLines w:val="0"/>
              <w:widowControl w:val="0"/>
              <w:suppressLineNumbers w:val="0"/>
              <w:spacing w:before="0" w:beforeAutospacing="1" w:after="160" w:afterAutospacing="0" w:line="320" w:lineRule="exact"/>
              <w:ind w:left="0" w:leftChars="0" w:right="0" w:rightChars="0"/>
              <w:jc w:val="center"/>
              <w:rPr>
                <w:rFonts w:hint="default"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售后增值服务</w:t>
            </w:r>
          </w:p>
        </w:tc>
        <w:tc>
          <w:tcPr>
            <w:tcW w:w="709" w:type="dxa"/>
            <w:gridSpan w:val="2"/>
            <w:tcBorders>
              <w:tl2br w:val="nil"/>
              <w:tr2bl w:val="nil"/>
            </w:tcBorders>
            <w:tcMar>
              <w:top w:w="15" w:type="dxa"/>
              <w:left w:w="15" w:type="dxa"/>
              <w:bottom w:w="15" w:type="dxa"/>
              <w:right w:w="15" w:type="dxa"/>
            </w:tcMar>
            <w:vAlign w:val="center"/>
          </w:tcPr>
          <w:p>
            <w:pPr>
              <w:keepNext w:val="0"/>
              <w:keepLines w:val="0"/>
              <w:widowControl w:val="0"/>
              <w:suppressLineNumbers w:val="0"/>
              <w:spacing w:before="0" w:beforeAutospacing="1" w:after="160" w:afterAutospacing="0" w:line="360" w:lineRule="auto"/>
              <w:ind w:left="0" w:leftChars="0" w:right="0" w:rightChars="0"/>
              <w:jc w:val="center"/>
              <w:rPr>
                <w:rFonts w:hint="default"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4</w:t>
            </w:r>
          </w:p>
        </w:tc>
        <w:tc>
          <w:tcPr>
            <w:tcW w:w="6804"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宋体" w:hAnsi="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根据投标人</w:t>
            </w:r>
            <w:r>
              <w:rPr>
                <w:rFonts w:hint="eastAsia" w:ascii="宋体" w:hAnsi="宋体" w:eastAsia="宋体" w:cs="宋体"/>
                <w:kern w:val="2"/>
                <w:sz w:val="21"/>
                <w:szCs w:val="21"/>
                <w:highlight w:val="none"/>
                <w:lang w:val="en-US" w:eastAsia="zh-CN" w:bidi="ar"/>
              </w:rPr>
              <w:t>工作</w:t>
            </w:r>
            <w:r>
              <w:rPr>
                <w:rFonts w:hint="eastAsia" w:ascii="宋体" w:hAnsi="宋体" w:cs="宋体"/>
                <w:kern w:val="2"/>
                <w:sz w:val="21"/>
                <w:szCs w:val="21"/>
                <w:highlight w:val="none"/>
                <w:lang w:val="en-US" w:eastAsia="zh-CN" w:bidi="ar"/>
              </w:rPr>
              <w:t>是否有明确完善的售后保障体系和可选增值服务进行</w:t>
            </w:r>
            <w:r>
              <w:rPr>
                <w:rFonts w:hint="eastAsia" w:ascii="宋体" w:hAnsi="宋体" w:eastAsia="宋体" w:cs="宋体"/>
                <w:kern w:val="2"/>
                <w:sz w:val="21"/>
                <w:szCs w:val="21"/>
                <w:highlight w:val="none"/>
                <w:lang w:val="en-US" w:eastAsia="zh-CN" w:bidi="ar"/>
              </w:rPr>
              <w:t>评</w:t>
            </w:r>
            <w:r>
              <w:rPr>
                <w:rFonts w:hint="eastAsia" w:ascii="宋体" w:hAnsi="宋体" w:cs="宋体"/>
                <w:kern w:val="2"/>
                <w:sz w:val="21"/>
                <w:szCs w:val="21"/>
                <w:highlight w:val="none"/>
                <w:lang w:val="en-US" w:eastAsia="zh-CN" w:bidi="ar"/>
              </w:rPr>
              <w:t>议：</w:t>
            </w:r>
            <w:r>
              <w:rPr>
                <w:rFonts w:hint="eastAsia" w:ascii="宋体" w:hAnsi="宋体" w:eastAsia="宋体" w:cs="宋体"/>
                <w:kern w:val="2"/>
                <w:sz w:val="21"/>
                <w:szCs w:val="21"/>
                <w:highlight w:val="none"/>
                <w:lang w:val="en-US" w:eastAsia="zh-CN" w:bidi="ar"/>
              </w:rPr>
              <w:t>优秀</w:t>
            </w:r>
            <w:r>
              <w:rPr>
                <w:rFonts w:hint="eastAsia" w:ascii="宋体" w:hAnsi="宋体" w:cs="宋体"/>
                <w:kern w:val="2"/>
                <w:sz w:val="21"/>
                <w:szCs w:val="21"/>
                <w:highlight w:val="none"/>
                <w:lang w:val="en-US" w:eastAsia="zh-CN" w:bidi="ar"/>
              </w:rPr>
              <w:t>得4</w:t>
            </w:r>
            <w:r>
              <w:rPr>
                <w:rFonts w:hint="eastAsia" w:ascii="宋体" w:hAnsi="宋体" w:eastAsia="宋体" w:cs="宋体"/>
                <w:kern w:val="2"/>
                <w:sz w:val="21"/>
                <w:szCs w:val="21"/>
                <w:highlight w:val="none"/>
                <w:lang w:val="en-US" w:eastAsia="zh-CN" w:bidi="ar"/>
              </w:rPr>
              <w:t>分</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良好</w:t>
            </w:r>
            <w:r>
              <w:rPr>
                <w:rFonts w:hint="eastAsia" w:ascii="宋体" w:hAnsi="宋体" w:cs="宋体"/>
                <w:kern w:val="2"/>
                <w:sz w:val="21"/>
                <w:szCs w:val="21"/>
                <w:highlight w:val="none"/>
                <w:lang w:val="en-US" w:eastAsia="zh-CN" w:bidi="ar"/>
              </w:rPr>
              <w:t>得</w:t>
            </w:r>
            <w:r>
              <w:rPr>
                <w:rFonts w:hint="eastAsia" w:ascii="宋体" w:hAnsi="宋体" w:eastAsia="宋体" w:cs="宋体"/>
                <w:kern w:val="2"/>
                <w:sz w:val="21"/>
                <w:szCs w:val="21"/>
                <w:highlight w:val="none"/>
                <w:lang w:val="en-US" w:eastAsia="zh-CN" w:bidi="ar"/>
              </w:rPr>
              <w:t>3分，</w:t>
            </w:r>
            <w:r>
              <w:rPr>
                <w:rFonts w:hint="eastAsia" w:ascii="宋体" w:hAnsi="宋体" w:cs="宋体"/>
                <w:kern w:val="2"/>
                <w:sz w:val="21"/>
                <w:szCs w:val="21"/>
                <w:highlight w:val="none"/>
                <w:lang w:val="en-US" w:eastAsia="zh-CN" w:bidi="ar"/>
              </w:rPr>
              <w:t>一般得</w:t>
            </w:r>
            <w:r>
              <w:rPr>
                <w:rFonts w:hint="eastAsia" w:ascii="宋体" w:hAnsi="宋体" w:eastAsia="宋体" w:cs="宋体"/>
                <w:kern w:val="2"/>
                <w:sz w:val="21"/>
                <w:szCs w:val="21"/>
                <w:highlight w:val="none"/>
                <w:lang w:val="en-US" w:eastAsia="zh-CN" w:bidi="ar"/>
              </w:rPr>
              <w:t>2分，差</w:t>
            </w:r>
            <w:r>
              <w:rPr>
                <w:rFonts w:hint="eastAsia" w:ascii="宋体" w:hAnsi="宋体" w:cs="宋体"/>
                <w:kern w:val="2"/>
                <w:sz w:val="21"/>
                <w:szCs w:val="21"/>
                <w:highlight w:val="none"/>
                <w:lang w:val="en-US" w:eastAsia="zh-CN" w:bidi="ar"/>
              </w:rPr>
              <w:t>得</w:t>
            </w:r>
            <w:r>
              <w:rPr>
                <w:rFonts w:hint="eastAsia" w:ascii="宋体" w:hAnsi="宋体" w:eastAsia="宋体" w:cs="宋体"/>
                <w:kern w:val="2"/>
                <w:sz w:val="21"/>
                <w:szCs w:val="21"/>
                <w:highlight w:val="none"/>
                <w:lang w:val="en-US" w:eastAsia="zh-CN" w:bidi="ar"/>
              </w:rPr>
              <w:t>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0" w:hRule="atLeast"/>
          <w:tblCellSpacing w:w="0" w:type="dxa"/>
        </w:trPr>
        <w:tc>
          <w:tcPr>
            <w:tcW w:w="704" w:type="dxa"/>
            <w:gridSpan w:val="2"/>
            <w:tcBorders>
              <w:tl2br w:val="nil"/>
              <w:tr2bl w:val="nil"/>
            </w:tcBorders>
            <w:vAlign w:val="center"/>
          </w:tcPr>
          <w:p>
            <w:pPr>
              <w:pStyle w:val="22"/>
              <w:keepNext w:val="0"/>
              <w:keepLines w:val="0"/>
              <w:numPr>
                <w:ilvl w:val="0"/>
                <w:numId w:val="28"/>
              </w:numPr>
              <w:suppressLineNumbers w:val="0"/>
              <w:spacing w:before="0" w:beforeAutospacing="0" w:after="0" w:afterAutospacing="0" w:line="360" w:lineRule="auto"/>
              <w:ind w:left="420" w:leftChars="0" w:right="0" w:rightChars="0" w:hanging="420" w:firstLineChars="0"/>
              <w:jc w:val="center"/>
              <w:rPr>
                <w:rFonts w:hint="default" w:ascii="宋体" w:hAnsi="宋体" w:eastAsia="宋体"/>
                <w:szCs w:val="21"/>
                <w:highlight w:val="none"/>
              </w:rPr>
            </w:pPr>
          </w:p>
        </w:tc>
        <w:tc>
          <w:tcPr>
            <w:tcW w:w="1134" w:type="dxa"/>
            <w:gridSpan w:val="2"/>
            <w:tcBorders>
              <w:tl2br w:val="nil"/>
              <w:tr2bl w:val="nil"/>
            </w:tcBorders>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line="360" w:lineRule="auto"/>
              <w:ind w:left="0" w:leftChars="0" w:right="0" w:rightChars="0"/>
              <w:jc w:val="center"/>
              <w:rPr>
                <w:rFonts w:hint="eastAsia" w:ascii="宋体" w:hAnsi="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项目</w:t>
            </w:r>
            <w:r>
              <w:rPr>
                <w:rFonts w:hint="eastAsia" w:ascii="宋体" w:hAnsi="宋体" w:cs="宋体"/>
                <w:kern w:val="2"/>
                <w:sz w:val="21"/>
                <w:szCs w:val="21"/>
                <w:highlight w:val="none"/>
                <w:lang w:val="en-US" w:eastAsia="zh-CN" w:bidi="ar"/>
              </w:rPr>
              <w:t>负责人业绩</w:t>
            </w:r>
          </w:p>
        </w:tc>
        <w:tc>
          <w:tcPr>
            <w:tcW w:w="709" w:type="dxa"/>
            <w:gridSpan w:val="2"/>
            <w:tcBorders>
              <w:tl2br w:val="nil"/>
              <w:tr2bl w:val="nil"/>
            </w:tcBorders>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line="360" w:lineRule="auto"/>
              <w:ind w:left="0" w:leftChars="0" w:right="0" w:rightChars="0"/>
              <w:jc w:val="center"/>
              <w:rPr>
                <w:rFonts w:hint="default" w:ascii="宋体" w:hAnsi="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6</w:t>
            </w:r>
          </w:p>
        </w:tc>
        <w:tc>
          <w:tcPr>
            <w:tcW w:w="6804"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根据投标人</w:t>
            </w:r>
            <w:r>
              <w:rPr>
                <w:rFonts w:hint="eastAsia" w:ascii="宋体" w:hAnsi="宋体" w:cs="宋体"/>
                <w:color w:val="auto"/>
                <w:highlight w:val="none"/>
                <w:lang w:val="en-US" w:eastAsia="zh-CN"/>
              </w:rPr>
              <w:t>提供的</w:t>
            </w:r>
            <w:r>
              <w:rPr>
                <w:rFonts w:hint="eastAsia" w:ascii="宋体" w:hAnsi="宋体" w:eastAsia="宋体" w:cs="宋体"/>
                <w:kern w:val="2"/>
                <w:sz w:val="21"/>
                <w:szCs w:val="21"/>
                <w:highlight w:val="none"/>
                <w:lang w:val="en-US" w:eastAsia="zh-CN" w:bidi="ar"/>
              </w:rPr>
              <w:t>项目负责人自2020年1月1日起至本项目招标公告发布之日止的</w:t>
            </w:r>
            <w:r>
              <w:rPr>
                <w:rFonts w:hint="eastAsia" w:ascii="宋体" w:hAnsi="宋体" w:cs="宋体"/>
                <w:kern w:val="2"/>
                <w:sz w:val="21"/>
                <w:szCs w:val="21"/>
                <w:highlight w:val="none"/>
                <w:lang w:val="en-US" w:eastAsia="zh-CN" w:bidi="ar"/>
              </w:rPr>
              <w:t>3份固定资产清查盘点审计项目相关业绩进行</w:t>
            </w:r>
            <w:r>
              <w:rPr>
                <w:rFonts w:hint="eastAsia" w:ascii="宋体" w:hAnsi="宋体" w:eastAsia="宋体" w:cs="宋体"/>
                <w:kern w:val="2"/>
                <w:sz w:val="21"/>
                <w:szCs w:val="21"/>
                <w:highlight w:val="none"/>
                <w:lang w:val="en-US" w:eastAsia="zh-CN" w:bidi="ar"/>
              </w:rPr>
              <w:t>评议</w:t>
            </w:r>
            <w:r>
              <w:rPr>
                <w:rFonts w:hint="eastAsia" w:ascii="宋体" w:hAnsi="宋体" w:cs="宋体"/>
                <w:kern w:val="2"/>
                <w:sz w:val="21"/>
                <w:szCs w:val="21"/>
                <w:highlight w:val="none"/>
                <w:lang w:val="en-US" w:eastAsia="zh-CN" w:bidi="ar"/>
              </w:rPr>
              <w:t>：</w:t>
            </w:r>
          </w:p>
          <w:p>
            <w:pPr>
              <w:keepNext w:val="0"/>
              <w:keepLines w:val="0"/>
              <w:pageBreakBefore w:val="0"/>
              <w:widowControl w:val="0"/>
              <w:numPr>
                <w:ilvl w:val="0"/>
                <w:numId w:val="29"/>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lang w:val="en-US" w:eastAsia="zh-CN"/>
              </w:rPr>
            </w:pPr>
            <w:r>
              <w:rPr>
                <w:rFonts w:hint="eastAsia" w:ascii="宋体" w:hAnsi="宋体" w:cs="宋体"/>
                <w:kern w:val="2"/>
                <w:sz w:val="21"/>
                <w:szCs w:val="21"/>
                <w:highlight w:val="none"/>
                <w:lang w:val="en-US" w:eastAsia="zh-CN" w:bidi="ar"/>
              </w:rPr>
              <w:t>曾</w:t>
            </w:r>
            <w:r>
              <w:rPr>
                <w:rFonts w:hint="eastAsia" w:ascii="宋体" w:hAnsi="宋体" w:eastAsia="宋体" w:cs="宋体"/>
                <w:kern w:val="2"/>
                <w:sz w:val="21"/>
                <w:szCs w:val="21"/>
                <w:highlight w:val="none"/>
                <w:lang w:val="en-US" w:eastAsia="zh-CN" w:bidi="ar"/>
              </w:rPr>
              <w:t>作为项目负责人实施的固定资产</w:t>
            </w:r>
            <w:r>
              <w:rPr>
                <w:rFonts w:hint="eastAsia" w:ascii="宋体" w:hAnsi="宋体" w:cs="宋体"/>
                <w:kern w:val="2"/>
                <w:sz w:val="21"/>
                <w:szCs w:val="21"/>
                <w:highlight w:val="none"/>
                <w:lang w:val="en-US" w:eastAsia="zh-CN" w:bidi="ar"/>
              </w:rPr>
              <w:t>清查盘点审计</w:t>
            </w:r>
            <w:r>
              <w:rPr>
                <w:rFonts w:hint="eastAsia" w:ascii="宋体" w:hAnsi="宋体" w:eastAsia="宋体" w:cs="宋体"/>
                <w:kern w:val="2"/>
                <w:sz w:val="21"/>
                <w:szCs w:val="21"/>
                <w:highlight w:val="none"/>
                <w:lang w:val="en-US" w:eastAsia="zh-CN" w:bidi="ar"/>
              </w:rPr>
              <w:t>项目</w:t>
            </w:r>
            <w:r>
              <w:rPr>
                <w:rFonts w:hint="eastAsia" w:ascii="宋体" w:hAnsi="宋体" w:cs="宋体"/>
                <w:kern w:val="2"/>
                <w:sz w:val="21"/>
                <w:szCs w:val="21"/>
                <w:highlight w:val="none"/>
                <w:lang w:val="en-US" w:eastAsia="zh-CN" w:bidi="ar"/>
              </w:rPr>
              <w:t>中，完成盘点固定资产超10万项的，</w:t>
            </w:r>
            <w:r>
              <w:rPr>
                <w:rFonts w:hint="eastAsia" w:ascii="宋体" w:hAnsi="宋体" w:eastAsia="宋体" w:cs="宋体"/>
                <w:kern w:val="2"/>
                <w:sz w:val="21"/>
                <w:szCs w:val="21"/>
                <w:highlight w:val="none"/>
                <w:lang w:val="en-US" w:eastAsia="zh-CN" w:bidi="ar"/>
              </w:rPr>
              <w:t>每提供1项得</w:t>
            </w:r>
            <w:r>
              <w:rPr>
                <w:rFonts w:hint="eastAsia" w:ascii="宋体" w:hAnsi="宋体" w:cs="宋体"/>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分</w:t>
            </w:r>
            <w:r>
              <w:rPr>
                <w:rFonts w:hint="eastAsia" w:ascii="宋体" w:hAnsi="宋体" w:cs="宋体"/>
                <w:kern w:val="2"/>
                <w:sz w:val="21"/>
                <w:szCs w:val="21"/>
                <w:highlight w:val="none"/>
                <w:lang w:val="en-US" w:eastAsia="zh-CN" w:bidi="ar"/>
              </w:rPr>
              <w:t>；</w:t>
            </w:r>
          </w:p>
          <w:p>
            <w:pPr>
              <w:keepNext w:val="0"/>
              <w:keepLines w:val="0"/>
              <w:pageBreakBefore w:val="0"/>
              <w:widowControl w:val="0"/>
              <w:numPr>
                <w:ilvl w:val="0"/>
                <w:numId w:val="29"/>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lang w:val="en-US" w:eastAsia="zh-CN"/>
              </w:rPr>
            </w:pPr>
            <w:r>
              <w:rPr>
                <w:rFonts w:hint="eastAsia" w:ascii="宋体" w:hAnsi="宋体" w:cs="宋体"/>
                <w:kern w:val="2"/>
                <w:sz w:val="21"/>
                <w:szCs w:val="21"/>
                <w:highlight w:val="none"/>
                <w:lang w:val="en-US" w:eastAsia="zh-CN" w:bidi="ar"/>
              </w:rPr>
              <w:t>曾</w:t>
            </w:r>
            <w:r>
              <w:rPr>
                <w:rFonts w:hint="eastAsia" w:ascii="宋体" w:hAnsi="宋体" w:eastAsia="宋体" w:cs="宋体"/>
                <w:kern w:val="2"/>
                <w:sz w:val="21"/>
                <w:szCs w:val="21"/>
                <w:highlight w:val="none"/>
                <w:lang w:val="en-US" w:eastAsia="zh-CN" w:bidi="ar"/>
              </w:rPr>
              <w:t>作为项目负责人实施的固定资产</w:t>
            </w:r>
            <w:r>
              <w:rPr>
                <w:rFonts w:hint="eastAsia" w:ascii="宋体" w:hAnsi="宋体" w:cs="宋体"/>
                <w:kern w:val="2"/>
                <w:sz w:val="21"/>
                <w:szCs w:val="21"/>
                <w:highlight w:val="none"/>
                <w:lang w:val="en-US" w:eastAsia="zh-CN" w:bidi="ar"/>
              </w:rPr>
              <w:t>清查盘点审计</w:t>
            </w:r>
            <w:r>
              <w:rPr>
                <w:rFonts w:hint="eastAsia" w:ascii="宋体" w:hAnsi="宋体" w:eastAsia="宋体" w:cs="宋体"/>
                <w:kern w:val="2"/>
                <w:sz w:val="21"/>
                <w:szCs w:val="21"/>
                <w:highlight w:val="none"/>
                <w:lang w:val="en-US" w:eastAsia="zh-CN" w:bidi="ar"/>
              </w:rPr>
              <w:t>项目</w:t>
            </w:r>
            <w:r>
              <w:rPr>
                <w:rFonts w:hint="eastAsia" w:ascii="宋体" w:hAnsi="宋体" w:cs="宋体"/>
                <w:kern w:val="2"/>
                <w:sz w:val="21"/>
                <w:szCs w:val="21"/>
                <w:highlight w:val="none"/>
                <w:lang w:val="en-US" w:eastAsia="zh-CN" w:bidi="ar"/>
              </w:rPr>
              <w:t>中，完成盘点固定资产超5万项的，</w:t>
            </w:r>
            <w:r>
              <w:rPr>
                <w:rFonts w:hint="eastAsia" w:ascii="宋体" w:hAnsi="宋体" w:eastAsia="宋体" w:cs="宋体"/>
                <w:kern w:val="2"/>
                <w:sz w:val="21"/>
                <w:szCs w:val="21"/>
                <w:highlight w:val="none"/>
                <w:lang w:val="en-US" w:eastAsia="zh-CN" w:bidi="ar"/>
              </w:rPr>
              <w:t>每提供1项得</w:t>
            </w:r>
            <w:r>
              <w:rPr>
                <w:rFonts w:hint="eastAsia" w:ascii="宋体" w:hAnsi="宋体" w:cs="宋体"/>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分</w:t>
            </w:r>
            <w:r>
              <w:rPr>
                <w:rFonts w:hint="eastAsia" w:ascii="宋体" w:hAnsi="宋体" w:cs="宋体"/>
                <w:kern w:val="2"/>
                <w:sz w:val="21"/>
                <w:szCs w:val="21"/>
                <w:highlight w:val="none"/>
                <w:lang w:val="en-US" w:eastAsia="zh-CN" w:bidi="ar"/>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说明：</w:t>
            </w:r>
          </w:p>
          <w:p>
            <w:pPr>
              <w:keepNext w:val="0"/>
              <w:keepLines w:val="0"/>
              <w:pageBreakBefore w:val="0"/>
              <w:widowControl w:val="0"/>
              <w:numPr>
                <w:ilvl w:val="0"/>
                <w:numId w:val="30"/>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kern w:val="2"/>
                <w:sz w:val="21"/>
                <w:szCs w:val="21"/>
                <w:highlight w:val="none"/>
                <w:lang w:val="en-US" w:eastAsia="zh-CN" w:bidi="ar"/>
              </w:rPr>
            </w:pPr>
            <w:r>
              <w:rPr>
                <w:rFonts w:hint="eastAsia"/>
                <w:lang w:val="en-US" w:eastAsia="zh-CN"/>
              </w:rPr>
              <w:t>投标人最多</w:t>
            </w:r>
            <w:r>
              <w:rPr>
                <w:rFonts w:hint="eastAsia" w:ascii="宋体" w:hAnsi="宋体" w:eastAsia="宋体" w:cs="宋体"/>
                <w:kern w:val="2"/>
                <w:sz w:val="21"/>
                <w:szCs w:val="21"/>
                <w:highlight w:val="none"/>
                <w:lang w:val="en-US" w:eastAsia="zh-CN" w:bidi="ar"/>
              </w:rPr>
              <w:t>提供</w:t>
            </w:r>
            <w:r>
              <w:rPr>
                <w:rFonts w:hint="eastAsia"/>
                <w:lang w:val="en-US" w:eastAsia="zh-CN"/>
              </w:rPr>
              <w:t>3份项目业绩</w:t>
            </w:r>
            <w:r>
              <w:rPr>
                <w:rFonts w:hint="eastAsia" w:ascii="宋体" w:hAnsi="宋体" w:cs="宋体"/>
                <w:kern w:val="2"/>
                <w:sz w:val="21"/>
                <w:szCs w:val="21"/>
                <w:highlight w:val="none"/>
                <w:lang w:val="en-US" w:eastAsia="zh-CN" w:bidi="ar"/>
              </w:rPr>
              <w:t>可信证明材料</w:t>
            </w:r>
            <w:r>
              <w:rPr>
                <w:rFonts w:hint="eastAsia"/>
                <w:lang w:val="en-US" w:eastAsia="zh-CN"/>
              </w:rPr>
              <w:t>，份数超过的，将取3份最高分业绩进行计算，本项与商务评议项中的企业业绩将分开计分，本项最高得6分。</w:t>
            </w:r>
          </w:p>
          <w:p>
            <w:pPr>
              <w:keepNext w:val="0"/>
              <w:keepLines w:val="0"/>
              <w:pageBreakBefore w:val="0"/>
              <w:widowControl w:val="0"/>
              <w:numPr>
                <w:ilvl w:val="0"/>
                <w:numId w:val="30"/>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投标人</w:t>
            </w:r>
            <w:r>
              <w:rPr>
                <w:rFonts w:hint="eastAsia"/>
                <w:lang w:val="en-US" w:eastAsia="zh-CN"/>
              </w:rPr>
              <w:t>可</w:t>
            </w:r>
            <w:r>
              <w:rPr>
                <w:rFonts w:hint="eastAsia" w:ascii="宋体" w:hAnsi="宋体" w:eastAsia="宋体" w:cs="宋体"/>
                <w:kern w:val="2"/>
                <w:sz w:val="21"/>
                <w:szCs w:val="21"/>
                <w:highlight w:val="none"/>
                <w:lang w:val="en-US" w:eastAsia="zh-CN" w:bidi="ar"/>
              </w:rPr>
              <w:t>提供</w:t>
            </w:r>
            <w:r>
              <w:rPr>
                <w:rFonts w:hint="eastAsia" w:ascii="宋体" w:hAnsi="宋体" w:cs="宋体"/>
                <w:kern w:val="2"/>
                <w:sz w:val="21"/>
                <w:szCs w:val="21"/>
                <w:highlight w:val="none"/>
                <w:lang w:val="en-US" w:eastAsia="zh-CN" w:bidi="ar"/>
              </w:rPr>
              <w:t>如</w:t>
            </w:r>
            <w:r>
              <w:rPr>
                <w:rFonts w:hint="eastAsia" w:ascii="宋体" w:hAnsi="宋体" w:eastAsia="宋体" w:cs="宋体"/>
                <w:kern w:val="2"/>
                <w:sz w:val="21"/>
                <w:szCs w:val="21"/>
                <w:highlight w:val="none"/>
                <w:lang w:val="en-US" w:eastAsia="zh-CN" w:bidi="ar"/>
              </w:rPr>
              <w:t>合同、固定资产审计报告、验收报告或加盖甲方公章的甲方证明等</w:t>
            </w:r>
            <w:r>
              <w:rPr>
                <w:rFonts w:hint="eastAsia" w:ascii="宋体" w:hAnsi="宋体" w:cs="宋体"/>
                <w:kern w:val="2"/>
                <w:sz w:val="21"/>
                <w:szCs w:val="21"/>
                <w:highlight w:val="none"/>
                <w:lang w:val="en-US" w:eastAsia="zh-CN" w:bidi="ar"/>
              </w:rPr>
              <w:t>任一资料作为业绩可信证明材料，提供材料</w:t>
            </w:r>
            <w:r>
              <w:rPr>
                <w:rFonts w:hint="eastAsia" w:ascii="宋体" w:hAnsi="宋体" w:eastAsia="宋体" w:cs="宋体"/>
                <w:kern w:val="2"/>
                <w:sz w:val="21"/>
                <w:szCs w:val="21"/>
                <w:highlight w:val="none"/>
                <w:lang w:val="en-US" w:eastAsia="zh-CN" w:bidi="ar"/>
              </w:rPr>
              <w:t>关键页复印件并加盖</w:t>
            </w:r>
            <w:r>
              <w:rPr>
                <w:rFonts w:hint="eastAsia" w:ascii="宋体" w:hAnsi="宋体" w:cs="宋体"/>
                <w:kern w:val="2"/>
                <w:sz w:val="21"/>
                <w:szCs w:val="21"/>
                <w:highlight w:val="none"/>
                <w:lang w:val="en-US" w:eastAsia="zh-CN" w:bidi="ar"/>
              </w:rPr>
              <w:t>投标人</w:t>
            </w:r>
            <w:r>
              <w:rPr>
                <w:rFonts w:hint="eastAsia" w:ascii="宋体" w:hAnsi="宋体" w:eastAsia="宋体" w:cs="宋体"/>
                <w:kern w:val="2"/>
                <w:sz w:val="21"/>
                <w:szCs w:val="21"/>
                <w:highlight w:val="none"/>
                <w:lang w:val="en-US" w:eastAsia="zh-CN" w:bidi="ar"/>
              </w:rPr>
              <w:t>公章。未按要求提供上述资料者，不得分。</w:t>
            </w:r>
          </w:p>
          <w:p>
            <w:pPr>
              <w:keepNext w:val="0"/>
              <w:keepLines w:val="0"/>
              <w:pageBreakBefore w:val="0"/>
              <w:widowControl w:val="0"/>
              <w:numPr>
                <w:ilvl w:val="0"/>
                <w:numId w:val="30"/>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lang w:val="en-US" w:eastAsia="zh-CN"/>
              </w:rPr>
            </w:pPr>
            <w:r>
              <w:rPr>
                <w:rFonts w:hint="eastAsia" w:ascii="宋体" w:hAnsi="宋体" w:cs="宋体"/>
                <w:kern w:val="2"/>
                <w:sz w:val="21"/>
                <w:szCs w:val="21"/>
                <w:highlight w:val="none"/>
                <w:lang w:val="en-US" w:eastAsia="zh-CN" w:bidi="ar"/>
              </w:rPr>
              <w:t>业绩可信证明材料</w:t>
            </w:r>
            <w:r>
              <w:rPr>
                <w:rFonts w:hint="eastAsia" w:ascii="宋体" w:hAnsi="宋体" w:eastAsia="宋体" w:cs="宋体"/>
                <w:kern w:val="2"/>
                <w:sz w:val="21"/>
                <w:szCs w:val="21"/>
                <w:highlight w:val="none"/>
                <w:lang w:val="en-US" w:eastAsia="zh-CN" w:bidi="ar"/>
              </w:rPr>
              <w:t>关键页</w:t>
            </w:r>
            <w:r>
              <w:rPr>
                <w:rFonts w:hint="eastAsia" w:ascii="宋体" w:hAnsi="宋体" w:cs="宋体"/>
                <w:kern w:val="2"/>
                <w:sz w:val="21"/>
                <w:szCs w:val="21"/>
                <w:highlight w:val="none"/>
                <w:lang w:val="en-US" w:eastAsia="zh-CN" w:bidi="ar"/>
              </w:rPr>
              <w:t>须体现</w:t>
            </w:r>
            <w:r>
              <w:rPr>
                <w:rFonts w:hint="eastAsia" w:ascii="宋体" w:hAnsi="宋体" w:eastAsia="宋体" w:cs="宋体"/>
                <w:kern w:val="2"/>
                <w:sz w:val="21"/>
                <w:szCs w:val="21"/>
                <w:highlight w:val="none"/>
                <w:lang w:val="en-US" w:eastAsia="zh-CN" w:bidi="ar"/>
              </w:rPr>
              <w:t>内容包括但不限于项目名称、项目主要内容、合同签订时间、项目客户名称、项目履约地点</w:t>
            </w:r>
            <w:r>
              <w:rPr>
                <w:rFonts w:hint="eastAsia" w:ascii="宋体" w:hAnsi="宋体" w:cs="宋体"/>
                <w:kern w:val="2"/>
                <w:sz w:val="21"/>
                <w:szCs w:val="21"/>
                <w:highlight w:val="none"/>
                <w:lang w:val="en-US" w:eastAsia="zh-CN" w:bidi="ar"/>
              </w:rPr>
              <w:t>、资产清查盘点数量</w:t>
            </w:r>
            <w:r>
              <w:rPr>
                <w:rFonts w:hint="eastAsia" w:ascii="宋体" w:hAnsi="宋体" w:eastAsia="宋体" w:cs="宋体"/>
                <w:kern w:val="2"/>
                <w:sz w:val="21"/>
                <w:szCs w:val="21"/>
                <w:highlight w:val="none"/>
                <w:lang w:val="en-US" w:eastAsia="zh-CN" w:bidi="ar"/>
              </w:rPr>
              <w:t>等。未按要求提供上述资料者，不得分。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gridSpan w:val="2"/>
            <w:tcBorders>
              <w:tl2br w:val="nil"/>
              <w:tr2bl w:val="nil"/>
            </w:tcBorders>
            <w:vAlign w:val="center"/>
          </w:tcPr>
          <w:p>
            <w:pPr>
              <w:pStyle w:val="22"/>
              <w:keepNext w:val="0"/>
              <w:keepLines w:val="0"/>
              <w:numPr>
                <w:ilvl w:val="0"/>
                <w:numId w:val="28"/>
              </w:numPr>
              <w:suppressLineNumbers w:val="0"/>
              <w:spacing w:before="0" w:beforeAutospacing="0" w:after="0" w:afterAutospacing="0" w:line="360" w:lineRule="auto"/>
              <w:ind w:right="0" w:firstLineChars="0"/>
              <w:jc w:val="center"/>
              <w:rPr>
                <w:rFonts w:hint="eastAsia" w:ascii="宋体" w:hAnsi="宋体" w:eastAsia="宋体" w:cs="宋体"/>
                <w:kern w:val="2"/>
                <w:sz w:val="24"/>
                <w:szCs w:val="24"/>
                <w:highlight w:val="none"/>
                <w:lang w:val="en-US" w:eastAsia="zh-CN" w:bidi="ar"/>
              </w:rPr>
            </w:pPr>
          </w:p>
        </w:tc>
        <w:tc>
          <w:tcPr>
            <w:tcW w:w="1134" w:type="dxa"/>
            <w:gridSpan w:val="2"/>
            <w:tcBorders>
              <w:tl2br w:val="nil"/>
              <w:tr2bl w:val="nil"/>
            </w:tcBorders>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项目人员资质</w:t>
            </w:r>
          </w:p>
        </w:tc>
        <w:tc>
          <w:tcPr>
            <w:tcW w:w="709" w:type="dxa"/>
            <w:gridSpan w:val="2"/>
            <w:tcBorders>
              <w:tl2br w:val="nil"/>
              <w:tr2bl w:val="nil"/>
            </w:tcBorders>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line="360" w:lineRule="auto"/>
              <w:ind w:left="0" w:right="0"/>
              <w:jc w:val="center"/>
              <w:rPr>
                <w:rFonts w:hint="default"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10</w:t>
            </w:r>
          </w:p>
        </w:tc>
        <w:tc>
          <w:tcPr>
            <w:tcW w:w="6804"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根据投标人</w:t>
            </w:r>
            <w:r>
              <w:rPr>
                <w:rFonts w:hint="eastAsia" w:ascii="宋体" w:hAnsi="宋体" w:eastAsia="宋体" w:cs="宋体"/>
                <w:kern w:val="2"/>
                <w:sz w:val="21"/>
                <w:szCs w:val="21"/>
                <w:highlight w:val="none"/>
                <w:lang w:val="en-US" w:eastAsia="zh-CN" w:bidi="ar"/>
              </w:rPr>
              <w:t>项目团队的整体水平、人员所获得资格证书情况等综合评议</w:t>
            </w:r>
            <w:r>
              <w:rPr>
                <w:rFonts w:hint="eastAsia" w:ascii="宋体" w:hAnsi="宋体" w:cs="宋体"/>
                <w:kern w:val="2"/>
                <w:sz w:val="21"/>
                <w:szCs w:val="21"/>
                <w:highlight w:val="none"/>
                <w:lang w:val="en-US" w:eastAsia="zh-CN" w:bidi="ar"/>
              </w:rPr>
              <w:t>：</w:t>
            </w:r>
          </w:p>
          <w:p>
            <w:pPr>
              <w:keepNext w:val="0"/>
              <w:keepLines w:val="0"/>
              <w:pageBreakBefore w:val="0"/>
              <w:widowControl w:val="0"/>
              <w:numPr>
                <w:ilvl w:val="0"/>
                <w:numId w:val="31"/>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lang w:val="en-US" w:eastAsia="zh-CN"/>
              </w:rPr>
            </w:pPr>
            <w:r>
              <w:rPr>
                <w:rFonts w:hint="eastAsia" w:ascii="宋体" w:hAnsi="宋体" w:cs="宋体"/>
                <w:kern w:val="2"/>
                <w:sz w:val="21"/>
                <w:szCs w:val="21"/>
                <w:highlight w:val="none"/>
                <w:lang w:val="en-US" w:eastAsia="zh-CN" w:bidi="ar"/>
              </w:rPr>
              <w:t>投标人</w:t>
            </w:r>
            <w:r>
              <w:rPr>
                <w:rFonts w:hint="eastAsia" w:ascii="宋体" w:hAnsi="宋体" w:eastAsia="宋体" w:cs="宋体"/>
                <w:kern w:val="2"/>
                <w:sz w:val="21"/>
                <w:szCs w:val="21"/>
                <w:highlight w:val="none"/>
                <w:lang w:val="en-US" w:eastAsia="zh-CN" w:bidi="ar"/>
              </w:rPr>
              <w:t>须安排不少于4人的项目</w:t>
            </w:r>
            <w:r>
              <w:rPr>
                <w:rFonts w:hint="eastAsia" w:ascii="宋体" w:hAnsi="宋体" w:cs="宋体"/>
                <w:kern w:val="2"/>
                <w:sz w:val="21"/>
                <w:szCs w:val="21"/>
                <w:highlight w:val="none"/>
                <w:lang w:val="en-US" w:eastAsia="zh-CN" w:bidi="ar"/>
              </w:rPr>
              <w:t>团队</w:t>
            </w:r>
            <w:r>
              <w:rPr>
                <w:rFonts w:hint="eastAsia" w:ascii="宋体" w:hAnsi="宋体" w:eastAsia="宋体" w:cs="宋体"/>
                <w:kern w:val="2"/>
                <w:sz w:val="21"/>
                <w:szCs w:val="21"/>
                <w:highlight w:val="none"/>
                <w:lang w:val="en-US" w:eastAsia="zh-CN" w:bidi="ar"/>
              </w:rPr>
              <w:t>成员（含项目负责人）</w:t>
            </w:r>
            <w:r>
              <w:rPr>
                <w:rFonts w:hint="eastAsia" w:ascii="宋体" w:hAnsi="宋体" w:cs="宋体"/>
                <w:kern w:val="2"/>
                <w:sz w:val="21"/>
                <w:szCs w:val="21"/>
                <w:highlight w:val="none"/>
                <w:lang w:val="en-US" w:eastAsia="zh-CN" w:bidi="ar"/>
              </w:rPr>
              <w:t>，项目团队成员在4人基础上，每多1人得2分，最高8分；</w:t>
            </w:r>
          </w:p>
          <w:p>
            <w:pPr>
              <w:keepNext w:val="0"/>
              <w:keepLines w:val="0"/>
              <w:pageBreakBefore w:val="0"/>
              <w:widowControl w:val="0"/>
              <w:numPr>
                <w:ilvl w:val="0"/>
                <w:numId w:val="31"/>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项目团队成员</w:t>
            </w:r>
            <w:r>
              <w:rPr>
                <w:rFonts w:hint="eastAsia" w:ascii="宋体" w:hAnsi="宋体" w:eastAsia="宋体" w:cs="宋体"/>
                <w:kern w:val="2"/>
                <w:sz w:val="21"/>
                <w:szCs w:val="21"/>
                <w:highlight w:val="none"/>
                <w:lang w:val="en-US" w:eastAsia="zh-CN" w:bidi="ar"/>
              </w:rPr>
              <w:t>（含项目负责人）具有中级审计</w:t>
            </w:r>
            <w:r>
              <w:rPr>
                <w:rFonts w:hint="eastAsia" w:ascii="宋体" w:hAnsi="宋体" w:cs="宋体"/>
                <w:kern w:val="2"/>
                <w:sz w:val="21"/>
                <w:szCs w:val="21"/>
                <w:highlight w:val="none"/>
                <w:lang w:val="en-US" w:eastAsia="zh-CN" w:bidi="ar"/>
              </w:rPr>
              <w:t>职称的</w:t>
            </w:r>
            <w:r>
              <w:rPr>
                <w:rFonts w:hint="eastAsia" w:ascii="宋体" w:hAnsi="宋体" w:eastAsia="宋体" w:cs="宋体"/>
                <w:kern w:val="2"/>
                <w:sz w:val="21"/>
                <w:szCs w:val="21"/>
                <w:highlight w:val="none"/>
                <w:lang w:val="en-US" w:eastAsia="zh-CN" w:bidi="ar"/>
              </w:rPr>
              <w:t>，每1人得0.5分，具有高级审计职称或注册会计师证</w:t>
            </w:r>
            <w:r>
              <w:rPr>
                <w:rFonts w:hint="eastAsia" w:ascii="宋体" w:hAnsi="宋体" w:cs="宋体"/>
                <w:kern w:val="2"/>
                <w:sz w:val="21"/>
                <w:szCs w:val="21"/>
                <w:highlight w:val="none"/>
                <w:lang w:val="en-US" w:eastAsia="zh-CN" w:bidi="ar"/>
              </w:rPr>
              <w:t>的</w:t>
            </w:r>
            <w:r>
              <w:rPr>
                <w:rFonts w:hint="eastAsia" w:ascii="宋体" w:hAnsi="宋体" w:eastAsia="宋体" w:cs="宋体"/>
                <w:kern w:val="2"/>
                <w:sz w:val="21"/>
                <w:szCs w:val="21"/>
                <w:highlight w:val="none"/>
                <w:lang w:val="en-US" w:eastAsia="zh-CN" w:bidi="ar"/>
              </w:rPr>
              <w:t>，每1人得1分，最高2分</w:t>
            </w:r>
            <w:r>
              <w:rPr>
                <w:rFonts w:hint="eastAsia" w:ascii="宋体" w:hAnsi="宋体" w:cs="宋体"/>
                <w:kern w:val="2"/>
                <w:sz w:val="21"/>
                <w:szCs w:val="21"/>
                <w:highlight w:val="none"/>
                <w:lang w:val="en-US" w:eastAsia="zh-CN" w:bidi="ar"/>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说明：</w:t>
            </w:r>
          </w:p>
          <w:p>
            <w:pPr>
              <w:keepNext w:val="0"/>
              <w:keepLines w:val="0"/>
              <w:pageBreakBefore w:val="0"/>
              <w:widowControl w:val="0"/>
              <w:numPr>
                <w:ilvl w:val="0"/>
                <w:numId w:val="32"/>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lang w:val="en-US" w:eastAsia="zh-CN"/>
              </w:rPr>
            </w:pPr>
            <w:r>
              <w:rPr>
                <w:rFonts w:hint="eastAsia"/>
                <w:lang w:val="en-US" w:eastAsia="zh-CN"/>
              </w:rPr>
              <w:t>投标人须提供为每个项目团队成员近三个月缴纳社保的参保证明并加盖投标人公章作为证明材料。</w:t>
            </w:r>
            <w:r>
              <w:rPr>
                <w:rFonts w:hint="eastAsia" w:ascii="宋体" w:hAnsi="宋体" w:eastAsia="宋体" w:cs="宋体"/>
                <w:b w:val="0"/>
                <w:bCs w:val="0"/>
                <w:color w:val="auto"/>
                <w:kern w:val="2"/>
                <w:sz w:val="21"/>
                <w:szCs w:val="21"/>
                <w:highlight w:val="none"/>
                <w:lang w:val="en-US" w:eastAsia="zh-CN" w:bidi="ar"/>
              </w:rPr>
              <w:t>未按要求提供相应资料者，不计分。</w:t>
            </w:r>
          </w:p>
          <w:p>
            <w:pPr>
              <w:keepNext w:val="0"/>
              <w:keepLines w:val="0"/>
              <w:pageBreakBefore w:val="0"/>
              <w:widowControl w:val="0"/>
              <w:numPr>
                <w:ilvl w:val="0"/>
                <w:numId w:val="32"/>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lang w:val="en-US" w:eastAsia="zh-CN"/>
              </w:rPr>
            </w:pPr>
            <w:r>
              <w:rPr>
                <w:rFonts w:hint="eastAsia" w:ascii="宋体" w:hAnsi="宋体" w:cs="宋体"/>
                <w:b w:val="0"/>
                <w:bCs w:val="0"/>
                <w:color w:val="auto"/>
                <w:kern w:val="2"/>
                <w:sz w:val="21"/>
                <w:szCs w:val="21"/>
                <w:highlight w:val="none"/>
                <w:lang w:val="en-US" w:eastAsia="zh-CN" w:bidi="ar"/>
              </w:rPr>
              <w:t>投标人须提供投</w:t>
            </w:r>
            <w:r>
              <w:rPr>
                <w:rFonts w:hint="eastAsia" w:ascii="宋体" w:hAnsi="宋体" w:eastAsia="宋体" w:cs="宋体"/>
                <w:b w:val="0"/>
                <w:bCs w:val="0"/>
                <w:color w:val="auto"/>
                <w:kern w:val="2"/>
                <w:sz w:val="21"/>
                <w:szCs w:val="21"/>
                <w:highlight w:val="none"/>
                <w:lang w:val="en-US" w:eastAsia="zh-CN" w:bidi="ar"/>
              </w:rPr>
              <w:t>项目</w:t>
            </w:r>
            <w:r>
              <w:rPr>
                <w:rFonts w:hint="eastAsia" w:ascii="宋体" w:hAnsi="宋体" w:cs="宋体"/>
                <w:b w:val="0"/>
                <w:bCs w:val="0"/>
                <w:color w:val="auto"/>
                <w:kern w:val="2"/>
                <w:sz w:val="21"/>
                <w:szCs w:val="21"/>
                <w:highlight w:val="none"/>
                <w:lang w:val="en-US" w:eastAsia="zh-CN" w:bidi="ar"/>
              </w:rPr>
              <w:t>团队成员的资格证书复印件作为证明材料</w:t>
            </w:r>
            <w:r>
              <w:rPr>
                <w:rFonts w:hint="eastAsia" w:ascii="宋体" w:hAnsi="宋体" w:eastAsia="宋体" w:cs="宋体"/>
                <w:b w:val="0"/>
                <w:bCs w:val="0"/>
                <w:color w:val="auto"/>
                <w:kern w:val="2"/>
                <w:sz w:val="21"/>
                <w:szCs w:val="21"/>
                <w:highlight w:val="none"/>
                <w:lang w:val="en-US" w:eastAsia="zh-CN" w:bidi="ar"/>
              </w:rPr>
              <w:t>。未按要求提供相应资料者，不计分。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9" w:hRule="atLeast"/>
          <w:tblCellSpacing w:w="0" w:type="dxa"/>
        </w:trPr>
        <w:tc>
          <w:tcPr>
            <w:tcW w:w="9351" w:type="dxa"/>
            <w:gridSpan w:val="7"/>
            <w:tcBorders>
              <w:tl2br w:val="nil"/>
              <w:tr2bl w:val="nil"/>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价格评议项（</w:t>
            </w: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color w:val="auto"/>
                <w:sz w:val="21"/>
                <w:szCs w:val="21"/>
                <w:highlight w:val="none"/>
              </w:rPr>
              <w:t>分</w:t>
            </w:r>
            <w:r>
              <w:rPr>
                <w:rFonts w:hint="eastAsia" w:ascii="宋体" w:hAnsi="宋体" w:eastAsia="宋体" w:cs="宋体"/>
                <w:b/>
                <w:bCs/>
                <w:color w:val="auto"/>
                <w:sz w:val="21"/>
                <w:szCs w:val="21"/>
                <w:highlight w:val="none"/>
              </w:rPr>
              <w:t>）</w:t>
            </w:r>
          </w:p>
          <w:p>
            <w:pPr>
              <w:pStyle w:val="2"/>
              <w:keepNext w:val="0"/>
              <w:keepLines w:val="0"/>
              <w:suppressLineNumbers w:val="0"/>
              <w:spacing w:before="0" w:beforeAutospacing="0" w:afterAutospacing="0"/>
              <w:ind w:left="835" w:leftChars="0" w:right="0"/>
              <w:jc w:val="center"/>
              <w:rPr>
                <w:rFonts w:hint="default"/>
                <w:highlight w:val="yellow"/>
              </w:rPr>
            </w:pPr>
            <w:r>
              <w:rPr>
                <w:rFonts w:hint="eastAsia"/>
                <w:b/>
                <w:bCs/>
                <w:color w:val="FF0000"/>
              </w:rPr>
              <w:t>（说明：以下所称的“投标报价”均是指</w:t>
            </w:r>
            <w:r>
              <w:rPr>
                <w:rFonts w:hint="eastAsia"/>
                <w:b/>
                <w:bCs/>
                <w:color w:val="FF0000"/>
                <w:lang w:val="en-US" w:eastAsia="zh-CN"/>
              </w:rPr>
              <w:t>未</w:t>
            </w:r>
            <w:r>
              <w:rPr>
                <w:rFonts w:hint="eastAsia"/>
                <w:b/>
                <w:bCs/>
                <w:color w:val="FF0000"/>
              </w:rPr>
              <w:t>税总金额，即净价）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blCellSpacing w:w="0" w:type="dxa"/>
        </w:trPr>
        <w:tc>
          <w:tcPr>
            <w:tcW w:w="640" w:type="dxa"/>
            <w:vMerge w:val="restart"/>
            <w:tcBorders>
              <w:tl2br w:val="nil"/>
              <w:tr2bl w:val="nil"/>
            </w:tcBorders>
            <w:vAlign w:val="center"/>
          </w:tcPr>
          <w:p>
            <w:pPr>
              <w:pStyle w:val="22"/>
              <w:keepNext w:val="0"/>
              <w:keepLines w:val="0"/>
              <w:numPr>
                <w:ilvl w:val="-1"/>
                <w:numId w:val="0"/>
              </w:numPr>
              <w:suppressLineNumbers w:val="0"/>
              <w:spacing w:before="0" w:beforeAutospacing="0" w:after="0" w:afterAutospacing="0" w:line="360" w:lineRule="auto"/>
              <w:ind w:left="0" w:leftChars="0" w:right="0" w:rightChars="0" w:firstLine="0" w:firstLineChars="0"/>
              <w:jc w:val="both"/>
              <w:rPr>
                <w:rFonts w:hint="default" w:ascii="宋体" w:hAnsi="宋体"/>
                <w:szCs w:val="21"/>
                <w:highlight w:val="yellow"/>
              </w:rPr>
            </w:pPr>
            <w:r>
              <w:rPr>
                <w:rFonts w:hint="eastAsia" w:ascii="宋体" w:hAnsi="宋体" w:eastAsia="宋体" w:cs="宋体"/>
                <w:color w:val="auto"/>
                <w:kern w:val="2"/>
                <w:sz w:val="21"/>
                <w:szCs w:val="21"/>
                <w:highlight w:val="none"/>
                <w:lang w:val="en-US" w:eastAsia="zh-CN" w:bidi="ar"/>
              </w:rPr>
              <w:t>价格评议</w:t>
            </w:r>
          </w:p>
        </w:tc>
        <w:tc>
          <w:tcPr>
            <w:tcW w:w="8711" w:type="dxa"/>
            <w:gridSpan w:val="6"/>
            <w:tcBorders>
              <w:tl2br w:val="nil"/>
              <w:tr2bl w:val="nil"/>
            </w:tcBorders>
            <w:vAlign w:val="center"/>
          </w:tcPr>
          <w:p>
            <w:pPr>
              <w:keepNext w:val="0"/>
              <w:keepLines w:val="0"/>
              <w:pageBreakBefore w:val="0"/>
              <w:widowControl w:val="0"/>
              <w:numPr>
                <w:ilvl w:val="-1"/>
                <w:numId w:val="0"/>
              </w:numPr>
              <w:suppressLineNumbers w:val="0"/>
              <w:kinsoku/>
              <w:wordWrap/>
              <w:overflowPunct/>
              <w:topLinePunct w:val="0"/>
              <w:bidi w:val="0"/>
              <w:snapToGrid/>
              <w:spacing w:before="0" w:beforeAutospacing="1" w:after="160" w:afterAutospacing="0" w:line="320" w:lineRule="exact"/>
              <w:ind w:left="0" w:leftChars="0" w:right="0" w:rightChars="0" w:firstLine="0" w:firstLineChars="0"/>
              <w:jc w:val="center"/>
              <w:textAlignment w:val="auto"/>
              <w:rPr>
                <w:rFonts w:hint="default" w:ascii="宋体" w:cs="宋体"/>
                <w:kern w:val="0"/>
                <w:szCs w:val="21"/>
                <w:highlight w:val="yellow"/>
              </w:rPr>
            </w:pPr>
            <w:r>
              <w:rPr>
                <w:rFonts w:hint="eastAsia" w:ascii="宋体" w:hAnsi="宋体"/>
                <w:b/>
                <w:szCs w:val="21"/>
              </w:rPr>
              <w:t>基准价</w:t>
            </w:r>
            <w:r>
              <w:rPr>
                <w:rFonts w:hint="default"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trPr>
        <w:tc>
          <w:tcPr>
            <w:tcW w:w="640" w:type="dxa"/>
            <w:vMerge w:val="continue"/>
            <w:tcBorders>
              <w:tl2br w:val="nil"/>
              <w:tr2bl w:val="nil"/>
            </w:tcBorders>
            <w:vAlign w:val="center"/>
          </w:tcPr>
          <w:p>
            <w:pPr>
              <w:pStyle w:val="22"/>
              <w:keepNext w:val="0"/>
              <w:keepLines w:val="0"/>
              <w:numPr>
                <w:ilvl w:val="-1"/>
                <w:numId w:val="0"/>
              </w:numPr>
              <w:suppressLineNumbers w:val="0"/>
              <w:spacing w:before="0" w:beforeAutospacing="0" w:after="0" w:afterAutospacing="0" w:line="360" w:lineRule="auto"/>
              <w:ind w:left="0" w:leftChars="0" w:right="0" w:rightChars="0" w:firstLine="0" w:firstLineChars="0"/>
              <w:jc w:val="both"/>
              <w:rPr>
                <w:rFonts w:hint="default" w:ascii="宋体" w:hAnsi="宋体"/>
                <w:szCs w:val="21"/>
                <w:highlight w:val="yellow"/>
              </w:rPr>
            </w:pPr>
          </w:p>
        </w:tc>
        <w:tc>
          <w:tcPr>
            <w:tcW w:w="1003" w:type="dxa"/>
            <w:gridSpan w:val="2"/>
            <w:vMerge w:val="restart"/>
            <w:tcBorders>
              <w:tl2br w:val="nil"/>
              <w:tr2bl w:val="nil"/>
            </w:tcBorders>
            <w:vAlign w:val="center"/>
          </w:tcPr>
          <w:p>
            <w:pPr>
              <w:keepNext w:val="0"/>
              <w:keepLines w:val="0"/>
              <w:widowControl w:val="0"/>
              <w:suppressLineNumbers w:val="0"/>
              <w:spacing w:before="0" w:beforeAutospacing="1" w:after="160" w:afterAutospacing="0" w:line="320" w:lineRule="exact"/>
              <w:ind w:left="0" w:leftChars="0" w:right="0" w:rightChars="0"/>
              <w:jc w:val="center"/>
              <w:rPr>
                <w:rFonts w:hint="eastAsia" w:ascii="宋体" w:hAnsi="宋体"/>
                <w:szCs w:val="21"/>
                <w:highlight w:val="yellow"/>
              </w:rPr>
            </w:pPr>
            <w:r>
              <w:rPr>
                <w:rFonts w:hint="eastAsia" w:ascii="宋体" w:hAnsi="宋体"/>
                <w:bCs/>
                <w:szCs w:val="21"/>
              </w:rPr>
              <w:t>基准价</w:t>
            </w:r>
          </w:p>
        </w:tc>
        <w:tc>
          <w:tcPr>
            <w:tcW w:w="7708" w:type="dxa"/>
            <w:gridSpan w:val="4"/>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宋体" w:cs="宋体"/>
                <w:kern w:val="0"/>
                <w:szCs w:val="21"/>
                <w:highlight w:val="yellow"/>
              </w:rPr>
            </w:pPr>
            <w:r>
              <w:rPr>
                <w:rFonts w:hint="eastAsia" w:ascii="宋体" w:hAnsi="宋体"/>
                <w:szCs w:val="21"/>
              </w:rPr>
              <w:t>□各有效</w:t>
            </w:r>
            <w:r>
              <w:rPr>
                <w:rFonts w:hint="default" w:ascii="宋体" w:hAnsi="宋体"/>
                <w:szCs w:val="21"/>
              </w:rPr>
              <w:t>投</w:t>
            </w:r>
            <w:r>
              <w:rPr>
                <w:rFonts w:hint="eastAsia" w:ascii="宋体" w:hAnsi="宋体"/>
                <w:szCs w:val="21"/>
              </w:rPr>
              <w:t>标报价大于n家时，去掉一个最高和最低报价后的算术平均值乘以％。当有效投标报价少于n（含）家时，则以所有有效投标报价的算术平均值乘以％。n=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trPr>
        <w:tc>
          <w:tcPr>
            <w:tcW w:w="640" w:type="dxa"/>
            <w:vMerge w:val="continue"/>
            <w:tcBorders>
              <w:tl2br w:val="nil"/>
              <w:tr2bl w:val="nil"/>
            </w:tcBorders>
            <w:vAlign w:val="center"/>
          </w:tcPr>
          <w:p>
            <w:pPr>
              <w:pStyle w:val="22"/>
              <w:keepNext w:val="0"/>
              <w:keepLines w:val="0"/>
              <w:numPr>
                <w:ilvl w:val="-1"/>
                <w:numId w:val="0"/>
              </w:numPr>
              <w:suppressLineNumbers w:val="0"/>
              <w:spacing w:before="0" w:beforeAutospacing="0" w:after="0" w:afterAutospacing="0" w:line="360" w:lineRule="auto"/>
              <w:ind w:left="0" w:leftChars="0" w:right="0" w:rightChars="0" w:firstLine="0" w:firstLineChars="0"/>
              <w:jc w:val="both"/>
              <w:rPr>
                <w:rFonts w:hint="default" w:ascii="宋体" w:hAnsi="宋体"/>
                <w:szCs w:val="21"/>
                <w:highlight w:val="yellow"/>
              </w:rPr>
            </w:pPr>
          </w:p>
        </w:tc>
        <w:tc>
          <w:tcPr>
            <w:tcW w:w="1003" w:type="dxa"/>
            <w:gridSpan w:val="2"/>
            <w:vMerge w:val="continue"/>
            <w:tcBorders>
              <w:tl2br w:val="nil"/>
              <w:tr2bl w:val="nil"/>
            </w:tcBorders>
            <w:vAlign w:val="center"/>
          </w:tcPr>
          <w:p>
            <w:pPr>
              <w:keepNext w:val="0"/>
              <w:keepLines w:val="0"/>
              <w:widowControl w:val="0"/>
              <w:suppressLineNumbers w:val="0"/>
              <w:spacing w:before="0" w:beforeAutospacing="1" w:after="160" w:afterAutospacing="0" w:line="320" w:lineRule="exact"/>
              <w:ind w:left="0" w:leftChars="0" w:right="0" w:rightChars="0"/>
              <w:jc w:val="center"/>
              <w:rPr>
                <w:rFonts w:hint="eastAsia" w:ascii="宋体" w:hAnsi="宋体"/>
                <w:bCs/>
                <w:szCs w:val="21"/>
              </w:rPr>
            </w:pPr>
          </w:p>
        </w:tc>
        <w:tc>
          <w:tcPr>
            <w:tcW w:w="7708" w:type="dxa"/>
            <w:gridSpan w:val="4"/>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宋体" w:hAnsi="宋体"/>
                <w:szCs w:val="21"/>
              </w:rPr>
            </w:pPr>
            <w:r>
              <w:rPr>
                <w:rFonts w:hint="eastAsia" w:ascii="宋体" w:hAnsi="宋体"/>
                <w:szCs w:val="21"/>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trPr>
        <w:tc>
          <w:tcPr>
            <w:tcW w:w="640" w:type="dxa"/>
            <w:vMerge w:val="continue"/>
            <w:tcBorders>
              <w:tl2br w:val="nil"/>
              <w:tr2bl w:val="nil"/>
            </w:tcBorders>
            <w:vAlign w:val="center"/>
          </w:tcPr>
          <w:p>
            <w:pPr>
              <w:pStyle w:val="22"/>
              <w:keepNext w:val="0"/>
              <w:keepLines w:val="0"/>
              <w:numPr>
                <w:ilvl w:val="-1"/>
                <w:numId w:val="0"/>
              </w:numPr>
              <w:suppressLineNumbers w:val="0"/>
              <w:spacing w:before="0" w:beforeAutospacing="0" w:after="0" w:afterAutospacing="0" w:line="360" w:lineRule="auto"/>
              <w:ind w:left="0" w:leftChars="0" w:right="0" w:rightChars="0" w:firstLine="0" w:firstLineChars="0"/>
              <w:jc w:val="both"/>
              <w:rPr>
                <w:rFonts w:hint="default" w:ascii="宋体" w:hAnsi="宋体"/>
                <w:szCs w:val="21"/>
                <w:highlight w:val="yellow"/>
              </w:rPr>
            </w:pPr>
          </w:p>
        </w:tc>
        <w:tc>
          <w:tcPr>
            <w:tcW w:w="1003" w:type="dxa"/>
            <w:gridSpan w:val="2"/>
            <w:vMerge w:val="continue"/>
            <w:tcBorders>
              <w:tl2br w:val="nil"/>
              <w:tr2bl w:val="nil"/>
            </w:tcBorders>
            <w:vAlign w:val="center"/>
          </w:tcPr>
          <w:p>
            <w:pPr>
              <w:keepNext w:val="0"/>
              <w:keepLines w:val="0"/>
              <w:widowControl w:val="0"/>
              <w:suppressLineNumbers w:val="0"/>
              <w:spacing w:before="0" w:beforeAutospacing="1" w:after="160" w:afterAutospacing="0" w:line="320" w:lineRule="exact"/>
              <w:ind w:left="0" w:leftChars="0" w:right="0" w:rightChars="0"/>
              <w:jc w:val="center"/>
              <w:rPr>
                <w:rFonts w:hint="eastAsia" w:ascii="宋体" w:hAnsi="宋体"/>
                <w:bCs/>
                <w:szCs w:val="21"/>
              </w:rPr>
            </w:pPr>
          </w:p>
        </w:tc>
        <w:tc>
          <w:tcPr>
            <w:tcW w:w="7708" w:type="dxa"/>
            <w:gridSpan w:val="4"/>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宋体" w:hAnsi="宋体"/>
                <w:szCs w:val="21"/>
              </w:rPr>
            </w:pPr>
            <w:r>
              <w:rPr>
                <w:rFonts w:hint="eastAsia" w:ascii="宋体" w:hAnsi="宋体"/>
                <w:szCs w:val="21"/>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trPr>
        <w:tc>
          <w:tcPr>
            <w:tcW w:w="640" w:type="dxa"/>
            <w:vMerge w:val="continue"/>
            <w:tcBorders>
              <w:tl2br w:val="nil"/>
              <w:tr2bl w:val="nil"/>
            </w:tcBorders>
            <w:vAlign w:val="center"/>
          </w:tcPr>
          <w:p>
            <w:pPr>
              <w:pStyle w:val="22"/>
              <w:keepNext w:val="0"/>
              <w:keepLines w:val="0"/>
              <w:numPr>
                <w:ilvl w:val="-1"/>
                <w:numId w:val="0"/>
              </w:numPr>
              <w:suppressLineNumbers w:val="0"/>
              <w:spacing w:before="0" w:beforeAutospacing="0" w:after="0" w:afterAutospacing="0" w:line="360" w:lineRule="auto"/>
              <w:ind w:left="0" w:leftChars="0" w:right="0" w:rightChars="0" w:firstLine="0" w:firstLineChars="0"/>
              <w:jc w:val="both"/>
              <w:rPr>
                <w:rFonts w:hint="default" w:ascii="宋体" w:hAnsi="宋体"/>
                <w:szCs w:val="21"/>
                <w:highlight w:val="yellow"/>
              </w:rPr>
            </w:pPr>
          </w:p>
        </w:tc>
        <w:tc>
          <w:tcPr>
            <w:tcW w:w="1003" w:type="dxa"/>
            <w:gridSpan w:val="2"/>
            <w:vMerge w:val="restart"/>
            <w:tcBorders>
              <w:tl2br w:val="nil"/>
              <w:tr2bl w:val="nil"/>
            </w:tcBorders>
            <w:vAlign w:val="center"/>
          </w:tcPr>
          <w:p>
            <w:pPr>
              <w:keepNext w:val="0"/>
              <w:keepLines w:val="0"/>
              <w:widowControl w:val="0"/>
              <w:suppressLineNumbers w:val="0"/>
              <w:spacing w:before="0" w:beforeAutospacing="1" w:after="160" w:afterAutospacing="0" w:line="320" w:lineRule="exact"/>
              <w:ind w:left="0" w:leftChars="0" w:right="0" w:rightChars="0"/>
              <w:jc w:val="center"/>
              <w:rPr>
                <w:rFonts w:hint="eastAsia" w:ascii="宋体" w:hAnsi="宋体"/>
                <w:bCs/>
                <w:szCs w:val="21"/>
              </w:rPr>
            </w:pPr>
            <w:r>
              <w:rPr>
                <w:rFonts w:hint="eastAsia" w:ascii="宋体" w:hAnsi="宋体"/>
                <w:bCs/>
                <w:szCs w:val="21"/>
              </w:rPr>
              <w:t>算</w:t>
            </w:r>
            <w:r>
              <w:rPr>
                <w:rFonts w:hint="default" w:ascii="宋体" w:hAnsi="宋体"/>
                <w:bCs/>
                <w:szCs w:val="21"/>
              </w:rPr>
              <w:t>法类型</w:t>
            </w:r>
          </w:p>
        </w:tc>
        <w:tc>
          <w:tcPr>
            <w:tcW w:w="662" w:type="dxa"/>
            <w:gridSpan w:val="2"/>
            <w:tcBorders>
              <w:tl2br w:val="nil"/>
              <w:tr2bl w:val="nil"/>
            </w:tcBorders>
            <w:vAlign w:val="center"/>
          </w:tcPr>
          <w:p>
            <w:pPr>
              <w:keepNext w:val="0"/>
              <w:keepLines w:val="0"/>
              <w:suppressLineNumbers w:val="0"/>
              <w:spacing w:before="0" w:beforeAutospacing="0" w:after="0" w:afterAutospacing="0" w:line="240" w:lineRule="atLeast"/>
              <w:ind w:left="0" w:right="0"/>
              <w:jc w:val="center"/>
              <w:rPr>
                <w:rFonts w:hint="eastAsia" w:ascii="宋体" w:hAnsi="宋体"/>
                <w:szCs w:val="21"/>
              </w:rPr>
            </w:pPr>
            <w:r>
              <w:rPr>
                <w:rFonts w:hint="eastAsia" w:ascii="宋体" w:hAnsi="宋体"/>
                <w:szCs w:val="21"/>
                <w:lang w:eastAsia="zh-CN"/>
              </w:rPr>
              <w:t>□</w:t>
            </w:r>
            <w:r>
              <w:rPr>
                <w:rFonts w:hint="eastAsia" w:ascii="宋体" w:hAnsi="宋体"/>
                <w:szCs w:val="21"/>
              </w:rPr>
              <w:t>固定</w:t>
            </w:r>
            <w:r>
              <w:rPr>
                <w:rFonts w:hint="default" w:ascii="宋体" w:hAnsi="宋体"/>
                <w:szCs w:val="21"/>
              </w:rPr>
              <w:t>比例</w:t>
            </w:r>
            <w:r>
              <w:rPr>
                <w:rFonts w:hint="eastAsia" w:ascii="宋体" w:hAnsi="宋体"/>
                <w:szCs w:val="21"/>
              </w:rPr>
              <w:t>法</w:t>
            </w:r>
          </w:p>
        </w:tc>
        <w:tc>
          <w:tcPr>
            <w:tcW w:w="7046" w:type="dxa"/>
            <w:gridSpan w:val="2"/>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价格得分=M-[（｜投标价格-基准价｜/基准价）*100/</w:t>
            </w:r>
            <w:r>
              <w:rPr>
                <w:rFonts w:hint="default" w:ascii="宋体" w:hAnsi="宋体"/>
                <w:szCs w:val="21"/>
              </w:rPr>
              <w:t>N]*</w:t>
            </w:r>
            <w:r>
              <w:rPr>
                <w:rFonts w:hint="eastAsia" w:ascii="宋体" w:hAnsi="宋体"/>
                <w:szCs w:val="21"/>
              </w:rPr>
              <w:t>扣分值</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M=（价格评价分项满分值），N=，投标价格每高于N％时，扣分；每低于N％时，扣分；</w:t>
            </w:r>
          </w:p>
          <w:p>
            <w:pPr>
              <w:keepNext w:val="0"/>
              <w:keepLines w:val="0"/>
              <w:suppressLineNumbers w:val="0"/>
              <w:spacing w:before="0" w:beforeAutospacing="0" w:after="0" w:afterAutospacing="0" w:line="240" w:lineRule="atLeast"/>
              <w:ind w:left="0" w:right="0"/>
              <w:jc w:val="left"/>
              <w:rPr>
                <w:rFonts w:hint="default"/>
              </w:rPr>
            </w:pPr>
            <w:r>
              <w:rPr>
                <w:rFonts w:hint="eastAsia" w:ascii="宋体" w:hAnsi="宋体"/>
                <w:szCs w:val="21"/>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 w:hRule="atLeast"/>
          <w:tblCellSpacing w:w="0" w:type="dxa"/>
        </w:trPr>
        <w:tc>
          <w:tcPr>
            <w:tcW w:w="640" w:type="dxa"/>
            <w:vMerge w:val="continue"/>
            <w:tcBorders>
              <w:tl2br w:val="nil"/>
              <w:tr2bl w:val="nil"/>
            </w:tcBorders>
            <w:vAlign w:val="center"/>
          </w:tcPr>
          <w:p>
            <w:pPr>
              <w:pStyle w:val="22"/>
              <w:keepNext w:val="0"/>
              <w:keepLines w:val="0"/>
              <w:numPr>
                <w:ilvl w:val="-1"/>
                <w:numId w:val="0"/>
              </w:numPr>
              <w:suppressLineNumbers w:val="0"/>
              <w:spacing w:before="0" w:beforeAutospacing="0" w:after="0" w:afterAutospacing="0" w:line="360" w:lineRule="auto"/>
              <w:ind w:left="0" w:leftChars="0" w:right="0" w:rightChars="0" w:firstLine="0" w:firstLineChars="0"/>
              <w:jc w:val="both"/>
              <w:rPr>
                <w:rFonts w:hint="default" w:ascii="宋体" w:hAnsi="宋体"/>
                <w:szCs w:val="21"/>
                <w:highlight w:val="yellow"/>
              </w:rPr>
            </w:pPr>
          </w:p>
        </w:tc>
        <w:tc>
          <w:tcPr>
            <w:tcW w:w="1003" w:type="dxa"/>
            <w:gridSpan w:val="2"/>
            <w:vMerge w:val="continue"/>
            <w:tcBorders>
              <w:tl2br w:val="nil"/>
              <w:tr2bl w:val="nil"/>
            </w:tcBorders>
            <w:vAlign w:val="center"/>
          </w:tcPr>
          <w:p>
            <w:pPr>
              <w:keepNext w:val="0"/>
              <w:keepLines w:val="0"/>
              <w:widowControl w:val="0"/>
              <w:suppressLineNumbers w:val="0"/>
              <w:spacing w:before="0" w:beforeAutospacing="1" w:after="160" w:afterAutospacing="0" w:line="320" w:lineRule="exact"/>
              <w:ind w:left="0" w:leftChars="0" w:right="0" w:rightChars="0"/>
              <w:jc w:val="center"/>
              <w:rPr>
                <w:rFonts w:hint="eastAsia" w:ascii="宋体" w:hAnsi="宋体"/>
                <w:bCs/>
                <w:szCs w:val="21"/>
              </w:rPr>
            </w:pPr>
          </w:p>
        </w:tc>
        <w:tc>
          <w:tcPr>
            <w:tcW w:w="662" w:type="dxa"/>
            <w:gridSpan w:val="2"/>
            <w:tcBorders>
              <w:tl2br w:val="nil"/>
              <w:tr2bl w:val="nil"/>
            </w:tcBorders>
            <w:vAlign w:val="center"/>
          </w:tcPr>
          <w:p>
            <w:pPr>
              <w:keepNext w:val="0"/>
              <w:keepLines w:val="0"/>
              <w:suppressLineNumbers w:val="0"/>
              <w:spacing w:before="0" w:beforeAutospacing="0" w:after="0" w:afterAutospacing="0" w:line="240" w:lineRule="atLeast"/>
              <w:ind w:left="0" w:right="0"/>
              <w:jc w:val="center"/>
              <w:rPr>
                <w:rFonts w:hint="eastAsia" w:ascii="宋体" w:hAnsi="宋体"/>
                <w:szCs w:val="21"/>
              </w:rPr>
            </w:pPr>
            <w:r>
              <w:rPr>
                <w:rFonts w:hint="eastAsia" w:ascii="宋体" w:hAnsi="宋体"/>
                <w:szCs w:val="21"/>
                <w:lang w:eastAsia="zh-CN"/>
              </w:rPr>
              <w:t>□</w:t>
            </w:r>
            <w:r>
              <w:rPr>
                <w:rFonts w:hint="eastAsia" w:ascii="宋体" w:hAnsi="宋体"/>
                <w:szCs w:val="21"/>
              </w:rPr>
              <w:t>固定乘积法</w:t>
            </w:r>
          </w:p>
        </w:tc>
        <w:tc>
          <w:tcPr>
            <w:tcW w:w="7046" w:type="dxa"/>
            <w:gridSpan w:val="2"/>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Style w:val="19"/>
                <w:rFonts w:hint="default" w:ascii="宋体" w:hAnsi="宋体"/>
              </w:rPr>
            </w:pPr>
            <w:r>
              <w:rPr>
                <w:rStyle w:val="19"/>
                <w:rFonts w:hint="eastAsia" w:ascii="宋体" w:hAnsi="宋体"/>
              </w:rPr>
              <w:t>价格得分=（1-A×｜1-投标报价/Z｜）×M</w:t>
            </w:r>
          </w:p>
          <w:p>
            <w:pPr>
              <w:keepNext w:val="0"/>
              <w:keepLines w:val="0"/>
              <w:numPr>
                <w:ilvl w:val="0"/>
                <w:numId w:val="33"/>
              </w:numPr>
              <w:suppressLineNumbers w:val="0"/>
              <w:autoSpaceDE w:val="0"/>
              <w:autoSpaceDN w:val="0"/>
              <w:adjustRightInd w:val="0"/>
              <w:snapToGrid w:val="0"/>
              <w:spacing w:before="0" w:beforeAutospacing="0" w:after="0" w:afterAutospacing="0"/>
              <w:ind w:left="0" w:right="0"/>
              <w:jc w:val="left"/>
              <w:rPr>
                <w:rStyle w:val="19"/>
                <w:rFonts w:hint="default" w:ascii="宋体" w:hAnsi="宋体"/>
              </w:rPr>
            </w:pPr>
            <w:r>
              <w:rPr>
                <w:rStyle w:val="19"/>
                <w:rFonts w:hint="eastAsia" w:ascii="宋体" w:hAnsi="宋体"/>
              </w:rPr>
              <w:t xml:space="preserve">M= </w:t>
            </w:r>
            <w:r>
              <w:rPr>
                <w:rStyle w:val="19"/>
                <w:rFonts w:hint="eastAsia" w:ascii="宋体" w:hAnsi="宋体"/>
                <w:lang w:val="en-US" w:eastAsia="zh-CN"/>
              </w:rPr>
              <w:t>3</w:t>
            </w:r>
            <w:r>
              <w:rPr>
                <w:rFonts w:hint="eastAsia" w:ascii="宋体" w:hAnsi="宋体"/>
                <w:color w:val="auto"/>
                <w:szCs w:val="21"/>
              </w:rPr>
              <w:t>0</w:t>
            </w:r>
            <w:r>
              <w:rPr>
                <w:rStyle w:val="19"/>
                <w:rFonts w:hint="eastAsia" w:ascii="宋体" w:hAnsi="宋体"/>
              </w:rPr>
              <w:t xml:space="preserve"> （价格评价分项满分值），Z为本次招标基准价；</w:t>
            </w:r>
          </w:p>
          <w:p>
            <w:pPr>
              <w:keepNext w:val="0"/>
              <w:keepLines w:val="0"/>
              <w:numPr>
                <w:ilvl w:val="0"/>
                <w:numId w:val="33"/>
              </w:numPr>
              <w:suppressLineNumbers w:val="0"/>
              <w:autoSpaceDE w:val="0"/>
              <w:autoSpaceDN w:val="0"/>
              <w:adjustRightInd w:val="0"/>
              <w:snapToGrid w:val="0"/>
              <w:spacing w:before="0" w:beforeAutospacing="0" w:after="0" w:afterAutospacing="0"/>
              <w:ind w:left="0" w:right="0"/>
              <w:jc w:val="left"/>
              <w:rPr>
                <w:rStyle w:val="19"/>
                <w:rFonts w:hint="default" w:ascii="宋体" w:hAnsi="宋体"/>
              </w:rPr>
            </w:pPr>
            <w:r>
              <w:rPr>
                <w:rStyle w:val="19"/>
                <w:rFonts w:hint="eastAsia" w:ascii="宋体" w:hAnsi="宋体"/>
              </w:rPr>
              <w:t>A为价格调整系数，当投标报价低于本次招标最佳报价（即基准价）时，A=0.5；当投标报价高于次招标基准价时，取A=1；</w:t>
            </w:r>
          </w:p>
          <w:p>
            <w:pPr>
              <w:keepNext w:val="0"/>
              <w:keepLines w:val="0"/>
              <w:numPr>
                <w:ilvl w:val="0"/>
                <w:numId w:val="33"/>
              </w:numPr>
              <w:suppressLineNumbers w:val="0"/>
              <w:spacing w:before="0" w:beforeAutospacing="0" w:after="0" w:afterAutospacing="0"/>
              <w:ind w:left="0" w:right="0"/>
              <w:jc w:val="left"/>
              <w:rPr>
                <w:rFonts w:hint="default"/>
              </w:rPr>
            </w:pPr>
            <w:r>
              <w:rPr>
                <w:rStyle w:val="19"/>
                <w:rFonts w:hint="eastAsia" w:ascii="宋体" w:hAnsi="宋体"/>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 w:hRule="atLeast"/>
          <w:tblCellSpacing w:w="0" w:type="dxa"/>
        </w:trPr>
        <w:tc>
          <w:tcPr>
            <w:tcW w:w="640" w:type="dxa"/>
            <w:vMerge w:val="continue"/>
            <w:tcBorders>
              <w:tl2br w:val="nil"/>
              <w:tr2bl w:val="nil"/>
            </w:tcBorders>
            <w:vAlign w:val="center"/>
          </w:tcPr>
          <w:p>
            <w:pPr>
              <w:pStyle w:val="22"/>
              <w:keepNext w:val="0"/>
              <w:keepLines w:val="0"/>
              <w:numPr>
                <w:ilvl w:val="-1"/>
                <w:numId w:val="0"/>
              </w:numPr>
              <w:suppressLineNumbers w:val="0"/>
              <w:spacing w:before="0" w:beforeAutospacing="0" w:after="0" w:afterAutospacing="0" w:line="360" w:lineRule="auto"/>
              <w:ind w:left="0" w:leftChars="0" w:right="0" w:rightChars="0" w:firstLine="0" w:firstLineChars="0"/>
              <w:jc w:val="both"/>
              <w:rPr>
                <w:rFonts w:hint="default" w:ascii="宋体" w:hAnsi="宋体"/>
                <w:szCs w:val="21"/>
                <w:highlight w:val="yellow"/>
              </w:rPr>
            </w:pPr>
          </w:p>
        </w:tc>
        <w:tc>
          <w:tcPr>
            <w:tcW w:w="1003" w:type="dxa"/>
            <w:gridSpan w:val="2"/>
            <w:vMerge w:val="continue"/>
            <w:tcBorders>
              <w:tl2br w:val="nil"/>
              <w:tr2bl w:val="nil"/>
            </w:tcBorders>
            <w:vAlign w:val="center"/>
          </w:tcPr>
          <w:p>
            <w:pPr>
              <w:keepNext w:val="0"/>
              <w:keepLines w:val="0"/>
              <w:widowControl w:val="0"/>
              <w:suppressLineNumbers w:val="0"/>
              <w:spacing w:before="0" w:beforeAutospacing="1" w:after="160" w:afterAutospacing="0" w:line="320" w:lineRule="exact"/>
              <w:ind w:left="0" w:leftChars="0" w:right="0" w:rightChars="0"/>
              <w:jc w:val="center"/>
              <w:rPr>
                <w:rFonts w:hint="eastAsia" w:ascii="宋体" w:hAnsi="宋体"/>
                <w:bCs/>
                <w:szCs w:val="21"/>
              </w:rPr>
            </w:pPr>
          </w:p>
        </w:tc>
        <w:tc>
          <w:tcPr>
            <w:tcW w:w="662" w:type="dxa"/>
            <w:gridSpan w:val="2"/>
            <w:tcBorders>
              <w:tl2br w:val="nil"/>
              <w:tr2bl w:val="nil"/>
            </w:tcBorders>
            <w:vAlign w:val="center"/>
          </w:tcPr>
          <w:p>
            <w:pPr>
              <w:keepNext w:val="0"/>
              <w:keepLines w:val="0"/>
              <w:suppressLineNumbers w:val="0"/>
              <w:spacing w:before="0" w:beforeAutospacing="0" w:after="0" w:afterAutospacing="0" w:line="240" w:lineRule="atLeast"/>
              <w:ind w:left="0" w:right="0"/>
              <w:jc w:val="center"/>
              <w:rPr>
                <w:rFonts w:hint="eastAsia" w:ascii="宋体" w:hAnsi="宋体"/>
                <w:szCs w:val="21"/>
                <w:lang w:eastAsia="zh-CN"/>
              </w:rPr>
            </w:pPr>
            <w:r>
              <w:rPr>
                <w:rFonts w:hint="eastAsia" w:ascii="宋体" w:hAnsi="宋体"/>
                <w:szCs w:val="21"/>
              </w:rPr>
              <w:sym w:font="Wingdings 2" w:char="0052"/>
            </w:r>
            <w:r>
              <w:rPr>
                <w:rFonts w:hint="eastAsia" w:ascii="宋体" w:hAnsi="宋体"/>
                <w:szCs w:val="21"/>
              </w:rPr>
              <w:t>其他</w:t>
            </w:r>
            <w:r>
              <w:rPr>
                <w:rFonts w:hint="default" w:ascii="宋体" w:hAnsi="宋体"/>
                <w:szCs w:val="21"/>
              </w:rPr>
              <w:t>方法</w:t>
            </w:r>
          </w:p>
        </w:tc>
        <w:tc>
          <w:tcPr>
            <w:tcW w:w="7046" w:type="dxa"/>
            <w:gridSpan w:val="2"/>
            <w:tcBorders>
              <w:tl2br w:val="nil"/>
              <w:tr2bl w:val="nil"/>
            </w:tcBorders>
            <w:vAlign w:val="center"/>
          </w:tcPr>
          <w:p>
            <w:pPr>
              <w:keepNext w:val="0"/>
              <w:keepLines w:val="0"/>
              <w:widowControl/>
              <w:suppressLineNumbers w:val="0"/>
              <w:spacing w:before="0" w:beforeAutospacing="0" w:after="0" w:afterAutospacing="0"/>
              <w:ind w:left="0" w:right="30"/>
              <w:jc w:val="left"/>
              <w:rPr>
                <w:rFonts w:hint="default"/>
              </w:rPr>
            </w:pPr>
            <w:r>
              <w:rPr>
                <w:rFonts w:hint="eastAsia"/>
              </w:rPr>
              <w:t>价格得分=（1-｜投标报价-基准价｜</w:t>
            </w:r>
            <w:r>
              <w:rPr>
                <w:rFonts w:hint="default"/>
              </w:rPr>
              <w:t>÷</w:t>
            </w:r>
            <w:r>
              <w:rPr>
                <w:rFonts w:hint="eastAsia"/>
              </w:rPr>
              <w:t>基准价）</w:t>
            </w:r>
            <w:r>
              <w:rPr>
                <w:rFonts w:hint="default"/>
              </w:rPr>
              <w:t>×</w:t>
            </w:r>
            <w:r>
              <w:rPr>
                <w:rFonts w:hint="eastAsia"/>
              </w:rPr>
              <w:t>价格权重分</w:t>
            </w:r>
          </w:p>
          <w:p>
            <w:pPr>
              <w:keepNext w:val="0"/>
              <w:keepLines w:val="0"/>
              <w:numPr>
                <w:ilvl w:val="-1"/>
                <w:numId w:val="0"/>
              </w:numPr>
              <w:suppressLineNumbers w:val="0"/>
              <w:spacing w:before="0" w:beforeAutospacing="0" w:after="0" w:afterAutospacing="0"/>
              <w:ind w:left="0" w:right="0"/>
              <w:jc w:val="left"/>
              <w:rPr>
                <w:rStyle w:val="19"/>
                <w:rFonts w:hint="eastAsia" w:ascii="宋体" w:hAnsi="宋体"/>
              </w:rPr>
            </w:pPr>
            <w:r>
              <w:rPr>
                <w:rFonts w:hint="eastAsia"/>
              </w:rPr>
              <w:t>说明：报价最接近基准分的</w:t>
            </w:r>
            <w:r>
              <w:rPr>
                <w:rFonts w:hint="eastAsia"/>
                <w:lang w:eastAsia="zh-CN"/>
              </w:rPr>
              <w:t>投标人</w:t>
            </w:r>
            <w:r>
              <w:rPr>
                <w:rFonts w:hint="eastAsia"/>
              </w:rPr>
              <w:t>价格分最高，价格分保留至小数点后两位</w:t>
            </w:r>
          </w:p>
        </w:tc>
      </w:tr>
    </w:tbl>
    <w:p>
      <w:pPr>
        <w:pStyle w:val="2"/>
        <w:rPr>
          <w:highlight w:val="none"/>
        </w:rPr>
      </w:pPr>
    </w:p>
    <w:p>
      <w:pPr>
        <w:spacing w:line="360" w:lineRule="auto"/>
        <w:ind w:firstLine="420" w:firstLineChars="200"/>
        <w:jc w:val="left"/>
        <w:rPr>
          <w:rFonts w:ascii="宋体" w:hAnsi="宋体"/>
          <w:szCs w:val="21"/>
        </w:rPr>
      </w:pPr>
      <w:r>
        <w:rPr>
          <w:rFonts w:hint="eastAsia" w:ascii="宋体" w:hAnsi="宋体"/>
          <w:szCs w:val="21"/>
        </w:rPr>
        <w:t>算术错误将按以下方法更正（次序排前者优先）：</w:t>
      </w:r>
    </w:p>
    <w:p>
      <w:pPr>
        <w:numPr>
          <w:ilvl w:val="0"/>
          <w:numId w:val="34"/>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34"/>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w:t>
      </w:r>
      <w:r>
        <w:rPr>
          <w:rFonts w:hint="eastAsia" w:ascii="宋体" w:hAnsi="宋体"/>
          <w:szCs w:val="21"/>
          <w:lang w:eastAsia="zh-CN"/>
        </w:rPr>
        <w:t>投标人</w:t>
      </w:r>
      <w:r>
        <w:rPr>
          <w:rFonts w:hint="eastAsia" w:ascii="宋体" w:hAnsi="宋体"/>
          <w:szCs w:val="21"/>
        </w:rPr>
        <w:t>不接受上述错误的更正方式，</w:t>
      </w:r>
      <w:r>
        <w:rPr>
          <w:rFonts w:hint="eastAsia" w:ascii="宋体" w:hAnsi="宋体"/>
          <w:szCs w:val="21"/>
          <w:lang w:eastAsia="zh-CN"/>
        </w:rPr>
        <w:t>招标人</w:t>
      </w:r>
      <w:r>
        <w:rPr>
          <w:rFonts w:hint="eastAsia" w:ascii="宋体" w:hAnsi="宋体"/>
          <w:szCs w:val="21"/>
        </w:rPr>
        <w:t>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hint="eastAsia" w:ascii="宋体" w:hAnsi="宋体" w:eastAsia="宋体"/>
          <w:b/>
          <w:sz w:val="32"/>
          <w:szCs w:val="32"/>
          <w:lang w:eastAsia="zh-CN"/>
        </w:rPr>
      </w:pPr>
      <w:bookmarkStart w:id="57" w:name="_Toc116550358"/>
      <w:r>
        <w:rPr>
          <w:rFonts w:hint="eastAsia" w:ascii="宋体" w:hAnsi="宋体"/>
          <w:b/>
          <w:sz w:val="32"/>
          <w:szCs w:val="32"/>
        </w:rPr>
        <w:t>第四部分：合同条款及格式</w:t>
      </w:r>
      <w:bookmarkEnd w:id="57"/>
    </w:p>
    <w:p>
      <w:pPr>
        <w:jc w:val="center"/>
        <w:rPr>
          <w:rFonts w:ascii="方正小标宋简体" w:hAnsi="方正小标宋简体" w:eastAsia="方正小标宋简体" w:cs="方正小标宋简体"/>
          <w:bCs/>
          <w:kern w:val="0"/>
          <w:sz w:val="28"/>
          <w:szCs w:val="28"/>
        </w:rPr>
      </w:pPr>
    </w:p>
    <w:p>
      <w:pPr>
        <w:pStyle w:val="2"/>
        <w:ind w:left="0"/>
      </w:pPr>
      <w:bookmarkStart w:id="58" w:name="_Toc116550359"/>
      <w:r>
        <w:rPr>
          <w:rFonts w:hint="eastAsia" w:ascii="微软雅黑" w:hAnsi="微软雅黑" w:eastAsia="微软雅黑"/>
          <w:sz w:val="72"/>
          <w:szCs w:val="72"/>
        </w:rPr>
        <w:drawing>
          <wp:inline distT="0" distB="0" distL="114300" distR="114300">
            <wp:extent cx="2844165" cy="736600"/>
            <wp:effectExtent l="0" t="0" r="13335" b="6350"/>
            <wp:docPr id="3" name="图片 3" descr="截屏2020-08-13 上午2.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0-08-13 上午2.10.25"/>
                    <pic:cNvPicPr>
                      <a:picLocks noChangeAspect="1"/>
                    </pic:cNvPicPr>
                  </pic:nvPicPr>
                  <pic:blipFill>
                    <a:blip r:embed="rId7"/>
                    <a:stretch>
                      <a:fillRect/>
                    </a:stretch>
                  </pic:blipFill>
                  <pic:spPr>
                    <a:xfrm>
                      <a:off x="0" y="0"/>
                      <a:ext cx="2844165" cy="736600"/>
                    </a:xfrm>
                    <a:prstGeom prst="rect">
                      <a:avLst/>
                    </a:prstGeom>
                    <a:noFill/>
                    <a:ln>
                      <a:noFill/>
                    </a:ln>
                  </pic:spPr>
                </pic:pic>
              </a:graphicData>
            </a:graphic>
          </wp:inline>
        </w:drawing>
      </w:r>
    </w:p>
    <w:p>
      <w:pPr>
        <w:pStyle w:val="2"/>
      </w:pPr>
    </w:p>
    <w:p>
      <w:pPr>
        <w:tabs>
          <w:tab w:val="left" w:pos="180"/>
        </w:tabs>
        <w:adjustRightInd w:val="0"/>
        <w:snapToGrid w:val="0"/>
        <w:spacing w:line="300" w:lineRule="auto"/>
        <w:jc w:val="right"/>
      </w:pPr>
      <w:r>
        <w:rPr>
          <w:rFonts w:hint="eastAsia" w:cs="宋体"/>
        </w:rPr>
        <w:t>合同编号（甲方）：</w:t>
      </w:r>
      <w:r>
        <w:t xml:space="preserve"> ___________________________ </w:t>
      </w:r>
    </w:p>
    <w:p>
      <w:pPr>
        <w:tabs>
          <w:tab w:val="left" w:pos="180"/>
        </w:tabs>
        <w:adjustRightInd w:val="0"/>
        <w:snapToGrid w:val="0"/>
        <w:spacing w:line="300" w:lineRule="auto"/>
        <w:jc w:val="right"/>
      </w:pPr>
      <w:r>
        <w:rPr>
          <w:rFonts w:hint="eastAsia" w:cs="宋体"/>
        </w:rPr>
        <w:t>合同编号（乙方）：</w:t>
      </w:r>
      <w:r>
        <w:t xml:space="preserve"> ___________________________</w:t>
      </w:r>
    </w:p>
    <w:p>
      <w:pPr>
        <w:spacing w:line="700" w:lineRule="exact"/>
        <w:jc w:val="center"/>
        <w:rPr>
          <w:rFonts w:eastAsia="黑体"/>
          <w:b/>
          <w:bCs/>
          <w:sz w:val="52"/>
          <w:szCs w:val="52"/>
        </w:rPr>
      </w:pPr>
    </w:p>
    <w:p>
      <w:pPr>
        <w:spacing w:line="700" w:lineRule="exact"/>
        <w:jc w:val="center"/>
        <w:rPr>
          <w:rFonts w:eastAsia="黑体"/>
          <w:b/>
          <w:bCs/>
          <w:sz w:val="52"/>
          <w:szCs w:val="52"/>
        </w:rPr>
      </w:pPr>
    </w:p>
    <w:p>
      <w:pPr>
        <w:spacing w:line="700" w:lineRule="exact"/>
        <w:jc w:val="center"/>
        <w:rPr>
          <w:rFonts w:hint="eastAsia" w:eastAsia="黑体" w:cs="黑体"/>
          <w:b/>
          <w:bCs/>
          <w:sz w:val="48"/>
          <w:szCs w:val="48"/>
        </w:rPr>
      </w:pPr>
      <w:r>
        <w:rPr>
          <w:rFonts w:hint="eastAsia" w:eastAsia="黑体" w:cs="黑体"/>
          <w:b/>
          <w:bCs/>
          <w:sz w:val="48"/>
          <w:szCs w:val="48"/>
        </w:rPr>
        <w:t>深圳会展中心</w:t>
      </w:r>
    </w:p>
    <w:p>
      <w:pPr>
        <w:spacing w:line="700" w:lineRule="exact"/>
        <w:jc w:val="center"/>
        <w:rPr>
          <w:rFonts w:eastAsia="黑体" w:cs="黑体"/>
          <w:b/>
          <w:bCs/>
          <w:sz w:val="48"/>
          <w:szCs w:val="48"/>
          <w:highlight w:val="none"/>
        </w:rPr>
      </w:pPr>
      <w:r>
        <w:rPr>
          <w:rFonts w:hint="eastAsia" w:eastAsia="黑体" w:cs="黑体"/>
          <w:b/>
          <w:bCs/>
          <w:sz w:val="48"/>
          <w:szCs w:val="48"/>
          <w:highlight w:val="none"/>
          <w:lang w:val="en-US" w:eastAsia="zh-CN"/>
        </w:rPr>
        <w:t>XXXXXXXXXXX</w:t>
      </w:r>
      <w:r>
        <w:rPr>
          <w:rFonts w:hint="eastAsia" w:eastAsia="黑体" w:cs="黑体"/>
          <w:b/>
          <w:bCs/>
          <w:sz w:val="48"/>
          <w:szCs w:val="48"/>
          <w:highlight w:val="none"/>
        </w:rPr>
        <w:t>项目合同</w:t>
      </w:r>
    </w:p>
    <w:p>
      <w:pPr>
        <w:tabs>
          <w:tab w:val="left" w:pos="180"/>
        </w:tabs>
        <w:spacing w:line="640" w:lineRule="exact"/>
        <w:rPr>
          <w:sz w:val="32"/>
          <w:szCs w:val="32"/>
          <w:highlight w:val="none"/>
        </w:rPr>
      </w:pPr>
      <w:r>
        <w:rPr>
          <w:highlight w:val="none"/>
        </w:rPr>
        <w:t xml:space="preserve">                      </w:t>
      </w:r>
    </w:p>
    <w:p>
      <w:pPr>
        <w:pStyle w:val="2"/>
        <w:ind w:left="0" w:leftChars="0" w:firstLine="0" w:firstLineChars="0"/>
        <w:rPr>
          <w:rFonts w:hint="eastAsia"/>
          <w:sz w:val="24"/>
          <w:highlight w:val="none"/>
        </w:rPr>
      </w:pPr>
    </w:p>
    <w:p>
      <w:pPr>
        <w:pStyle w:val="2"/>
        <w:rPr>
          <w:rFonts w:hint="eastAsia"/>
          <w:sz w:val="24"/>
          <w:highlight w:val="none"/>
        </w:rPr>
      </w:pPr>
    </w:p>
    <w:p>
      <w:pPr>
        <w:pStyle w:val="2"/>
        <w:rPr>
          <w:rFonts w:hint="eastAsia" w:eastAsia="宋体"/>
          <w:sz w:val="24"/>
          <w:highlight w:val="none"/>
          <w:lang w:eastAsia="zh-CN"/>
        </w:rPr>
      </w:pPr>
    </w:p>
    <w:p>
      <w:pPr>
        <w:pStyle w:val="2"/>
        <w:rPr>
          <w:rFonts w:hint="eastAsia"/>
          <w:sz w:val="24"/>
          <w:highlight w:val="none"/>
        </w:rPr>
      </w:pPr>
    </w:p>
    <w:p>
      <w:pPr>
        <w:rPr>
          <w:rFonts w:hint="eastAsia" w:ascii="仿宋" w:hAnsi="仿宋" w:eastAsia="仿宋" w:cs="仿宋"/>
          <w:sz w:val="28"/>
          <w:szCs w:val="28"/>
        </w:rPr>
      </w:pPr>
      <w:r>
        <w:rPr>
          <w:rFonts w:hint="eastAsia" w:ascii="仿宋" w:hAnsi="仿宋" w:eastAsia="仿宋" w:cs="仿宋"/>
          <w:sz w:val="28"/>
          <w:szCs w:val="28"/>
        </w:rPr>
        <w:br w:type="page"/>
      </w:r>
    </w:p>
    <w:p>
      <w:pPr>
        <w:spacing w:before="312" w:beforeLines="100" w:after="312" w:afterLines="100" w:line="360" w:lineRule="auto"/>
        <w:jc w:val="center"/>
        <w:outlineLvl w:val="0"/>
        <w:rPr>
          <w:rFonts w:ascii="仿宋" w:hAnsi="仿宋" w:eastAsia="仿宋"/>
          <w:sz w:val="32"/>
          <w:szCs w:val="32"/>
        </w:rPr>
      </w:pPr>
      <w:r>
        <w:rPr>
          <w:rFonts w:hint="eastAsia"/>
          <w:b/>
          <w:sz w:val="32"/>
          <w:szCs w:val="32"/>
        </w:rPr>
        <w:t>第五部分：参考附件</w:t>
      </w:r>
      <w:bookmarkEnd w:id="58"/>
    </w:p>
    <w:p>
      <w:pPr>
        <w:spacing w:line="0" w:lineRule="atLeast"/>
        <w:outlineLvl w:val="1"/>
        <w:rPr>
          <w:rFonts w:ascii="宋体" w:hAnsi="宋体"/>
        </w:rPr>
      </w:pPr>
      <w:bookmarkStart w:id="59" w:name="_Toc116550360"/>
      <w:r>
        <w:rPr>
          <w:rFonts w:hint="eastAsia" w:ascii="宋体" w:hAnsi="宋体"/>
          <w:szCs w:val="21"/>
        </w:rPr>
        <w:t>附件1：</w:t>
      </w:r>
      <w:r>
        <w:rPr>
          <w:rFonts w:hint="eastAsia" w:ascii="宋体" w:hAnsi="宋体"/>
        </w:rPr>
        <w:t>报名回函</w:t>
      </w:r>
      <w:bookmarkEnd w:id="59"/>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60" w:name="_Toc116550361"/>
      <w:r>
        <w:rPr>
          <w:rFonts w:hint="eastAsia" w:ascii="宋体" w:hAnsi="宋体"/>
          <w:szCs w:val="21"/>
        </w:rPr>
        <w:t>附件2：投标函</w:t>
      </w:r>
      <w:bookmarkEnd w:id="60"/>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1" w:name="_Toc116550362"/>
      <w:r>
        <w:rPr>
          <w:rFonts w:hint="eastAsia" w:ascii="宋体" w:hAnsi="宋体"/>
          <w:szCs w:val="21"/>
        </w:rPr>
        <w:t>附件3：投标一览表</w:t>
      </w:r>
      <w:bookmarkEnd w:id="61"/>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2"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2" w:type="dxa"/>
            <w:vAlign w:val="center"/>
          </w:tcPr>
          <w:p>
            <w:pPr>
              <w:pStyle w:val="2"/>
              <w:keepNext w:val="0"/>
              <w:keepLines w:val="0"/>
              <w:suppressLineNumbers w:val="0"/>
              <w:spacing w:before="0" w:beforeAutospacing="0" w:after="0" w:afterAutospacing="0" w:line="300" w:lineRule="exact"/>
              <w:ind w:left="0" w:right="0"/>
              <w:jc w:val="center"/>
              <w:rPr>
                <w:rFonts w:hint="default"/>
                <w:sz w:val="21"/>
                <w:szCs w:val="21"/>
              </w:rPr>
            </w:pPr>
            <w:r>
              <w:rPr>
                <w:rFonts w:hint="eastAsia"/>
                <w:sz w:val="21"/>
                <w:szCs w:val="21"/>
              </w:rPr>
              <w:t>税前总金额</w:t>
            </w:r>
          </w:p>
          <w:p>
            <w:pPr>
              <w:pStyle w:val="2"/>
              <w:keepNext w:val="0"/>
              <w:keepLines w:val="0"/>
              <w:suppressLineNumbers w:val="0"/>
              <w:spacing w:before="0" w:beforeAutospacing="0" w:after="0" w:afterAutospacing="0" w:line="300" w:lineRule="exact"/>
              <w:ind w:left="0" w:right="0"/>
              <w:jc w:val="center"/>
              <w:rPr>
                <w:rFonts w:hint="default"/>
                <w:sz w:val="21"/>
                <w:szCs w:val="21"/>
              </w:rPr>
            </w:pPr>
            <w:r>
              <w:rPr>
                <w:rFonts w:hint="eastAsia"/>
                <w:sz w:val="21"/>
                <w:szCs w:val="21"/>
              </w:rPr>
              <w:t>（净价）</w:t>
            </w:r>
          </w:p>
        </w:tc>
        <w:tc>
          <w:tcPr>
            <w:tcW w:w="567"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szCs w:val="21"/>
              </w:rPr>
            </w:pPr>
            <w:r>
              <w:rPr>
                <w:rFonts w:hint="eastAsia" w:ascii="宋体" w:hAnsi="宋体"/>
                <w:szCs w:val="21"/>
              </w:rPr>
              <w:t>税率</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szCs w:val="21"/>
              </w:rPr>
            </w:pPr>
            <w:r>
              <w:rPr>
                <w:rFonts w:hint="eastAsia" w:ascii="宋体" w:hAnsi="宋体"/>
                <w:szCs w:val="21"/>
              </w:rPr>
              <w:t>税额</w:t>
            </w:r>
          </w:p>
        </w:tc>
        <w:tc>
          <w:tcPr>
            <w:tcW w:w="1567"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szCs w:val="21"/>
              </w:rPr>
            </w:pPr>
            <w:r>
              <w:rPr>
                <w:rFonts w:hint="eastAsia" w:ascii="宋体" w:hAnsi="宋体"/>
                <w:szCs w:val="21"/>
              </w:rPr>
              <w:t>含税总金额</w:t>
            </w:r>
          </w:p>
        </w:tc>
        <w:tc>
          <w:tcPr>
            <w:tcW w:w="1409"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szCs w:val="21"/>
              </w:rPr>
            </w:pPr>
            <w:r>
              <w:rPr>
                <w:rFonts w:hint="eastAsia" w:ascii="宋体" w:hAnsi="宋体"/>
                <w:szCs w:val="21"/>
              </w:rPr>
              <w:t>工期/服务期（自然日）</w:t>
            </w:r>
          </w:p>
        </w:tc>
        <w:tc>
          <w:tcPr>
            <w:tcW w:w="1427"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szCs w:val="21"/>
              </w:rPr>
            </w:pPr>
            <w:r>
              <w:rPr>
                <w:rFonts w:hint="eastAsia" w:ascii="宋体" w:hAnsi="宋体"/>
                <w:szCs w:val="21"/>
              </w:rPr>
              <w:t>项目负责人</w:t>
            </w:r>
          </w:p>
          <w:p>
            <w:pPr>
              <w:keepNext w:val="0"/>
              <w:keepLines w:val="0"/>
              <w:suppressLineNumbers w:val="0"/>
              <w:spacing w:before="0" w:beforeAutospacing="0" w:after="0" w:afterAutospacing="0" w:line="300" w:lineRule="exact"/>
              <w:ind w:left="0" w:right="0"/>
              <w:jc w:val="center"/>
              <w:rPr>
                <w:rFonts w:hint="default" w:ascii="宋体" w:hAnsi="宋体"/>
                <w:szCs w:val="21"/>
              </w:rPr>
            </w:pPr>
            <w:r>
              <w:rPr>
                <w:rFonts w:hint="eastAsia" w:ascii="宋体" w:hAnsi="宋体"/>
                <w:szCs w:val="21"/>
              </w:rPr>
              <w:t>及联系方式</w:t>
            </w:r>
          </w:p>
        </w:tc>
        <w:tc>
          <w:tcPr>
            <w:tcW w:w="1764"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567"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134"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567"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409"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427"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764"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投标人备注：</w:t>
            </w:r>
          </w:p>
        </w:tc>
      </w:tr>
      <w:bookmarkEnd w:id="62"/>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3" w:name="_Toc116550363"/>
      <w:r>
        <w:rPr>
          <w:rFonts w:hint="eastAsia" w:ascii="宋体" w:hAnsi="宋体"/>
          <w:szCs w:val="21"/>
        </w:rPr>
        <w:t>附件4：考察证明</w:t>
      </w:r>
      <w:bookmarkEnd w:id="63"/>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4"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5"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5"/>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4"/>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6" w:name="_Toc116550364"/>
      <w:r>
        <w:rPr>
          <w:rFonts w:hint="eastAsia" w:ascii="宋体" w:hAnsi="宋体"/>
          <w:szCs w:val="21"/>
        </w:rPr>
        <w:t>附件5：技术服务响应/偏离表</w:t>
      </w:r>
      <w:bookmarkEnd w:id="6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7" w:name="_Toc211248418"/>
      <w:r>
        <w:rPr>
          <w:rFonts w:hint="eastAsia" w:ascii="方正小标宋_GBK" w:hAnsi="方正小标宋_GBK" w:eastAsia="方正小标宋_GBK"/>
          <w:b/>
          <w:sz w:val="32"/>
          <w:szCs w:val="32"/>
        </w:rPr>
        <w:t>技术服务响应/偏离表</w:t>
      </w:r>
      <w:bookmarkEnd w:id="67"/>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r>
              <w:rPr>
                <w:rFonts w:hint="eastAsia" w:ascii="仿宋" w:hAnsi="仿宋" w:eastAsia="仿宋"/>
                <w:sz w:val="28"/>
                <w:szCs w:val="28"/>
              </w:rPr>
              <w:t>序号</w:t>
            </w:r>
          </w:p>
        </w:tc>
        <w:tc>
          <w:tcPr>
            <w:tcW w:w="5708"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c>
          <w:tcPr>
            <w:tcW w:w="5708" w:type="dxa"/>
            <w:vAlign w:val="center"/>
          </w:tcPr>
          <w:p>
            <w:pPr>
              <w:keepNext w:val="0"/>
              <w:keepLines w:val="0"/>
              <w:suppressLineNumbers w:val="0"/>
              <w:spacing w:before="0" w:beforeAutospacing="0" w:after="0" w:afterAutospacing="0" w:line="0" w:lineRule="atLeast"/>
              <w:ind w:left="-105" w:leftChars="-50" w:right="-105" w:rightChars="-50"/>
              <w:jc w:val="center"/>
              <w:rPr>
                <w:rFonts w:hint="default" w:ascii="仿宋" w:hAnsi="仿宋" w:eastAsia="仿宋"/>
                <w:sz w:val="28"/>
                <w:szCs w:val="28"/>
              </w:rPr>
            </w:pPr>
          </w:p>
          <w:p>
            <w:pPr>
              <w:keepNext w:val="0"/>
              <w:keepLines w:val="0"/>
              <w:suppressLineNumbers w:val="0"/>
              <w:spacing w:before="0" w:beforeAutospacing="0" w:after="0" w:afterAutospacing="0" w:line="0" w:lineRule="atLeast"/>
              <w:ind w:left="128" w:leftChars="-183" w:right="0" w:hanging="512" w:hangingChars="183"/>
              <w:jc w:val="center"/>
              <w:rPr>
                <w:rFonts w:hint="default" w:ascii="仿宋" w:hAnsi="仿宋" w:eastAsia="仿宋"/>
                <w:sz w:val="28"/>
                <w:szCs w:val="28"/>
              </w:rPr>
            </w:pPr>
            <w:r>
              <w:rPr>
                <w:rFonts w:hint="eastAsia" w:ascii="仿宋" w:hAnsi="仿宋" w:eastAsia="仿宋"/>
                <w:sz w:val="28"/>
                <w:szCs w:val="28"/>
              </w:rPr>
              <w:t>技术服务明细</w:t>
            </w:r>
          </w:p>
        </w:tc>
        <w:tc>
          <w:tcPr>
            <w:tcW w:w="169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r>
              <w:rPr>
                <w:rFonts w:hint="eastAsia" w:ascii="仿宋" w:hAnsi="仿宋" w:eastAsia="仿宋"/>
                <w:sz w:val="28"/>
                <w:szCs w:val="28"/>
              </w:rPr>
              <w:t>响应内容</w:t>
            </w:r>
          </w:p>
        </w:tc>
        <w:tc>
          <w:tcPr>
            <w:tcW w:w="641" w:type="dxa"/>
            <w:vAlign w:val="center"/>
          </w:tcPr>
          <w:p>
            <w:pPr>
              <w:keepNext w:val="0"/>
              <w:keepLines w:val="0"/>
              <w:suppressLineNumbers w:val="0"/>
              <w:spacing w:before="0" w:beforeAutospacing="0" w:after="0" w:afterAutospacing="0" w:line="0" w:lineRule="atLeast"/>
              <w:ind w:left="-113" w:right="-113"/>
              <w:jc w:val="center"/>
              <w:rPr>
                <w:rFonts w:hint="default" w:ascii="仿宋" w:hAnsi="仿宋" w:eastAsia="仿宋"/>
                <w:sz w:val="28"/>
                <w:szCs w:val="28"/>
              </w:rPr>
            </w:pPr>
            <w:r>
              <w:rPr>
                <w:rFonts w:hint="eastAsia" w:ascii="仿宋" w:hAnsi="仿宋" w:eastAsia="仿宋"/>
                <w:sz w:val="28"/>
                <w:szCs w:val="28"/>
              </w:rPr>
              <w:t>有/无</w:t>
            </w:r>
          </w:p>
          <w:p>
            <w:pPr>
              <w:keepNext w:val="0"/>
              <w:keepLines w:val="0"/>
              <w:suppressLineNumbers w:val="0"/>
              <w:spacing w:before="0" w:beforeAutospacing="0" w:after="0" w:afterAutospacing="0" w:line="0" w:lineRule="atLeast"/>
              <w:ind w:left="-113" w:right="-113"/>
              <w:jc w:val="center"/>
              <w:rPr>
                <w:rFonts w:hint="default" w:ascii="仿宋" w:hAnsi="仿宋" w:eastAsia="仿宋"/>
                <w:sz w:val="28"/>
                <w:szCs w:val="28"/>
              </w:rPr>
            </w:pPr>
            <w:r>
              <w:rPr>
                <w:rFonts w:hint="eastAsia" w:ascii="仿宋" w:hAnsi="仿宋" w:eastAsia="仿宋"/>
                <w:sz w:val="28"/>
                <w:szCs w:val="28"/>
              </w:rPr>
              <w:t>偏离</w:t>
            </w:r>
          </w:p>
        </w:tc>
        <w:tc>
          <w:tcPr>
            <w:tcW w:w="895"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35"/>
              </w:numPr>
              <w:suppressLineNumbers w:val="0"/>
              <w:spacing w:before="0" w:beforeAutospacing="0" w:after="0" w:afterAutospacing="0" w:line="0" w:lineRule="atLeast"/>
              <w:ind w:right="0"/>
              <w:jc w:val="center"/>
              <w:rPr>
                <w:rFonts w:hint="default" w:ascii="仿宋" w:hAnsi="仿宋" w:eastAsia="仿宋" w:cs="仿宋"/>
                <w:sz w:val="28"/>
                <w:szCs w:val="28"/>
              </w:rPr>
            </w:pPr>
          </w:p>
        </w:tc>
        <w:tc>
          <w:tcPr>
            <w:tcW w:w="5708" w:type="dxa"/>
          </w:tcPr>
          <w:p>
            <w:pPr>
              <w:keepNext w:val="0"/>
              <w:keepLines w:val="0"/>
              <w:suppressLineNumbers w:val="0"/>
              <w:spacing w:before="0" w:beforeAutospacing="0" w:after="0" w:afterAutospacing="0" w:line="400" w:lineRule="exact"/>
              <w:ind w:left="0" w:right="0"/>
              <w:rPr>
                <w:rFonts w:hint="default" w:ascii="仿宋" w:hAnsi="仿宋" w:eastAsia="仿宋"/>
                <w:sz w:val="28"/>
                <w:szCs w:val="28"/>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c>
          <w:tcPr>
            <w:tcW w:w="641"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c>
          <w:tcPr>
            <w:tcW w:w="895"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35"/>
              </w:numPr>
              <w:suppressLineNumbers w:val="0"/>
              <w:spacing w:before="0" w:beforeAutospacing="0" w:after="0" w:afterAutospacing="0" w:line="0" w:lineRule="atLeast"/>
              <w:ind w:right="0"/>
              <w:jc w:val="center"/>
              <w:rPr>
                <w:rFonts w:hint="default" w:ascii="仿宋" w:hAnsi="仿宋" w:eastAsia="仿宋" w:cs="仿宋"/>
                <w:sz w:val="28"/>
                <w:szCs w:val="28"/>
              </w:rPr>
            </w:pPr>
          </w:p>
        </w:tc>
        <w:tc>
          <w:tcPr>
            <w:tcW w:w="5708" w:type="dxa"/>
          </w:tcPr>
          <w:p>
            <w:pPr>
              <w:keepNext w:val="0"/>
              <w:keepLines w:val="0"/>
              <w:suppressLineNumbers w:val="0"/>
              <w:spacing w:before="0" w:beforeAutospacing="0" w:after="0" w:afterAutospacing="0" w:line="400" w:lineRule="exact"/>
              <w:ind w:left="0" w:right="0"/>
              <w:rPr>
                <w:rFonts w:hint="default" w:ascii="仿宋" w:hAnsi="仿宋" w:eastAsia="仿宋"/>
                <w:sz w:val="28"/>
                <w:szCs w:val="28"/>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c>
          <w:tcPr>
            <w:tcW w:w="641"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c>
          <w:tcPr>
            <w:tcW w:w="895"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35"/>
              </w:numPr>
              <w:suppressLineNumbers w:val="0"/>
              <w:spacing w:before="0" w:beforeAutospacing="0" w:after="0" w:afterAutospacing="0" w:line="0" w:lineRule="atLeast"/>
              <w:ind w:right="0"/>
              <w:jc w:val="center"/>
              <w:rPr>
                <w:rFonts w:hint="default" w:ascii="仿宋" w:hAnsi="仿宋" w:eastAsia="仿宋" w:cs="仿宋"/>
                <w:sz w:val="28"/>
                <w:szCs w:val="28"/>
              </w:rPr>
            </w:pPr>
          </w:p>
        </w:tc>
        <w:tc>
          <w:tcPr>
            <w:tcW w:w="5708" w:type="dxa"/>
          </w:tcPr>
          <w:p>
            <w:pPr>
              <w:keepNext w:val="0"/>
              <w:keepLines w:val="0"/>
              <w:suppressLineNumbers w:val="0"/>
              <w:spacing w:before="0" w:beforeAutospacing="0" w:after="0" w:afterAutospacing="0" w:line="400" w:lineRule="exact"/>
              <w:ind w:left="0" w:right="0" w:firstLine="548" w:firstLineChars="196"/>
              <w:rPr>
                <w:rFonts w:hint="default" w:ascii="仿宋" w:hAnsi="仿宋" w:eastAsia="仿宋"/>
                <w:sz w:val="28"/>
                <w:szCs w:val="28"/>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c>
          <w:tcPr>
            <w:tcW w:w="641"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c>
          <w:tcPr>
            <w:tcW w:w="895"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35"/>
              </w:numPr>
              <w:suppressLineNumbers w:val="0"/>
              <w:spacing w:before="0" w:beforeAutospacing="0" w:after="0" w:afterAutospacing="0" w:line="0" w:lineRule="atLeast"/>
              <w:ind w:right="0"/>
              <w:jc w:val="center"/>
              <w:rPr>
                <w:rFonts w:hint="default" w:ascii="仿宋" w:hAnsi="仿宋" w:eastAsia="仿宋" w:cs="仿宋"/>
                <w:sz w:val="28"/>
                <w:szCs w:val="28"/>
              </w:rPr>
            </w:pPr>
          </w:p>
        </w:tc>
        <w:tc>
          <w:tcPr>
            <w:tcW w:w="5708" w:type="dxa"/>
          </w:tcPr>
          <w:p>
            <w:pPr>
              <w:keepNext w:val="0"/>
              <w:keepLines w:val="0"/>
              <w:suppressLineNumbers w:val="0"/>
              <w:spacing w:before="0" w:beforeAutospacing="0" w:after="0" w:afterAutospacing="0" w:line="400" w:lineRule="exact"/>
              <w:ind w:left="0" w:right="0"/>
              <w:rPr>
                <w:rFonts w:hint="default" w:ascii="仿宋" w:hAnsi="仿宋" w:eastAsia="仿宋"/>
                <w:sz w:val="28"/>
                <w:szCs w:val="28"/>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c>
          <w:tcPr>
            <w:tcW w:w="641"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c>
          <w:tcPr>
            <w:tcW w:w="895"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8" w:name="_Hlk127434997"/>
      <w:bookmarkStart w:id="69" w:name="_Toc211243320"/>
      <w:r>
        <w:rPr>
          <w:rFonts w:hint="eastAsia" w:ascii="仿宋" w:hAnsi="仿宋" w:eastAsia="仿宋"/>
          <w:sz w:val="30"/>
          <w:szCs w:val="30"/>
        </w:rPr>
        <w:t>法定代表人或其授权委托人（签字或盖章）：</w:t>
      </w:r>
      <w:bookmarkEnd w:id="68"/>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9"/>
      <w:bookmarkStart w:id="70" w:name="_Toc236803114"/>
      <w:bookmarkStart w:id="71" w:name="_Toc246480945"/>
      <w:r>
        <w:rPr>
          <w:rFonts w:ascii="仿宋" w:hAnsi="仿宋" w:eastAsia="仿宋"/>
          <w:sz w:val="28"/>
          <w:szCs w:val="28"/>
        </w:rPr>
        <w:br w:type="page"/>
      </w:r>
    </w:p>
    <w:p>
      <w:pPr>
        <w:spacing w:line="0" w:lineRule="atLeast"/>
        <w:outlineLvl w:val="1"/>
        <w:rPr>
          <w:rFonts w:ascii="宋体" w:hAnsi="宋体"/>
          <w:szCs w:val="21"/>
        </w:rPr>
      </w:pPr>
      <w:bookmarkStart w:id="72" w:name="_Toc116550365"/>
      <w:r>
        <w:rPr>
          <w:rFonts w:hint="eastAsia" w:ascii="宋体" w:hAnsi="宋体"/>
          <w:szCs w:val="21"/>
        </w:rPr>
        <w:t>附件6：商务条款响应/偏离表</w:t>
      </w:r>
      <w:bookmarkEnd w:id="70"/>
      <w:bookmarkEnd w:id="71"/>
      <w:bookmarkEnd w:id="72"/>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3" w:name="_Toc211248420"/>
      <w:r>
        <w:rPr>
          <w:rFonts w:hint="eastAsia" w:ascii="方正小标宋_GBK" w:hAnsi="方正小标宋_GBK" w:eastAsia="方正小标宋_GBK"/>
          <w:b/>
          <w:sz w:val="32"/>
          <w:szCs w:val="32"/>
        </w:rPr>
        <w:t>商务条款响应/偏离表</w:t>
      </w:r>
      <w:bookmarkEnd w:id="73"/>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c>
          <w:tcPr>
            <w:tcW w:w="957" w:type="dxa"/>
            <w:vAlign w:val="center"/>
          </w:tcPr>
          <w:p>
            <w:pPr>
              <w:keepNext w:val="0"/>
              <w:keepLines w:val="0"/>
              <w:suppressLineNumbers w:val="0"/>
              <w:spacing w:before="0" w:beforeAutospacing="0" w:after="0" w:afterAutospacing="0" w:line="0" w:lineRule="atLeast"/>
              <w:ind w:left="-105" w:leftChars="-50" w:right="-105" w:rightChars="-50"/>
              <w:jc w:val="center"/>
              <w:rPr>
                <w:rFonts w:hint="default" w:ascii="仿宋" w:hAnsi="仿宋" w:eastAsia="仿宋"/>
                <w:sz w:val="30"/>
                <w:szCs w:val="30"/>
              </w:rPr>
            </w:pPr>
            <w:r>
              <w:rPr>
                <w:rFonts w:hint="eastAsia" w:ascii="仿宋" w:hAnsi="仿宋" w:eastAsia="仿宋"/>
                <w:sz w:val="30"/>
                <w:szCs w:val="30"/>
              </w:rPr>
              <w:t>条目号</w:t>
            </w:r>
          </w:p>
        </w:tc>
        <w:tc>
          <w:tcPr>
            <w:tcW w:w="4264"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r>
              <w:rPr>
                <w:rFonts w:hint="eastAsia" w:ascii="仿宋" w:hAnsi="仿宋" w:eastAsia="仿宋"/>
                <w:sz w:val="30"/>
                <w:szCs w:val="30"/>
              </w:rPr>
              <w:t>商务要求明细</w:t>
            </w:r>
          </w:p>
        </w:tc>
        <w:tc>
          <w:tcPr>
            <w:tcW w:w="1777"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r>
              <w:rPr>
                <w:rFonts w:hint="eastAsia" w:ascii="仿宋" w:hAnsi="仿宋" w:eastAsia="仿宋"/>
                <w:sz w:val="30"/>
                <w:szCs w:val="30"/>
              </w:rPr>
              <w:t>响应内容</w:t>
            </w:r>
          </w:p>
        </w:tc>
        <w:tc>
          <w:tcPr>
            <w:tcW w:w="641" w:type="dxa"/>
            <w:vAlign w:val="center"/>
          </w:tcPr>
          <w:p>
            <w:pPr>
              <w:keepNext w:val="0"/>
              <w:keepLines w:val="0"/>
              <w:suppressLineNumbers w:val="0"/>
              <w:spacing w:before="0" w:beforeAutospacing="0" w:after="0" w:afterAutospacing="0" w:line="0" w:lineRule="atLeast"/>
              <w:ind w:left="-113" w:right="-113"/>
              <w:jc w:val="center"/>
              <w:rPr>
                <w:rFonts w:hint="default" w:ascii="仿宋" w:hAnsi="仿宋" w:eastAsia="仿宋"/>
                <w:sz w:val="30"/>
                <w:szCs w:val="30"/>
              </w:rPr>
            </w:pPr>
            <w:r>
              <w:rPr>
                <w:rFonts w:hint="eastAsia" w:ascii="仿宋" w:hAnsi="仿宋" w:eastAsia="仿宋"/>
                <w:sz w:val="30"/>
                <w:szCs w:val="30"/>
              </w:rPr>
              <w:t>有/无</w:t>
            </w:r>
          </w:p>
          <w:p>
            <w:pPr>
              <w:keepNext w:val="0"/>
              <w:keepLines w:val="0"/>
              <w:suppressLineNumbers w:val="0"/>
              <w:spacing w:before="0" w:beforeAutospacing="0" w:after="0" w:afterAutospacing="0" w:line="0" w:lineRule="atLeast"/>
              <w:ind w:left="-113" w:right="-113"/>
              <w:jc w:val="center"/>
              <w:rPr>
                <w:rFonts w:hint="default" w:ascii="仿宋" w:hAnsi="仿宋" w:eastAsia="仿宋"/>
                <w:sz w:val="30"/>
                <w:szCs w:val="30"/>
              </w:rPr>
            </w:pPr>
            <w:r>
              <w:rPr>
                <w:rFonts w:hint="eastAsia" w:ascii="仿宋" w:hAnsi="仿宋" w:eastAsia="仿宋"/>
                <w:sz w:val="30"/>
                <w:szCs w:val="30"/>
              </w:rPr>
              <w:t>偏离</w:t>
            </w:r>
          </w:p>
        </w:tc>
        <w:tc>
          <w:tcPr>
            <w:tcW w:w="60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36"/>
              </w:numPr>
              <w:suppressLineNumbers w:val="0"/>
              <w:spacing w:before="0" w:beforeAutospacing="0" w:after="0" w:afterAutospacing="0" w:line="0" w:lineRule="atLeast"/>
              <w:ind w:right="0"/>
              <w:jc w:val="center"/>
              <w:rPr>
                <w:rFonts w:hint="default" w:ascii="仿宋" w:hAnsi="仿宋" w:eastAsia="仿宋"/>
                <w:sz w:val="30"/>
                <w:szCs w:val="30"/>
              </w:rPr>
            </w:pPr>
          </w:p>
        </w:tc>
        <w:tc>
          <w:tcPr>
            <w:tcW w:w="957" w:type="dxa"/>
          </w:tcPr>
          <w:p>
            <w:pPr>
              <w:keepNext w:val="0"/>
              <w:keepLines w:val="0"/>
              <w:suppressLineNumbers w:val="0"/>
              <w:spacing w:before="0" w:beforeAutospacing="0" w:after="0" w:afterAutospacing="0" w:line="400" w:lineRule="exact"/>
              <w:ind w:left="170" w:right="0"/>
              <w:rPr>
                <w:rFonts w:hint="default" w:ascii="仿宋" w:hAnsi="仿宋" w:eastAsia="仿宋"/>
                <w:sz w:val="30"/>
                <w:szCs w:val="30"/>
              </w:rPr>
            </w:pPr>
          </w:p>
        </w:tc>
        <w:tc>
          <w:tcPr>
            <w:tcW w:w="4264" w:type="dxa"/>
          </w:tcPr>
          <w:p>
            <w:pPr>
              <w:keepNext w:val="0"/>
              <w:keepLines w:val="0"/>
              <w:suppressLineNumbers w:val="0"/>
              <w:spacing w:before="0" w:beforeAutospacing="0" w:after="0" w:afterAutospacing="0" w:line="400" w:lineRule="exact"/>
              <w:ind w:left="0" w:right="0"/>
              <w:rPr>
                <w:rFonts w:hint="default" w:ascii="仿宋" w:hAnsi="仿宋" w:eastAsia="仿宋"/>
                <w:sz w:val="30"/>
                <w:szCs w:val="30"/>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c>
          <w:tcPr>
            <w:tcW w:w="641"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c>
          <w:tcPr>
            <w:tcW w:w="60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36"/>
              </w:numPr>
              <w:suppressLineNumbers w:val="0"/>
              <w:spacing w:before="0" w:beforeAutospacing="0" w:after="0" w:afterAutospacing="0" w:line="0" w:lineRule="atLeast"/>
              <w:ind w:right="0"/>
              <w:jc w:val="center"/>
              <w:rPr>
                <w:rFonts w:hint="default" w:ascii="仿宋" w:hAnsi="仿宋" w:eastAsia="仿宋"/>
                <w:sz w:val="30"/>
                <w:szCs w:val="30"/>
              </w:rPr>
            </w:pPr>
          </w:p>
        </w:tc>
        <w:tc>
          <w:tcPr>
            <w:tcW w:w="957" w:type="dxa"/>
          </w:tcPr>
          <w:p>
            <w:pPr>
              <w:keepNext w:val="0"/>
              <w:keepLines w:val="0"/>
              <w:suppressLineNumbers w:val="0"/>
              <w:spacing w:before="0" w:beforeAutospacing="0" w:after="0" w:afterAutospacing="0" w:line="400" w:lineRule="exact"/>
              <w:ind w:left="170" w:right="0"/>
              <w:rPr>
                <w:rFonts w:hint="default" w:ascii="仿宋" w:hAnsi="仿宋" w:eastAsia="仿宋"/>
                <w:sz w:val="30"/>
                <w:szCs w:val="30"/>
              </w:rPr>
            </w:pPr>
          </w:p>
        </w:tc>
        <w:tc>
          <w:tcPr>
            <w:tcW w:w="4264" w:type="dxa"/>
          </w:tcPr>
          <w:p>
            <w:pPr>
              <w:keepNext w:val="0"/>
              <w:keepLines w:val="0"/>
              <w:suppressLineNumbers w:val="0"/>
              <w:spacing w:before="0" w:beforeAutospacing="0" w:after="0" w:afterAutospacing="0" w:line="400" w:lineRule="exact"/>
              <w:ind w:left="0" w:right="0"/>
              <w:jc w:val="left"/>
              <w:rPr>
                <w:rFonts w:hint="default" w:ascii="仿宋" w:hAnsi="仿宋" w:eastAsia="仿宋"/>
                <w:sz w:val="30"/>
                <w:szCs w:val="30"/>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c>
          <w:tcPr>
            <w:tcW w:w="641"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c>
          <w:tcPr>
            <w:tcW w:w="60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36"/>
              </w:numPr>
              <w:suppressLineNumbers w:val="0"/>
              <w:spacing w:before="0" w:beforeAutospacing="0" w:after="0" w:afterAutospacing="0" w:line="0" w:lineRule="atLeast"/>
              <w:ind w:right="0"/>
              <w:jc w:val="center"/>
              <w:rPr>
                <w:rFonts w:hint="default" w:ascii="仿宋" w:hAnsi="仿宋" w:eastAsia="仿宋"/>
                <w:sz w:val="30"/>
                <w:szCs w:val="30"/>
              </w:rPr>
            </w:pPr>
          </w:p>
        </w:tc>
        <w:tc>
          <w:tcPr>
            <w:tcW w:w="957" w:type="dxa"/>
          </w:tcPr>
          <w:p>
            <w:pPr>
              <w:keepNext w:val="0"/>
              <w:keepLines w:val="0"/>
              <w:suppressLineNumbers w:val="0"/>
              <w:spacing w:before="0" w:beforeAutospacing="0" w:after="0" w:afterAutospacing="0" w:line="400" w:lineRule="exact"/>
              <w:ind w:left="170" w:right="0"/>
              <w:rPr>
                <w:rFonts w:hint="default" w:ascii="仿宋" w:hAnsi="仿宋" w:eastAsia="仿宋"/>
                <w:sz w:val="30"/>
                <w:szCs w:val="30"/>
              </w:rPr>
            </w:pPr>
          </w:p>
        </w:tc>
        <w:tc>
          <w:tcPr>
            <w:tcW w:w="4264" w:type="dxa"/>
          </w:tcPr>
          <w:p>
            <w:pPr>
              <w:keepNext w:val="0"/>
              <w:keepLines w:val="0"/>
              <w:suppressLineNumbers w:val="0"/>
              <w:spacing w:before="0" w:beforeAutospacing="0" w:after="0" w:afterAutospacing="0" w:line="400" w:lineRule="exact"/>
              <w:ind w:left="0" w:right="0"/>
              <w:jc w:val="left"/>
              <w:rPr>
                <w:rFonts w:hint="default" w:ascii="仿宋" w:hAnsi="仿宋" w:eastAsia="仿宋"/>
                <w:sz w:val="30"/>
                <w:szCs w:val="30"/>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c>
          <w:tcPr>
            <w:tcW w:w="641"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c>
          <w:tcPr>
            <w:tcW w:w="60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36"/>
              </w:numPr>
              <w:suppressLineNumbers w:val="0"/>
              <w:spacing w:before="0" w:beforeAutospacing="0" w:after="0" w:afterAutospacing="0" w:line="0" w:lineRule="atLeast"/>
              <w:ind w:right="0"/>
              <w:jc w:val="center"/>
              <w:rPr>
                <w:rFonts w:hint="default" w:ascii="仿宋" w:hAnsi="仿宋" w:eastAsia="仿宋"/>
                <w:sz w:val="30"/>
                <w:szCs w:val="30"/>
              </w:rPr>
            </w:pPr>
          </w:p>
        </w:tc>
        <w:tc>
          <w:tcPr>
            <w:tcW w:w="957" w:type="dxa"/>
          </w:tcPr>
          <w:p>
            <w:pPr>
              <w:keepNext w:val="0"/>
              <w:keepLines w:val="0"/>
              <w:suppressLineNumbers w:val="0"/>
              <w:spacing w:before="0" w:beforeAutospacing="0" w:after="0" w:afterAutospacing="0" w:line="400" w:lineRule="exact"/>
              <w:ind w:left="170" w:right="0"/>
              <w:rPr>
                <w:rFonts w:hint="default" w:ascii="仿宋" w:hAnsi="仿宋" w:eastAsia="仿宋"/>
                <w:sz w:val="30"/>
                <w:szCs w:val="30"/>
              </w:rPr>
            </w:pPr>
          </w:p>
        </w:tc>
        <w:tc>
          <w:tcPr>
            <w:tcW w:w="4264" w:type="dxa"/>
          </w:tcPr>
          <w:p>
            <w:pPr>
              <w:keepNext w:val="0"/>
              <w:keepLines w:val="0"/>
              <w:suppressLineNumbers w:val="0"/>
              <w:spacing w:before="0" w:beforeAutospacing="0" w:after="0" w:afterAutospacing="0" w:line="400" w:lineRule="exact"/>
              <w:ind w:left="0" w:right="0"/>
              <w:jc w:val="left"/>
              <w:rPr>
                <w:rFonts w:hint="default" w:ascii="仿宋" w:hAnsi="仿宋" w:eastAsia="仿宋"/>
                <w:bCs/>
                <w:sz w:val="30"/>
                <w:szCs w:val="30"/>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c>
          <w:tcPr>
            <w:tcW w:w="641"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c>
          <w:tcPr>
            <w:tcW w:w="600"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4" w:name="_Toc236803111"/>
      <w:bookmarkStart w:id="75" w:name="_Toc478387764"/>
      <w:bookmarkStart w:id="76" w:name="_Toc395883088"/>
      <w:r>
        <w:rPr>
          <w:rFonts w:ascii="仿宋" w:hAnsi="仿宋" w:eastAsia="仿宋"/>
          <w:sz w:val="28"/>
          <w:szCs w:val="28"/>
        </w:rPr>
        <w:br w:type="page"/>
      </w:r>
    </w:p>
    <w:p>
      <w:pPr>
        <w:spacing w:line="0" w:lineRule="atLeast"/>
        <w:outlineLvl w:val="1"/>
        <w:rPr>
          <w:rFonts w:ascii="宋体" w:hAnsi="宋体"/>
          <w:szCs w:val="21"/>
        </w:rPr>
      </w:pPr>
      <w:bookmarkStart w:id="77" w:name="_Toc116550366"/>
      <w:r>
        <w:rPr>
          <w:rFonts w:hint="eastAsia" w:ascii="宋体" w:hAnsi="宋体"/>
          <w:szCs w:val="21"/>
        </w:rPr>
        <w:t>附件7：报价一览表（货物）</w:t>
      </w:r>
      <w:r>
        <w:rPr>
          <w:rFonts w:hint="eastAsia" w:ascii="宋体" w:hAnsi="宋体"/>
          <w:color w:val="FF0000"/>
          <w:szCs w:val="21"/>
        </w:rPr>
        <w:t>（本项目不适用）</w:t>
      </w:r>
      <w:bookmarkEnd w:id="77"/>
    </w:p>
    <w:bookmarkEnd w:id="74"/>
    <w:bookmarkEnd w:id="75"/>
    <w:bookmarkEnd w:id="76"/>
    <w:p>
      <w:pPr>
        <w:spacing w:before="120" w:after="240"/>
        <w:jc w:val="center"/>
        <w:rPr>
          <w:rFonts w:ascii="宋体" w:hAnsi="宋体"/>
          <w:b/>
          <w:sz w:val="32"/>
          <w:szCs w:val="32"/>
        </w:rPr>
      </w:pPr>
      <w:bookmarkStart w:id="78" w:name="_Toc211248412"/>
      <w:r>
        <w:rPr>
          <w:rFonts w:hint="eastAsia" w:ascii="方正小标宋_GBK" w:hAnsi="方正小标宋_GBK" w:eastAsia="方正小标宋_GBK"/>
          <w:b/>
          <w:sz w:val="32"/>
          <w:szCs w:val="32"/>
        </w:rPr>
        <w:t>报价一览表</w:t>
      </w:r>
      <w:bookmarkEnd w:id="78"/>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sz w:val="28"/>
                <w:szCs w:val="28"/>
              </w:rPr>
            </w:pPr>
            <w:r>
              <w:rPr>
                <w:rFonts w:hint="eastAsia" w:ascii="仿宋" w:hAnsi="仿宋" w:eastAsia="仿宋"/>
                <w:sz w:val="28"/>
                <w:szCs w:val="28"/>
              </w:rPr>
              <w:t>序号</w:t>
            </w:r>
          </w:p>
        </w:tc>
        <w:tc>
          <w:tcPr>
            <w:tcW w:w="1843"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sz w:val="28"/>
                <w:szCs w:val="28"/>
              </w:rPr>
            </w:pPr>
            <w:r>
              <w:rPr>
                <w:rFonts w:hint="eastAsia" w:ascii="仿宋" w:hAnsi="仿宋" w:eastAsia="仿宋"/>
                <w:sz w:val="28"/>
                <w:szCs w:val="28"/>
              </w:rPr>
              <w:t>名称</w:t>
            </w:r>
          </w:p>
        </w:tc>
        <w:tc>
          <w:tcPr>
            <w:tcW w:w="1560"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sz w:val="28"/>
                <w:szCs w:val="28"/>
              </w:rPr>
            </w:pPr>
            <w:r>
              <w:rPr>
                <w:rFonts w:hint="eastAsia" w:ascii="仿宋" w:hAnsi="仿宋" w:eastAsia="仿宋"/>
                <w:sz w:val="28"/>
                <w:szCs w:val="28"/>
              </w:rPr>
              <w:t>型号和规格</w:t>
            </w:r>
          </w:p>
        </w:tc>
        <w:tc>
          <w:tcPr>
            <w:tcW w:w="954"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sz w:val="28"/>
                <w:szCs w:val="28"/>
              </w:rPr>
            </w:pPr>
            <w:r>
              <w:rPr>
                <w:rFonts w:hint="eastAsia" w:ascii="仿宋" w:hAnsi="仿宋" w:eastAsia="仿宋"/>
                <w:sz w:val="28"/>
                <w:szCs w:val="28"/>
              </w:rPr>
              <w:t>制造商</w:t>
            </w:r>
          </w:p>
        </w:tc>
        <w:tc>
          <w:tcPr>
            <w:tcW w:w="850"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sz w:val="28"/>
                <w:szCs w:val="28"/>
              </w:rPr>
            </w:pPr>
            <w:r>
              <w:rPr>
                <w:rFonts w:hint="eastAsia" w:ascii="仿宋" w:hAnsi="仿宋" w:eastAsia="仿宋"/>
                <w:sz w:val="28"/>
                <w:szCs w:val="28"/>
              </w:rPr>
              <w:t>产地</w:t>
            </w:r>
          </w:p>
        </w:tc>
        <w:tc>
          <w:tcPr>
            <w:tcW w:w="536"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sz w:val="28"/>
                <w:szCs w:val="28"/>
              </w:rPr>
            </w:pPr>
            <w:r>
              <w:rPr>
                <w:rFonts w:hint="eastAsia" w:ascii="仿宋" w:hAnsi="仿宋" w:eastAsia="仿宋"/>
                <w:sz w:val="28"/>
                <w:szCs w:val="28"/>
              </w:rPr>
              <w:t>单位</w:t>
            </w:r>
          </w:p>
        </w:tc>
        <w:tc>
          <w:tcPr>
            <w:tcW w:w="1307"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sz w:val="28"/>
                <w:szCs w:val="28"/>
              </w:rPr>
            </w:pPr>
            <w:r>
              <w:rPr>
                <w:rFonts w:hint="eastAsia" w:ascii="仿宋" w:hAnsi="仿宋" w:eastAsia="仿宋"/>
                <w:sz w:val="28"/>
                <w:szCs w:val="28"/>
              </w:rPr>
              <w:t>数量</w:t>
            </w:r>
          </w:p>
        </w:tc>
        <w:tc>
          <w:tcPr>
            <w:tcW w:w="850"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sz w:val="28"/>
                <w:szCs w:val="28"/>
              </w:rPr>
            </w:pPr>
            <w:r>
              <w:rPr>
                <w:rFonts w:hint="eastAsia" w:ascii="仿宋" w:hAnsi="仿宋" w:eastAsia="仿宋"/>
                <w:sz w:val="28"/>
                <w:szCs w:val="28"/>
              </w:rPr>
              <w:t>单价</w:t>
            </w:r>
          </w:p>
        </w:tc>
        <w:tc>
          <w:tcPr>
            <w:tcW w:w="851"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keepNext w:val="0"/>
              <w:keepLines w:val="0"/>
              <w:suppressLineNumbers w:val="0"/>
              <w:autoSpaceDE w:val="0"/>
              <w:autoSpaceDN w:val="0"/>
              <w:adjustRightInd w:val="0"/>
              <w:spacing w:before="0" w:beforeAutospacing="0" w:after="0" w:afterAutospacing="0"/>
              <w:ind w:left="0" w:right="0"/>
              <w:jc w:val="right"/>
              <w:rPr>
                <w:rFonts w:hint="default" w:ascii="仿宋" w:hAnsi="仿宋" w:eastAsia="仿宋"/>
                <w:sz w:val="28"/>
                <w:szCs w:val="28"/>
              </w:rPr>
            </w:pPr>
            <w:r>
              <w:rPr>
                <w:rFonts w:hint="default" w:ascii="仿宋" w:hAnsi="仿宋" w:eastAsia="仿宋"/>
                <w:sz w:val="28"/>
                <w:szCs w:val="28"/>
              </w:rPr>
              <w:t>合计</w:t>
            </w:r>
            <w:r>
              <w:rPr>
                <w:rFonts w:hint="eastAsia" w:ascii="仿宋" w:hAnsi="仿宋" w:eastAsia="仿宋"/>
                <w:sz w:val="28"/>
                <w:szCs w:val="28"/>
              </w:rPr>
              <w:t>金额：</w:t>
            </w:r>
          </w:p>
        </w:tc>
        <w:tc>
          <w:tcPr>
            <w:tcW w:w="851" w:type="dxa"/>
            <w:vAlign w:val="center"/>
          </w:tcPr>
          <w:p>
            <w:pPr>
              <w:keepNext w:val="0"/>
              <w:keepLines w:val="0"/>
              <w:suppressLineNumbers w:val="0"/>
              <w:autoSpaceDE w:val="0"/>
              <w:autoSpaceDN w:val="0"/>
              <w:adjustRightInd w:val="0"/>
              <w:spacing w:before="0" w:beforeAutospacing="0" w:after="0" w:afterAutospacing="0"/>
              <w:ind w:left="0" w:right="0"/>
              <w:jc w:val="right"/>
              <w:rPr>
                <w:rFonts w:hint="default"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37"/>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9" w:name="_Toc82095917"/>
      <w:bookmarkStart w:id="80"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79"/>
    <w:bookmarkEnd w:id="80"/>
    <w:p>
      <w:pPr>
        <w:spacing w:line="0" w:lineRule="atLeast"/>
        <w:outlineLvl w:val="1"/>
        <w:rPr>
          <w:rFonts w:ascii="宋体" w:hAnsi="宋体"/>
          <w:szCs w:val="21"/>
        </w:rPr>
      </w:pPr>
      <w:bookmarkStart w:id="81" w:name="_Toc116550367"/>
      <w:r>
        <w:rPr>
          <w:rFonts w:hint="eastAsia" w:ascii="宋体" w:hAnsi="宋体"/>
          <w:szCs w:val="21"/>
        </w:rPr>
        <w:t>附件8：报价一览表（服务）</w:t>
      </w:r>
      <w:bookmarkEnd w:id="81"/>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hint="default"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hint="default"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hint="default"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hint="default"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hint="default"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right"/>
              <w:rPr>
                <w:rFonts w:hint="default"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2" w:name="_Toc116550368"/>
      <w:r>
        <w:rPr>
          <w:rFonts w:hint="eastAsia" w:ascii="宋体" w:hAnsi="宋体"/>
          <w:szCs w:val="21"/>
        </w:rPr>
        <w:t>附件9：报价一览表（工程）</w:t>
      </w:r>
      <w:bookmarkEnd w:id="82"/>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r>
              <w:rPr>
                <w:rFonts w:hint="eastAsia" w:ascii="仿宋" w:hAnsi="仿宋" w:eastAsia="仿宋"/>
                <w:bCs/>
                <w:sz w:val="28"/>
                <w:szCs w:val="28"/>
              </w:rPr>
              <w:t>序号</w:t>
            </w:r>
          </w:p>
        </w:tc>
        <w:tc>
          <w:tcPr>
            <w:tcW w:w="1525"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Cs/>
                <w:sz w:val="28"/>
                <w:szCs w:val="28"/>
              </w:rPr>
            </w:pPr>
            <w:r>
              <w:rPr>
                <w:rFonts w:hint="eastAsia" w:ascii="仿宋" w:hAnsi="仿宋" w:eastAsia="仿宋"/>
                <w:bCs/>
                <w:sz w:val="28"/>
                <w:szCs w:val="28"/>
              </w:rPr>
              <w:t>工期</w:t>
            </w:r>
          </w:p>
        </w:tc>
        <w:tc>
          <w:tcPr>
            <w:tcW w:w="992"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r>
              <w:rPr>
                <w:rFonts w:hint="eastAsia" w:ascii="仿宋" w:hAnsi="仿宋" w:eastAsia="仿宋"/>
                <w:bCs/>
                <w:sz w:val="28"/>
                <w:szCs w:val="28"/>
              </w:rPr>
              <w:t>工程量</w:t>
            </w:r>
          </w:p>
        </w:tc>
        <w:tc>
          <w:tcPr>
            <w:tcW w:w="917"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Cs/>
                <w:sz w:val="28"/>
                <w:szCs w:val="28"/>
              </w:rPr>
            </w:pPr>
            <w:r>
              <w:rPr>
                <w:rFonts w:hint="eastAsia" w:ascii="仿宋" w:hAnsi="仿宋" w:eastAsia="仿宋"/>
                <w:bCs/>
                <w:sz w:val="28"/>
                <w:szCs w:val="28"/>
              </w:rPr>
              <w:t>综合单价</w:t>
            </w:r>
          </w:p>
        </w:tc>
        <w:tc>
          <w:tcPr>
            <w:tcW w:w="955"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Cs/>
                <w:sz w:val="28"/>
                <w:szCs w:val="28"/>
              </w:rPr>
            </w:pPr>
            <w:r>
              <w:rPr>
                <w:rFonts w:hint="eastAsia" w:ascii="仿宋" w:hAnsi="仿宋" w:eastAsia="仿宋"/>
                <w:bCs/>
                <w:sz w:val="28"/>
                <w:szCs w:val="28"/>
              </w:rPr>
              <w:t>小计金额</w:t>
            </w:r>
          </w:p>
        </w:tc>
        <w:tc>
          <w:tcPr>
            <w:tcW w:w="992"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52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276"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17"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5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52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276"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17"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5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52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276"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17"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5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52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276"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17"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5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52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276"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17"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5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52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276"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17"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5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52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1276"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17"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5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keepNext w:val="0"/>
              <w:keepLines w:val="0"/>
              <w:suppressLineNumbers w:val="0"/>
              <w:spacing w:before="0" w:beforeAutospacing="0" w:after="0" w:afterAutospacing="0" w:line="400" w:lineRule="exact"/>
              <w:ind w:left="0" w:right="0"/>
              <w:jc w:val="right"/>
              <w:rPr>
                <w:rFonts w:hint="default" w:ascii="仿宋" w:hAnsi="仿宋" w:eastAsia="仿宋"/>
                <w:bCs/>
                <w:sz w:val="28"/>
                <w:szCs w:val="28"/>
              </w:rPr>
            </w:pPr>
            <w:r>
              <w:rPr>
                <w:rFonts w:hint="eastAsia" w:ascii="仿宋" w:hAnsi="仿宋" w:eastAsia="仿宋"/>
                <w:sz w:val="28"/>
                <w:szCs w:val="28"/>
              </w:rPr>
              <w:t>合计金额：</w:t>
            </w:r>
          </w:p>
        </w:tc>
        <w:tc>
          <w:tcPr>
            <w:tcW w:w="955"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c>
          <w:tcPr>
            <w:tcW w:w="992"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39"/>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39"/>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3" w:name="_Toc116550369"/>
      <w:r>
        <w:rPr>
          <w:rFonts w:hint="eastAsia" w:ascii="宋体" w:hAnsi="宋体"/>
          <w:szCs w:val="21"/>
        </w:rPr>
        <w:t>附件10：法定代表人证明书</w:t>
      </w:r>
      <w:bookmarkEnd w:id="8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2"/>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4"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4"/>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41"/>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41"/>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2"/>
        <w:numPr>
          <w:ilvl w:val="1"/>
          <w:numId w:val="41"/>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y2XA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NSa0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5"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5"/>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line="300" w:lineRule="exact"/>
              <w:ind w:left="0" w:right="0"/>
              <w:jc w:val="center"/>
              <w:rPr>
                <w:rFonts w:hint="default"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6"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6"/>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7" w:name="_Toc32341"/>
      <w:r>
        <w:rPr>
          <w:rFonts w:ascii="仿宋" w:hAnsi="仿宋" w:eastAsia="仿宋"/>
          <w:sz w:val="28"/>
          <w:szCs w:val="28"/>
        </w:rPr>
        <w:br w:type="page"/>
      </w:r>
    </w:p>
    <w:p>
      <w:pPr>
        <w:spacing w:line="0" w:lineRule="atLeast"/>
        <w:outlineLvl w:val="1"/>
        <w:rPr>
          <w:rFonts w:ascii="宋体" w:hAnsi="宋体"/>
          <w:szCs w:val="21"/>
        </w:rPr>
      </w:pPr>
      <w:bookmarkStart w:id="88"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7"/>
      <w:bookmarkEnd w:id="88"/>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89" w:name="_Toc100848654"/>
      <w:bookmarkStart w:id="90" w:name="_Toc116550374"/>
      <w:r>
        <w:rPr>
          <w:rFonts w:hint="eastAsia" w:ascii="宋体" w:hAnsi="宋体"/>
        </w:rPr>
        <w:t>附件15：投标文件密码</w:t>
      </w:r>
      <w:bookmarkEnd w:id="89"/>
      <w:r>
        <w:rPr>
          <w:rFonts w:hint="eastAsia" w:ascii="宋体" w:hAnsi="宋体"/>
        </w:rPr>
        <w:t>单</w:t>
      </w:r>
      <w:bookmarkEnd w:id="90"/>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1"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1"/>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b/>
          <w:color w:val="FF0000"/>
          <w:sz w:val="28"/>
          <w:szCs w:val="28"/>
        </w:rPr>
      </w:pPr>
      <w:r>
        <w:rPr>
          <w:rFonts w:hint="eastAsia" w:ascii="仿宋" w:hAnsi="仿宋" w:eastAsia="仿宋"/>
          <w:b/>
          <w:color w:val="FF0000"/>
          <w:sz w:val="28"/>
          <w:szCs w:val="28"/>
        </w:rPr>
        <w:t>【特别注意】</w:t>
      </w:r>
    </w:p>
    <w:p>
      <w:pPr>
        <w:pStyle w:val="11"/>
        <w:numPr>
          <w:ilvl w:val="0"/>
          <w:numId w:val="45"/>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1"/>
        <w:numPr>
          <w:ilvl w:val="0"/>
          <w:numId w:val="45"/>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1"/>
      </w:pPr>
    </w:p>
    <w:p>
      <w:pPr>
        <w:pStyle w:val="11"/>
      </w:pPr>
    </w:p>
    <w:p>
      <w:pPr>
        <w:spacing w:line="360" w:lineRule="auto"/>
        <w:jc w:val="left"/>
        <w:rPr>
          <w:rFonts w:ascii="仿宋" w:hAnsi="仿宋" w:eastAsia="仿宋"/>
          <w:sz w:val="28"/>
          <w:szCs w:val="28"/>
        </w:rPr>
      </w:pPr>
      <w:bookmarkStart w:id="92"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bookmarkEnd w:id="92"/>
    </w:p>
    <w:p>
      <w:pPr>
        <w:pStyle w:val="11"/>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7797"/>
        <w:tab w:val="clear" w:pos="8306"/>
      </w:tabs>
      <w:ind w:right="-764" w:rightChars="-364"/>
      <w:jc w:val="right"/>
      <w:rPr>
        <w:rFonts w:ascii="宋体" w:hAnsi="宋体" w:cs="宋体"/>
        <w:bCs/>
      </w:rPr>
    </w:pPr>
    <w:bookmarkStart w:id="93" w:name="_Hlk116546062"/>
    <w:bookmarkStart w:id="94" w:name="_Hlk116546063"/>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3"/>
    <w:bookmarkEnd w:id="9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12C58"/>
    <w:multiLevelType w:val="singleLevel"/>
    <w:tmpl w:val="9DC12C58"/>
    <w:lvl w:ilvl="0" w:tentative="0">
      <w:start w:val="1"/>
      <w:numFmt w:val="decimal"/>
      <w:suff w:val="nothing"/>
      <w:lvlText w:val="（%1）"/>
      <w:lvlJc w:val="left"/>
    </w:lvl>
  </w:abstractNum>
  <w:abstractNum w:abstractNumId="1">
    <w:nsid w:val="A2281775"/>
    <w:multiLevelType w:val="singleLevel"/>
    <w:tmpl w:val="A2281775"/>
    <w:lvl w:ilvl="0" w:tentative="0">
      <w:start w:val="1"/>
      <w:numFmt w:val="decimal"/>
      <w:suff w:val="space"/>
      <w:lvlText w:val="%1."/>
      <w:lvlJc w:val="left"/>
    </w:lvl>
  </w:abstractNum>
  <w:abstractNum w:abstractNumId="2">
    <w:nsid w:val="AA400F71"/>
    <w:multiLevelType w:val="singleLevel"/>
    <w:tmpl w:val="AA400F71"/>
    <w:lvl w:ilvl="0" w:tentative="0">
      <w:start w:val="1"/>
      <w:numFmt w:val="decimal"/>
      <w:suff w:val="space"/>
      <w:lvlText w:val="%1."/>
      <w:lvlJc w:val="left"/>
    </w:lvl>
  </w:abstractNum>
  <w:abstractNum w:abstractNumId="3">
    <w:nsid w:val="BCA16349"/>
    <w:multiLevelType w:val="singleLevel"/>
    <w:tmpl w:val="BCA16349"/>
    <w:lvl w:ilvl="0" w:tentative="0">
      <w:start w:val="1"/>
      <w:numFmt w:val="decimal"/>
      <w:suff w:val="nothing"/>
      <w:lvlText w:val="（%1）"/>
      <w:lvlJc w:val="left"/>
    </w:lvl>
  </w:abstractNum>
  <w:abstractNum w:abstractNumId="4">
    <w:nsid w:val="C17968C7"/>
    <w:multiLevelType w:val="singleLevel"/>
    <w:tmpl w:val="C17968C7"/>
    <w:lvl w:ilvl="0" w:tentative="0">
      <w:start w:val="1"/>
      <w:numFmt w:val="decimal"/>
      <w:suff w:val="space"/>
      <w:lvlText w:val="%1."/>
      <w:lvlJc w:val="left"/>
    </w:lvl>
  </w:abstractNum>
  <w:abstractNum w:abstractNumId="5">
    <w:nsid w:val="C19D0066"/>
    <w:multiLevelType w:val="multilevel"/>
    <w:tmpl w:val="C19D0066"/>
    <w:lvl w:ilvl="0" w:tentative="0">
      <w:start w:val="1"/>
      <w:numFmt w:val="decimal"/>
      <w:lvlText w:val="（%1）"/>
      <w:lvlJc w:val="left"/>
      <w:pPr>
        <w:ind w:left="1125" w:hanging="705"/>
      </w:pPr>
      <w:rPr>
        <w:rFonts w:hint="default"/>
        <w:u w:val="none" w:color="auto"/>
      </w:rPr>
    </w:lvl>
    <w:lvl w:ilvl="1" w:tentative="0">
      <w:start w:val="1"/>
      <w:numFmt w:val="lowerLetter"/>
      <w:lvlText w:val="%2."/>
      <w:lvlJc w:val="left"/>
      <w:pPr>
        <w:ind w:left="1500" w:hanging="360"/>
      </w:pPr>
      <w:rPr>
        <w:rFonts w:hint="default"/>
        <w:u w:val="none" w:color="auto"/>
      </w:rPr>
    </w:lvl>
    <w:lvl w:ilvl="2" w:tentative="0">
      <w:start w:val="1"/>
      <w:numFmt w:val="lowerRoman"/>
      <w:lvlText w:val="%3."/>
      <w:lvlJc w:val="right"/>
      <w:pPr>
        <w:ind w:left="2220" w:hanging="180"/>
      </w:pPr>
      <w:rPr>
        <w:rFonts w:hint="default"/>
        <w:u w:val="none" w:color="auto"/>
      </w:rPr>
    </w:lvl>
    <w:lvl w:ilvl="3" w:tentative="0">
      <w:start w:val="1"/>
      <w:numFmt w:val="decimal"/>
      <w:lvlText w:val="%4."/>
      <w:lvlJc w:val="left"/>
      <w:pPr>
        <w:ind w:left="2940" w:hanging="360"/>
      </w:pPr>
      <w:rPr>
        <w:rFonts w:hint="default"/>
        <w:u w:val="none" w:color="auto"/>
      </w:rPr>
    </w:lvl>
    <w:lvl w:ilvl="4" w:tentative="0">
      <w:start w:val="1"/>
      <w:numFmt w:val="lowerLetter"/>
      <w:lvlText w:val="%5."/>
      <w:lvlJc w:val="left"/>
      <w:pPr>
        <w:ind w:left="3660" w:hanging="360"/>
      </w:pPr>
      <w:rPr>
        <w:rFonts w:hint="default"/>
        <w:u w:val="none" w:color="auto"/>
      </w:rPr>
    </w:lvl>
    <w:lvl w:ilvl="5" w:tentative="0">
      <w:start w:val="1"/>
      <w:numFmt w:val="lowerRoman"/>
      <w:lvlText w:val="%6."/>
      <w:lvlJc w:val="right"/>
      <w:pPr>
        <w:ind w:left="4380" w:hanging="180"/>
      </w:pPr>
      <w:rPr>
        <w:rFonts w:hint="default"/>
        <w:u w:val="none" w:color="auto"/>
      </w:rPr>
    </w:lvl>
    <w:lvl w:ilvl="6" w:tentative="0">
      <w:start w:val="1"/>
      <w:numFmt w:val="decimal"/>
      <w:lvlText w:val="%7."/>
      <w:lvlJc w:val="left"/>
      <w:pPr>
        <w:ind w:left="5100" w:hanging="360"/>
      </w:pPr>
      <w:rPr>
        <w:rFonts w:hint="default"/>
        <w:u w:val="none" w:color="auto"/>
      </w:rPr>
    </w:lvl>
    <w:lvl w:ilvl="7" w:tentative="0">
      <w:start w:val="1"/>
      <w:numFmt w:val="lowerLetter"/>
      <w:lvlText w:val="%8."/>
      <w:lvlJc w:val="left"/>
      <w:pPr>
        <w:ind w:left="5820" w:hanging="360"/>
      </w:pPr>
      <w:rPr>
        <w:rFonts w:hint="default"/>
        <w:u w:val="none" w:color="auto"/>
      </w:rPr>
    </w:lvl>
    <w:lvl w:ilvl="8" w:tentative="0">
      <w:start w:val="1"/>
      <w:numFmt w:val="lowerRoman"/>
      <w:lvlText w:val="%9."/>
      <w:lvlJc w:val="right"/>
      <w:pPr>
        <w:ind w:left="6540" w:hanging="180"/>
      </w:pPr>
      <w:rPr>
        <w:rFonts w:hint="default"/>
        <w:u w:val="none" w:color="auto"/>
      </w:rPr>
    </w:lvl>
  </w:abstractNum>
  <w:abstractNum w:abstractNumId="6">
    <w:nsid w:val="CA690857"/>
    <w:multiLevelType w:val="singleLevel"/>
    <w:tmpl w:val="CA690857"/>
    <w:lvl w:ilvl="0" w:tentative="0">
      <w:start w:val="1"/>
      <w:numFmt w:val="decimal"/>
      <w:lvlText w:val="（%1）"/>
      <w:lvlJc w:val="left"/>
      <w:pPr>
        <w:ind w:left="420" w:hanging="420"/>
      </w:pPr>
      <w:rPr>
        <w:rFonts w:hint="eastAsia"/>
      </w:rPr>
    </w:lvl>
  </w:abstractNum>
  <w:abstractNum w:abstractNumId="7">
    <w:nsid w:val="D3051835"/>
    <w:multiLevelType w:val="singleLevel"/>
    <w:tmpl w:val="D3051835"/>
    <w:lvl w:ilvl="0" w:tentative="0">
      <w:start w:val="1"/>
      <w:numFmt w:val="decimal"/>
      <w:suff w:val="space"/>
      <w:lvlText w:val="%1."/>
      <w:lvlJc w:val="left"/>
    </w:lvl>
  </w:abstractNum>
  <w:abstractNum w:abstractNumId="8">
    <w:nsid w:val="D4A22437"/>
    <w:multiLevelType w:val="singleLevel"/>
    <w:tmpl w:val="D4A22437"/>
    <w:lvl w:ilvl="0" w:tentative="0">
      <w:start w:val="1"/>
      <w:numFmt w:val="decimal"/>
      <w:suff w:val="space"/>
      <w:lvlText w:val="%1."/>
      <w:lvlJc w:val="left"/>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FBED913F"/>
    <w:multiLevelType w:val="singleLevel"/>
    <w:tmpl w:val="FBED913F"/>
    <w:lvl w:ilvl="0" w:tentative="0">
      <w:start w:val="1"/>
      <w:numFmt w:val="decimal"/>
      <w:suff w:val="space"/>
      <w:lvlText w:val="%1."/>
      <w:lvlJc w:val="left"/>
    </w:lvl>
  </w:abstractNum>
  <w:abstractNum w:abstractNumId="11">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3"/>
    <w:multiLevelType w:val="singleLevel"/>
    <w:tmpl w:val="00000013"/>
    <w:lvl w:ilvl="0" w:tentative="0">
      <w:start w:val="1"/>
      <w:numFmt w:val="decimal"/>
      <w:lvlText w:val="%1."/>
      <w:lvlJc w:val="left"/>
      <w:pPr>
        <w:ind w:left="420" w:hanging="420"/>
      </w:pPr>
    </w:lvl>
  </w:abstractNum>
  <w:abstractNum w:abstractNumId="15">
    <w:nsid w:val="051C631D"/>
    <w:multiLevelType w:val="singleLevel"/>
    <w:tmpl w:val="051C631D"/>
    <w:lvl w:ilvl="0" w:tentative="0">
      <w:start w:val="1"/>
      <w:numFmt w:val="decimal"/>
      <w:suff w:val="space"/>
      <w:lvlText w:val="%1."/>
      <w:lvlJc w:val="left"/>
    </w:lvl>
  </w:abstractNum>
  <w:abstractNum w:abstractNumId="16">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8">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1305886"/>
    <w:multiLevelType w:val="singleLevel"/>
    <w:tmpl w:val="21305886"/>
    <w:lvl w:ilvl="0" w:tentative="0">
      <w:start w:val="1"/>
      <w:numFmt w:val="decimal"/>
      <w:lvlText w:val="（%1）"/>
      <w:lvlJc w:val="left"/>
      <w:pPr>
        <w:ind w:left="420" w:hanging="420"/>
      </w:pPr>
      <w:rPr>
        <w:rFonts w:hint="default"/>
        <w:color w:val="auto"/>
      </w:rPr>
    </w:lvl>
  </w:abstractNum>
  <w:abstractNum w:abstractNumId="21">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86C9EC1"/>
    <w:multiLevelType w:val="singleLevel"/>
    <w:tmpl w:val="286C9EC1"/>
    <w:lvl w:ilvl="0" w:tentative="0">
      <w:start w:val="1"/>
      <w:numFmt w:val="decimal"/>
      <w:suff w:val="space"/>
      <w:lvlText w:val="%1."/>
      <w:lvlJc w:val="left"/>
    </w:lvl>
  </w:abstractNum>
  <w:abstractNum w:abstractNumId="24">
    <w:nsid w:val="28E10C89"/>
    <w:multiLevelType w:val="singleLevel"/>
    <w:tmpl w:val="28E10C89"/>
    <w:lvl w:ilvl="0" w:tentative="0">
      <w:start w:val="1"/>
      <w:numFmt w:val="decimal"/>
      <w:suff w:val="space"/>
      <w:lvlText w:val="%1."/>
      <w:lvlJc w:val="left"/>
    </w:lvl>
  </w:abstractNum>
  <w:abstractNum w:abstractNumId="25">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3BC210A"/>
    <w:multiLevelType w:val="singleLevel"/>
    <w:tmpl w:val="33BC210A"/>
    <w:lvl w:ilvl="0" w:tentative="0">
      <w:start w:val="1"/>
      <w:numFmt w:val="decimal"/>
      <w:suff w:val="nothing"/>
      <w:lvlText w:val="（%1）"/>
      <w:lvlJc w:val="left"/>
    </w:lvl>
  </w:abstractNum>
  <w:abstractNum w:abstractNumId="27">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AF2B48A"/>
    <w:multiLevelType w:val="singleLevel"/>
    <w:tmpl w:val="3AF2B48A"/>
    <w:lvl w:ilvl="0" w:tentative="0">
      <w:start w:val="1"/>
      <w:numFmt w:val="decimal"/>
      <w:suff w:val="nothing"/>
      <w:lvlText w:val="（%1）"/>
      <w:lvlJc w:val="left"/>
    </w:lvl>
  </w:abstractNum>
  <w:abstractNum w:abstractNumId="30">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2">
    <w:nsid w:val="462A3E7C"/>
    <w:multiLevelType w:val="singleLevel"/>
    <w:tmpl w:val="462A3E7C"/>
    <w:lvl w:ilvl="0" w:tentative="0">
      <w:start w:val="1"/>
      <w:numFmt w:val="decimal"/>
      <w:suff w:val="space"/>
      <w:lvlText w:val="%1."/>
      <w:lvlJc w:val="left"/>
    </w:lvl>
  </w:abstractNum>
  <w:abstractNum w:abstractNumId="33">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9B785C6"/>
    <w:multiLevelType w:val="singleLevel"/>
    <w:tmpl w:val="49B785C6"/>
    <w:lvl w:ilvl="0" w:tentative="0">
      <w:start w:val="1"/>
      <w:numFmt w:val="decimal"/>
      <w:suff w:val="nothing"/>
      <w:lvlText w:val="（%1）"/>
      <w:lvlJc w:val="left"/>
    </w:lvl>
  </w:abstractNum>
  <w:abstractNum w:abstractNumId="35">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6">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7">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4AE2FF4"/>
    <w:multiLevelType w:val="singleLevel"/>
    <w:tmpl w:val="64AE2FF4"/>
    <w:lvl w:ilvl="0" w:tentative="0">
      <w:start w:val="1"/>
      <w:numFmt w:val="decimal"/>
      <w:suff w:val="nothing"/>
      <w:lvlText w:val="（%1）"/>
      <w:lvlJc w:val="left"/>
    </w:lvl>
  </w:abstractNum>
  <w:abstractNum w:abstractNumId="39">
    <w:nsid w:val="653617C6"/>
    <w:multiLevelType w:val="multilevel"/>
    <w:tmpl w:val="653617C6"/>
    <w:lvl w:ilvl="0" w:tentative="0">
      <w:start w:val="1"/>
      <w:numFmt w:val="bullet"/>
      <w:lvlText w:val=""/>
      <w:lvlJc w:val="left"/>
      <w:pPr>
        <w:ind w:left="720" w:hanging="360"/>
      </w:pPr>
      <w:rPr>
        <w:rFonts w:hint="default" w:ascii="Wingdings" w:hAnsi="Wingdings" w:eastAsia="宋体"/>
        <w:u w:val="none" w:color="auto"/>
      </w:rPr>
    </w:lvl>
    <w:lvl w:ilvl="1" w:tentative="0">
      <w:start w:val="1"/>
      <w:numFmt w:val="bullet"/>
      <w:lvlText w:val="o"/>
      <w:lvlJc w:val="left"/>
      <w:pPr>
        <w:ind w:left="1440" w:hanging="360"/>
      </w:pPr>
      <w:rPr>
        <w:rFonts w:hint="default" w:ascii="Courier New" w:hAnsi="Courier New" w:eastAsia="宋体" w:cs="Courier New"/>
        <w:u w:val="none" w:color="auto"/>
      </w:rPr>
    </w:lvl>
    <w:lvl w:ilvl="2" w:tentative="0">
      <w:start w:val="1"/>
      <w:numFmt w:val="bullet"/>
      <w:lvlText w:val=""/>
      <w:lvlJc w:val="left"/>
      <w:pPr>
        <w:ind w:left="2160" w:hanging="360"/>
      </w:pPr>
      <w:rPr>
        <w:rFonts w:hint="default" w:ascii="Wingdings" w:hAnsi="Wingdings" w:eastAsia="宋体"/>
        <w:u w:val="none" w:color="auto"/>
      </w:rPr>
    </w:lvl>
    <w:lvl w:ilvl="3" w:tentative="0">
      <w:start w:val="1"/>
      <w:numFmt w:val="bullet"/>
      <w:lvlText w:val=""/>
      <w:lvlJc w:val="left"/>
      <w:pPr>
        <w:ind w:left="2880" w:hanging="360"/>
      </w:pPr>
      <w:rPr>
        <w:rFonts w:hint="default" w:ascii="Symbol" w:hAnsi="Symbol" w:eastAsia="宋体"/>
        <w:u w:val="none" w:color="auto"/>
      </w:rPr>
    </w:lvl>
    <w:lvl w:ilvl="4" w:tentative="0">
      <w:start w:val="1"/>
      <w:numFmt w:val="bullet"/>
      <w:lvlText w:val="o"/>
      <w:lvlJc w:val="left"/>
      <w:pPr>
        <w:ind w:left="3600" w:hanging="360"/>
      </w:pPr>
      <w:rPr>
        <w:rFonts w:hint="default" w:ascii="Courier New" w:hAnsi="Courier New" w:eastAsia="宋体" w:cs="Courier New"/>
        <w:u w:val="none" w:color="auto"/>
      </w:rPr>
    </w:lvl>
    <w:lvl w:ilvl="5" w:tentative="0">
      <w:start w:val="1"/>
      <w:numFmt w:val="bullet"/>
      <w:lvlText w:val=""/>
      <w:lvlJc w:val="left"/>
      <w:pPr>
        <w:ind w:left="4320" w:hanging="360"/>
      </w:pPr>
      <w:rPr>
        <w:rFonts w:hint="default" w:ascii="Wingdings" w:hAnsi="Wingdings" w:eastAsia="宋体"/>
        <w:u w:val="none" w:color="auto"/>
      </w:rPr>
    </w:lvl>
    <w:lvl w:ilvl="6" w:tentative="0">
      <w:start w:val="1"/>
      <w:numFmt w:val="bullet"/>
      <w:lvlText w:val=""/>
      <w:lvlJc w:val="left"/>
      <w:pPr>
        <w:ind w:left="5040" w:hanging="360"/>
      </w:pPr>
      <w:rPr>
        <w:rFonts w:hint="default" w:ascii="Symbol" w:hAnsi="Symbol" w:eastAsia="宋体"/>
        <w:u w:val="none" w:color="auto"/>
      </w:rPr>
    </w:lvl>
    <w:lvl w:ilvl="7" w:tentative="0">
      <w:start w:val="1"/>
      <w:numFmt w:val="bullet"/>
      <w:lvlText w:val="o"/>
      <w:lvlJc w:val="left"/>
      <w:pPr>
        <w:ind w:left="5760" w:hanging="360"/>
      </w:pPr>
      <w:rPr>
        <w:rFonts w:hint="default" w:ascii="Courier New" w:hAnsi="Courier New" w:eastAsia="宋体" w:cs="Courier New"/>
        <w:u w:val="none" w:color="auto"/>
      </w:rPr>
    </w:lvl>
    <w:lvl w:ilvl="8" w:tentative="0">
      <w:start w:val="1"/>
      <w:numFmt w:val="bullet"/>
      <w:lvlText w:val=""/>
      <w:lvlJc w:val="left"/>
      <w:pPr>
        <w:ind w:left="6480" w:hanging="360"/>
      </w:pPr>
      <w:rPr>
        <w:rFonts w:hint="default" w:ascii="Wingdings" w:hAnsi="Wingdings" w:eastAsia="宋体"/>
        <w:u w:val="none" w:color="auto"/>
      </w:rPr>
    </w:lvl>
  </w:abstractNum>
  <w:abstractNum w:abstractNumId="40">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1">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2">
    <w:nsid w:val="7B4A4E0C"/>
    <w:multiLevelType w:val="singleLevel"/>
    <w:tmpl w:val="7B4A4E0C"/>
    <w:lvl w:ilvl="0" w:tentative="0">
      <w:start w:val="1"/>
      <w:numFmt w:val="decimal"/>
      <w:lvlText w:val="（%1）"/>
      <w:lvlJc w:val="left"/>
      <w:pPr>
        <w:ind w:left="630" w:hanging="420"/>
      </w:pPr>
      <w:rPr>
        <w:rFonts w:hint="default"/>
        <w:color w:val="auto"/>
      </w:rPr>
    </w:lvl>
  </w:abstractNum>
  <w:abstractNum w:abstractNumId="43">
    <w:nsid w:val="7ED17433"/>
    <w:multiLevelType w:val="singleLevel"/>
    <w:tmpl w:val="7ED17433"/>
    <w:lvl w:ilvl="0" w:tentative="0">
      <w:start w:val="1"/>
      <w:numFmt w:val="decimal"/>
      <w:lvlText w:val="（%1）"/>
      <w:lvlJc w:val="left"/>
      <w:pPr>
        <w:ind w:left="420" w:hanging="420"/>
      </w:pPr>
      <w:rPr>
        <w:rFonts w:hint="default" w:ascii="宋体" w:hAnsi="宋体" w:eastAsia="宋体" w:cs="宋体"/>
        <w:color w:val="auto"/>
      </w:rPr>
    </w:lvl>
  </w:abstractNum>
  <w:num w:numId="1">
    <w:abstractNumId w:val="36"/>
  </w:num>
  <w:num w:numId="2">
    <w:abstractNumId w:val="41"/>
  </w:num>
  <w:num w:numId="3">
    <w:abstractNumId w:val="28"/>
  </w:num>
  <w:num w:numId="4">
    <w:abstractNumId w:val="6"/>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7"/>
  </w:num>
  <w:num w:numId="8">
    <w:abstractNumId w:val="30"/>
  </w:num>
  <w:num w:numId="9">
    <w:abstractNumId w:val="16"/>
  </w:num>
  <w:num w:numId="10">
    <w:abstractNumId w:val="42"/>
  </w:num>
  <w:num w:numId="11">
    <w:abstractNumId w:val="43"/>
  </w:num>
  <w:num w:numId="12">
    <w:abstractNumId w:val="20"/>
  </w:num>
  <w:num w:numId="13">
    <w:abstractNumId w:val="26"/>
  </w:num>
  <w:num w:numId="14">
    <w:abstractNumId w:val="29"/>
  </w:num>
  <w:num w:numId="15">
    <w:abstractNumId w:val="39"/>
  </w:num>
  <w:num w:numId="16">
    <w:abstractNumId w:val="34"/>
  </w:num>
  <w:num w:numId="17">
    <w:abstractNumId w:val="0"/>
  </w:num>
  <w:num w:numId="18">
    <w:abstractNumId w:val="3"/>
  </w:num>
  <w:num w:numId="19">
    <w:abstractNumId w:val="38"/>
  </w:num>
  <w:num w:numId="20">
    <w:abstractNumId w:val="5"/>
  </w:num>
  <w:num w:numId="21">
    <w:abstractNumId w:val="7"/>
  </w:num>
  <w:num w:numId="22">
    <w:abstractNumId w:val="24"/>
  </w:num>
  <w:num w:numId="23">
    <w:abstractNumId w:val="13"/>
  </w:num>
  <w:num w:numId="24">
    <w:abstractNumId w:val="18"/>
  </w:num>
  <w:num w:numId="25">
    <w:abstractNumId w:val="10"/>
  </w:num>
  <w:num w:numId="26">
    <w:abstractNumId w:val="4"/>
  </w:num>
  <w:num w:numId="27">
    <w:abstractNumId w:val="23"/>
  </w:num>
  <w:num w:numId="28">
    <w:abstractNumId w:val="27"/>
  </w:num>
  <w:num w:numId="29">
    <w:abstractNumId w:val="15"/>
  </w:num>
  <w:num w:numId="30">
    <w:abstractNumId w:val="8"/>
  </w:num>
  <w:num w:numId="31">
    <w:abstractNumId w:val="2"/>
  </w:num>
  <w:num w:numId="32">
    <w:abstractNumId w:val="32"/>
  </w:num>
  <w:num w:numId="33">
    <w:abstractNumId w:val="1"/>
  </w:num>
  <w:num w:numId="34">
    <w:abstractNumId w:val="9"/>
  </w:num>
  <w:num w:numId="35">
    <w:abstractNumId w:val="12"/>
  </w:num>
  <w:num w:numId="36">
    <w:abstractNumId w:val="11"/>
  </w:num>
  <w:num w:numId="37">
    <w:abstractNumId w:val="40"/>
  </w:num>
  <w:num w:numId="38">
    <w:abstractNumId w:val="31"/>
  </w:num>
  <w:num w:numId="39">
    <w:abstractNumId w:val="25"/>
  </w:num>
  <w:num w:numId="40">
    <w:abstractNumId w:val="21"/>
  </w:num>
  <w:num w:numId="41">
    <w:abstractNumId w:val="33"/>
  </w:num>
  <w:num w:numId="42">
    <w:abstractNumId w:val="19"/>
  </w:num>
  <w:num w:numId="43">
    <w:abstractNumId w:val="14"/>
  </w:num>
  <w:num w:numId="44">
    <w:abstractNumId w:val="35"/>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2Yzk5MzAwMTk4ZmExY2Q2ZGYwMjczMjEzODEyMWUifQ=="/>
  </w:docVars>
  <w:rsids>
    <w:rsidRoot w:val="00172A27"/>
    <w:rsid w:val="000071F5"/>
    <w:rsid w:val="000109CF"/>
    <w:rsid w:val="0001408F"/>
    <w:rsid w:val="00020D3D"/>
    <w:rsid w:val="0002431D"/>
    <w:rsid w:val="000262A2"/>
    <w:rsid w:val="00030ED4"/>
    <w:rsid w:val="0005325D"/>
    <w:rsid w:val="0006307A"/>
    <w:rsid w:val="00071803"/>
    <w:rsid w:val="00074891"/>
    <w:rsid w:val="00077160"/>
    <w:rsid w:val="00080360"/>
    <w:rsid w:val="00092509"/>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1DAB"/>
    <w:rsid w:val="00866C0E"/>
    <w:rsid w:val="00867C56"/>
    <w:rsid w:val="00870B22"/>
    <w:rsid w:val="00874BB5"/>
    <w:rsid w:val="00876830"/>
    <w:rsid w:val="008878D1"/>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247556A"/>
    <w:rsid w:val="02B47C4D"/>
    <w:rsid w:val="03EC63C9"/>
    <w:rsid w:val="043F0511"/>
    <w:rsid w:val="04450729"/>
    <w:rsid w:val="04983E5B"/>
    <w:rsid w:val="04A90F1D"/>
    <w:rsid w:val="04D46768"/>
    <w:rsid w:val="04F90B5F"/>
    <w:rsid w:val="053A1CC8"/>
    <w:rsid w:val="06497A35"/>
    <w:rsid w:val="06597DDC"/>
    <w:rsid w:val="06856661"/>
    <w:rsid w:val="06D3561E"/>
    <w:rsid w:val="06DA4BFF"/>
    <w:rsid w:val="077B4608"/>
    <w:rsid w:val="078F08C6"/>
    <w:rsid w:val="07BB74B6"/>
    <w:rsid w:val="07D7576E"/>
    <w:rsid w:val="07FA154D"/>
    <w:rsid w:val="08493DEA"/>
    <w:rsid w:val="086E4EC9"/>
    <w:rsid w:val="091066B6"/>
    <w:rsid w:val="09B1674A"/>
    <w:rsid w:val="0AA25A34"/>
    <w:rsid w:val="0B3D2846"/>
    <w:rsid w:val="0B734A64"/>
    <w:rsid w:val="0C84343F"/>
    <w:rsid w:val="0CA5180B"/>
    <w:rsid w:val="0CDE01F2"/>
    <w:rsid w:val="0DAB10A3"/>
    <w:rsid w:val="0DD201F4"/>
    <w:rsid w:val="0DDF5AE1"/>
    <w:rsid w:val="0F4526B6"/>
    <w:rsid w:val="0F71058B"/>
    <w:rsid w:val="0F8800A3"/>
    <w:rsid w:val="0FC226D4"/>
    <w:rsid w:val="0FF705D0"/>
    <w:rsid w:val="10091618"/>
    <w:rsid w:val="10702130"/>
    <w:rsid w:val="10B753FB"/>
    <w:rsid w:val="11E701D0"/>
    <w:rsid w:val="122D02D9"/>
    <w:rsid w:val="12C4339F"/>
    <w:rsid w:val="13A66595"/>
    <w:rsid w:val="13E96481"/>
    <w:rsid w:val="14DB226E"/>
    <w:rsid w:val="152B64B8"/>
    <w:rsid w:val="15740DA4"/>
    <w:rsid w:val="158226E9"/>
    <w:rsid w:val="15BD5E17"/>
    <w:rsid w:val="16E64EFA"/>
    <w:rsid w:val="183773FB"/>
    <w:rsid w:val="188C387F"/>
    <w:rsid w:val="18B43502"/>
    <w:rsid w:val="18D30198"/>
    <w:rsid w:val="19213D00"/>
    <w:rsid w:val="195A6BC0"/>
    <w:rsid w:val="197762DD"/>
    <w:rsid w:val="197A5C34"/>
    <w:rsid w:val="1B4F12C0"/>
    <w:rsid w:val="1BD468A2"/>
    <w:rsid w:val="1C0632F8"/>
    <w:rsid w:val="1C5670DA"/>
    <w:rsid w:val="1CC57360"/>
    <w:rsid w:val="1D5801D4"/>
    <w:rsid w:val="1D67320F"/>
    <w:rsid w:val="1E8219AC"/>
    <w:rsid w:val="1E8E0351"/>
    <w:rsid w:val="1EB53B30"/>
    <w:rsid w:val="1EC91389"/>
    <w:rsid w:val="1F7074E6"/>
    <w:rsid w:val="20191B4E"/>
    <w:rsid w:val="204A474C"/>
    <w:rsid w:val="20E05A27"/>
    <w:rsid w:val="227A4EED"/>
    <w:rsid w:val="228D0750"/>
    <w:rsid w:val="234D2202"/>
    <w:rsid w:val="242072A5"/>
    <w:rsid w:val="24465687"/>
    <w:rsid w:val="24786106"/>
    <w:rsid w:val="24833D88"/>
    <w:rsid w:val="24BB5C18"/>
    <w:rsid w:val="24F20F0E"/>
    <w:rsid w:val="24F276CC"/>
    <w:rsid w:val="25714529"/>
    <w:rsid w:val="25A5748F"/>
    <w:rsid w:val="25BE1EBF"/>
    <w:rsid w:val="25D85A3C"/>
    <w:rsid w:val="25F50CB6"/>
    <w:rsid w:val="263537A8"/>
    <w:rsid w:val="26725F02"/>
    <w:rsid w:val="267E19B6"/>
    <w:rsid w:val="26B768D2"/>
    <w:rsid w:val="26DE502A"/>
    <w:rsid w:val="26E95967"/>
    <w:rsid w:val="27715E45"/>
    <w:rsid w:val="278D78E5"/>
    <w:rsid w:val="27C923FA"/>
    <w:rsid w:val="285B0CCF"/>
    <w:rsid w:val="295201CD"/>
    <w:rsid w:val="2A1D36D7"/>
    <w:rsid w:val="2A7400CA"/>
    <w:rsid w:val="2AE160B6"/>
    <w:rsid w:val="2B9E3425"/>
    <w:rsid w:val="2BD84FDD"/>
    <w:rsid w:val="2BFA4386"/>
    <w:rsid w:val="2C027C88"/>
    <w:rsid w:val="2C9C00DD"/>
    <w:rsid w:val="2CD73EA3"/>
    <w:rsid w:val="2D845ED0"/>
    <w:rsid w:val="2EAB6E76"/>
    <w:rsid w:val="2F350375"/>
    <w:rsid w:val="30381F4F"/>
    <w:rsid w:val="33D64169"/>
    <w:rsid w:val="341B3FDD"/>
    <w:rsid w:val="34871673"/>
    <w:rsid w:val="34873421"/>
    <w:rsid w:val="34A05B77"/>
    <w:rsid w:val="3511718E"/>
    <w:rsid w:val="35922C8B"/>
    <w:rsid w:val="35F501D3"/>
    <w:rsid w:val="35FE7713"/>
    <w:rsid w:val="36D6243D"/>
    <w:rsid w:val="37097428"/>
    <w:rsid w:val="374A518A"/>
    <w:rsid w:val="37A73BC0"/>
    <w:rsid w:val="38286350"/>
    <w:rsid w:val="385C1C00"/>
    <w:rsid w:val="38A454EB"/>
    <w:rsid w:val="38AC36F6"/>
    <w:rsid w:val="394A3FAD"/>
    <w:rsid w:val="3962620A"/>
    <w:rsid w:val="398E6F62"/>
    <w:rsid w:val="3AAD7F79"/>
    <w:rsid w:val="3B751BC6"/>
    <w:rsid w:val="3B991A52"/>
    <w:rsid w:val="3BB26AC4"/>
    <w:rsid w:val="3BB645EB"/>
    <w:rsid w:val="3BD86C58"/>
    <w:rsid w:val="3C2F4ACA"/>
    <w:rsid w:val="3C35255B"/>
    <w:rsid w:val="3D3679ED"/>
    <w:rsid w:val="3E173A67"/>
    <w:rsid w:val="403311B3"/>
    <w:rsid w:val="407056B1"/>
    <w:rsid w:val="407B4C72"/>
    <w:rsid w:val="408D7227"/>
    <w:rsid w:val="41407E51"/>
    <w:rsid w:val="41546D80"/>
    <w:rsid w:val="416718EC"/>
    <w:rsid w:val="417411D1"/>
    <w:rsid w:val="43512291"/>
    <w:rsid w:val="435B61A4"/>
    <w:rsid w:val="439872EA"/>
    <w:rsid w:val="439D67BD"/>
    <w:rsid w:val="439D7A21"/>
    <w:rsid w:val="43D97719"/>
    <w:rsid w:val="447267E8"/>
    <w:rsid w:val="44E431E5"/>
    <w:rsid w:val="453F5652"/>
    <w:rsid w:val="46B30DE6"/>
    <w:rsid w:val="46C027C2"/>
    <w:rsid w:val="46F10BCE"/>
    <w:rsid w:val="478712DF"/>
    <w:rsid w:val="48111E55"/>
    <w:rsid w:val="48A5274D"/>
    <w:rsid w:val="48AB197C"/>
    <w:rsid w:val="492A4A83"/>
    <w:rsid w:val="495C1F5C"/>
    <w:rsid w:val="4A45370A"/>
    <w:rsid w:val="4AF77150"/>
    <w:rsid w:val="4B8B03E4"/>
    <w:rsid w:val="4BB46002"/>
    <w:rsid w:val="4C107D48"/>
    <w:rsid w:val="4D42379E"/>
    <w:rsid w:val="4D7C5695"/>
    <w:rsid w:val="4D9A3F67"/>
    <w:rsid w:val="4DDF67CC"/>
    <w:rsid w:val="4EE12BFB"/>
    <w:rsid w:val="4F0771E0"/>
    <w:rsid w:val="4F9C763A"/>
    <w:rsid w:val="50DC467A"/>
    <w:rsid w:val="50FA6A61"/>
    <w:rsid w:val="51794BC1"/>
    <w:rsid w:val="523F3135"/>
    <w:rsid w:val="533407C0"/>
    <w:rsid w:val="536C1D08"/>
    <w:rsid w:val="537F5EDF"/>
    <w:rsid w:val="53D25371"/>
    <w:rsid w:val="53FD2AD0"/>
    <w:rsid w:val="540F1FD2"/>
    <w:rsid w:val="55085A60"/>
    <w:rsid w:val="553C394C"/>
    <w:rsid w:val="561F6663"/>
    <w:rsid w:val="564B654C"/>
    <w:rsid w:val="5693547F"/>
    <w:rsid w:val="57315BF2"/>
    <w:rsid w:val="57594B93"/>
    <w:rsid w:val="584414A5"/>
    <w:rsid w:val="58533496"/>
    <w:rsid w:val="592A2449"/>
    <w:rsid w:val="59480B21"/>
    <w:rsid w:val="594A6990"/>
    <w:rsid w:val="5A2E0F40"/>
    <w:rsid w:val="5A65109D"/>
    <w:rsid w:val="5A9A53AC"/>
    <w:rsid w:val="5DCC7F73"/>
    <w:rsid w:val="5E5E2B95"/>
    <w:rsid w:val="5E8307E5"/>
    <w:rsid w:val="5F223BC2"/>
    <w:rsid w:val="5F8F7EAE"/>
    <w:rsid w:val="60475C3F"/>
    <w:rsid w:val="606C3347"/>
    <w:rsid w:val="60785544"/>
    <w:rsid w:val="607E12CC"/>
    <w:rsid w:val="60A60070"/>
    <w:rsid w:val="60D970E6"/>
    <w:rsid w:val="60F65306"/>
    <w:rsid w:val="61A26997"/>
    <w:rsid w:val="622C21AB"/>
    <w:rsid w:val="626D2AB2"/>
    <w:rsid w:val="62D00ABF"/>
    <w:rsid w:val="633C3947"/>
    <w:rsid w:val="637E060E"/>
    <w:rsid w:val="63B86011"/>
    <w:rsid w:val="640C25AF"/>
    <w:rsid w:val="642108EC"/>
    <w:rsid w:val="64292F66"/>
    <w:rsid w:val="642D54E3"/>
    <w:rsid w:val="646602BA"/>
    <w:rsid w:val="64A70DF2"/>
    <w:rsid w:val="6541126B"/>
    <w:rsid w:val="66FA2F05"/>
    <w:rsid w:val="680435C0"/>
    <w:rsid w:val="683A303D"/>
    <w:rsid w:val="684133A2"/>
    <w:rsid w:val="68725BBA"/>
    <w:rsid w:val="68E87C2B"/>
    <w:rsid w:val="68E97B63"/>
    <w:rsid w:val="697F7D96"/>
    <w:rsid w:val="6A3F7DDE"/>
    <w:rsid w:val="6A5B2F9C"/>
    <w:rsid w:val="6B1E605C"/>
    <w:rsid w:val="6B7B4D86"/>
    <w:rsid w:val="6BAB616A"/>
    <w:rsid w:val="6BB653FF"/>
    <w:rsid w:val="6BFD47C6"/>
    <w:rsid w:val="6C164AAF"/>
    <w:rsid w:val="6C5E0507"/>
    <w:rsid w:val="6C6B5505"/>
    <w:rsid w:val="6CAB51F7"/>
    <w:rsid w:val="6D670C5D"/>
    <w:rsid w:val="6DF67C63"/>
    <w:rsid w:val="6E2B2A93"/>
    <w:rsid w:val="6E3F209B"/>
    <w:rsid w:val="6E573888"/>
    <w:rsid w:val="6ED02117"/>
    <w:rsid w:val="6EFB5F8C"/>
    <w:rsid w:val="6F1E7F02"/>
    <w:rsid w:val="6F667AFB"/>
    <w:rsid w:val="6FAD1286"/>
    <w:rsid w:val="70447E3C"/>
    <w:rsid w:val="70A9280F"/>
    <w:rsid w:val="70DC62C7"/>
    <w:rsid w:val="72111FA0"/>
    <w:rsid w:val="725336E8"/>
    <w:rsid w:val="73235AAE"/>
    <w:rsid w:val="74783A1C"/>
    <w:rsid w:val="74AB354D"/>
    <w:rsid w:val="74B05132"/>
    <w:rsid w:val="75DB17BB"/>
    <w:rsid w:val="76445504"/>
    <w:rsid w:val="76C52AAF"/>
    <w:rsid w:val="76E063E5"/>
    <w:rsid w:val="772A35DE"/>
    <w:rsid w:val="77A840E2"/>
    <w:rsid w:val="781B5752"/>
    <w:rsid w:val="786E5547"/>
    <w:rsid w:val="791B3704"/>
    <w:rsid w:val="794B3FEA"/>
    <w:rsid w:val="798425C1"/>
    <w:rsid w:val="79A35F22"/>
    <w:rsid w:val="79B80F53"/>
    <w:rsid w:val="79BF662E"/>
    <w:rsid w:val="7A751935"/>
    <w:rsid w:val="7AE75F94"/>
    <w:rsid w:val="7B2952F2"/>
    <w:rsid w:val="7B6A44CF"/>
    <w:rsid w:val="7B994BA7"/>
    <w:rsid w:val="7C1160F6"/>
    <w:rsid w:val="7CF46BD3"/>
    <w:rsid w:val="7F280929"/>
    <w:rsid w:val="7F7775C4"/>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 w:type="paragraph" w:customStyle="1" w:styleId="34">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1</Pages>
  <Words>2955</Words>
  <Characters>16845</Characters>
  <Lines>1</Lines>
  <Paragraphs>1</Paragraphs>
  <TotalTime>33</TotalTime>
  <ScaleCrop>false</ScaleCrop>
  <LinksUpToDate>false</LinksUpToDate>
  <CharactersWithSpaces>19761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admin</cp:lastModifiedBy>
  <cp:lastPrinted>2023-09-07T02:56:00Z</cp:lastPrinted>
  <dcterms:modified xsi:type="dcterms:W3CDTF">2023-09-14T05:49:19Z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593AE98331474D31B31F31B81D547496_13</vt:lpwstr>
  </property>
</Properties>
</file>