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ind w:firstLine="0" w:firstLineChars="0"/>
        <w:jc w:val="center"/>
        <w:rPr>
          <w:rFonts w:ascii="宋体" w:hAnsi="宋体"/>
          <w:b/>
          <w:sz w:val="32"/>
          <w:szCs w:val="32"/>
        </w:rPr>
      </w:pPr>
      <w:r>
        <w:rPr>
          <w:rFonts w:hint="eastAsia" w:ascii="方正小标宋简体" w:hAnsi="方正小标宋_GBK" w:eastAsia="方正小标宋简体" w:cs="方正小标宋_GBK"/>
          <w:b/>
          <w:sz w:val="32"/>
          <w:szCs w:val="32"/>
        </w:rPr>
        <w:t>项目名称：</w:t>
      </w:r>
      <w:bookmarkStart w:id="0" w:name="OLE_LINK15"/>
      <w:r>
        <w:rPr>
          <w:rStyle w:val="21"/>
          <w:rFonts w:hint="eastAsia" w:ascii="方正小标宋_GBK" w:hAnsi="方正小标宋_GBK" w:eastAsia="方正小标宋_GBK"/>
          <w:b/>
          <w:i w:val="0"/>
          <w:caps w:val="0"/>
          <w:spacing w:val="0"/>
          <w:w w:val="100"/>
          <w:kern w:val="2"/>
          <w:sz w:val="32"/>
          <w:szCs w:val="32"/>
          <w:lang w:val="en-US" w:eastAsia="zh-CN" w:bidi="ar-SA"/>
        </w:rPr>
        <w:t>高交会2023-2025年现场翻译服务中心</w:t>
      </w:r>
      <w:bookmarkEnd w:id="0"/>
      <w:r>
        <w:rPr>
          <w:rStyle w:val="21"/>
          <w:rFonts w:hint="eastAsia" w:ascii="方正小标宋_GBK" w:hAnsi="方正小标宋_GBK" w:eastAsia="方正小标宋_GBK"/>
          <w:b/>
          <w:i w:val="0"/>
          <w:caps w:val="0"/>
          <w:spacing w:val="0"/>
          <w:w w:val="100"/>
          <w:kern w:val="2"/>
          <w:sz w:val="32"/>
          <w:szCs w:val="32"/>
          <w:lang w:val="en-US" w:eastAsia="zh-CN" w:bidi="ar-SA"/>
        </w:rPr>
        <w:t>项目（二次启动）</w:t>
      </w:r>
    </w:p>
    <w:p>
      <w:pPr>
        <w:jc w:val="center"/>
        <w:rPr>
          <w:rFonts w:ascii="方正小标宋_GBK" w:hAnsi="方正小标宋_GBK" w:eastAsia="方正小标宋_GBK" w:cs="方正小标宋_GBK"/>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27</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黄先生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hint="eastAsia"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val="en-US" w:eastAsia="zh-CN"/>
              </w:rPr>
            </w:pPr>
            <w:r>
              <w:rPr>
                <w:rFonts w:hint="eastAsia" w:ascii="宋体" w:hAnsi="宋体"/>
                <w:szCs w:val="21"/>
              </w:rPr>
              <w:t>高交会2023-2025年现场翻译服务中心</w:t>
            </w:r>
            <w:r>
              <w:rPr>
                <w:rFonts w:hint="eastAsia" w:ascii="宋体" w:hAnsi="宋体"/>
                <w:szCs w:val="21"/>
                <w:lang w:val="en-US" w:eastAsia="zh-CN"/>
              </w:rPr>
              <w:t>项目（二次启动）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lang w:val="en-US" w:eastAsia="zh-CN"/>
              </w:rPr>
              <w:t>2023-2025年</w:t>
            </w:r>
            <w:r>
              <w:rPr>
                <w:rFonts w:hint="eastAsia" w:ascii="宋体" w:hAnsi="宋体"/>
                <w:szCs w:val="21"/>
              </w:rPr>
              <w:t>高交会期间，设立现场翻译服务中心，为现场国际展商提供现场商务洽谈、业务咨询、媒体采访、产品发布、会议活动等口译服务。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hint="eastAsia" w:ascii="宋体" w:hAnsi="宋体" w:eastAsia="宋体"/>
                <w:szCs w:val="21"/>
                <w:highlight w:val="yellow"/>
                <w:lang w:val="en-US" w:eastAsia="zh-CN"/>
              </w:rPr>
            </w:pPr>
            <w:r>
              <w:rPr>
                <w:rFonts w:hint="eastAsia" w:ascii="宋体" w:hAnsi="宋体"/>
                <w:szCs w:val="21"/>
                <w:lang w:val="en-US" w:eastAsia="zh-CN"/>
              </w:rPr>
              <w:t>自合同签订之日起3年有效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https://cg.szcec.com/sharing/cX3G2HdzG，</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https://cg.szcec.com/sharing/nyAnYDl4Y，</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545-485-212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highlight w:val="yellow"/>
              </w:rPr>
              <w:t>https://cg.szcec.com/sharing/I60qO5b7g</w:t>
            </w:r>
            <w:r>
              <w:rPr>
                <w:rFonts w:hint="eastAsia" w:ascii="宋体" w:hAnsi="宋体"/>
                <w:szCs w:val="21"/>
              </w:rPr>
              <w:t>。（为确保开评标工</w:t>
            </w:r>
            <w:bookmarkStart w:id="104" w:name="_GoBack"/>
            <w:bookmarkEnd w:id="104"/>
            <w:r>
              <w:rPr>
                <w:rFonts w:hint="eastAsia" w:ascii="宋体" w:hAnsi="宋体"/>
                <w:szCs w:val="21"/>
              </w:rPr>
              <w:t>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0"/>
              </w:numPr>
              <w:tabs>
                <w:tab w:val="left" w:pos="281"/>
                <w:tab w:val="left" w:pos="541"/>
              </w:tabs>
              <w:snapToGrid w:val="0"/>
              <w:ind w:leftChars="0"/>
              <w:rPr>
                <w:rFonts w:ascii="宋体" w:hAnsi="宋体" w:eastAsia="宋体"/>
                <w:kern w:val="0"/>
                <w:szCs w:val="21"/>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w:t>
            </w:r>
            <w:r>
              <w:rPr>
                <w:rFonts w:hint="eastAsia" w:ascii="宋体" w:hAnsi="宋体" w:cstheme="minorBidi"/>
                <w:kern w:val="0"/>
                <w:szCs w:val="21"/>
              </w:rPr>
              <w:t>,投标人可在本项目招标公告发布后至报名（文件获取）时间截止前自行踏勘。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5"/>
              <w:numPr>
                <w:ilvl w:val="0"/>
                <w:numId w:val="4"/>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5"/>
              <w:numPr>
                <w:ilvl w:val="0"/>
                <w:numId w:val="4"/>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5"/>
              <w:numPr>
                <w:ilvl w:val="0"/>
                <w:numId w:val="5"/>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7" w:name="_Toc82684706"/>
      <w:bookmarkEnd w:id="7"/>
      <w:bookmarkStart w:id="8" w:name="_Toc82684588"/>
      <w:bookmarkEnd w:id="8"/>
      <w:bookmarkStart w:id="9" w:name="_Toc82685540"/>
      <w:bookmarkEnd w:id="9"/>
      <w:bookmarkStart w:id="10" w:name="_Toc82591927"/>
      <w:bookmarkEnd w:id="10"/>
      <w:bookmarkStart w:id="11" w:name="_Toc82684703"/>
      <w:bookmarkEnd w:id="11"/>
      <w:bookmarkStart w:id="12" w:name="_Toc82685543"/>
      <w:bookmarkEnd w:id="12"/>
      <w:bookmarkStart w:id="13" w:name="_Toc82685541"/>
      <w:bookmarkEnd w:id="13"/>
      <w:bookmarkStart w:id="14" w:name="_Toc82684705"/>
      <w:bookmarkEnd w:id="14"/>
      <w:bookmarkStart w:id="15" w:name="_Toc82684590"/>
      <w:bookmarkEnd w:id="15"/>
      <w:bookmarkStart w:id="16" w:name="_Toc82591925"/>
      <w:bookmarkEnd w:id="16"/>
      <w:bookmarkStart w:id="17" w:name="_Toc82684704"/>
      <w:bookmarkEnd w:id="17"/>
      <w:bookmarkStart w:id="18" w:name="_Toc82591926"/>
      <w:bookmarkEnd w:id="18"/>
      <w:bookmarkStart w:id="19" w:name="_Toc82684589"/>
      <w:bookmarkEnd w:id="19"/>
      <w:bookmarkStart w:id="20" w:name="_Toc82684591"/>
      <w:bookmarkEnd w:id="20"/>
      <w:bookmarkStart w:id="21" w:name="_Toc82685542"/>
      <w:bookmarkEnd w:id="21"/>
      <w:bookmarkStart w:id="22" w:name="_Toc82591928"/>
      <w:bookmarkEnd w:id="22"/>
      <w:bookmarkStart w:id="23" w:name="_Toc116550346"/>
      <w:r>
        <w:rPr>
          <w:rFonts w:hint="eastAsia" w:ascii="宋体" w:hAnsi="宋体"/>
          <w:b/>
          <w:szCs w:val="21"/>
        </w:rPr>
        <w:t>特别说明</w:t>
      </w:r>
      <w:bookmarkEnd w:id="23"/>
    </w:p>
    <w:p>
      <w:pPr>
        <w:pStyle w:val="25"/>
        <w:numPr>
          <w:ilvl w:val="0"/>
          <w:numId w:val="6"/>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7"/>
      <w:bookmarkEnd w:id="27"/>
      <w:bookmarkStart w:id="28" w:name="_Toc82685545"/>
      <w:bookmarkEnd w:id="28"/>
      <w:bookmarkStart w:id="29" w:name="_Toc82684708"/>
      <w:bookmarkEnd w:id="29"/>
      <w:bookmarkStart w:id="30" w:name="_Toc82591989"/>
      <w:bookmarkEnd w:id="30"/>
      <w:bookmarkStart w:id="31" w:name="_Toc82591930"/>
      <w:bookmarkEnd w:id="31"/>
      <w:bookmarkStart w:id="32" w:name="_Toc82684593"/>
      <w:bookmarkEnd w:id="32"/>
      <w:bookmarkStart w:id="33" w:name="_Toc82591985"/>
      <w:bookmarkEnd w:id="33"/>
      <w:bookmarkStart w:id="34" w:name="_Toc82591988"/>
      <w:bookmarkEnd w:id="34"/>
      <w:bookmarkStart w:id="35" w:name="_Toc82591986"/>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hint="default" w:ascii="宋体" w:hAnsi="宋体" w:eastAsia="宋体" w:cs="Courier New"/>
                <w:kern w:val="0"/>
                <w:szCs w:val="21"/>
                <w:lang w:val="en-US" w:eastAsia="zh-CN"/>
              </w:rPr>
            </w:pPr>
            <w:r>
              <w:rPr>
                <w:rFonts w:hint="eastAsia" w:ascii="宋体" w:hAnsi="宋体" w:cs="Segoe UI Symbol"/>
                <w:kern w:val="0"/>
                <w:szCs w:val="21"/>
              </w:rPr>
              <w:sym w:font="Wingdings 2" w:char="0052"/>
            </w:r>
            <w:r>
              <w:rPr>
                <w:rFonts w:hint="eastAsia" w:ascii="宋体" w:hAnsi="宋体" w:cs="Courier New"/>
                <w:kern w:val="0"/>
                <w:szCs w:val="21"/>
                <w:lang w:val="en-US" w:eastAsia="zh-CN"/>
              </w:rPr>
              <w:t>现场翻译服务中心总体运行管理方案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7"/>
              </w:numPr>
              <w:tabs>
                <w:tab w:val="left" w:pos="531"/>
              </w:tabs>
              <w:snapToGrid w:val="0"/>
              <w:ind w:left="0" w:firstLine="0"/>
              <w:rPr>
                <w:rFonts w:hint="eastAsia"/>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w:t>
            </w:r>
            <w:r>
              <w:rPr>
                <w:rFonts w:hint="eastAsia"/>
                <w:lang w:eastAsia="zh-CN"/>
              </w:rPr>
              <w:t>。</w:t>
            </w:r>
            <w:r>
              <w:rPr>
                <w:rFonts w:hint="eastAsia"/>
              </w:rPr>
              <w:t>各证明书须加盖公章，身份证原件备查）。</w:t>
            </w:r>
          </w:p>
          <w:p>
            <w:pPr>
              <w:numPr>
                <w:ilvl w:val="0"/>
                <w:numId w:val="7"/>
              </w:numPr>
              <w:tabs>
                <w:tab w:val="left" w:pos="531"/>
              </w:tabs>
              <w:snapToGrid w:val="0"/>
              <w:ind w:left="0" w:firstLine="0"/>
              <w:rPr>
                <w:rFonts w:hint="eastAsia"/>
              </w:rPr>
            </w:pPr>
            <w:r>
              <w:rPr>
                <w:rFonts w:hint="eastAsia"/>
                <w:lang w:val="en-US" w:eastAsia="zh-CN"/>
              </w:rPr>
              <w:t>投标人</w:t>
            </w:r>
            <w:r>
              <w:rPr>
                <w:rFonts w:hint="eastAsia"/>
              </w:rPr>
              <w:t>必须是中国翻译协会的会员（提供证明文件并加盖</w:t>
            </w:r>
            <w:r>
              <w:rPr>
                <w:rFonts w:hint="eastAsia"/>
                <w:lang w:val="en-US" w:eastAsia="zh-CN"/>
              </w:rPr>
              <w:t>投标</w:t>
            </w:r>
            <w:r>
              <w:rPr>
                <w:rFonts w:hint="eastAsia"/>
              </w:rPr>
              <w:t>单位公章）。</w:t>
            </w:r>
          </w:p>
          <w:p>
            <w:pPr>
              <w:numPr>
                <w:ilvl w:val="0"/>
                <w:numId w:val="7"/>
              </w:numPr>
              <w:tabs>
                <w:tab w:val="left" w:pos="531"/>
              </w:tabs>
              <w:snapToGrid w:val="0"/>
              <w:ind w:left="0" w:firstLine="0"/>
              <w:rPr>
                <w:rFonts w:hint="eastAsia"/>
              </w:rPr>
            </w:pPr>
            <w:r>
              <w:rPr>
                <w:rFonts w:hint="eastAsia"/>
              </w:rPr>
              <w:t>本项目不接受联合体投标，严禁转包或非法分包。</w:t>
            </w:r>
          </w:p>
          <w:p>
            <w:pPr>
              <w:numPr>
                <w:ilvl w:val="0"/>
                <w:numId w:val="0"/>
              </w:numPr>
              <w:tabs>
                <w:tab w:val="left" w:pos="531"/>
              </w:tabs>
              <w:snapToGrid w:val="0"/>
              <w:ind w:leftChars="0"/>
              <w:rPr>
                <w:rFonts w:ascii="宋体" w:hAnsi="宋体" w:cs="宋体"/>
                <w:color w:val="FF0000"/>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0" w:firstLine="0"/>
              <w:rPr>
                <w:rFonts w:ascii="宋体" w:hAnsi="宋体"/>
                <w:color w:val="auto"/>
                <w:szCs w:val="21"/>
                <w:highlight w:val="none"/>
              </w:rPr>
            </w:pPr>
            <w:r>
              <w:rPr>
                <w:rFonts w:hint="eastAsia" w:ascii="宋体" w:hAnsi="宋体" w:cs="仿宋_GB2312"/>
                <w:szCs w:val="21"/>
              </w:rPr>
              <w:t>报价以人民币为结算币种，《投标一览表》</w:t>
            </w:r>
            <w:r>
              <w:rPr>
                <w:rFonts w:hint="eastAsia" w:ascii="宋体" w:hAnsi="宋体"/>
                <w:color w:val="auto"/>
                <w:szCs w:val="21"/>
                <w:highlight w:val="none"/>
              </w:rPr>
              <w:t>应包含税率、税额、税前及税后总金额。</w:t>
            </w:r>
          </w:p>
          <w:p>
            <w:pPr>
              <w:numPr>
                <w:ilvl w:val="0"/>
                <w:numId w:val="8"/>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8"/>
              </w:numPr>
              <w:tabs>
                <w:tab w:val="left" w:pos="531"/>
              </w:tabs>
              <w:snapToGrid w:val="0"/>
              <w:ind w:left="0" w:firstLine="0"/>
              <w:rPr>
                <w:rFonts w:hint="eastAsia" w:ascii="宋体" w:hAnsi="宋体" w:cs="仿宋_GB2312"/>
                <w:szCs w:val="21"/>
              </w:rPr>
            </w:pPr>
            <w:r>
              <w:rPr>
                <w:rFonts w:hint="eastAsia" w:ascii="宋体" w:hAnsi="宋体" w:cs="仿宋_GB2312"/>
                <w:szCs w:val="21"/>
              </w:rPr>
              <w:t>投标报价包括但不限于口译费、</w:t>
            </w:r>
            <w:r>
              <w:rPr>
                <w:rFonts w:hint="eastAsia" w:ascii="宋体" w:hAnsi="宋体" w:cs="仿宋_GB2312"/>
                <w:szCs w:val="21"/>
                <w:lang w:val="en-US" w:eastAsia="zh-CN"/>
              </w:rPr>
              <w:t>译员食宿</w:t>
            </w:r>
            <w:r>
              <w:rPr>
                <w:rFonts w:hint="eastAsia" w:ascii="宋体" w:hAnsi="宋体" w:cs="仿宋_GB2312"/>
                <w:szCs w:val="21"/>
              </w:rPr>
              <w:t>交通费</w:t>
            </w:r>
            <w:r>
              <w:rPr>
                <w:rFonts w:hint="eastAsia" w:ascii="宋体" w:hAnsi="宋体" w:cs="仿宋_GB2312"/>
                <w:szCs w:val="21"/>
                <w:lang w:eastAsia="zh-CN"/>
              </w:rPr>
              <w:t>、</w:t>
            </w:r>
            <w:r>
              <w:rPr>
                <w:rFonts w:hint="eastAsia" w:ascii="宋体" w:hAnsi="宋体" w:cs="仿宋_GB2312"/>
                <w:szCs w:val="21"/>
              </w:rPr>
              <w:t>管理费、</w:t>
            </w:r>
            <w:r>
              <w:rPr>
                <w:rFonts w:hint="eastAsia" w:ascii="宋体" w:hAnsi="宋体" w:cs="仿宋_GB2312"/>
                <w:szCs w:val="21"/>
                <w:lang w:val="en-US" w:eastAsia="zh-CN"/>
              </w:rPr>
              <w:t>增值</w:t>
            </w:r>
            <w:r>
              <w:rPr>
                <w:rFonts w:hint="eastAsia" w:ascii="宋体" w:hAnsi="宋体" w:cs="仿宋_GB2312"/>
                <w:szCs w:val="21"/>
              </w:rPr>
              <w:t>税费等完成本项目所需的全部费用。</w:t>
            </w:r>
            <w:r>
              <w:rPr>
                <w:rFonts w:hint="eastAsia" w:ascii="宋体" w:hAnsi="宋体" w:cs="仿宋_GB2312"/>
                <w:szCs w:val="21"/>
                <w:lang w:val="en-US" w:eastAsia="zh-CN"/>
              </w:rPr>
              <w:t>本项目不再另外支付其他费用。</w:t>
            </w:r>
          </w:p>
          <w:p>
            <w:pPr>
              <w:numPr>
                <w:ilvl w:val="0"/>
                <w:numId w:val="0"/>
              </w:numPr>
              <w:tabs>
                <w:tab w:val="left" w:pos="531"/>
              </w:tabs>
              <w:snapToGrid w:val="0"/>
              <w:ind w:leftChars="0"/>
              <w:rPr>
                <w:color w:val="FF0000"/>
                <w:highlight w:val="yellow"/>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本项目控制金额为人民币</w:t>
            </w:r>
            <w:r>
              <w:rPr>
                <w:rFonts w:hint="eastAsia" w:ascii="宋体" w:hAnsi="宋体"/>
                <w:color w:val="auto"/>
                <w:szCs w:val="21"/>
                <w:highlight w:val="none"/>
                <w:lang w:val="en-US" w:eastAsia="zh-CN"/>
              </w:rPr>
              <w:t>9</w:t>
            </w:r>
            <w:r>
              <w:rPr>
                <w:rFonts w:ascii="宋体" w:hAnsi="宋体" w:cs="宋体"/>
                <w:color w:val="auto"/>
                <w:szCs w:val="21"/>
                <w:highlight w:val="none"/>
              </w:rPr>
              <w:t>万元（含税）</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三年（1+1+1）控制总金额为人民币27万元（含税），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hint="eastAsia"/>
              </w:rPr>
            </w:pPr>
            <w:r>
              <w:rPr>
                <w:rFonts w:hint="eastAsia" w:ascii="宋体" w:hAnsi="宋体"/>
                <w:szCs w:val="21"/>
                <w:lang w:val="en-US" w:eastAsia="zh-CN"/>
              </w:rPr>
              <w:t>合同服务期限三年（1+1+1模式）</w:t>
            </w:r>
            <w:r>
              <w:rPr>
                <w:rFonts w:hint="eastAsia" w:ascii="宋体" w:hAnsi="宋体"/>
                <w:color w:val="auto"/>
                <w:szCs w:val="21"/>
                <w:lang w:val="en-US" w:eastAsia="zh-CN"/>
              </w:rPr>
              <w:t>，在第一年度高交会结束后两个月内，中标人应主动申请招标人对期年度服务情况进行考核评审，招标人根据中标单位的服务质量、各项承诺兑现情况等因素进行考核评估</w:t>
            </w:r>
            <w:r>
              <w:rPr>
                <w:rFonts w:hint="eastAsia" w:ascii="宋体" w:hAnsi="宋体" w:eastAsia="宋体" w:cs="宋体"/>
                <w:color w:val="auto"/>
                <w:sz w:val="21"/>
                <w:szCs w:val="21"/>
                <w:highlight w:val="none"/>
              </w:rPr>
              <w:t>，如考核达到</w:t>
            </w:r>
            <w:r>
              <w:rPr>
                <w:rFonts w:hint="eastAsia" w:ascii="宋体" w:hAnsi="宋体" w:cs="宋体"/>
                <w:color w:val="auto"/>
                <w:sz w:val="21"/>
                <w:szCs w:val="21"/>
                <w:highlight w:val="none"/>
                <w:lang w:val="en-US" w:eastAsia="zh-CN"/>
              </w:rPr>
              <w:t>优良</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分以上），则执行第二年合同，如考核未达</w:t>
            </w:r>
            <w:r>
              <w:rPr>
                <w:rFonts w:hint="eastAsia" w:ascii="宋体" w:hAnsi="宋体" w:cs="宋体"/>
                <w:color w:val="auto"/>
                <w:sz w:val="21"/>
                <w:szCs w:val="21"/>
                <w:highlight w:val="none"/>
                <w:lang w:val="en-US" w:eastAsia="zh-CN"/>
              </w:rPr>
              <w:t>到优良</w:t>
            </w:r>
            <w:r>
              <w:rPr>
                <w:rFonts w:hint="eastAsia" w:ascii="宋体" w:hAnsi="宋体" w:eastAsia="宋体" w:cs="宋体"/>
                <w:color w:val="auto"/>
                <w:sz w:val="21"/>
                <w:szCs w:val="21"/>
                <w:highlight w:val="none"/>
              </w:rPr>
              <w:t>，招标人有权在第一年服务期满时终止合同。第三年度合同执行方式参考以上办法。具体参考方法见附件《服务机构履约评价表》。</w:t>
            </w:r>
          </w:p>
          <w:p>
            <w:pPr>
              <w:numPr>
                <w:ilvl w:val="0"/>
                <w:numId w:val="9"/>
              </w:numPr>
              <w:tabs>
                <w:tab w:val="left" w:pos="531"/>
              </w:tabs>
              <w:snapToGrid w:val="0"/>
              <w:ind w:left="0" w:firstLine="0"/>
              <w:rPr>
                <w:rFonts w:hint="eastAsia"/>
              </w:rPr>
            </w:pPr>
            <w:r>
              <w:rPr>
                <w:rFonts w:hint="eastAsia"/>
                <w:lang w:val="en-US" w:eastAsia="zh-CN"/>
              </w:rPr>
              <w:t>结算周期为年结。本项目第一个服务年度的高交会结束后一个月内，双方按照中选价格标准按实进行费用核算，待考核验收合格后，中选单位开具增值税专用发票，招标人支付费用。</w:t>
            </w:r>
          </w:p>
          <w:p>
            <w:pPr>
              <w:numPr>
                <w:ilvl w:val="0"/>
                <w:numId w:val="9"/>
              </w:numPr>
              <w:tabs>
                <w:tab w:val="left" w:pos="531"/>
              </w:tabs>
              <w:snapToGrid w:val="0"/>
              <w:ind w:left="0" w:firstLine="0"/>
            </w:pPr>
            <w:r>
              <w:rPr>
                <w:rFonts w:hint="eastAsia"/>
                <w:lang w:val="en-US" w:eastAsia="zh-CN"/>
              </w:rPr>
              <w:t>中标</w:t>
            </w:r>
            <w:r>
              <w:rPr>
                <w:rFonts w:hint="eastAsia"/>
              </w:rPr>
              <w:t>单位</w:t>
            </w:r>
            <w:r>
              <w:rPr>
                <w:rFonts w:hint="eastAsia"/>
                <w:lang w:val="en-US" w:eastAsia="zh-CN"/>
              </w:rPr>
              <w:t>需提交验收报告</w:t>
            </w:r>
            <w:r>
              <w:rPr>
                <w:rFonts w:hint="eastAsia"/>
              </w:rPr>
              <w:t>。</w:t>
            </w:r>
          </w:p>
          <w:p>
            <w:pPr>
              <w:numPr>
                <w:ilvl w:val="0"/>
                <w:numId w:val="9"/>
              </w:numPr>
              <w:tabs>
                <w:tab w:val="left" w:pos="531"/>
              </w:tabs>
              <w:snapToGrid w:val="0"/>
              <w:ind w:left="0" w:firstLine="0"/>
            </w:pPr>
            <w:r>
              <w:rPr>
                <w:rFonts w:hint="eastAsia"/>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当届高交会结束后，中标单位应按招标人要求及时提交验收报告，内容包括但不限制于现场</w:t>
            </w:r>
            <w:r>
              <w:rPr>
                <w:rFonts w:hint="eastAsia"/>
                <w:lang w:eastAsia="zh-CN"/>
              </w:rPr>
              <w:t>翻译</w:t>
            </w:r>
            <w:r>
              <w:rPr>
                <w:rFonts w:hint="eastAsia"/>
                <w:lang w:val="en-US" w:eastAsia="zh-CN"/>
              </w:rPr>
              <w:t>服务</w:t>
            </w:r>
            <w:r>
              <w:rPr>
                <w:rFonts w:hint="eastAsia"/>
                <w:lang w:eastAsia="zh-CN"/>
              </w:rPr>
              <w:t>中心现</w:t>
            </w:r>
            <w:r>
              <w:rPr>
                <w:rFonts w:hint="eastAsia"/>
                <w:lang w:val="en-US" w:eastAsia="zh-CN"/>
              </w:rPr>
              <w:t>运营总结报告</w:t>
            </w:r>
            <w:r>
              <w:rPr>
                <w:rFonts w:hint="eastAsia"/>
              </w:rPr>
              <w:t>、</w:t>
            </w:r>
            <w:r>
              <w:rPr>
                <w:rFonts w:hint="eastAsia"/>
                <w:lang w:val="en-US" w:eastAsia="zh-CN"/>
              </w:rPr>
              <w:t>翻译服务</w:t>
            </w:r>
            <w:r>
              <w:rPr>
                <w:rFonts w:hint="eastAsia"/>
              </w:rPr>
              <w:t>满意度调查表</w:t>
            </w:r>
            <w:r>
              <w:rPr>
                <w:rFonts w:hint="eastAsia"/>
                <w:lang w:eastAsia="zh-CN"/>
              </w:rPr>
              <w:t>、</w:t>
            </w:r>
            <w:r>
              <w:rPr>
                <w:rFonts w:hint="eastAsia"/>
                <w:lang w:val="en-US" w:eastAsia="zh-CN"/>
              </w:rPr>
              <w:t>重点展商日常翻译接待情况报告及现场照片等相关资料，并配合招标人对项目进行验收。</w:t>
            </w:r>
          </w:p>
          <w:p>
            <w:pPr>
              <w:pStyle w:val="4"/>
              <w:rPr>
                <w:rFonts w:hint="default"/>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语种要求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FF0000"/>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应具备提供以下语种服务能力：英语、</w:t>
            </w:r>
            <w:r>
              <w:rPr>
                <w:rFonts w:hint="eastAsia" w:ascii="宋体" w:hAnsi="宋体" w:cs="宋体"/>
                <w:b w:val="0"/>
                <w:i w:val="0"/>
                <w:caps w:val="0"/>
                <w:spacing w:val="0"/>
                <w:w w:val="100"/>
                <w:kern w:val="2"/>
                <w:sz w:val="21"/>
                <w:szCs w:val="21"/>
                <w:lang w:val="en-US" w:eastAsia="zh-CN" w:bidi="ar-SA"/>
              </w:rPr>
              <w:t>俄语、</w:t>
            </w:r>
            <w:r>
              <w:rPr>
                <w:rFonts w:hint="eastAsia" w:ascii="宋体" w:hAnsi="宋体" w:eastAsia="宋体" w:cs="宋体"/>
                <w:b w:val="0"/>
                <w:i w:val="0"/>
                <w:caps w:val="0"/>
                <w:spacing w:val="0"/>
                <w:w w:val="100"/>
                <w:kern w:val="2"/>
                <w:sz w:val="21"/>
                <w:szCs w:val="21"/>
                <w:lang w:val="en-US" w:eastAsia="zh-CN" w:bidi="ar-SA"/>
              </w:rPr>
              <w:t>德语、</w:t>
            </w:r>
            <w:r>
              <w:rPr>
                <w:rFonts w:hint="eastAsia" w:ascii="宋体" w:hAnsi="宋体" w:cs="宋体"/>
                <w:b w:val="0"/>
                <w:i w:val="0"/>
                <w:caps w:val="0"/>
                <w:spacing w:val="0"/>
                <w:w w:val="100"/>
                <w:kern w:val="2"/>
                <w:sz w:val="21"/>
                <w:szCs w:val="21"/>
                <w:lang w:val="en-US" w:eastAsia="zh-CN" w:bidi="ar-SA"/>
              </w:rPr>
              <w:t>西班牙语、</w:t>
            </w:r>
            <w:r>
              <w:rPr>
                <w:rFonts w:hint="eastAsia" w:ascii="宋体" w:hAnsi="宋体" w:eastAsia="宋体" w:cs="宋体"/>
                <w:b w:val="0"/>
                <w:i w:val="0"/>
                <w:caps w:val="0"/>
                <w:spacing w:val="0"/>
                <w:w w:val="100"/>
                <w:kern w:val="2"/>
                <w:sz w:val="21"/>
                <w:szCs w:val="21"/>
                <w:lang w:val="en-US" w:eastAsia="zh-CN" w:bidi="ar-SA"/>
              </w:rPr>
              <w:t>韩语、日语。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译员资格要求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参加单位的译员应具备全日制本科及以上学历学位，并满足下条件之一：</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证书：英语二级口译（交替传译）</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证书：英语二级口译（同声传译）</w:t>
            </w:r>
          </w:p>
          <w:p>
            <w:pPr>
              <w:numPr>
                <w:ilvl w:val="0"/>
                <w:numId w:val="10"/>
              </w:numPr>
              <w:snapToGrid/>
              <w:ind w:left="425" w:hanging="425"/>
              <w:jc w:val="left"/>
              <w:rPr>
                <w:rFonts w:hint="eastAsia" w:ascii="宋体" w:hAnsi="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全国翻译专业资格考试</w:t>
            </w:r>
            <w:r>
              <w:rPr>
                <w:rFonts w:hint="eastAsia" w:ascii="宋体" w:hAnsi="宋体" w:eastAsia="宋体" w:cs="宋体"/>
                <w:b w:val="0"/>
                <w:i w:val="0"/>
                <w:caps w:val="0"/>
                <w:spacing w:val="0"/>
                <w:w w:val="100"/>
                <w:kern w:val="2"/>
                <w:sz w:val="21"/>
                <w:szCs w:val="21"/>
                <w:lang w:val="en-US" w:eastAsia="zh-CN" w:bidi="ar-SA"/>
              </w:rPr>
              <w:t>（CATTI）</w:t>
            </w:r>
            <w:r>
              <w:rPr>
                <w:rFonts w:hint="eastAsia" w:ascii="宋体" w:hAnsi="宋体" w:cs="宋体"/>
                <w:b w:val="0"/>
                <w:i w:val="0"/>
                <w:caps w:val="0"/>
                <w:spacing w:val="0"/>
                <w:w w:val="100"/>
                <w:kern w:val="2"/>
                <w:sz w:val="21"/>
                <w:szCs w:val="21"/>
                <w:lang w:val="en-US" w:eastAsia="zh-CN" w:bidi="ar-SA"/>
              </w:rPr>
              <w:t>证书：英语二级笔译</w:t>
            </w:r>
          </w:p>
          <w:p>
            <w:pPr>
              <w:numPr>
                <w:ilvl w:val="0"/>
                <w:numId w:val="10"/>
              </w:numPr>
              <w:snapToGrid/>
              <w:ind w:left="425" w:hanging="425"/>
              <w:jc w:val="left"/>
              <w:rPr>
                <w:rFonts w:hint="eastAsia" w:ascii="宋体" w:hAnsi="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全国高校英语专业八级证书</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须指定项目负责人。项目负责人应具备良好的职业道德、服务意识和团队合作精神，全程负责管理，确保各项翻译任务按时按质完成。</w:t>
            </w:r>
            <w:r>
              <w:rPr>
                <w:rFonts w:hint="eastAsia" w:ascii="宋体" w:hAnsi="宋体" w:cs="宋体"/>
                <w:b w:val="0"/>
                <w:i w:val="0"/>
                <w:caps w:val="0"/>
                <w:spacing w:val="0"/>
                <w:w w:val="100"/>
                <w:kern w:val="2"/>
                <w:sz w:val="21"/>
                <w:szCs w:val="21"/>
                <w:lang w:val="en-US" w:eastAsia="zh-CN" w:bidi="ar-SA"/>
              </w:rPr>
              <w:t>（</w:t>
            </w:r>
            <w:r>
              <w:rPr>
                <w:rFonts w:hint="eastAsia" w:ascii="宋体" w:hAnsi="宋体" w:cs="宋体"/>
                <w:szCs w:val="21"/>
              </w:rPr>
              <w:t>需提供</w:t>
            </w:r>
            <w:r>
              <w:rPr>
                <w:rFonts w:hint="eastAsia" w:ascii="宋体" w:hAnsi="宋体" w:cs="宋体"/>
                <w:szCs w:val="21"/>
                <w:lang w:val="en-US" w:eastAsia="zh-CN"/>
              </w:rPr>
              <w:t>项目负责人</w:t>
            </w:r>
            <w:r>
              <w:rPr>
                <w:rFonts w:hint="eastAsia" w:ascii="宋体" w:hAnsi="宋体" w:cs="宋体"/>
                <w:szCs w:val="21"/>
              </w:rPr>
              <w:t>近3个月的在职社保证明</w:t>
            </w:r>
            <w:r>
              <w:rPr>
                <w:rFonts w:hint="eastAsia" w:ascii="宋体" w:hAnsi="宋体" w:cs="宋体"/>
                <w:szCs w:val="21"/>
                <w:lang w:eastAsia="zh-CN"/>
              </w:rPr>
              <w:t>，</w:t>
            </w:r>
            <w:r>
              <w:rPr>
                <w:rFonts w:hint="eastAsia" w:ascii="宋体" w:hAnsi="宋体" w:cs="宋体"/>
                <w:szCs w:val="21"/>
              </w:rPr>
              <w:t>各证明书须加盖公章，身份证原件备查</w:t>
            </w:r>
            <w:r>
              <w:rPr>
                <w:rFonts w:hint="eastAsia" w:ascii="宋体" w:hAnsi="宋体" w:cs="宋体"/>
                <w:szCs w:val="21"/>
                <w:lang w:eastAsia="zh-CN"/>
              </w:rPr>
              <w:t>。</w:t>
            </w:r>
            <w:r>
              <w:rPr>
                <w:rFonts w:hint="eastAsia" w:ascii="宋体" w:hAnsi="宋体" w:cs="宋体"/>
                <w:b w:val="0"/>
                <w:i w:val="0"/>
                <w:caps w:val="0"/>
                <w:spacing w:val="0"/>
                <w:w w:val="100"/>
                <w:kern w:val="2"/>
                <w:sz w:val="21"/>
                <w:szCs w:val="21"/>
                <w:lang w:val="en-US" w:eastAsia="zh-CN" w:bidi="ar-SA"/>
              </w:rPr>
              <w:t>）</w:t>
            </w:r>
          </w:p>
          <w:p>
            <w:pPr>
              <w:numPr>
                <w:ilvl w:val="0"/>
                <w:numId w:val="11"/>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于展前30天</w:t>
            </w:r>
            <w:r>
              <w:rPr>
                <w:rFonts w:hint="eastAsia" w:ascii="宋体" w:hAnsi="宋体" w:eastAsia="宋体" w:cs="宋体"/>
                <w:b w:val="0"/>
                <w:i w:val="0"/>
                <w:caps w:val="0"/>
                <w:spacing w:val="0"/>
                <w:w w:val="100"/>
                <w:kern w:val="2"/>
                <w:sz w:val="21"/>
                <w:szCs w:val="21"/>
                <w:lang w:val="en-US" w:eastAsia="zh-CN" w:bidi="ar-SA"/>
              </w:rPr>
              <w:t>与</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w:t>
            </w:r>
            <w:r>
              <w:rPr>
                <w:rFonts w:hint="eastAsia" w:ascii="宋体" w:hAnsi="宋体" w:cs="宋体"/>
                <w:b w:val="0"/>
                <w:i w:val="0"/>
                <w:caps w:val="0"/>
                <w:spacing w:val="0"/>
                <w:w w:val="100"/>
                <w:kern w:val="2"/>
                <w:sz w:val="21"/>
                <w:szCs w:val="21"/>
                <w:lang w:val="en-US" w:eastAsia="zh-CN" w:bidi="ar-SA"/>
              </w:rPr>
              <w:t>沟通</w:t>
            </w:r>
            <w:r>
              <w:rPr>
                <w:rFonts w:hint="eastAsia" w:ascii="宋体" w:hAnsi="宋体" w:eastAsia="宋体" w:cs="宋体"/>
                <w:b w:val="0"/>
                <w:i w:val="0"/>
                <w:caps w:val="0"/>
                <w:spacing w:val="0"/>
                <w:w w:val="100"/>
                <w:kern w:val="2"/>
                <w:sz w:val="21"/>
                <w:szCs w:val="21"/>
                <w:lang w:val="en-US" w:eastAsia="zh-CN" w:bidi="ar-SA"/>
              </w:rPr>
              <w:t>，确认工作语种、时间、地点、所需译员数量、客户联系人信息、所译内容的背景信息及资料。</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于展前15天</w:t>
            </w:r>
            <w:r>
              <w:rPr>
                <w:rFonts w:hint="eastAsia" w:ascii="宋体" w:hAnsi="宋体" w:eastAsia="宋体" w:cs="宋体"/>
                <w:b w:val="0"/>
                <w:i w:val="0"/>
                <w:caps w:val="0"/>
                <w:spacing w:val="0"/>
                <w:w w:val="100"/>
                <w:kern w:val="2"/>
                <w:sz w:val="21"/>
                <w:szCs w:val="21"/>
                <w:lang w:val="en-US" w:eastAsia="zh-CN" w:bidi="ar-SA"/>
              </w:rPr>
              <w:t>向</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人提交全部译员简历及有效手机号码，并确保真实性。</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于展前10天组织译员培训，</w:t>
            </w:r>
            <w:r>
              <w:rPr>
                <w:rFonts w:hint="eastAsia" w:ascii="宋体" w:hAnsi="宋体" w:eastAsia="宋体" w:cs="宋体"/>
                <w:b w:val="0"/>
                <w:i w:val="0"/>
                <w:caps w:val="0"/>
                <w:spacing w:val="0"/>
                <w:w w:val="100"/>
                <w:kern w:val="2"/>
                <w:sz w:val="21"/>
                <w:szCs w:val="21"/>
                <w:lang w:val="en-US" w:eastAsia="zh-CN" w:bidi="ar-SA"/>
              </w:rPr>
              <w:t>安排译员研究学习相关背景材料，做好译前准备</w:t>
            </w:r>
            <w:r>
              <w:rPr>
                <w:rFonts w:hint="eastAsia" w:ascii="宋体" w:hAnsi="宋体" w:cs="宋体"/>
                <w:b w:val="0"/>
                <w:i w:val="0"/>
                <w:caps w:val="0"/>
                <w:spacing w:val="0"/>
                <w:w w:val="100"/>
                <w:kern w:val="2"/>
                <w:sz w:val="21"/>
                <w:szCs w:val="21"/>
                <w:lang w:val="en-US" w:eastAsia="zh-CN" w:bidi="ar-SA"/>
              </w:rPr>
              <w:t>。</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项目负责人</w:t>
            </w:r>
            <w:r>
              <w:rPr>
                <w:rFonts w:hint="eastAsia" w:ascii="宋体" w:hAnsi="宋体" w:eastAsia="宋体" w:cs="宋体"/>
                <w:b w:val="0"/>
                <w:i w:val="0"/>
                <w:caps w:val="0"/>
                <w:spacing w:val="0"/>
                <w:w w:val="100"/>
                <w:kern w:val="2"/>
                <w:sz w:val="21"/>
                <w:szCs w:val="21"/>
                <w:lang w:val="en-US" w:eastAsia="zh-CN" w:bidi="ar-SA"/>
              </w:rPr>
              <w:t>需</w:t>
            </w:r>
            <w:r>
              <w:rPr>
                <w:rFonts w:hint="eastAsia" w:ascii="宋体" w:hAnsi="宋体" w:cs="宋体"/>
                <w:b w:val="0"/>
                <w:i w:val="0"/>
                <w:caps w:val="0"/>
                <w:spacing w:val="0"/>
                <w:w w:val="100"/>
                <w:kern w:val="2"/>
                <w:sz w:val="21"/>
                <w:szCs w:val="21"/>
                <w:lang w:val="en-US" w:eastAsia="zh-CN" w:bidi="ar-SA"/>
              </w:rPr>
              <w:t>于展前一周督促译员与所负责展团提前沟通，深入了解展商需求并及时落实。</w:t>
            </w:r>
          </w:p>
          <w:p>
            <w:pPr>
              <w:numPr>
                <w:ilvl w:val="0"/>
                <w:numId w:val="11"/>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需确保译员按约定时间达到工作现场，提供所需翻译服务。</w:t>
            </w:r>
          </w:p>
          <w:p>
            <w:pPr>
              <w:numPr>
                <w:ilvl w:val="0"/>
                <w:numId w:val="11"/>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如出现口译人员无法胜任口译工作，或口译质量无法达到</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人要求的情况，</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人可以终止口译服务，并可要求更换口译人员，</w:t>
            </w:r>
            <w:r>
              <w:rPr>
                <w:rFonts w:hint="eastAsia" w:ascii="宋体" w:hAnsi="宋体" w:cs="宋体"/>
                <w:b w:val="0"/>
                <w:i w:val="0"/>
                <w:caps w:val="0"/>
                <w:spacing w:val="0"/>
                <w:w w:val="100"/>
                <w:kern w:val="2"/>
                <w:sz w:val="21"/>
                <w:szCs w:val="21"/>
                <w:lang w:val="en-US" w:eastAsia="zh-CN" w:bidi="ar-SA"/>
              </w:rPr>
              <w:t>招标</w:t>
            </w:r>
            <w:r>
              <w:rPr>
                <w:rFonts w:hint="eastAsia" w:ascii="宋体" w:hAnsi="宋体" w:eastAsia="宋体" w:cs="宋体"/>
                <w:b w:val="0"/>
                <w:i w:val="0"/>
                <w:caps w:val="0"/>
                <w:spacing w:val="0"/>
                <w:w w:val="100"/>
                <w:kern w:val="2"/>
                <w:sz w:val="21"/>
                <w:szCs w:val="21"/>
                <w:lang w:val="en-US" w:eastAsia="zh-CN" w:bidi="ar-SA"/>
              </w:rPr>
              <w:t>人可对不合格译员的工作内容不予支付报酬。</w:t>
            </w:r>
          </w:p>
          <w:p>
            <w:pPr>
              <w:numPr>
                <w:ilvl w:val="0"/>
                <w:numId w:val="0"/>
              </w:numPr>
              <w:snapToGrid/>
              <w:spacing w:before="0" w:beforeAutospacing="0" w:after="0" w:afterAutospacing="0" w:line="240" w:lineRule="auto"/>
              <w:ind w:leftChars="0"/>
              <w:jc w:val="left"/>
              <w:textAlignment w:val="auto"/>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color w:val="FF0000"/>
                <w:highlight w:val="yellow"/>
              </w:rPr>
            </w:pPr>
            <w:r>
              <w:rPr>
                <w:rFonts w:hint="eastAsia" w:ascii="宋体" w:hAnsi="宋体" w:cs="宋体"/>
                <w:b w:val="0"/>
                <w:i w:val="0"/>
                <w:caps w:val="0"/>
                <w:spacing w:val="0"/>
                <w:w w:val="100"/>
                <w:kern w:val="2"/>
                <w:sz w:val="21"/>
                <w:szCs w:val="21"/>
                <w:lang w:val="en-US" w:eastAsia="zh-CN" w:bidi="ar-SA"/>
              </w:rPr>
              <w:t>投标人</w:t>
            </w:r>
            <w:r>
              <w:rPr>
                <w:rFonts w:hint="eastAsia" w:ascii="宋体" w:hAnsi="宋体" w:eastAsia="宋体" w:cs="宋体"/>
                <w:b w:val="0"/>
                <w:i w:val="0"/>
                <w:caps w:val="0"/>
                <w:spacing w:val="0"/>
                <w:w w:val="100"/>
                <w:kern w:val="2"/>
                <w:sz w:val="21"/>
                <w:szCs w:val="21"/>
                <w:lang w:val="en-US" w:eastAsia="zh-CN" w:bidi="ar-SA"/>
              </w:rPr>
              <w:t>应提交</w:t>
            </w:r>
            <w:bookmarkStart w:id="38" w:name="OLE_LINK3"/>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w:t>
            </w:r>
            <w:bookmarkEnd w:id="38"/>
            <w:r>
              <w:rPr>
                <w:rFonts w:hint="eastAsia" w:ascii="宋体" w:hAnsi="宋体" w:eastAsia="宋体" w:cs="宋体"/>
                <w:b w:val="0"/>
                <w:i w:val="0"/>
                <w:caps w:val="0"/>
                <w:spacing w:val="0"/>
                <w:w w:val="100"/>
                <w:kern w:val="2"/>
                <w:sz w:val="21"/>
                <w:szCs w:val="21"/>
                <w:lang w:val="en-US" w:eastAsia="zh-CN" w:bidi="ar-SA"/>
              </w:rPr>
              <w:t>，内容应包括但不限于工作</w:t>
            </w:r>
            <w:r>
              <w:rPr>
                <w:rFonts w:hint="eastAsia" w:ascii="宋体" w:hAnsi="宋体" w:cs="宋体"/>
                <w:b w:val="0"/>
                <w:i w:val="0"/>
                <w:caps w:val="0"/>
                <w:spacing w:val="0"/>
                <w:w w:val="100"/>
                <w:kern w:val="2"/>
                <w:sz w:val="21"/>
                <w:szCs w:val="21"/>
                <w:lang w:val="en-US" w:eastAsia="zh-CN" w:bidi="ar-SA"/>
              </w:rPr>
              <w:t>进度</w:t>
            </w:r>
            <w:r>
              <w:rPr>
                <w:rFonts w:hint="eastAsia" w:ascii="宋体" w:hAnsi="宋体" w:eastAsia="宋体" w:cs="宋体"/>
                <w:b w:val="0"/>
                <w:i w:val="0"/>
                <w:caps w:val="0"/>
                <w:spacing w:val="0"/>
                <w:w w:val="100"/>
                <w:kern w:val="2"/>
                <w:sz w:val="21"/>
                <w:szCs w:val="21"/>
                <w:lang w:val="en-US" w:eastAsia="zh-CN" w:bidi="ar-SA"/>
              </w:rPr>
              <w:t>计划、译员</w:t>
            </w:r>
            <w:r>
              <w:rPr>
                <w:rFonts w:hint="eastAsia" w:ascii="宋体" w:hAnsi="宋体" w:cs="宋体"/>
                <w:b w:val="0"/>
                <w:i w:val="0"/>
                <w:caps w:val="0"/>
                <w:spacing w:val="0"/>
                <w:w w:val="100"/>
                <w:kern w:val="2"/>
                <w:sz w:val="21"/>
                <w:szCs w:val="21"/>
                <w:lang w:val="en-US" w:eastAsia="zh-CN" w:bidi="ar-SA"/>
              </w:rPr>
              <w:t>翻译</w:t>
            </w:r>
            <w:r>
              <w:rPr>
                <w:rFonts w:hint="eastAsia" w:ascii="宋体" w:hAnsi="宋体" w:eastAsia="宋体" w:cs="宋体"/>
                <w:b w:val="0"/>
                <w:i w:val="0"/>
                <w:caps w:val="0"/>
                <w:spacing w:val="0"/>
                <w:w w:val="100"/>
                <w:kern w:val="2"/>
                <w:sz w:val="21"/>
                <w:szCs w:val="21"/>
                <w:lang w:val="en-US" w:eastAsia="zh-CN" w:bidi="ar-SA"/>
              </w:rPr>
              <w:t>质量管理</w:t>
            </w:r>
            <w:r>
              <w:rPr>
                <w:rFonts w:hint="eastAsia" w:ascii="宋体" w:hAnsi="宋体" w:cs="宋体"/>
                <w:b w:val="0"/>
                <w:i w:val="0"/>
                <w:caps w:val="0"/>
                <w:spacing w:val="0"/>
                <w:w w:val="100"/>
                <w:kern w:val="2"/>
                <w:sz w:val="21"/>
                <w:szCs w:val="21"/>
                <w:lang w:val="en-US" w:eastAsia="zh-CN" w:bidi="ar-SA"/>
              </w:rPr>
              <w:t>办法</w:t>
            </w:r>
            <w:r>
              <w:rPr>
                <w:rFonts w:hint="eastAsia" w:ascii="宋体" w:hAnsi="宋体" w:eastAsia="宋体" w:cs="宋体"/>
                <w:b w:val="0"/>
                <w:i w:val="0"/>
                <w:caps w:val="0"/>
                <w:spacing w:val="0"/>
                <w:w w:val="100"/>
                <w:kern w:val="2"/>
                <w:sz w:val="21"/>
                <w:szCs w:val="21"/>
                <w:lang w:val="en-US" w:eastAsia="zh-CN" w:bidi="ar-SA"/>
              </w:rPr>
              <w:t>、译员</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质量管理</w:t>
            </w:r>
            <w:r>
              <w:rPr>
                <w:rFonts w:hint="eastAsia" w:ascii="宋体" w:hAnsi="宋体" w:cs="宋体"/>
                <w:b w:val="0"/>
                <w:i w:val="0"/>
                <w:caps w:val="0"/>
                <w:spacing w:val="0"/>
                <w:w w:val="100"/>
                <w:kern w:val="2"/>
                <w:sz w:val="21"/>
                <w:szCs w:val="21"/>
                <w:lang w:val="en-US" w:eastAsia="zh-CN" w:bidi="ar-SA"/>
              </w:rPr>
              <w:t>办法、译员纪律管理办法、译员培训计划等</w:t>
            </w:r>
            <w:r>
              <w:rPr>
                <w:rFonts w:hint="eastAsia" w:ascii="宋体" w:hAnsi="宋体" w:eastAsia="宋体" w:cs="宋体"/>
                <w:b w:val="0"/>
                <w:i w:val="0"/>
                <w:caps w:val="0"/>
                <w:spacing w:val="0"/>
                <w:w w:val="100"/>
                <w:kern w:val="2"/>
                <w:sz w:val="21"/>
                <w:szCs w:val="21"/>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投标人需按</w:t>
            </w:r>
            <w:r>
              <w:rPr>
                <w:rFonts w:hint="eastAsia" w:ascii="宋体" w:hAnsi="宋体" w:cs="宋体"/>
                <w:b w:val="0"/>
                <w:i w:val="0"/>
                <w:caps w:val="0"/>
                <w:spacing w:val="0"/>
                <w:w w:val="100"/>
                <w:kern w:val="2"/>
                <w:sz w:val="21"/>
                <w:szCs w:val="21"/>
                <w:lang w:val="en-US" w:eastAsia="zh-CN" w:bidi="ar-SA"/>
              </w:rPr>
              <w:t>现场</w:t>
            </w:r>
            <w:r>
              <w:rPr>
                <w:rFonts w:hint="eastAsia" w:ascii="宋体" w:hAnsi="宋体" w:eastAsia="宋体" w:cs="宋体"/>
                <w:b w:val="0"/>
                <w:i w:val="0"/>
                <w:caps w:val="0"/>
                <w:spacing w:val="0"/>
                <w:w w:val="100"/>
                <w:kern w:val="2"/>
                <w:sz w:val="21"/>
                <w:szCs w:val="21"/>
                <w:lang w:val="en-US" w:eastAsia="zh-CN" w:bidi="ar-SA"/>
              </w:rPr>
              <w:t>翻译</w:t>
            </w:r>
            <w:r>
              <w:rPr>
                <w:rFonts w:hint="eastAsia" w:ascii="宋体" w:hAnsi="宋体" w:cs="宋体"/>
                <w:b w:val="0"/>
                <w:i w:val="0"/>
                <w:caps w:val="0"/>
                <w:spacing w:val="0"/>
                <w:w w:val="100"/>
                <w:kern w:val="2"/>
                <w:sz w:val="21"/>
                <w:szCs w:val="21"/>
                <w:lang w:val="en-US" w:eastAsia="zh-CN" w:bidi="ar-SA"/>
              </w:rPr>
              <w:t>服务</w:t>
            </w:r>
            <w:r>
              <w:rPr>
                <w:rFonts w:hint="eastAsia" w:ascii="宋体" w:hAnsi="宋体" w:eastAsia="宋体" w:cs="宋体"/>
                <w:b w:val="0"/>
                <w:i w:val="0"/>
                <w:caps w:val="0"/>
                <w:spacing w:val="0"/>
                <w:w w:val="100"/>
                <w:kern w:val="2"/>
                <w:sz w:val="21"/>
                <w:szCs w:val="21"/>
                <w:lang w:val="en-US" w:eastAsia="zh-CN" w:bidi="ar-SA"/>
              </w:rPr>
              <w:t>中心</w:t>
            </w:r>
            <w:r>
              <w:rPr>
                <w:rFonts w:hint="eastAsia" w:ascii="宋体" w:hAnsi="宋体" w:cs="宋体"/>
                <w:b w:val="0"/>
                <w:i w:val="0"/>
                <w:caps w:val="0"/>
                <w:spacing w:val="0"/>
                <w:w w:val="100"/>
                <w:kern w:val="2"/>
                <w:sz w:val="21"/>
                <w:szCs w:val="21"/>
                <w:lang w:val="en-US" w:eastAsia="zh-CN" w:bidi="ar-SA"/>
              </w:rPr>
              <w:t>总体运营管理方案执行</w:t>
            </w:r>
            <w:r>
              <w:rPr>
                <w:rFonts w:hint="eastAsia" w:ascii="宋体" w:hAnsi="宋体" w:eastAsia="宋体" w:cs="宋体"/>
                <w:szCs w:val="21"/>
                <w:lang w:val="en-US" w:eastAsia="zh-CN"/>
              </w:rPr>
              <w:t>，保证高质量按时完成工作任务。</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保证服务人员具备良好的职业道德和职业操守，保证翻译员具备良好的语言沟通能力与口译水平。</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保证积极配合</w:t>
            </w:r>
            <w:r>
              <w:rPr>
                <w:rFonts w:hint="eastAsia" w:ascii="宋体" w:hAnsi="宋体" w:cs="宋体"/>
                <w:szCs w:val="21"/>
                <w:lang w:val="en-US" w:eastAsia="zh-CN"/>
              </w:rPr>
              <w:t>招标</w:t>
            </w:r>
            <w:r>
              <w:rPr>
                <w:rFonts w:hint="eastAsia" w:ascii="宋体" w:hAnsi="宋体" w:eastAsia="宋体" w:cs="宋体"/>
                <w:szCs w:val="21"/>
                <w:lang w:val="en-US" w:eastAsia="zh-CN"/>
              </w:rPr>
              <w:t>人的工作，及时反馈，有效沟通，高效解决问题。</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投标人需</w:t>
            </w:r>
            <w:r>
              <w:rPr>
                <w:rFonts w:hint="eastAsia" w:ascii="宋体" w:hAnsi="宋体" w:eastAsia="宋体" w:cs="宋体"/>
                <w:szCs w:val="21"/>
                <w:lang w:val="en-US" w:eastAsia="zh-CN"/>
              </w:rPr>
              <w:t>完成服务协议各项任务，达到预期，并客观反馈服务中的各项细节与问题，提出合理化意见和建议，形成文字报告。</w:t>
            </w:r>
          </w:p>
          <w:p>
            <w:pPr>
              <w:numPr>
                <w:ilvl w:val="0"/>
                <w:numId w:val="12"/>
              </w:numPr>
              <w:snapToGrid/>
              <w:spacing w:before="0" w:beforeAutospacing="0" w:after="0" w:afterAutospacing="0" w:line="240" w:lineRule="auto"/>
              <w:ind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确保翻译员无重大工作失误。</w:t>
            </w:r>
          </w:p>
          <w:p>
            <w:pPr>
              <w:numPr>
                <w:ilvl w:val="0"/>
                <w:numId w:val="12"/>
              </w:numPr>
              <w:snapToGrid/>
              <w:spacing w:before="0" w:beforeAutospacing="0" w:after="0" w:afterAutospacing="0" w:line="240" w:lineRule="auto"/>
              <w:ind w:leftChars="0"/>
              <w:jc w:val="left"/>
              <w:textAlignment w:val="auto"/>
              <w:rPr>
                <w:rFonts w:hint="default"/>
                <w:lang w:val="en-US" w:eastAsia="zh-CN"/>
              </w:rPr>
            </w:pPr>
            <w:r>
              <w:rPr>
                <w:rFonts w:hint="eastAsia" w:ascii="宋体" w:hAnsi="宋体" w:eastAsia="宋体" w:cs="宋体"/>
                <w:szCs w:val="21"/>
                <w:lang w:val="en-US" w:eastAsia="zh-CN"/>
              </w:rPr>
              <w:t>如中</w:t>
            </w:r>
            <w:r>
              <w:rPr>
                <w:rFonts w:hint="eastAsia" w:ascii="宋体" w:hAnsi="宋体" w:cs="宋体"/>
                <w:szCs w:val="21"/>
                <w:lang w:val="en-US" w:eastAsia="zh-CN"/>
              </w:rPr>
              <w:t>标</w:t>
            </w:r>
            <w:r>
              <w:rPr>
                <w:rFonts w:hint="eastAsia" w:ascii="宋体" w:hAnsi="宋体" w:eastAsia="宋体" w:cs="宋体"/>
                <w:szCs w:val="21"/>
                <w:lang w:val="en-US" w:eastAsia="zh-CN"/>
              </w:rPr>
              <w:t>单位因考勤、翻译错误、擅自更换译员等事故影响参展体验并造成客户损失，</w:t>
            </w:r>
            <w:r>
              <w:rPr>
                <w:rFonts w:hint="eastAsia" w:ascii="宋体" w:hAnsi="宋体" w:cs="宋体"/>
                <w:szCs w:val="21"/>
                <w:lang w:val="en-US" w:eastAsia="zh-CN"/>
              </w:rPr>
              <w:t>招标</w:t>
            </w:r>
            <w:r>
              <w:rPr>
                <w:rFonts w:hint="eastAsia" w:ascii="宋体" w:hAnsi="宋体" w:eastAsia="宋体" w:cs="宋体"/>
                <w:szCs w:val="21"/>
                <w:lang w:val="en-US" w:eastAsia="zh-CN"/>
              </w:rPr>
              <w:t>人可扣除相应翻译费用。</w:t>
            </w:r>
          </w:p>
          <w:p>
            <w:pPr>
              <w:numPr>
                <w:ilvl w:val="0"/>
                <w:numId w:val="12"/>
              </w:numPr>
              <w:snapToGrid/>
              <w:jc w:val="left"/>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szCs w:val="21"/>
                <w:lang w:val="en-US" w:eastAsia="zh-CN"/>
              </w:rPr>
              <w:t>按</w:t>
            </w:r>
            <w:r>
              <w:rPr>
                <w:rFonts w:hint="eastAsia" w:ascii="宋体" w:hAnsi="宋体" w:cs="宋体"/>
                <w:szCs w:val="21"/>
                <w:lang w:val="en-US" w:eastAsia="zh-CN"/>
              </w:rPr>
              <w:t>招标</w:t>
            </w:r>
            <w:r>
              <w:rPr>
                <w:rFonts w:hint="eastAsia" w:ascii="宋体" w:hAnsi="宋体" w:eastAsia="宋体" w:cs="宋体"/>
                <w:szCs w:val="21"/>
                <w:lang w:val="en-US" w:eastAsia="zh-CN"/>
              </w:rPr>
              <w:t>人管理规定签订现场服务《安全协议书》。</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宋体"/>
                <w:b w:val="0"/>
                <w:i w:val="0"/>
                <w:caps w:val="0"/>
                <w:spacing w:val="0"/>
                <w:w w:val="100"/>
                <w:kern w:val="2"/>
                <w:sz w:val="21"/>
                <w:szCs w:val="21"/>
                <w:lang w:val="en-US" w:eastAsia="zh-CN" w:bidi="ar-SA"/>
              </w:rPr>
              <w:t>不可偏离</w:t>
            </w:r>
          </w:p>
        </w:tc>
      </w:tr>
    </w:tbl>
    <w:p>
      <w:pPr>
        <w:numPr>
          <w:ilvl w:val="0"/>
          <w:numId w:val="1"/>
        </w:numPr>
        <w:jc w:val="left"/>
        <w:outlineLvl w:val="1"/>
        <w:rPr>
          <w:rFonts w:ascii="宋体" w:hAnsi="宋体"/>
          <w:b/>
          <w:szCs w:val="21"/>
        </w:rPr>
      </w:pPr>
      <w:bookmarkStart w:id="39" w:name="_Toc82684600"/>
      <w:bookmarkEnd w:id="39"/>
      <w:bookmarkStart w:id="40" w:name="_Toc82684715"/>
      <w:bookmarkEnd w:id="40"/>
      <w:bookmarkStart w:id="41" w:name="_Toc82591996"/>
      <w:bookmarkEnd w:id="41"/>
      <w:bookmarkStart w:id="42" w:name="_Toc82685552"/>
      <w:bookmarkEnd w:id="42"/>
      <w:bookmarkStart w:id="43" w:name="_Toc116550349"/>
      <w:r>
        <w:rPr>
          <w:rFonts w:hint="eastAsia" w:ascii="宋体" w:hAnsi="宋体"/>
          <w:b/>
          <w:szCs w:val="21"/>
        </w:rPr>
        <w:t>其他项目说明资料</w:t>
      </w:r>
      <w:bookmarkEnd w:id="43"/>
    </w:p>
    <w:p>
      <w:pPr>
        <w:spacing w:line="440" w:lineRule="exact"/>
        <w:jc w:val="center"/>
        <w:rPr>
          <w:rFonts w:hint="eastAsia" w:ascii="方正小标宋简体" w:hAnsi="方正小标宋简体" w:eastAsia="方正小标宋简体" w:cs="方正小标宋简体"/>
          <w:bCs/>
          <w:kern w:val="0"/>
          <w:sz w:val="44"/>
          <w:szCs w:val="44"/>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pPr>
    </w:p>
    <w:p>
      <w:pPr>
        <w:spacing w:line="440" w:lineRule="exact"/>
        <w:jc w:val="center"/>
        <w:rPr>
          <w:rFonts w:hint="eastAsia" w:ascii="方正小标宋简体" w:hAnsi="方正小标宋简体" w:eastAsia="方正小标宋简体" w:cs="方正小标宋简体"/>
          <w:bCs/>
          <w:kern w:val="0"/>
          <w:sz w:val="44"/>
          <w:szCs w:val="44"/>
        </w:rPr>
      </w:pPr>
      <w:r>
        <w:rPr>
          <w:rStyle w:val="18"/>
          <w:rFonts w:hint="eastAsia" w:ascii="方正小标宋简体" w:hAnsi="方正小标宋简体" w:eastAsia="方正小标宋简体" w:cs="方正小标宋简体"/>
          <w:b w:val="0"/>
          <w:bCs/>
          <w:i w:val="0"/>
          <w:caps w:val="0"/>
          <w:spacing w:val="0"/>
          <w:w w:val="100"/>
          <w:kern w:val="0"/>
          <w:sz w:val="44"/>
          <w:szCs w:val="44"/>
          <w:lang w:val="en-US" w:eastAsia="zh-CN" w:bidi="ar-SA"/>
        </w:rPr>
        <w:t>高交会2023-2025年现场翻译服务中心</w:t>
      </w:r>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供应商履约评价表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w:t>
      </w:r>
      <w:r>
        <w:rPr>
          <w:rFonts w:hint="eastAsia" w:ascii="黑体" w:hAnsi="黑体" w:eastAsia="黑体" w:cs="黑体"/>
          <w:color w:val="FF0000"/>
          <w:spacing w:val="-6"/>
          <w:sz w:val="30"/>
          <w:szCs w:val="30"/>
        </w:rPr>
        <w:t>一般</w:t>
      </w: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是否及时就</w:t>
            </w:r>
            <w:r>
              <w:rPr>
                <w:rFonts w:hint="eastAsia" w:ascii="宋体" w:hAnsi="宋体" w:cs="宋体"/>
                <w:szCs w:val="21"/>
                <w:lang w:val="en-US" w:eastAsia="zh-CN"/>
              </w:rPr>
              <w:t>服务</w:t>
            </w:r>
            <w:r>
              <w:rPr>
                <w:rFonts w:hint="eastAsia" w:ascii="宋体" w:hAnsi="宋体" w:cs="宋体"/>
                <w:szCs w:val="21"/>
              </w:rPr>
              <w:t>进度、</w:t>
            </w:r>
            <w:r>
              <w:rPr>
                <w:rFonts w:hint="eastAsia" w:ascii="宋体" w:hAnsi="宋体" w:cs="宋体"/>
                <w:szCs w:val="21"/>
                <w:lang w:val="en-US" w:eastAsia="zh-CN"/>
              </w:rPr>
              <w:t>服务</w:t>
            </w:r>
            <w:r>
              <w:rPr>
                <w:rFonts w:hint="eastAsia" w:ascii="宋体" w:hAnsi="宋体" w:cs="宋体"/>
                <w:szCs w:val="21"/>
              </w:rPr>
              <w:t>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color w:val="000000" w:themeColor="text1"/>
                <w:szCs w:val="21"/>
                <w14:textFill>
                  <w14:solidFill>
                    <w14:schemeClr w14:val="tx1"/>
                  </w14:solidFill>
                </w14:textFill>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是否做好展前培训，提前了解展商需求并学习相关背景资料</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现场翻译服务中心运作是否顺畅、高效</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hint="eastAsia" w:ascii="宋体" w:hAnsi="宋体" w:cs="宋体"/>
                <w:szCs w:val="21"/>
              </w:rPr>
            </w:pPr>
            <w:r>
              <w:rPr>
                <w:rFonts w:hint="eastAsia" w:ascii="宋体" w:hAnsi="宋体" w:cs="宋体"/>
                <w:szCs w:val="21"/>
                <w:lang w:val="en-US" w:eastAsia="zh-CN"/>
              </w:rPr>
              <w:t>翻译服务</w:t>
            </w:r>
            <w:r>
              <w:rPr>
                <w:rFonts w:hint="eastAsia" w:ascii="宋体" w:hAnsi="宋体" w:cs="宋体"/>
                <w:szCs w:val="21"/>
              </w:rPr>
              <w:t>满意度调查</w:t>
            </w:r>
            <w:r>
              <w:rPr>
                <w:rFonts w:hint="eastAsia" w:ascii="宋体" w:hAnsi="宋体" w:cs="宋体"/>
                <w:szCs w:val="21"/>
                <w:lang w:val="en-US" w:eastAsia="zh-CN"/>
              </w:rPr>
              <w:t>是否达标</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5"/>
              <w:numPr>
                <w:ilvl w:val="0"/>
                <w:numId w:val="13"/>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16550352"/>
      <w:r>
        <w:rPr>
          <w:rFonts w:hint="eastAsia"/>
          <w:b/>
        </w:rPr>
        <w:t>评标阶段</w:t>
      </w:r>
      <w:bookmarkEnd w:id="49"/>
      <w:bookmarkEnd w:id="50"/>
    </w:p>
    <w:p>
      <w:pPr>
        <w:pStyle w:val="25"/>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2"/>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权重</w:t>
            </w:r>
          </w:p>
        </w:tc>
        <w:tc>
          <w:tcPr>
            <w:tcW w:w="2130"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w:t>
            </w:r>
          </w:p>
        </w:tc>
        <w:tc>
          <w:tcPr>
            <w:tcW w:w="2131"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w:t>
            </w:r>
          </w:p>
        </w:tc>
        <w:tc>
          <w:tcPr>
            <w:tcW w:w="2585"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6"/>
        </w:numPr>
        <w:spacing w:before="156" w:beforeLines="50"/>
        <w:jc w:val="left"/>
        <w:outlineLvl w:val="2"/>
        <w:rPr>
          <w:rStyle w:val="32"/>
          <w:rFonts w:ascii="宋体" w:hAnsi="宋体"/>
          <w:b/>
          <w:szCs w:val="21"/>
        </w:rPr>
      </w:pPr>
      <w:bookmarkStart w:id="53" w:name="_Toc116550355"/>
      <w:r>
        <w:rPr>
          <w:rStyle w:val="32"/>
          <w:rFonts w:hint="eastAsia" w:ascii="宋体" w:hAnsi="宋体"/>
          <w:b/>
          <w:bCs/>
          <w:szCs w:val="21"/>
        </w:rPr>
        <w:t>符合性检查</w:t>
      </w:r>
      <w:bookmarkEnd w:id="53"/>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17"/>
              </w:numPr>
              <w:tabs>
                <w:tab w:val="left" w:pos="531"/>
              </w:tabs>
              <w:snapToGrid w:val="0"/>
              <w:spacing w:line="360" w:lineRule="auto"/>
              <w:ind w:left="0" w:firstLine="0"/>
              <w:rPr>
                <w:rFonts w:ascii="宋体"/>
              </w:rPr>
            </w:pPr>
            <w:r>
              <w:rPr>
                <w:rFonts w:hint="eastAsia" w:ascii="宋体" w:hAnsi="宋体" w:cs="仿宋_GB2312"/>
                <w:szCs w:val="21"/>
              </w:rPr>
              <w:t>投标人</w:t>
            </w:r>
            <w:r>
              <w:rPr>
                <w:rFonts w:hint="eastAsia" w:ascii="宋体" w:hAnsi="宋体" w:cs="仿宋_GB2312"/>
                <w:szCs w:val="21"/>
                <w:lang w:val="en-US" w:eastAsia="zh-CN"/>
              </w:rPr>
              <w:t>是否</w:t>
            </w:r>
            <w:r>
              <w:rPr>
                <w:rFonts w:hint="eastAsia" w:ascii="宋体" w:hAnsi="宋体" w:cs="仿宋_GB2312"/>
                <w:szCs w:val="21"/>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7"/>
              </w:numPr>
              <w:tabs>
                <w:tab w:val="left" w:pos="531"/>
              </w:tabs>
              <w:snapToGrid w:val="0"/>
              <w:spacing w:line="360" w:lineRule="auto"/>
              <w:ind w:left="0" w:firstLine="0"/>
              <w:rPr>
                <w:rFonts w:hint="eastAsia"/>
              </w:rPr>
            </w:pPr>
            <w:r>
              <w:rPr>
                <w:rFonts w:hint="eastAsia"/>
                <w:lang w:val="en-US" w:eastAsia="zh-CN"/>
              </w:rPr>
              <w:t>投标人是否</w:t>
            </w:r>
            <w:r>
              <w:rPr>
                <w:rFonts w:hint="eastAsia"/>
              </w:rPr>
              <w:t>是中国翻译协会的会员（提供证明文件并加盖</w:t>
            </w:r>
            <w:r>
              <w:rPr>
                <w:rFonts w:hint="eastAsia"/>
                <w:lang w:val="en-US" w:eastAsia="zh-CN"/>
              </w:rPr>
              <w:t>投标</w:t>
            </w:r>
            <w:r>
              <w:rPr>
                <w:rFonts w:hint="eastAsia"/>
              </w:rPr>
              <w:t>单位公章）。</w:t>
            </w:r>
          </w:p>
          <w:p>
            <w:pPr>
              <w:numPr>
                <w:ilvl w:val="0"/>
                <w:numId w:val="17"/>
              </w:numPr>
              <w:tabs>
                <w:tab w:val="left" w:pos="531"/>
              </w:tabs>
              <w:snapToGrid w:val="0"/>
              <w:spacing w:line="360" w:lineRule="auto"/>
            </w:pP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color w:val="auto"/>
                <w:szCs w:val="21"/>
                <w:highlight w:val="none"/>
              </w:rPr>
              <w:t>本项目控制金额为人民币</w:t>
            </w:r>
            <w:r>
              <w:rPr>
                <w:rFonts w:hint="eastAsia" w:ascii="宋体" w:hAnsi="宋体"/>
                <w:color w:val="auto"/>
                <w:szCs w:val="21"/>
                <w:highlight w:val="none"/>
                <w:lang w:val="en-US" w:eastAsia="zh-CN"/>
              </w:rPr>
              <w:t>9</w:t>
            </w:r>
            <w:r>
              <w:rPr>
                <w:rFonts w:ascii="宋体" w:hAnsi="宋体" w:cs="宋体"/>
                <w:color w:val="auto"/>
                <w:szCs w:val="21"/>
                <w:highlight w:val="none"/>
              </w:rPr>
              <w:t>万元（含税）</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三年（1+1+1）控制总金额为人民币27万元（含税），</w:t>
            </w:r>
            <w:r>
              <w:rPr>
                <w:rFonts w:hint="eastAsia" w:ascii="宋体" w:hAnsi="宋体" w:cs="宋体"/>
                <w:color w:val="auto"/>
                <w:szCs w:val="21"/>
                <w:highlight w:val="none"/>
              </w:rPr>
              <w:t>报价超过上述控制金额的投标文件作废标处理。</w:t>
            </w:r>
          </w:p>
        </w:tc>
      </w:tr>
    </w:tbl>
    <w:p>
      <w:pPr>
        <w:numPr>
          <w:ilvl w:val="0"/>
          <w:numId w:val="16"/>
        </w:numPr>
        <w:spacing w:before="156" w:beforeLines="50"/>
        <w:jc w:val="left"/>
        <w:outlineLvl w:val="2"/>
        <w:rPr>
          <w:rStyle w:val="32"/>
          <w:rFonts w:ascii="宋体" w:hAnsi="宋体"/>
          <w:b/>
          <w:bCs/>
          <w:szCs w:val="21"/>
        </w:rPr>
      </w:pPr>
      <w:bookmarkStart w:id="54" w:name="_Toc116550356"/>
      <w:bookmarkStart w:id="55" w:name="_Toc114675512"/>
      <w:r>
        <w:rPr>
          <w:rStyle w:val="32"/>
          <w:rFonts w:hint="eastAsia" w:ascii="宋体" w:hAnsi="宋体"/>
          <w:b/>
          <w:bCs/>
          <w:szCs w:val="21"/>
        </w:rPr>
        <w:t>不可偏离项检查</w:t>
      </w:r>
      <w:bookmarkEnd w:id="54"/>
      <w:bookmarkEnd w:id="55"/>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6" w:name="_Toc116550357"/>
      <w:bookmarkStart w:id="57" w:name="_Toc114675513"/>
      <w:r>
        <w:rPr>
          <w:rStyle w:val="32"/>
          <w:rFonts w:hint="eastAsia" w:ascii="宋体" w:hAnsi="宋体"/>
          <w:b/>
          <w:bCs/>
          <w:szCs w:val="21"/>
        </w:rPr>
        <w:t>综合评议指标表</w:t>
      </w:r>
      <w:bookmarkEnd w:id="56"/>
      <w:bookmarkEnd w:id="57"/>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1"/>
        <w:gridCol w:w="1117"/>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1"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17"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restart"/>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17" w:type="dxa"/>
            <w:vMerge w:val="restart"/>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r>
              <w:rPr>
                <w:rFonts w:hint="eastAsia" w:ascii="宋体" w:hAnsi="宋体" w:cs="宋体"/>
                <w:bCs/>
                <w:szCs w:val="21"/>
              </w:rPr>
              <w:t>整体实力</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r>
              <w:rPr>
                <w:rFonts w:hint="default" w:ascii="宋体" w:hAnsi="宋体" w:cs="Times New Roman"/>
                <w:color w:val="auto"/>
                <w:szCs w:val="21"/>
                <w:highlight w:val="none"/>
                <w:lang w:val="en-US" w:eastAsia="zh-CN"/>
              </w:rPr>
              <w:t>5</w:t>
            </w:r>
            <w:r>
              <w:rPr>
                <w:rFonts w:hint="eastAsia" w:ascii="宋体" w:hAnsi="宋体" w:cs="Times New Roman"/>
                <w:color w:val="auto"/>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bookmarkStart w:id="58" w:name="OLE_LINK11"/>
            <w:r>
              <w:rPr>
                <w:rFonts w:hint="eastAsia" w:ascii="Times New Roman" w:hAnsi="Times New Roman" w:cs="Times New Roman"/>
                <w:color w:val="auto"/>
                <w:szCs w:val="24"/>
                <w:highlight w:val="none"/>
                <w:lang w:val="en-US" w:eastAsia="zh-CN"/>
              </w:rPr>
              <w:t>投标</w:t>
            </w:r>
            <w:r>
              <w:rPr>
                <w:rFonts w:hint="eastAsia" w:cs="Times New Roman"/>
                <w:szCs w:val="24"/>
                <w:lang w:val="en-US" w:eastAsia="zh-CN"/>
              </w:rPr>
              <w:t>人</w:t>
            </w:r>
            <w:r>
              <w:rPr>
                <w:rFonts w:hint="eastAsia" w:ascii="宋体" w:hAnsi="宋体" w:cs="宋体"/>
                <w:szCs w:val="21"/>
              </w:rPr>
              <w:t>的译员应具备</w:t>
            </w:r>
            <w:r>
              <w:rPr>
                <w:rFonts w:hint="eastAsia" w:ascii="宋体" w:hAnsi="宋体" w:cs="宋体"/>
                <w:szCs w:val="21"/>
                <w:lang w:val="en-US" w:eastAsia="zh-CN"/>
              </w:rPr>
              <w:t>由中国人力资源和社会保障部颁发的英语一级口译证书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numPr>
                <w:ilvl w:val="-1"/>
                <w:numId w:val="0"/>
              </w:numPr>
              <w:jc w:val="left"/>
              <w:rPr>
                <w:rFonts w:hint="default"/>
                <w:lang w:val="en-US" w:eastAsia="zh-CN"/>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w:t>
            </w:r>
            <w:r>
              <w:rPr>
                <w:rFonts w:hint="eastAsia" w:ascii="宋体" w:hAnsi="宋体" w:cs="宋体"/>
                <w:bCs/>
                <w:color w:val="000000" w:themeColor="text1"/>
                <w:szCs w:val="21"/>
                <w:lang w:val="en-US" w:eastAsia="zh-CN"/>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分，最高得</w:t>
            </w:r>
            <w:r>
              <w:rPr>
                <w:rFonts w:hint="default"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bCs/>
                <w:color w:val="000000" w:themeColor="text1"/>
                <w:szCs w:val="21"/>
                <w:lang w:eastAsia="zh-CN"/>
                <w14:textFill>
                  <w14:solidFill>
                    <w14:schemeClr w14:val="tx1"/>
                  </w14:solidFill>
                </w14:textFill>
              </w:rPr>
              <w:t>。</w:t>
            </w:r>
            <w:bookmarkEnd w:id="5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bCs/>
                <w:szCs w:val="21"/>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3</w:t>
            </w:r>
            <w:r>
              <w:rPr>
                <w:rFonts w:hint="eastAsia" w:ascii="宋体" w:hAnsi="宋体" w:cs="宋体"/>
                <w:bCs/>
                <w:szCs w:val="21"/>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r>
              <w:rPr>
                <w:rFonts w:hint="eastAsia" w:ascii="宋体" w:hAnsi="宋体" w:cs="宋体"/>
                <w:szCs w:val="21"/>
              </w:rPr>
              <w:t>投标人的译员应具备</w:t>
            </w:r>
            <w:r>
              <w:rPr>
                <w:rFonts w:hint="eastAsia" w:ascii="宋体" w:hAnsi="宋体" w:cs="宋体"/>
                <w:szCs w:val="21"/>
                <w:lang w:val="en-US" w:eastAsia="zh-CN"/>
              </w:rPr>
              <w:t>由中国人力资源和社会保障部颁发的英语二级口译（交替传译）证书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rPr>
                <w:rFonts w:hint="eastAsia" w:ascii="宋体" w:hAnsi="宋体" w:eastAsia="宋体" w:cs="宋体"/>
                <w:bCs/>
                <w:kern w:val="2"/>
                <w:sz w:val="21"/>
                <w:szCs w:val="21"/>
                <w:highlight w:val="yellow"/>
                <w:lang w:val="en-US" w:eastAsia="zh-CN" w:bidi="ar-SA"/>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证书得1分，最高得</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 xml:space="preserve"> 分</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bCs/>
                <w:szCs w:val="21"/>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eastAsia="宋体"/>
                <w:color w:val="000000" w:themeColor="text1"/>
                <w:lang w:eastAsia="zh-CN"/>
                <w14:textFill>
                  <w14:solidFill>
                    <w14:schemeClr w14:val="tx1"/>
                  </w14:solidFill>
                </w14:textFill>
              </w:rPr>
            </w:pPr>
            <w:r>
              <w:rPr>
                <w:rFonts w:hint="eastAsia" w:ascii="宋体" w:hAnsi="宋体" w:cs="宋体"/>
                <w:szCs w:val="21"/>
              </w:rPr>
              <w:t>投标人的译员应具备</w:t>
            </w:r>
            <w:r>
              <w:rPr>
                <w:rFonts w:hint="eastAsia" w:ascii="宋体" w:hAnsi="宋体" w:cs="宋体"/>
                <w:szCs w:val="21"/>
                <w:lang w:val="en-US" w:eastAsia="zh-CN"/>
              </w:rPr>
              <w:t>由中国人力资源和社会保障部颁发的英语二级口译（同声传译）证书</w:t>
            </w:r>
            <w:r>
              <w:rPr>
                <w:rFonts w:hint="eastAsia" w:ascii="宋体" w:hAnsi="宋体" w:cs="宋体"/>
                <w:szCs w:val="21"/>
                <w:lang w:eastAsia="zh-CN"/>
              </w:rPr>
              <w:t>，</w:t>
            </w:r>
            <w:r>
              <w:rPr>
                <w:rFonts w:hint="eastAsia" w:ascii="宋体" w:hAnsi="宋体" w:cs="宋体"/>
                <w:szCs w:val="21"/>
                <w:lang w:val="en-US" w:eastAsia="zh-CN"/>
              </w:rPr>
              <w:t>须</w:t>
            </w:r>
            <w:r>
              <w:rPr>
                <w:rFonts w:hint="eastAsia" w:ascii="宋体" w:hAnsi="宋体" w:cs="宋体"/>
                <w:color w:val="000000" w:themeColor="text1"/>
                <w:szCs w:val="21"/>
                <w14:textFill>
                  <w14:solidFill>
                    <w14:schemeClr w14:val="tx1"/>
                  </w14:solidFill>
                </w14:textFill>
              </w:rPr>
              <w:t>提供证书复印件并加盖投标人公章</w:t>
            </w:r>
            <w:r>
              <w:rPr>
                <w:rFonts w:hint="eastAsia" w:ascii="宋体" w:hAnsi="宋体" w:cs="宋体"/>
                <w:color w:val="000000" w:themeColor="text1"/>
                <w:szCs w:val="21"/>
                <w:lang w:eastAsia="zh-CN"/>
                <w14:textFill>
                  <w14:solidFill>
                    <w14:schemeClr w14:val="tx1"/>
                  </w14:solidFill>
                </w14:textFill>
              </w:rPr>
              <w:t>。</w:t>
            </w:r>
          </w:p>
          <w:p>
            <w:pPr>
              <w:rPr>
                <w:rFonts w:hint="eastAsia" w:ascii="宋体" w:hAnsi="宋体" w:eastAsia="宋体" w:cs="宋体"/>
                <w:bCs/>
                <w:kern w:val="2"/>
                <w:sz w:val="21"/>
                <w:szCs w:val="21"/>
                <w:highlight w:val="yellow"/>
                <w:lang w:val="en-US" w:eastAsia="zh-CN" w:bidi="ar-SA"/>
              </w:rPr>
            </w:pPr>
            <w:r>
              <w:rPr>
                <w:rFonts w:hint="eastAsia" w:ascii="宋体" w:hAnsi="宋体" w:cs="宋体"/>
                <w:bCs/>
                <w:color w:val="000000" w:themeColor="text1"/>
                <w:szCs w:val="21"/>
                <w14:textFill>
                  <w14:solidFill>
                    <w14:schemeClr w14:val="tx1"/>
                  </w14:solidFill>
                </w14:textFill>
              </w:rPr>
              <w:t>每提供1位</w:t>
            </w:r>
            <w:r>
              <w:rPr>
                <w:rFonts w:hint="eastAsia" w:ascii="宋体" w:hAnsi="宋体" w:cs="宋体"/>
                <w:bCs/>
                <w:color w:val="000000" w:themeColor="text1"/>
                <w:szCs w:val="21"/>
                <w:lang w:val="en-US" w:eastAsia="zh-CN"/>
                <w14:textFill>
                  <w14:solidFill>
                    <w14:schemeClr w14:val="tx1"/>
                  </w14:solidFill>
                </w14:textFill>
              </w:rPr>
              <w:t>份</w:t>
            </w:r>
            <w:r>
              <w:rPr>
                <w:rFonts w:hint="eastAsia" w:ascii="宋体" w:hAnsi="宋体" w:cs="宋体"/>
                <w:bCs/>
                <w:color w:val="000000" w:themeColor="text1"/>
                <w:szCs w:val="21"/>
                <w14:textFill>
                  <w14:solidFill>
                    <w14:schemeClr w14:val="tx1"/>
                  </w14:solidFill>
                </w14:textFill>
              </w:rPr>
              <w:t>证书得1分，最高得</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 xml:space="preserve"> 分</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restart"/>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17" w:type="dxa"/>
            <w:vMerge w:val="restart"/>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lang w:val="en-US" w:eastAsia="zh-CN"/>
              </w:rPr>
              <w:t>业绩</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ascii="宋体" w:hAnsi="宋体" w:cs="Times New Roman"/>
                <w:szCs w:val="21"/>
              </w:rPr>
            </w:pPr>
            <w:r>
              <w:rPr>
                <w:rFonts w:hint="eastAsia" w:ascii="宋体" w:hAnsi="宋体"/>
                <w:szCs w:val="21"/>
                <w:lang w:val="en-US" w:eastAsia="zh-CN"/>
              </w:rPr>
              <w:t>投标人</w:t>
            </w:r>
            <w:r>
              <w:rPr>
                <w:rFonts w:hint="eastAsia" w:ascii="宋体" w:hAnsi="宋体"/>
                <w:szCs w:val="21"/>
              </w:rPr>
              <w:t>具有</w:t>
            </w:r>
            <w:r>
              <w:rPr>
                <w:rFonts w:hint="eastAsia" w:ascii="宋体" w:hAnsi="宋体"/>
                <w:szCs w:val="21"/>
                <w:lang w:val="en-US" w:eastAsia="zh-CN"/>
              </w:rPr>
              <w:t>为全球10大展览公司（以Stax展览咨询公司发布的2022年度排名榜为准https://www.stax.com/insights/top-20-exhibition-organizers-by-2022-revenue）所主办展会提供现场翻译服务的经验。</w:t>
            </w:r>
          </w:p>
          <w:p>
            <w:pPr>
              <w:numPr>
                <w:ilvl w:val="0"/>
                <w:numId w:val="0"/>
              </w:numPr>
              <w:jc w:val="left"/>
              <w:rPr>
                <w:rFonts w:hint="eastAsia" w:ascii="宋体" w:hAnsi="宋体"/>
                <w:szCs w:val="21"/>
                <w:lang w:val="en-US" w:eastAsia="zh-CN"/>
              </w:rPr>
            </w:pPr>
            <w:r>
              <w:rPr>
                <w:rFonts w:hint="eastAsia" w:ascii="宋体" w:hAnsi="宋体" w:cs="Times New Roman"/>
                <w:szCs w:val="21"/>
                <w:lang w:val="en-US" w:eastAsia="zh-CN"/>
              </w:rPr>
              <w:t>说明：提交服务合同关键页复印件1份，加盖投标人公章，合同签署日期须在</w:t>
            </w:r>
            <w:r>
              <w:rPr>
                <w:rFonts w:hint="eastAsia" w:ascii="宋体" w:hAnsi="宋体" w:cs="Times New Roman"/>
                <w:szCs w:val="21"/>
              </w:rPr>
              <w:t>201</w:t>
            </w:r>
            <w:r>
              <w:rPr>
                <w:rFonts w:hint="eastAsia" w:ascii="宋体" w:hAnsi="宋体" w:cs="Times New Roman"/>
                <w:szCs w:val="21"/>
                <w:lang w:eastAsia="zh-CN"/>
              </w:rPr>
              <w:t>9</w:t>
            </w:r>
            <w:r>
              <w:rPr>
                <w:rFonts w:hint="eastAsia" w:ascii="宋体" w:hAnsi="宋体" w:cs="Times New Roman"/>
                <w:szCs w:val="21"/>
              </w:rPr>
              <w:t>年1月1日至开标之日</w:t>
            </w:r>
            <w:r>
              <w:rPr>
                <w:rFonts w:hint="eastAsia" w:ascii="宋体" w:hAnsi="宋体" w:cs="Times New Roman"/>
                <w:szCs w:val="21"/>
                <w:lang w:eastAsia="zh-CN"/>
              </w:rPr>
              <w:t>，</w:t>
            </w:r>
            <w:r>
              <w:rPr>
                <w:rFonts w:hint="eastAsia" w:ascii="宋体" w:hAnsi="宋体" w:cs="Times New Roman"/>
                <w:szCs w:val="21"/>
                <w:lang w:val="en-US" w:eastAsia="zh-CN"/>
              </w:rPr>
              <w:t>得10分。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vMerge w:val="continue"/>
            <w:tcBorders>
              <w:tl2br w:val="nil"/>
              <w:tr2bl w:val="nil"/>
            </w:tcBorders>
            <w:vAlign w:val="center"/>
          </w:tcPr>
          <w:p>
            <w:pPr>
              <w:pStyle w:val="25"/>
              <w:spacing w:line="360" w:lineRule="auto"/>
              <w:ind w:firstLineChars="0"/>
              <w:jc w:val="center"/>
              <w:rPr>
                <w:rFonts w:ascii="宋体" w:hAnsi="宋体" w:eastAsia="宋体"/>
                <w:szCs w:val="21"/>
              </w:rPr>
            </w:pPr>
          </w:p>
        </w:tc>
        <w:tc>
          <w:tcPr>
            <w:tcW w:w="1117"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color w:val="auto"/>
                <w:szCs w:val="21"/>
                <w:lang w:val="en-US" w:eastAsia="zh-CN"/>
              </w:rPr>
            </w:pPr>
          </w:p>
        </w:tc>
        <w:tc>
          <w:tcPr>
            <w:tcW w:w="709" w:type="dxa"/>
            <w:tcBorders>
              <w:tl2br w:val="nil"/>
              <w:tr2bl w:val="nil"/>
            </w:tcBorders>
            <w:tcMar>
              <w:top w:w="15" w:type="dxa"/>
              <w:left w:w="15" w:type="dxa"/>
              <w:bottom w:w="15" w:type="dxa"/>
              <w:right w:w="15" w:type="dxa"/>
            </w:tcMar>
            <w:vAlign w:val="center"/>
          </w:tcPr>
          <w:p>
            <w:pPr>
              <w:numPr>
                <w:ilvl w:val="0"/>
                <w:numId w:val="0"/>
              </w:numPr>
              <w:spacing w:line="240" w:lineRule="auto"/>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ascii="宋体" w:hAnsi="宋体"/>
                <w:szCs w:val="21"/>
                <w:lang w:val="en-US" w:eastAsia="zh-CN"/>
              </w:rPr>
            </w:pPr>
            <w:r>
              <w:rPr>
                <w:rFonts w:hint="eastAsia" w:ascii="宋体" w:hAnsi="宋体"/>
                <w:szCs w:val="21"/>
                <w:lang w:val="en-US" w:eastAsia="zh-CN"/>
              </w:rPr>
              <w:t>投标人具有为大型展览（面积达30万平方米或以上的展览）提供现场翻译服务经验。</w:t>
            </w:r>
          </w:p>
          <w:p>
            <w:pPr>
              <w:rPr>
                <w:rFonts w:ascii="宋体" w:hAnsi="宋体" w:cs="宋体"/>
                <w:szCs w:val="21"/>
              </w:rPr>
            </w:pPr>
            <w:r>
              <w:rPr>
                <w:rFonts w:hint="eastAsia" w:ascii="宋体" w:hAnsi="宋体" w:cs="宋体"/>
                <w:szCs w:val="21"/>
                <w:lang w:val="en-US" w:eastAsia="zh-CN"/>
              </w:rPr>
              <w:t>说明：</w:t>
            </w:r>
            <w:r>
              <w:rPr>
                <w:rFonts w:hint="eastAsia" w:ascii="宋体" w:hAnsi="宋体" w:cs="宋体"/>
                <w:szCs w:val="21"/>
              </w:rPr>
              <w:t>提交201</w:t>
            </w:r>
            <w:r>
              <w:rPr>
                <w:rFonts w:hint="eastAsia" w:ascii="宋体" w:hAnsi="宋体" w:cs="宋体"/>
                <w:szCs w:val="21"/>
                <w:lang w:val="en-US" w:eastAsia="zh-CN"/>
              </w:rPr>
              <w:t>9</w:t>
            </w:r>
            <w:r>
              <w:rPr>
                <w:rFonts w:hint="eastAsia" w:ascii="宋体" w:hAnsi="宋体" w:cs="宋体"/>
                <w:szCs w:val="21"/>
              </w:rPr>
              <w:t>年1月1日至开标之日止的大型</w:t>
            </w:r>
            <w:r>
              <w:rPr>
                <w:rFonts w:hint="eastAsia" w:ascii="宋体" w:hAnsi="宋体"/>
                <w:szCs w:val="21"/>
              </w:rPr>
              <w:t>展览</w:t>
            </w:r>
            <w:r>
              <w:rPr>
                <w:rFonts w:hint="eastAsia" w:ascii="宋体" w:hAnsi="宋体"/>
                <w:szCs w:val="21"/>
                <w:lang w:val="en-US" w:eastAsia="zh-CN"/>
              </w:rPr>
              <w:t>现场</w:t>
            </w:r>
            <w:r>
              <w:rPr>
                <w:rFonts w:hint="eastAsia" w:ascii="宋体" w:hAnsi="宋体" w:cs="宋体"/>
                <w:szCs w:val="21"/>
              </w:rPr>
              <w:t>翻译服务项目业绩一览表原件、清晰反应服务内容的合同关键页复印件或其它证明文件，</w:t>
            </w:r>
            <w:r>
              <w:rPr>
                <w:rFonts w:hint="eastAsia" w:ascii="宋体" w:hAnsi="宋体"/>
                <w:szCs w:val="21"/>
              </w:rPr>
              <w:t>展览面积证明文件</w:t>
            </w:r>
            <w:r>
              <w:rPr>
                <w:rFonts w:hint="eastAsia" w:ascii="宋体" w:hAnsi="宋体"/>
                <w:szCs w:val="21"/>
                <w:lang w:eastAsia="zh-CN"/>
              </w:rPr>
              <w:t>（</w:t>
            </w:r>
            <w:r>
              <w:rPr>
                <w:rFonts w:hint="eastAsia" w:ascii="宋体" w:hAnsi="宋体"/>
                <w:szCs w:val="21"/>
              </w:rPr>
              <w:t>以该</w:t>
            </w:r>
            <w:r>
              <w:rPr>
                <w:rFonts w:hint="eastAsia" w:ascii="宋体" w:hAnsi="宋体"/>
                <w:szCs w:val="21"/>
                <w:lang w:val="en-US" w:eastAsia="zh-CN"/>
              </w:rPr>
              <w:t>展览</w:t>
            </w:r>
            <w:r>
              <w:rPr>
                <w:rFonts w:hint="eastAsia" w:ascii="宋体" w:hAnsi="宋体"/>
                <w:szCs w:val="21"/>
              </w:rPr>
              <w:t>官网总结性报道或官方文件为准</w:t>
            </w:r>
            <w:r>
              <w:rPr>
                <w:rFonts w:hint="eastAsia" w:ascii="宋体" w:hAnsi="宋体"/>
                <w:szCs w:val="21"/>
                <w:lang w:eastAsia="zh-CN"/>
              </w:rPr>
              <w:t>）</w:t>
            </w:r>
            <w:r>
              <w:rPr>
                <w:rFonts w:hint="eastAsia" w:ascii="宋体" w:hAnsi="宋体" w:cs="宋体"/>
                <w:szCs w:val="21"/>
              </w:rPr>
              <w:t>，并加盖投标人公章，不能证明或无法判断的不得分</w:t>
            </w:r>
          </w:p>
          <w:p>
            <w:pPr>
              <w:numPr>
                <w:ilvl w:val="0"/>
                <w:numId w:val="0"/>
              </w:numPr>
              <w:jc w:val="left"/>
              <w:rPr>
                <w:rFonts w:hint="eastAsia" w:ascii="宋体" w:hAnsi="宋体"/>
                <w:szCs w:val="21"/>
                <w:lang w:val="en-US" w:eastAsia="zh-CN"/>
              </w:rPr>
            </w:pPr>
            <w:bookmarkStart w:id="59" w:name="OLE_LINK1"/>
            <w:r>
              <w:rPr>
                <w:rFonts w:hint="eastAsia" w:ascii="宋体" w:hAnsi="宋体" w:cs="宋体"/>
                <w:szCs w:val="21"/>
              </w:rPr>
              <w:t>每提供一个同类业绩</w:t>
            </w:r>
            <w:bookmarkEnd w:id="59"/>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 xml:space="preserve">分，最高得10分。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1" w:type="dxa"/>
            <w:tcBorders>
              <w:tl2br w:val="nil"/>
              <w:tr2bl w:val="nil"/>
            </w:tcBorders>
          </w:tcPr>
          <w:p>
            <w:pPr>
              <w:spacing w:line="360" w:lineRule="auto"/>
              <w:jc w:val="center"/>
              <w:rPr>
                <w:rFonts w:ascii="宋体" w:hAnsi="宋体"/>
                <w:b/>
                <w:szCs w:val="21"/>
              </w:rPr>
            </w:pPr>
          </w:p>
        </w:tc>
        <w:tc>
          <w:tcPr>
            <w:tcW w:w="8630"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bookmarkStart w:id="60" w:name="OLE_LINK5"/>
            <w:r>
              <w:rPr>
                <w:rFonts w:hint="eastAsia" w:ascii="宋体" w:hAnsi="宋体"/>
                <w:b/>
                <w:szCs w:val="21"/>
                <w:highlight w:val="none"/>
              </w:rPr>
              <w:t>技术服务评议项</w:t>
            </w:r>
            <w:bookmarkEnd w:id="60"/>
            <w:r>
              <w:rPr>
                <w:rFonts w:hint="eastAsia" w:ascii="宋体" w:hAnsi="宋体"/>
                <w:b/>
                <w:szCs w:val="21"/>
                <w:highlight w:val="none"/>
              </w:rPr>
              <w:t>（</w:t>
            </w:r>
            <w:r>
              <w:rPr>
                <w:rFonts w:hint="eastAsia" w:ascii="宋体" w:hAnsi="宋体"/>
                <w:b/>
                <w:szCs w:val="21"/>
                <w:highlight w:val="none"/>
                <w:lang w:val="en-US" w:eastAsia="zh-CN"/>
              </w:rPr>
              <w:t>35</w:t>
            </w:r>
            <w:r>
              <w:rPr>
                <w:rFonts w:ascii="宋体" w:hAnsi="宋体"/>
                <w:b/>
                <w:color w:val="auto"/>
                <w:szCs w:val="21"/>
                <w:highlight w:val="none"/>
              </w:rPr>
              <w:t>分</w:t>
            </w:r>
            <w:r>
              <w:rPr>
                <w:rFonts w:ascii="宋体" w:hAnsi="宋体"/>
                <w:b/>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21"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17" w:type="dxa"/>
            <w:tcBorders>
              <w:tl2br w:val="nil"/>
              <w:tr2bl w:val="nil"/>
            </w:tcBorders>
            <w:tcMar>
              <w:top w:w="15" w:type="dxa"/>
              <w:left w:w="15" w:type="dxa"/>
              <w:bottom w:w="15" w:type="dxa"/>
              <w:right w:w="15" w:type="dxa"/>
            </w:tcMar>
            <w:vAlign w:val="center"/>
          </w:tcPr>
          <w:p>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b w:val="0"/>
                <w:i w:val="0"/>
                <w:caps w:val="0"/>
                <w:color w:val="auto"/>
                <w:spacing w:val="0"/>
                <w:w w:val="100"/>
                <w:kern w:val="2"/>
                <w:sz w:val="21"/>
                <w:szCs w:val="21"/>
                <w:highlight w:val="none"/>
                <w:lang w:val="en-US" w:eastAsia="zh-CN" w:bidi="ar-SA"/>
              </w:rPr>
              <w:t>服务团队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投标人</w:t>
            </w:r>
            <w:r>
              <w:rPr>
                <w:rFonts w:hint="eastAsia" w:ascii="Times New Roman" w:hAnsi="Times New Roman" w:eastAsia="宋体" w:cs="Times New Roman"/>
                <w:szCs w:val="24"/>
                <w:lang w:val="en-US" w:eastAsia="zh-CN"/>
              </w:rPr>
              <w:t>需</w:t>
            </w:r>
            <w:r>
              <w:rPr>
                <w:rFonts w:hint="eastAsia" w:ascii="Times New Roman" w:hAnsi="Times New Roman" w:eastAsia="宋体" w:cs="Times New Roman"/>
                <w:szCs w:val="24"/>
              </w:rPr>
              <w:t>指定项目</w:t>
            </w:r>
            <w:r>
              <w:rPr>
                <w:rFonts w:hint="eastAsia" w:ascii="Times New Roman" w:hAnsi="Times New Roman" w:eastAsia="宋体" w:cs="Times New Roman"/>
                <w:szCs w:val="24"/>
                <w:lang w:val="en-US" w:eastAsia="zh-CN"/>
              </w:rPr>
              <w:t>负责人</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提供项目负责人简历及近3个月的在职社保证明，加盖公章。</w:t>
            </w:r>
          </w:p>
          <w:p>
            <w:pPr>
              <w:numPr>
                <w:ilvl w:val="0"/>
                <w:numId w:val="0"/>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w:t>
            </w:r>
            <w:r>
              <w:rPr>
                <w:rFonts w:hint="eastAsia" w:ascii="宋体" w:hAnsi="宋体" w:eastAsia="宋体" w:cs="Times New Roman"/>
                <w:szCs w:val="21"/>
                <w:lang w:val="en-US" w:eastAsia="zh-CN"/>
              </w:rPr>
              <w:t>）按项目负责人主导的展会翻译项目进行打分。</w:t>
            </w:r>
            <w:r>
              <w:rPr>
                <w:rFonts w:hint="eastAsia" w:ascii="宋体" w:hAnsi="宋体" w:cs="Times New Roman"/>
                <w:szCs w:val="21"/>
                <w:lang w:val="en-US" w:eastAsia="zh-CN"/>
              </w:rPr>
              <w:t>每</w:t>
            </w:r>
            <w:r>
              <w:rPr>
                <w:rFonts w:hint="eastAsia" w:ascii="宋体" w:hAnsi="宋体" w:eastAsia="宋体" w:cs="Times New Roman"/>
                <w:szCs w:val="21"/>
                <w:lang w:val="en-US" w:eastAsia="zh-CN"/>
              </w:rPr>
              <w:t>主导1个项目，得1分</w:t>
            </w:r>
            <w:r>
              <w:rPr>
                <w:rFonts w:hint="eastAsia" w:ascii="宋体" w:hAnsi="宋体" w:cs="Times New Roman"/>
                <w:szCs w:val="21"/>
                <w:lang w:val="en-US" w:eastAsia="zh-CN"/>
              </w:rPr>
              <w:t>，</w:t>
            </w:r>
            <w:r>
              <w:rPr>
                <w:rFonts w:hint="eastAsia" w:ascii="宋体" w:hAnsi="宋体" w:eastAsia="宋体" w:cs="Times New Roman"/>
                <w:szCs w:val="21"/>
                <w:lang w:val="en-US" w:eastAsia="zh-CN"/>
              </w:rPr>
              <w:t>最高得5分。</w:t>
            </w:r>
            <w:r>
              <w:rPr>
                <w:rFonts w:hint="eastAsia" w:ascii="宋体" w:hAnsi="宋体" w:cs="Times New Roman"/>
                <w:szCs w:val="21"/>
                <w:lang w:val="en-US" w:eastAsia="zh-CN"/>
              </w:rPr>
              <w:t>说明：提交能体现项目负责人作为展会翻译服务主要联系人的合同页复印件或展会服务手册关键页（包括展会服务手册封面、目录及翻译服务页）。</w:t>
            </w:r>
          </w:p>
          <w:p>
            <w:pPr>
              <w:numPr>
                <w:ilvl w:val="0"/>
                <w:numId w:val="0"/>
              </w:numPr>
              <w:rPr>
                <w:rFonts w:hint="default" w:ascii="宋体" w:hAnsi="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3</w:t>
            </w:r>
            <w:r>
              <w:rPr>
                <w:rFonts w:hint="eastAsia" w:ascii="宋体" w:hAnsi="宋体" w:eastAsia="宋体" w:cs="Times New Roman"/>
                <w:szCs w:val="21"/>
                <w:lang w:val="en-US" w:eastAsia="zh-CN"/>
              </w:rPr>
              <w:t>）</w:t>
            </w:r>
            <w:r>
              <w:rPr>
                <w:rFonts w:hint="eastAsia" w:ascii="宋体" w:hAnsi="宋体" w:cs="Times New Roman"/>
                <w:szCs w:val="21"/>
                <w:lang w:val="en-US" w:eastAsia="zh-CN"/>
              </w:rPr>
              <w:t>根据投标人</w:t>
            </w:r>
            <w:r>
              <w:rPr>
                <w:rFonts w:hint="eastAsia" w:ascii="宋体" w:hAnsi="宋体" w:eastAsia="宋体" w:cs="Times New Roman"/>
                <w:szCs w:val="21"/>
                <w:lang w:val="en-US" w:eastAsia="zh-CN"/>
              </w:rPr>
              <w:t>具备充足的翻译人才储备或合作，</w:t>
            </w:r>
            <w:r>
              <w:rPr>
                <w:rFonts w:hint="eastAsia" w:ascii="宋体" w:hAnsi="宋体" w:cs="Times New Roman"/>
                <w:szCs w:val="21"/>
                <w:lang w:val="en-US" w:eastAsia="zh-CN"/>
              </w:rPr>
              <w:t>提交5份</w:t>
            </w:r>
            <w:r>
              <w:rPr>
                <w:rFonts w:hint="eastAsia" w:ascii="宋体" w:hAnsi="宋体" w:eastAsia="宋体" w:cs="Times New Roman"/>
                <w:szCs w:val="21"/>
                <w:lang w:val="en-US" w:eastAsia="zh-CN"/>
              </w:rPr>
              <w:t>译员简历</w:t>
            </w:r>
            <w:r>
              <w:rPr>
                <w:rFonts w:hint="eastAsia" w:ascii="宋体" w:hAnsi="宋体" w:cs="Times New Roman"/>
                <w:szCs w:val="21"/>
                <w:lang w:val="en-US" w:eastAsia="zh-CN"/>
              </w:rPr>
              <w:t>，译员应具备</w:t>
            </w:r>
            <w:r>
              <w:rPr>
                <w:rFonts w:hint="eastAsia" w:ascii="宋体" w:hAnsi="宋体" w:eastAsia="宋体" w:cs="宋体"/>
                <w:b w:val="0"/>
                <w:i w:val="0"/>
                <w:caps w:val="0"/>
                <w:spacing w:val="0"/>
                <w:w w:val="100"/>
                <w:kern w:val="2"/>
                <w:sz w:val="21"/>
                <w:szCs w:val="21"/>
                <w:lang w:val="en-US" w:eastAsia="zh-CN" w:bidi="ar-SA"/>
              </w:rPr>
              <w:t>全国高校英语专业八级证书</w:t>
            </w:r>
            <w:r>
              <w:rPr>
                <w:rFonts w:hint="eastAsia" w:ascii="宋体" w:hAnsi="宋体" w:cs="宋体"/>
                <w:b w:val="0"/>
                <w:i w:val="0"/>
                <w:caps w:val="0"/>
                <w:spacing w:val="0"/>
                <w:w w:val="100"/>
                <w:kern w:val="2"/>
                <w:sz w:val="21"/>
                <w:szCs w:val="21"/>
                <w:lang w:val="en-US" w:eastAsia="zh-CN" w:bidi="ar-SA"/>
              </w:rPr>
              <w:t>（需提交证书复印件并加盖公章），得5分。</w:t>
            </w:r>
          </w:p>
          <w:p>
            <w:pPr>
              <w:pStyle w:val="2"/>
              <w:rPr>
                <w:rFonts w:hint="eastAsia" w:ascii="宋体" w:hAnsi="宋体" w:eastAsia="宋体" w:cs="宋体"/>
                <w:b w:val="0"/>
                <w:i w:val="0"/>
                <w:caps w:val="0"/>
                <w:spacing w:val="0"/>
                <w:w w:val="100"/>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21"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17" w:type="dxa"/>
            <w:tcBorders>
              <w:tl2br w:val="nil"/>
              <w:tr2bl w:val="nil"/>
            </w:tcBorders>
            <w:tcMar>
              <w:top w:w="15" w:type="dxa"/>
              <w:left w:w="15" w:type="dxa"/>
              <w:bottom w:w="15" w:type="dxa"/>
              <w:right w:w="15" w:type="dxa"/>
            </w:tcMar>
            <w:vAlign w:val="center"/>
          </w:tcPr>
          <w:p>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jc w:val="left"/>
              <w:rPr>
                <w:rFonts w:hint="eastAsia"/>
              </w:rPr>
            </w:pPr>
            <w:r>
              <w:rPr>
                <w:rFonts w:hint="eastAsia"/>
              </w:rPr>
              <w:t>根据投标人提供的服务方案进行评议，包括但不限于服务方案</w:t>
            </w:r>
            <w:r>
              <w:rPr>
                <w:rFonts w:hint="eastAsia"/>
                <w:lang w:val="en-US" w:eastAsia="zh-CN"/>
              </w:rPr>
              <w:t>的完整性</w:t>
            </w:r>
            <w:r>
              <w:rPr>
                <w:rFonts w:hint="eastAsia"/>
              </w:rPr>
              <w:t>、</w:t>
            </w:r>
            <w:r>
              <w:rPr>
                <w:rFonts w:hint="eastAsia"/>
                <w:lang w:val="en-US" w:eastAsia="zh-CN"/>
              </w:rPr>
              <w:t>科学性、合理性、可行性。</w:t>
            </w:r>
            <w:r>
              <w:rPr>
                <w:rFonts w:hint="eastAsia"/>
              </w:rPr>
              <w:t>具体</w:t>
            </w:r>
            <w:r>
              <w:rPr>
                <w:rFonts w:hint="eastAsia"/>
                <w:lang w:val="en-US" w:eastAsia="zh-CN"/>
              </w:rPr>
              <w:t>关注前期培训与安排、展中现场管理、展后反馈收集等。</w:t>
            </w:r>
            <w:r>
              <w:rPr>
                <w:rFonts w:hint="eastAsia"/>
              </w:rPr>
              <w:t>服务实施方案越全面、服务契合及质量控制能力越强得分越高。</w:t>
            </w:r>
          </w:p>
          <w:p>
            <w:pPr>
              <w:numPr>
                <w:ilvl w:val="0"/>
                <w:numId w:val="0"/>
              </w:numPr>
              <w:jc w:val="left"/>
              <w:rPr>
                <w:rFonts w:hint="default"/>
                <w:lang w:val="en-US" w:eastAsia="zh-CN"/>
              </w:rPr>
            </w:pPr>
            <w:r>
              <w:rPr>
                <w:rFonts w:hint="eastAsia"/>
                <w:lang w:val="en-US" w:eastAsia="zh-CN"/>
              </w:rPr>
              <w:t>（1）对服务方案的完整性、科学性、合理性、可行性进行比较。</w:t>
            </w:r>
          </w:p>
          <w:p>
            <w:pPr>
              <w:numPr>
                <w:ilvl w:val="0"/>
                <w:numId w:val="0"/>
              </w:numPr>
              <w:jc w:val="left"/>
              <w:rPr>
                <w:rFonts w:hint="eastAsia"/>
                <w:lang w:val="en-US" w:eastAsia="zh-CN"/>
              </w:rPr>
            </w:pPr>
            <w:r>
              <w:rPr>
                <w:rFonts w:hint="eastAsia"/>
                <w:lang w:val="en-US" w:eastAsia="zh-CN"/>
              </w:rPr>
              <w:t>优10分，良8分，中6分，差4分。</w:t>
            </w:r>
          </w:p>
          <w:p>
            <w:pPr>
              <w:numPr>
                <w:ilvl w:val="0"/>
                <w:numId w:val="0"/>
              </w:numPr>
              <w:jc w:val="left"/>
              <w:rPr>
                <w:rFonts w:hint="eastAsia"/>
                <w:lang w:val="en-US" w:eastAsia="zh-CN"/>
              </w:rPr>
            </w:pPr>
            <w:r>
              <w:rPr>
                <w:rFonts w:hint="eastAsia"/>
                <w:lang w:val="en-US" w:eastAsia="zh-CN"/>
              </w:rPr>
              <w:t>（2）对服务方案的流程进行比较，重点关注前期培训与安排、展中现场管理、展后反馈收集等。</w:t>
            </w:r>
          </w:p>
          <w:p>
            <w:pPr>
              <w:numPr>
                <w:ilvl w:val="0"/>
                <w:numId w:val="0"/>
              </w:numPr>
              <w:spacing w:after="0" w:line="240" w:lineRule="auto"/>
              <w:ind w:left="0"/>
              <w:jc w:val="left"/>
              <w:rPr>
                <w:rFonts w:hint="eastAsia"/>
                <w:lang w:val="en-US" w:eastAsia="zh-CN"/>
              </w:rPr>
            </w:pPr>
            <w:r>
              <w:rPr>
                <w:rFonts w:hint="eastAsia"/>
                <w:lang w:val="en-US" w:eastAsia="zh-CN"/>
              </w:rPr>
              <w:t>优10分，良8分，中6分，差4分。</w:t>
            </w:r>
          </w:p>
          <w:p>
            <w:pPr>
              <w:numPr>
                <w:ilvl w:val="0"/>
                <w:numId w:val="0"/>
              </w:numPr>
              <w:jc w:val="left"/>
              <w:rPr>
                <w:rFonts w:hint="default"/>
                <w:lang w:val="en-US" w:eastAsia="zh-CN"/>
              </w:rPr>
            </w:pPr>
            <w:r>
              <w:rPr>
                <w:rFonts w:hint="eastAsia"/>
                <w:lang w:val="en-US" w:eastAsia="zh-CN"/>
              </w:rPr>
              <w:t>（3）对服务方案的工作进度、时间节点、质量控制进行比较。</w:t>
            </w:r>
          </w:p>
          <w:p>
            <w:pPr>
              <w:numPr>
                <w:ilvl w:val="0"/>
                <w:numId w:val="0"/>
              </w:numPr>
              <w:spacing w:after="0" w:line="240" w:lineRule="auto"/>
              <w:ind w:left="0"/>
              <w:jc w:val="left"/>
              <w:rPr>
                <w:rFonts w:hint="eastAsia"/>
                <w:lang w:val="en-US" w:eastAsia="zh-CN"/>
              </w:rPr>
            </w:pPr>
            <w:r>
              <w:rPr>
                <w:rFonts w:hint="eastAsia"/>
                <w:lang w:val="en-US" w:eastAsia="zh-CN"/>
              </w:rPr>
              <w:t>优5分，良4分，中3分，差1分。</w:t>
            </w:r>
          </w:p>
          <w:p>
            <w:pPr>
              <w:numPr>
                <w:ilvl w:val="0"/>
                <w:numId w:val="0"/>
              </w:numPr>
              <w:ind w:left="0" w:leftChars="0"/>
              <w:jc w:val="left"/>
              <w:rPr>
                <w:rFonts w:hint="default" w:ascii="Arial" w:hAnsi="Arial" w:eastAsia="宋体" w:cs="Times New Roman"/>
                <w:spacing w:val="-5"/>
                <w:kern w:val="0"/>
                <w:sz w:val="20"/>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价格评议</w:t>
            </w:r>
          </w:p>
        </w:tc>
        <w:tc>
          <w:tcPr>
            <w:tcW w:w="8630"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价格得分=（1-A×｜1-投标报价/Z｜）×M</w:t>
            </w:r>
          </w:p>
          <w:p>
            <w:pPr>
              <w:numPr>
                <w:ilvl w:val="0"/>
                <w:numId w:val="20"/>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 xml:space="preserve">M= </w:t>
            </w:r>
            <w:r>
              <w:rPr>
                <w:rFonts w:hint="eastAsia" w:ascii="宋体" w:hAnsi="宋体"/>
                <w:color w:val="auto"/>
                <w:szCs w:val="21"/>
                <w:highlight w:val="none"/>
              </w:rPr>
              <w:t>××</w:t>
            </w:r>
            <w:r>
              <w:rPr>
                <w:rStyle w:val="22"/>
                <w:rFonts w:hint="eastAsia" w:ascii="宋体" w:hAnsi="宋体"/>
                <w:color w:val="auto"/>
                <w:highlight w:val="none"/>
              </w:rPr>
              <w:t xml:space="preserve"> （价格评价分项满分值），Z为本次招标基准价；</w:t>
            </w:r>
          </w:p>
          <w:p>
            <w:pPr>
              <w:numPr>
                <w:ilvl w:val="0"/>
                <w:numId w:val="20"/>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A为价格调整系数，当投标报价低于本次招标最佳报价（即基准价）时，A=0.5；当投标报价高于次招标基准价时，取A=1；</w:t>
            </w:r>
          </w:p>
          <w:p>
            <w:pPr>
              <w:numPr>
                <w:ilvl w:val="0"/>
                <w:numId w:val="20"/>
              </w:numPr>
              <w:jc w:val="left"/>
              <w:rPr>
                <w:rFonts w:ascii="宋体" w:cs="宋体"/>
                <w:color w:val="auto"/>
                <w:kern w:val="0"/>
                <w:szCs w:val="21"/>
                <w:highlight w:val="none"/>
              </w:rPr>
            </w:pPr>
            <w:r>
              <w:rPr>
                <w:rStyle w:val="22"/>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1" w:type="dxa"/>
            <w:vMerge w:val="continue"/>
            <w:tcBorders>
              <w:tl2br w:val="nil"/>
              <w:tr2bl w:val="nil"/>
            </w:tcBorders>
          </w:tcPr>
          <w:p>
            <w:pPr>
              <w:spacing w:line="360" w:lineRule="auto"/>
              <w:jc w:val="center"/>
              <w:rPr>
                <w:rFonts w:ascii="宋体" w:hAnsi="宋体"/>
                <w:color w:val="auto"/>
                <w:szCs w:val="21"/>
                <w:highlight w:val="none"/>
              </w:rPr>
            </w:pPr>
          </w:p>
        </w:tc>
        <w:tc>
          <w:tcPr>
            <w:tcW w:w="1117"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ind w:right="30"/>
              <w:jc w:val="left"/>
              <w:rPr>
                <w:rFonts w:ascii="宋体" w:hAnsi="宋体" w:cs="宋体"/>
                <w:bCs/>
                <w:color w:val="auto"/>
                <w:szCs w:val="21"/>
                <w:highlight w:val="none"/>
              </w:rPr>
            </w:pPr>
            <w:r>
              <w:rPr>
                <w:rFonts w:hint="eastAsia" w:ascii="宋体" w:hAnsi="宋体" w:cs="宋体"/>
                <w:bCs/>
                <w:color w:val="auto"/>
                <w:szCs w:val="21"/>
                <w:highlight w:val="none"/>
              </w:rPr>
              <w:t>价格得分=（1-｜投标报价-基准价｜÷基准价）×价格权重分</w:t>
            </w:r>
          </w:p>
          <w:p>
            <w:pPr>
              <w:spacing w:line="240" w:lineRule="atLeast"/>
              <w:jc w:val="center"/>
              <w:rPr>
                <w:rFonts w:ascii="宋体" w:cs="宋体"/>
                <w:color w:val="auto"/>
                <w:kern w:val="0"/>
                <w:szCs w:val="21"/>
                <w:highlight w:val="none"/>
              </w:rPr>
            </w:pPr>
            <w:r>
              <w:rPr>
                <w:rFonts w:hint="eastAsia" w:ascii="宋体" w:hAnsi="宋体" w:cs="宋体"/>
                <w:bCs/>
                <w:color w:val="auto"/>
                <w:szCs w:val="21"/>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1" w:name="_Toc116550358"/>
      <w:r>
        <w:rPr>
          <w:rFonts w:hint="eastAsia" w:ascii="宋体" w:hAnsi="宋体"/>
          <w:b/>
          <w:sz w:val="32"/>
          <w:szCs w:val="32"/>
        </w:rPr>
        <w:t>第四部分：合同条款及格式</w:t>
      </w:r>
      <w:bookmarkEnd w:id="61"/>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2" w:name="_Hlk116549198"/>
      <w:r>
        <w:rPr>
          <w:rFonts w:hint="eastAsia" w:ascii="宋体" w:hAnsi="宋体"/>
          <w:color w:val="FF0000"/>
          <w:szCs w:val="21"/>
        </w:rPr>
        <w:t>××××××××××××××××××××××××××××××</w:t>
      </w:r>
      <w:r>
        <w:rPr>
          <w:rFonts w:hint="eastAsia" w:ascii="方正小标宋简体" w:hAnsi="方正小标宋简体" w:eastAsia="方正小标宋简体" w:cs="方正小标宋简体"/>
          <w:bCs/>
          <w:kern w:val="0"/>
          <w:sz w:val="28"/>
          <w:szCs w:val="28"/>
        </w:rPr>
        <w:t>项目合同</w:t>
      </w:r>
    </w:p>
    <w:bookmarkEnd w:id="62"/>
    <w:p>
      <w:pPr>
        <w:jc w:val="center"/>
        <w:rPr>
          <w:rFonts w:ascii="宋体" w:hAnsi="宋体"/>
          <w:szCs w:val="21"/>
        </w:rPr>
      </w:pPr>
      <w:bookmarkStart w:id="63" w:name="_Hlk116549211"/>
      <w:r>
        <w:rPr>
          <w:rFonts w:hint="eastAsia" w:ascii="方正小标宋简体" w:hAnsi="方正小标宋简体" w:eastAsia="方正小标宋简体" w:cs="方正小标宋简体"/>
          <w:bCs/>
          <w:kern w:val="0"/>
          <w:sz w:val="28"/>
          <w:szCs w:val="28"/>
        </w:rPr>
        <w:t>（仅供参考）</w:t>
      </w:r>
    </w:p>
    <w:bookmarkEnd w:id="63"/>
    <w:p>
      <w:pPr>
        <w:ind w:firstLine="420" w:firstLineChars="200"/>
        <w:jc w:val="left"/>
        <w:rPr>
          <w:rFonts w:ascii="宋体" w:hAnsi="宋体"/>
          <w:szCs w:val="21"/>
        </w:rPr>
      </w:pPr>
    </w:p>
    <w:p>
      <w:pPr>
        <w:spacing w:line="360" w:lineRule="auto"/>
        <w:rPr>
          <w:rFonts w:ascii="宋体" w:hAnsi="宋体"/>
          <w:szCs w:val="21"/>
        </w:rPr>
      </w:pPr>
    </w:p>
    <w:p>
      <w:pPr>
        <w:spacing w:before="312" w:beforeLines="100" w:after="312" w:afterLines="100" w:line="360" w:lineRule="auto"/>
        <w:jc w:val="center"/>
        <w:outlineLvl w:val="0"/>
        <w:rPr>
          <w:rFonts w:hint="eastAsia"/>
          <w:b/>
          <w:sz w:val="32"/>
          <w:szCs w:val="32"/>
        </w:rPr>
      </w:pPr>
      <w:bookmarkStart w:id="64" w:name="_Toc116550359"/>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64"/>
    </w:p>
    <w:p>
      <w:pPr>
        <w:spacing w:line="0" w:lineRule="atLeast"/>
        <w:outlineLvl w:val="1"/>
        <w:rPr>
          <w:rFonts w:ascii="宋体" w:hAnsi="宋体"/>
        </w:rPr>
      </w:pPr>
      <w:bookmarkStart w:id="65" w:name="_Toc116550360"/>
      <w:r>
        <w:rPr>
          <w:rFonts w:hint="eastAsia" w:ascii="宋体" w:hAnsi="宋体"/>
          <w:szCs w:val="21"/>
        </w:rPr>
        <w:t>附件1：</w:t>
      </w:r>
      <w:r>
        <w:rPr>
          <w:rFonts w:hint="eastAsia" w:ascii="宋体" w:hAnsi="宋体"/>
        </w:rPr>
        <w:t>报名回函</w:t>
      </w:r>
      <w:bookmarkEnd w:id="65"/>
    </w:p>
    <w:p>
      <w:pPr>
        <w:pStyle w:val="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w:t>
      </w:r>
      <w:r>
        <w:rPr>
          <w:rStyle w:val="19"/>
          <w:rFonts w:hint="eastAsia" w:ascii="方正小标宋简体" w:hAnsi="方正小标宋_GBK" w:eastAsia="方正小标宋简体"/>
          <w:sz w:val="32"/>
          <w:szCs w:val="32"/>
          <w:lang w:eastAsia="zh-CN"/>
        </w:rPr>
        <w:t>（</w:t>
      </w:r>
      <w:r>
        <w:rPr>
          <w:rStyle w:val="19"/>
          <w:rFonts w:hint="eastAsia" w:ascii="方正小标宋简体" w:hAnsi="方正小标宋_GBK" w:eastAsia="方正小标宋简体"/>
          <w:sz w:val="32"/>
          <w:szCs w:val="32"/>
          <w:lang w:val="en-US" w:eastAsia="zh-CN"/>
        </w:rPr>
        <w:t>二次启动</w:t>
      </w:r>
      <w:r>
        <w:rPr>
          <w:rStyle w:val="19"/>
          <w:rFonts w:hint="eastAsia" w:ascii="方正小标宋简体" w:hAnsi="方正小标宋_GBK" w:eastAsia="方正小标宋简体"/>
          <w:sz w:val="32"/>
          <w:szCs w:val="32"/>
          <w:lang w:eastAsia="zh-CN"/>
        </w:rPr>
        <w:t>）</w:t>
      </w:r>
      <w:r>
        <w:rPr>
          <w:rStyle w:val="19"/>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
          <w:kern w:val="2"/>
          <w:sz w:val="28"/>
          <w:szCs w:val="28"/>
          <w:lang w:eastAsia="zh-CN"/>
        </w:rPr>
        <w:t>（</w:t>
      </w:r>
      <w:r>
        <w:rPr>
          <w:rFonts w:hint="eastAsia" w:ascii="仿宋" w:hAnsi="仿宋" w:eastAsia="仿宋" w:cs="Times New Roman"/>
          <w:b/>
          <w:kern w:val="2"/>
          <w:sz w:val="28"/>
          <w:szCs w:val="28"/>
          <w:lang w:val="en-US" w:eastAsia="zh-CN"/>
        </w:rPr>
        <w:t>二次启动</w:t>
      </w:r>
      <w:r>
        <w:rPr>
          <w:rFonts w:hint="eastAsia" w:ascii="仿宋" w:hAnsi="仿宋" w:eastAsia="仿宋" w:cs="Times New Roman"/>
          <w:b/>
          <w:kern w:val="2"/>
          <w:sz w:val="28"/>
          <w:szCs w:val="28"/>
          <w:lang w:eastAsia="zh-CN"/>
        </w:rPr>
        <w:t>）</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6" w:name="_Toc116550361"/>
      <w:r>
        <w:rPr>
          <w:rFonts w:hint="eastAsia" w:ascii="宋体" w:hAnsi="宋体"/>
          <w:szCs w:val="21"/>
        </w:rPr>
        <w:t>附件2：投标函</w:t>
      </w:r>
      <w:bookmarkEnd w:id="6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7" w:name="_Toc116550362"/>
      <w:r>
        <w:rPr>
          <w:rFonts w:hint="eastAsia" w:ascii="宋体" w:hAnsi="宋体"/>
          <w:szCs w:val="21"/>
        </w:rPr>
        <w:t>附件3：投标一览表</w:t>
      </w:r>
      <w:bookmarkEnd w:id="6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819"/>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81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2781"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hint="default" w:ascii="宋体" w:hAnsi="宋体" w:eastAsia="宋体"/>
                <w:szCs w:val="21"/>
                <w:lang w:val="en-US" w:eastAsia="zh-CN"/>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819" w:type="dxa"/>
          </w:tcPr>
          <w:p>
            <w:pPr>
              <w:spacing w:line="360" w:lineRule="auto"/>
              <w:jc w:val="center"/>
              <w:rPr>
                <w:rFonts w:ascii="宋体" w:hAnsi="宋体"/>
                <w:szCs w:val="21"/>
              </w:rPr>
            </w:pPr>
          </w:p>
        </w:tc>
        <w:tc>
          <w:tcPr>
            <w:tcW w:w="278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8"/>
    </w:tbl>
    <w:p>
      <w:pPr>
        <w:spacing w:line="360" w:lineRule="auto"/>
        <w:rPr>
          <w:rFonts w:hint="eastAsia" w:ascii="宋体" w:hAnsi="宋体" w:eastAsia="宋体"/>
          <w:szCs w:val="21"/>
          <w:lang w:eastAsia="zh-CN"/>
        </w:rPr>
      </w:pPr>
      <w:r>
        <w:rPr>
          <w:rFonts w:hint="eastAsia" w:ascii="宋体" w:hAnsi="宋体"/>
          <w:szCs w:val="21"/>
        </w:rPr>
        <w:t>说明：</w:t>
      </w:r>
      <w:r>
        <w:rPr>
          <w:rFonts w:hint="eastAsia" w:ascii="宋体" w:hAnsi="宋体"/>
          <w:szCs w:val="21"/>
          <w:lang w:eastAsia="zh-CN"/>
        </w:rPr>
        <w:t>（</w:t>
      </w:r>
      <w:r>
        <w:rPr>
          <w:rFonts w:hint="eastAsia" w:ascii="宋体" w:hAnsi="宋体"/>
          <w:szCs w:val="21"/>
          <w:lang w:val="en-US" w:eastAsia="zh-CN"/>
        </w:rPr>
        <w:t>报价为</w:t>
      </w:r>
      <w:r>
        <w:rPr>
          <w:rFonts w:hint="eastAsia" w:ascii="宋体" w:hAnsi="宋体" w:cs="仿宋"/>
          <w:szCs w:val="21"/>
          <w:lang w:val="en-US" w:eastAsia="zh-CN"/>
        </w:rPr>
        <w:t>三年总</w:t>
      </w:r>
      <w:r>
        <w:rPr>
          <w:rFonts w:hint="eastAsia" w:ascii="宋体" w:hAnsi="宋体" w:cs="仿宋"/>
          <w:szCs w:val="21"/>
        </w:rPr>
        <w:t>报价</w:t>
      </w:r>
      <w:r>
        <w:rPr>
          <w:rFonts w:hint="eastAsia" w:ascii="宋体" w:hAnsi="宋体"/>
          <w:szCs w:val="21"/>
          <w:lang w:eastAsia="zh-CN"/>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9" w:name="_Toc116550363"/>
      <w:r>
        <w:rPr>
          <w:rFonts w:hint="eastAsia" w:ascii="宋体" w:hAnsi="宋体"/>
          <w:szCs w:val="21"/>
        </w:rPr>
        <w:t>附件4：考察证明</w:t>
      </w:r>
      <w:bookmarkEnd w:id="6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0"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1"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1"/>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0"/>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116550364"/>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Hlk127434997"/>
      <w:bookmarkStart w:id="75" w:name="_Toc211243320"/>
      <w:r>
        <w:rPr>
          <w:rFonts w:hint="eastAsia" w:ascii="仿宋" w:hAnsi="仿宋" w:eastAsia="仿宋"/>
          <w:sz w:val="30"/>
          <w:szCs w:val="30"/>
        </w:rPr>
        <w:t>法定代表人或其授权委托人（签字或盖章）：</w:t>
      </w:r>
      <w:bookmarkEnd w:id="74"/>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5"/>
      <w:bookmarkStart w:id="76" w:name="_Toc236803114"/>
      <w:bookmarkStart w:id="77" w:name="_Toc246480945"/>
      <w:r>
        <w:rPr>
          <w:rFonts w:ascii="仿宋" w:hAnsi="仿宋" w:eastAsia="仿宋"/>
          <w:sz w:val="28"/>
          <w:szCs w:val="28"/>
        </w:rPr>
        <w:br w:type="page"/>
      </w:r>
    </w:p>
    <w:p>
      <w:pPr>
        <w:spacing w:line="0" w:lineRule="atLeast"/>
        <w:outlineLvl w:val="1"/>
        <w:rPr>
          <w:rFonts w:ascii="宋体" w:hAnsi="宋体"/>
          <w:szCs w:val="21"/>
        </w:rPr>
      </w:pPr>
      <w:bookmarkStart w:id="78" w:name="_Toc116550365"/>
      <w:r>
        <w:rPr>
          <w:rFonts w:hint="eastAsia" w:ascii="宋体" w:hAnsi="宋体"/>
          <w:szCs w:val="21"/>
        </w:rPr>
        <w:t>附件6：商务条款响应/偏离表</w:t>
      </w:r>
      <w:bookmarkEnd w:id="76"/>
      <w:bookmarkEnd w:id="77"/>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9" w:name="_Toc211248420"/>
      <w:r>
        <w:rPr>
          <w:rFonts w:hint="eastAsia" w:ascii="方正小标宋_GBK" w:hAnsi="方正小标宋_GBK" w:eastAsia="方正小标宋_GBK"/>
          <w:b/>
          <w:sz w:val="32"/>
          <w:szCs w:val="32"/>
        </w:rPr>
        <w:t>商务条款响应/偏离表</w:t>
      </w:r>
      <w:bookmarkEnd w:id="7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0" w:name="_Toc395883088"/>
      <w:bookmarkStart w:id="81" w:name="_Toc236803111"/>
      <w:bookmarkStart w:id="82" w:name="_Toc478387764"/>
      <w:r>
        <w:rPr>
          <w:rFonts w:ascii="仿宋" w:hAnsi="仿宋" w:eastAsia="仿宋"/>
          <w:sz w:val="28"/>
          <w:szCs w:val="28"/>
        </w:rPr>
        <w:br w:type="page"/>
      </w:r>
    </w:p>
    <w:p>
      <w:pPr>
        <w:spacing w:line="0" w:lineRule="atLeast"/>
        <w:outlineLvl w:val="1"/>
        <w:rPr>
          <w:rFonts w:ascii="宋体" w:hAnsi="宋体"/>
          <w:szCs w:val="21"/>
        </w:rPr>
      </w:pPr>
      <w:bookmarkStart w:id="83" w:name="_Toc116550366"/>
      <w:r>
        <w:rPr>
          <w:rFonts w:hint="eastAsia" w:ascii="宋体" w:hAnsi="宋体"/>
          <w:szCs w:val="21"/>
        </w:rPr>
        <w:t>附件7：报价一览表（货物）</w:t>
      </w:r>
      <w:r>
        <w:rPr>
          <w:rFonts w:hint="eastAsia" w:ascii="宋体" w:hAnsi="宋体"/>
          <w:color w:val="FF0000"/>
          <w:szCs w:val="21"/>
        </w:rPr>
        <w:t>（本项目不适用）</w:t>
      </w:r>
      <w:bookmarkEnd w:id="83"/>
    </w:p>
    <w:bookmarkEnd w:id="80"/>
    <w:bookmarkEnd w:id="81"/>
    <w:bookmarkEnd w:id="82"/>
    <w:p>
      <w:pPr>
        <w:spacing w:before="120" w:after="240"/>
        <w:jc w:val="center"/>
        <w:rPr>
          <w:rFonts w:ascii="宋体" w:hAnsi="宋体"/>
          <w:b/>
          <w:sz w:val="32"/>
          <w:szCs w:val="32"/>
        </w:rPr>
      </w:pPr>
      <w:bookmarkStart w:id="84" w:name="_Toc211248412"/>
      <w:r>
        <w:rPr>
          <w:rFonts w:hint="eastAsia" w:ascii="方正小标宋_GBK" w:hAnsi="方正小标宋_GBK" w:eastAsia="方正小标宋_GBK"/>
          <w:b/>
          <w:sz w:val="32"/>
          <w:szCs w:val="32"/>
        </w:rPr>
        <w:t>报价一览表</w:t>
      </w:r>
      <w:bookmarkEnd w:id="8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5" w:name="_Toc82359026"/>
      <w:bookmarkStart w:id="86"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5"/>
    <w:bookmarkEnd w:id="86"/>
    <w:p>
      <w:pPr>
        <w:spacing w:line="0" w:lineRule="atLeast"/>
        <w:outlineLvl w:val="1"/>
        <w:rPr>
          <w:rFonts w:ascii="宋体" w:hAnsi="宋体"/>
          <w:szCs w:val="21"/>
        </w:rPr>
      </w:pPr>
      <w:bookmarkStart w:id="87" w:name="_Toc116550367"/>
      <w:r>
        <w:rPr>
          <w:rFonts w:hint="eastAsia" w:ascii="宋体" w:hAnsi="宋体"/>
          <w:szCs w:val="21"/>
        </w:rPr>
        <w:t>附件8：报价一览表（服务）</w:t>
      </w:r>
      <w:bookmarkEnd w:id="8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高交会2023-2025年现场翻译服务中心</w:t>
      </w:r>
      <w:r>
        <w:rPr>
          <w:rFonts w:hint="eastAsia" w:ascii="仿宋" w:hAnsi="仿宋" w:eastAsia="仿宋"/>
          <w:sz w:val="28"/>
          <w:szCs w:val="28"/>
          <w:u w:val="single"/>
        </w:rPr>
        <w:t xml:space="preserve">                   </w:t>
      </w:r>
    </w:p>
    <w:p>
      <w:pPr>
        <w:spacing w:after="80" w:line="360" w:lineRule="auto"/>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558" w:type="dxa"/>
        <w:tblInd w:w="-1548" w:type="dxa"/>
        <w:tblLayout w:type="fixed"/>
        <w:tblCellMar>
          <w:top w:w="0" w:type="dxa"/>
          <w:left w:w="42" w:type="dxa"/>
          <w:bottom w:w="0" w:type="dxa"/>
          <w:right w:w="42" w:type="dxa"/>
        </w:tblCellMar>
      </w:tblPr>
      <w:tblGrid>
        <w:gridCol w:w="1398"/>
        <w:gridCol w:w="1409"/>
        <w:gridCol w:w="1215"/>
        <w:gridCol w:w="1305"/>
        <w:gridCol w:w="930"/>
        <w:gridCol w:w="795"/>
        <w:gridCol w:w="2506"/>
      </w:tblGrid>
      <w:tr>
        <w:tblPrEx>
          <w:tblCellMar>
            <w:top w:w="0" w:type="dxa"/>
            <w:left w:w="42" w:type="dxa"/>
            <w:bottom w:w="0" w:type="dxa"/>
            <w:right w:w="42" w:type="dxa"/>
          </w:tblCellMar>
        </w:tblPrEx>
        <w:trPr>
          <w:cantSplit/>
          <w:trHeight w:val="509" w:hRule="atLeast"/>
        </w:trPr>
        <w:tc>
          <w:tcPr>
            <w:tcW w:w="139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语种</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rPr>
              <w:t>内容描述</w:t>
            </w:r>
          </w:p>
        </w:tc>
        <w:tc>
          <w:tcPr>
            <w:tcW w:w="121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单价</w:t>
            </w:r>
          </w:p>
        </w:tc>
        <w:tc>
          <w:tcPr>
            <w:tcW w:w="130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工作天数</w:t>
            </w:r>
          </w:p>
        </w:tc>
        <w:tc>
          <w:tcPr>
            <w:tcW w:w="93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79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2506"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Times New Roman"/>
                <w:kern w:val="2"/>
                <w:sz w:val="30"/>
                <w:szCs w:val="30"/>
                <w:lang w:val="en-US" w:eastAsia="zh-CN" w:bidi="ar-SA"/>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bookmarkStart w:id="88" w:name="OLE_LINK4"/>
            <w:r>
              <w:rPr>
                <w:rStyle w:val="21"/>
                <w:rFonts w:hint="eastAsia" w:ascii="仿宋" w:hAnsi="仿宋" w:eastAsia="仿宋" w:cs="仿宋"/>
                <w:b w:val="0"/>
                <w:i w:val="0"/>
                <w:caps w:val="0"/>
                <w:color w:val="auto"/>
                <w:spacing w:val="0"/>
                <w:w w:val="100"/>
                <w:kern w:val="0"/>
                <w:sz w:val="24"/>
                <w:szCs w:val="24"/>
                <w:highlight w:val="none"/>
                <w:lang w:val="en-US" w:eastAsia="zh-CN" w:bidi="ar-SA"/>
              </w:rPr>
              <w:t>英语</w:t>
            </w:r>
            <w:bookmarkEnd w:id="88"/>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89" w:name="OLE_LINK2"/>
            <w:r>
              <w:rPr>
                <w:rStyle w:val="21"/>
                <w:rFonts w:hint="eastAsia" w:ascii="仿宋" w:hAnsi="仿宋" w:eastAsia="仿宋" w:cs="仿宋"/>
                <w:b w:val="0"/>
                <w:i w:val="0"/>
                <w:caps w:val="0"/>
                <w:color w:val="auto"/>
                <w:spacing w:val="0"/>
                <w:w w:val="100"/>
                <w:kern w:val="0"/>
                <w:sz w:val="24"/>
                <w:szCs w:val="24"/>
                <w:highlight w:val="none"/>
                <w:lang w:val="en-US" w:eastAsia="zh-CN" w:bidi="ar-SA"/>
              </w:rPr>
              <w:t>普通交替传译</w:t>
            </w:r>
            <w:bookmarkEnd w:id="89"/>
          </w:p>
        </w:tc>
        <w:tc>
          <w:tcPr>
            <w:tcW w:w="1215"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25人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24"/>
                <w:szCs w:val="24"/>
                <w:lang w:val="en-US" w:eastAsia="zh-CN" w:bidi="ar-SA"/>
              </w:rPr>
              <w:t>详见“技术/服务需求”</w:t>
            </w:r>
          </w:p>
        </w:tc>
      </w:tr>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Style w:val="21"/>
                <w:rFonts w:hint="eastAsia" w:ascii="仿宋" w:hAnsi="仿宋" w:eastAsia="仿宋" w:cs="仿宋"/>
                <w:b w:val="0"/>
                <w:i w:val="0"/>
                <w:caps w:val="0"/>
                <w:color w:val="auto"/>
                <w:spacing w:val="0"/>
                <w:w w:val="100"/>
                <w:kern w:val="0"/>
                <w:sz w:val="24"/>
                <w:szCs w:val="24"/>
                <w:highlight w:val="none"/>
                <w:lang w:val="en-US" w:eastAsia="zh-CN" w:bidi="ar-SA"/>
              </w:rPr>
            </w:pPr>
            <w:bookmarkStart w:id="90" w:name="OLE_LINK10" w:colFirst="2" w:colLast="3"/>
            <w:r>
              <w:rPr>
                <w:rStyle w:val="21"/>
                <w:rFonts w:hint="eastAsia" w:ascii="仿宋" w:hAnsi="仿宋" w:eastAsia="仿宋" w:cs="仿宋"/>
                <w:b w:val="0"/>
                <w:i w:val="0"/>
                <w:caps w:val="0"/>
                <w:color w:val="auto"/>
                <w:spacing w:val="0"/>
                <w:w w:val="100"/>
                <w:kern w:val="0"/>
                <w:sz w:val="24"/>
                <w:szCs w:val="24"/>
                <w:highlight w:val="none"/>
                <w:lang w:val="en-US" w:eastAsia="zh-CN" w:bidi="ar-SA"/>
              </w:rPr>
              <w:t>英语</w:t>
            </w:r>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default"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现场商务会议</w:t>
            </w:r>
            <w:r>
              <w:rPr>
                <w:rStyle w:val="21"/>
                <w:rFonts w:hint="eastAsia" w:ascii="仿宋" w:hAnsi="仿宋" w:eastAsia="仿宋" w:cs="仿宋"/>
                <w:b w:val="0"/>
                <w:i w:val="0"/>
                <w:caps w:val="0"/>
                <w:color w:val="auto"/>
                <w:spacing w:val="0"/>
                <w:w w:val="100"/>
                <w:kern w:val="2"/>
                <w:sz w:val="24"/>
                <w:szCs w:val="24"/>
                <w:highlight w:val="none"/>
                <w:lang w:val="en-US" w:eastAsia="zh-CN" w:bidi="ar-SA"/>
              </w:rPr>
              <w:t>交替传译</w:t>
            </w:r>
          </w:p>
        </w:tc>
        <w:tc>
          <w:tcPr>
            <w:tcW w:w="12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2个全天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default" w:ascii="仿宋" w:hAnsi="仿宋" w:eastAsia="仿宋" w:cs="仿宋"/>
                <w:color w:val="auto"/>
                <w:kern w:val="0"/>
                <w:sz w:val="24"/>
                <w:szCs w:val="24"/>
                <w:highlight w:val="none"/>
                <w:lang w:val="en-US" w:eastAsia="zh-CN"/>
              </w:rPr>
            </w:pPr>
            <w:r>
              <w:rPr>
                <w:rStyle w:val="21"/>
                <w:rFonts w:hint="eastAsia" w:cs="仿宋"/>
                <w:color w:val="auto"/>
                <w:kern w:val="0"/>
                <w:sz w:val="24"/>
                <w:szCs w:val="24"/>
                <w:highlight w:val="none"/>
                <w:lang w:val="en-US"/>
              </w:rPr>
              <w:t>4人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持有国家人社部二级口译资格认证，多次担任大型展会现场翻译员。</w:t>
            </w:r>
          </w:p>
        </w:tc>
      </w:tr>
      <w:bookmarkEnd w:id="90"/>
      <w:tr>
        <w:tblPrEx>
          <w:tblCellMar>
            <w:top w:w="0" w:type="dxa"/>
            <w:left w:w="42" w:type="dxa"/>
            <w:bottom w:w="0" w:type="dxa"/>
            <w:right w:w="42" w:type="dxa"/>
          </w:tblCellMar>
        </w:tblPrEx>
        <w:trPr>
          <w:cantSplit/>
          <w:trHeight w:val="474" w:hRule="atLeast"/>
        </w:trPr>
        <w:tc>
          <w:tcPr>
            <w:tcW w:w="1398" w:type="dxa"/>
            <w:tcBorders>
              <w:top w:val="single" w:color="auto" w:sz="6" w:space="0"/>
              <w:left w:val="single" w:color="auto" w:sz="6" w:space="0"/>
              <w:bottom w:val="single" w:color="auto" w:sz="6" w:space="0"/>
              <w:right w:val="single" w:color="auto" w:sz="6" w:space="0"/>
            </w:tcBorders>
            <w:vAlign w:val="center"/>
          </w:tcPr>
          <w:p>
            <w:pPr>
              <w:jc w:val="center"/>
              <w:rPr>
                <w:rStyle w:val="21"/>
                <w:rFonts w:hint="default"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俄语</w:t>
            </w:r>
          </w:p>
        </w:tc>
        <w:tc>
          <w:tcPr>
            <w:tcW w:w="140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资深交替传译</w:t>
            </w:r>
          </w:p>
        </w:tc>
        <w:tc>
          <w:tcPr>
            <w:tcW w:w="12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元/人/天</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Times New Roman"/>
                <w:kern w:val="2"/>
                <w:sz w:val="30"/>
                <w:szCs w:val="30"/>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5个全天</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Style w:val="21"/>
                <w:rFonts w:hint="default" w:ascii="仿宋" w:hAnsi="仿宋" w:eastAsia="仿宋" w:cs="仿宋"/>
                <w:color w:val="auto"/>
                <w:kern w:val="0"/>
                <w:sz w:val="24"/>
                <w:szCs w:val="24"/>
                <w:highlight w:val="none"/>
              </w:rPr>
            </w:pPr>
            <w:r>
              <w:rPr>
                <w:rStyle w:val="21"/>
                <w:rFonts w:hint="eastAsia" w:cs="仿宋"/>
                <w:color w:val="auto"/>
                <w:kern w:val="0"/>
                <w:sz w:val="24"/>
                <w:szCs w:val="24"/>
                <w:highlight w:val="none"/>
                <w:lang w:val="en-US"/>
              </w:rPr>
              <w:t>3人</w:t>
            </w: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2506" w:type="dxa"/>
            <w:tcBorders>
              <w:top w:val="single" w:color="auto" w:sz="6" w:space="0"/>
              <w:left w:val="single" w:color="auto" w:sz="4" w:space="0"/>
              <w:bottom w:val="single" w:color="auto" w:sz="6" w:space="0"/>
              <w:right w:val="single" w:color="auto" w:sz="4" w:space="0"/>
            </w:tcBorders>
            <w:vAlign w:val="center"/>
          </w:tcPr>
          <w:p>
            <w:pPr>
              <w:snapToGrid/>
              <w:spacing w:before="0" w:beforeAutospacing="0" w:after="0" w:afterAutospacing="0" w:line="240" w:lineRule="auto"/>
              <w:jc w:val="center"/>
              <w:textAlignment w:val="baseline"/>
              <w:rPr>
                <w:rStyle w:val="21"/>
                <w:rFonts w:hint="eastAsia" w:ascii="仿宋" w:hAnsi="仿宋" w:eastAsia="仿宋" w:cs="仿宋"/>
                <w:b w:val="0"/>
                <w:i w:val="0"/>
                <w:caps w:val="0"/>
                <w:color w:val="auto"/>
                <w:spacing w:val="0"/>
                <w:w w:val="100"/>
                <w:kern w:val="0"/>
                <w:sz w:val="24"/>
                <w:szCs w:val="24"/>
                <w:highlight w:val="none"/>
                <w:lang w:val="en-US" w:eastAsia="zh-CN" w:bidi="ar-SA"/>
              </w:rPr>
            </w:pPr>
            <w:r>
              <w:rPr>
                <w:rStyle w:val="21"/>
                <w:rFonts w:hint="eastAsia" w:ascii="仿宋" w:hAnsi="仿宋" w:eastAsia="仿宋" w:cs="仿宋"/>
                <w:b w:val="0"/>
                <w:i w:val="0"/>
                <w:caps w:val="0"/>
                <w:color w:val="auto"/>
                <w:spacing w:val="0"/>
                <w:w w:val="100"/>
                <w:kern w:val="0"/>
                <w:sz w:val="24"/>
                <w:szCs w:val="24"/>
                <w:highlight w:val="none"/>
                <w:lang w:val="en-US" w:eastAsia="zh-CN" w:bidi="ar-SA"/>
              </w:rPr>
              <w:t>持有国家人社部二级口译资格认证，多次担任大型展会现场翻译员。</w:t>
            </w:r>
          </w:p>
        </w:tc>
      </w:tr>
      <w:tr>
        <w:tblPrEx>
          <w:tblCellMar>
            <w:top w:w="0" w:type="dxa"/>
            <w:left w:w="42" w:type="dxa"/>
            <w:bottom w:w="0" w:type="dxa"/>
            <w:right w:w="42" w:type="dxa"/>
          </w:tblCellMar>
        </w:tblPrEx>
        <w:trPr>
          <w:cantSplit/>
          <w:trHeight w:val="340" w:hRule="atLeast"/>
        </w:trPr>
        <w:tc>
          <w:tcPr>
            <w:tcW w:w="6257" w:type="dxa"/>
            <w:gridSpan w:val="5"/>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795" w:type="dxa"/>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sz w:val="30"/>
                <w:szCs w:val="30"/>
              </w:rPr>
            </w:pPr>
          </w:p>
        </w:tc>
        <w:tc>
          <w:tcPr>
            <w:tcW w:w="2506"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25"/>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lang w:val="en-US" w:eastAsia="zh-CN"/>
        </w:rPr>
        <w:t>报价一览表（服务）为一年预算报价。</w:t>
      </w:r>
    </w:p>
    <w:p>
      <w:pPr>
        <w:spacing w:line="400" w:lineRule="exact"/>
        <w:rPr>
          <w:rFonts w:hint="eastAsia" w:ascii="仿宋" w:hAnsi="仿宋" w:eastAsia="仿宋"/>
          <w:sz w:val="30"/>
          <w:szCs w:val="30"/>
        </w:rPr>
      </w:pP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91" w:name="_Toc116550368"/>
      <w:r>
        <w:rPr>
          <w:rFonts w:hint="eastAsia" w:ascii="宋体" w:hAnsi="宋体"/>
          <w:szCs w:val="21"/>
        </w:rPr>
        <w:t>附件9：报价一览表（工程）</w:t>
      </w:r>
      <w:bookmarkEnd w:id="91"/>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92" w:name="_Toc116550369"/>
      <w:r>
        <w:rPr>
          <w:rFonts w:hint="eastAsia" w:ascii="宋体" w:hAnsi="宋体"/>
          <w:szCs w:val="21"/>
        </w:rPr>
        <w:t>附件10：法定代表人证明书</w:t>
      </w:r>
      <w:bookmarkEnd w:id="9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3"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2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28"/>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28"/>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4"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9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5"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6" w:name="_Toc32341"/>
      <w:r>
        <w:rPr>
          <w:rFonts w:ascii="仿宋" w:hAnsi="仿宋" w:eastAsia="仿宋"/>
          <w:sz w:val="28"/>
          <w:szCs w:val="28"/>
        </w:rPr>
        <w:br w:type="page"/>
      </w:r>
    </w:p>
    <w:p>
      <w:pPr>
        <w:spacing w:line="0" w:lineRule="atLeast"/>
        <w:outlineLvl w:val="1"/>
        <w:rPr>
          <w:rFonts w:ascii="宋体" w:hAnsi="宋体"/>
          <w:szCs w:val="21"/>
        </w:rPr>
      </w:pPr>
      <w:bookmarkStart w:id="97"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6"/>
      <w:bookmarkEnd w:id="97"/>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98" w:name="_Toc100848654"/>
      <w:bookmarkStart w:id="99" w:name="_Toc116550374"/>
      <w:r>
        <w:rPr>
          <w:rFonts w:hint="eastAsia" w:ascii="宋体" w:hAnsi="宋体"/>
        </w:rPr>
        <w:t>附件15：投标文件密码</w:t>
      </w:r>
      <w:bookmarkEnd w:id="98"/>
      <w:r>
        <w:rPr>
          <w:rFonts w:hint="eastAsia" w:ascii="宋体" w:hAnsi="宋体"/>
        </w:rPr>
        <w:t>单</w:t>
      </w:r>
      <w:bookmarkEnd w:id="99"/>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00"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00"/>
    </w:p>
    <w:p>
      <w:pPr>
        <w:jc w:val="center"/>
        <w:rPr>
          <w:rFonts w:ascii="宋体" w:hAnsi="宋体"/>
          <w:b/>
          <w:sz w:val="32"/>
          <w:szCs w:val="32"/>
        </w:rPr>
      </w:pPr>
      <w:r>
        <w:rPr>
          <w:rFonts w:hint="eastAsia" w:ascii="宋体" w:hAnsi="宋体"/>
          <w:b/>
          <w:sz w:val="32"/>
          <w:szCs w:val="32"/>
        </w:rPr>
        <w:t>投标文件密码单</w:t>
      </w:r>
    </w:p>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8"/>
          <w:szCs w:val="28"/>
        </w:rPr>
      </w:pPr>
    </w:p>
    <w:p>
      <w:pPr>
        <w:pStyle w:val="2"/>
        <w:rPr>
          <w:rFonts w:ascii="仿宋" w:hAnsi="仿宋" w:eastAsia="仿宋"/>
          <w:b/>
          <w:color w:val="FF0000"/>
          <w:sz w:val="28"/>
          <w:szCs w:val="28"/>
        </w:rPr>
      </w:pPr>
      <w:r>
        <w:rPr>
          <w:rFonts w:hint="eastAsia" w:ascii="仿宋" w:hAnsi="仿宋" w:eastAsia="仿宋"/>
          <w:b/>
          <w:color w:val="FF0000"/>
          <w:sz w:val="28"/>
          <w:szCs w:val="28"/>
        </w:rPr>
        <w:t>【特别注意】</w:t>
      </w:r>
    </w:p>
    <w:p>
      <w:pPr>
        <w:pStyle w:val="2"/>
        <w:numPr>
          <w:ilvl w:val="0"/>
          <w:numId w:val="32"/>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2"/>
        <w:numPr>
          <w:ilvl w:val="0"/>
          <w:numId w:val="32"/>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2"/>
      </w:pPr>
    </w:p>
    <w:p>
      <w:pPr>
        <w:pStyle w:val="2"/>
      </w:pPr>
    </w:p>
    <w:p>
      <w:pPr>
        <w:spacing w:line="360" w:lineRule="auto"/>
        <w:jc w:val="left"/>
        <w:rPr>
          <w:rFonts w:ascii="仿宋" w:hAnsi="仿宋" w:eastAsia="仿宋"/>
          <w:sz w:val="28"/>
          <w:szCs w:val="28"/>
        </w:rPr>
      </w:pPr>
      <w:bookmarkStart w:id="101"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2"/>
      </w:pPr>
      <w:r>
        <w:rPr>
          <w:rFonts w:hint="eastAsia" w:ascii="仿宋" w:hAnsi="仿宋" w:eastAsia="仿宋"/>
          <w:sz w:val="28"/>
          <w:szCs w:val="28"/>
        </w:rPr>
        <w:t>日期：_______年____月___日</w:t>
      </w:r>
      <w:bookmarkEnd w:id="101"/>
    </w:p>
    <w:p>
      <w:pPr>
        <w:pStyle w:val="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102" w:name="_Hlk116546062"/>
    <w:bookmarkStart w:id="103"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102"/>
    <w:bookmarkEnd w:id="10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D3051835"/>
    <w:multiLevelType w:val="singleLevel"/>
    <w:tmpl w:val="D3051835"/>
    <w:lvl w:ilvl="0" w:tentative="0">
      <w:start w:val="1"/>
      <w:numFmt w:val="decimal"/>
      <w:suff w:val="space"/>
      <w:lvlText w:val="%1."/>
      <w:lvlJc w:val="left"/>
    </w:lvl>
  </w:abstractNum>
  <w:abstractNum w:abstractNumId="2">
    <w:nsid w:val="D7CF0BF1"/>
    <w:multiLevelType w:val="singleLevel"/>
    <w:tmpl w:val="D7CF0BF1"/>
    <w:lvl w:ilvl="0" w:tentative="0">
      <w:start w:val="1"/>
      <w:numFmt w:val="decimal"/>
      <w:suff w:val="nothing"/>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DDC9780C"/>
    <w:multiLevelType w:val="singleLevel"/>
    <w:tmpl w:val="DDC9780C"/>
    <w:lvl w:ilvl="0" w:tentative="0">
      <w:start w:val="1"/>
      <w:numFmt w:val="decimal"/>
      <w:lvlText w:val="(%1)"/>
      <w:lvlJc w:val="left"/>
      <w:pPr>
        <w:ind w:left="425" w:hanging="425"/>
      </w:pPr>
      <w:rPr>
        <w:rFonts w:hint="default"/>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4CCD0F3"/>
    <w:multiLevelType w:val="singleLevel"/>
    <w:tmpl w:val="04CCD0F3"/>
    <w:lvl w:ilvl="0" w:tentative="0">
      <w:start w:val="1"/>
      <w:numFmt w:val="decimal"/>
      <w:lvlText w:val="（%1）"/>
      <w:lvlJc w:val="left"/>
      <w:pPr>
        <w:ind w:left="420" w:hanging="420"/>
      </w:pPr>
      <w:rPr>
        <w:rFonts w:hint="eastAsia"/>
      </w:r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305886"/>
    <w:multiLevelType w:val="singleLevel"/>
    <w:tmpl w:val="21305886"/>
    <w:lvl w:ilvl="0" w:tentative="0">
      <w:start w:val="1"/>
      <w:numFmt w:val="decimal"/>
      <w:lvlText w:val="（%1）"/>
      <w:lvlJc w:val="left"/>
      <w:pPr>
        <w:ind w:left="420" w:hanging="420"/>
      </w:pPr>
      <w:rPr>
        <w:rFonts w:hint="eastAsia"/>
      </w:rPr>
    </w:lvl>
  </w:abstractNum>
  <w:abstractNum w:abstractNumId="1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2E721C7A"/>
    <w:multiLevelType w:val="singleLevel"/>
    <w:tmpl w:val="2E721C7A"/>
    <w:lvl w:ilvl="0" w:tentative="0">
      <w:start w:val="1"/>
      <w:numFmt w:val="decimal"/>
      <w:suff w:val="nothing"/>
      <w:lvlText w:val="（%1）"/>
      <w:lvlJc w:val="left"/>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9">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4A4E0C"/>
    <w:multiLevelType w:val="singleLevel"/>
    <w:tmpl w:val="7B4A4E0C"/>
    <w:lvl w:ilvl="0" w:tentative="0">
      <w:start w:val="1"/>
      <w:numFmt w:val="decimal"/>
      <w:lvlText w:val="（%1）"/>
      <w:lvlJc w:val="left"/>
      <w:pPr>
        <w:ind w:left="420" w:hanging="420"/>
      </w:pPr>
      <w:rPr>
        <w:rFonts w:hint="eastAsia"/>
      </w:r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num w:numId="1">
    <w:abstractNumId w:val="25"/>
  </w:num>
  <w:num w:numId="2">
    <w:abstractNumId w:val="28"/>
  </w:num>
  <w:num w:numId="3">
    <w:abstractNumId w:val="20"/>
  </w:num>
  <w:num w:numId="4">
    <w:abstractNumId w:val="26"/>
  </w:num>
  <w:num w:numId="5">
    <w:abstractNumId w:val="21"/>
  </w:num>
  <w:num w:numId="6">
    <w:abstractNumId w:val="10"/>
  </w:num>
  <w:num w:numId="7">
    <w:abstractNumId w:val="30"/>
  </w:num>
  <w:num w:numId="8">
    <w:abstractNumId w:val="31"/>
  </w:num>
  <w:num w:numId="9">
    <w:abstractNumId w:val="14"/>
  </w:num>
  <w:num w:numId="10">
    <w:abstractNumId w:val="4"/>
  </w:num>
  <w:num w:numId="11">
    <w:abstractNumId w:val="17"/>
  </w:num>
  <w:num w:numId="12">
    <w:abstractNumId w:val="2"/>
  </w:num>
  <w:num w:numId="13">
    <w:abstractNumId w:val="29"/>
  </w:num>
  <w:num w:numId="14">
    <w:abstractNumId w:val="1"/>
  </w:num>
  <w:num w:numId="15">
    <w:abstractNumId w:val="16"/>
  </w:num>
  <w:num w:numId="16">
    <w:abstractNumId w:val="7"/>
  </w:num>
  <w:num w:numId="17">
    <w:abstractNumId w:val="9"/>
  </w:num>
  <w:num w:numId="18">
    <w:abstractNumId w:val="12"/>
  </w:num>
  <w:num w:numId="19">
    <w:abstractNumId w:val="19"/>
  </w:num>
  <w:num w:numId="20">
    <w:abstractNumId w:val="0"/>
  </w:num>
  <w:num w:numId="21">
    <w:abstractNumId w:val="3"/>
  </w:num>
  <w:num w:numId="22">
    <w:abstractNumId w:val="6"/>
  </w:num>
  <w:num w:numId="23">
    <w:abstractNumId w:val="5"/>
  </w:num>
  <w:num w:numId="24">
    <w:abstractNumId w:val="27"/>
  </w:num>
  <w:num w:numId="25">
    <w:abstractNumId w:val="22"/>
  </w:num>
  <w:num w:numId="26">
    <w:abstractNumId w:val="18"/>
  </w:num>
  <w:num w:numId="27">
    <w:abstractNumId w:val="15"/>
  </w:num>
  <w:num w:numId="28">
    <w:abstractNumId w:val="23"/>
  </w:num>
  <w:num w:numId="29">
    <w:abstractNumId w:val="13"/>
  </w:num>
  <w:num w:numId="30">
    <w:abstractNumId w:val="8"/>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NjcyZTUwOTZiNTNmMTIyYjhhMjgyZjYzYjg0Yjk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9E792C"/>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A4468C"/>
    <w:rsid w:val="02B47C4D"/>
    <w:rsid w:val="04450729"/>
    <w:rsid w:val="04533DF5"/>
    <w:rsid w:val="04D46768"/>
    <w:rsid w:val="04F90B5F"/>
    <w:rsid w:val="053A1CC8"/>
    <w:rsid w:val="06856661"/>
    <w:rsid w:val="06897EFF"/>
    <w:rsid w:val="06F2628F"/>
    <w:rsid w:val="076020A5"/>
    <w:rsid w:val="077B4608"/>
    <w:rsid w:val="07BB74B6"/>
    <w:rsid w:val="07D7576E"/>
    <w:rsid w:val="08047D94"/>
    <w:rsid w:val="08493DEA"/>
    <w:rsid w:val="086E4EC9"/>
    <w:rsid w:val="08D412B5"/>
    <w:rsid w:val="0B510E78"/>
    <w:rsid w:val="0B734A64"/>
    <w:rsid w:val="0C8E2713"/>
    <w:rsid w:val="0CDE01F2"/>
    <w:rsid w:val="0CED44D4"/>
    <w:rsid w:val="0D6832FB"/>
    <w:rsid w:val="0D817B82"/>
    <w:rsid w:val="0DD201F4"/>
    <w:rsid w:val="0E10615B"/>
    <w:rsid w:val="0EB84F33"/>
    <w:rsid w:val="0EC105D2"/>
    <w:rsid w:val="0F0F2125"/>
    <w:rsid w:val="0F4526B6"/>
    <w:rsid w:val="0F631C56"/>
    <w:rsid w:val="0F83329A"/>
    <w:rsid w:val="0FB029A1"/>
    <w:rsid w:val="10091618"/>
    <w:rsid w:val="12501CC1"/>
    <w:rsid w:val="12E25688"/>
    <w:rsid w:val="13C47C54"/>
    <w:rsid w:val="152B64B8"/>
    <w:rsid w:val="156E7814"/>
    <w:rsid w:val="15740DA4"/>
    <w:rsid w:val="16846935"/>
    <w:rsid w:val="16F8414B"/>
    <w:rsid w:val="18042CCA"/>
    <w:rsid w:val="182C0B0F"/>
    <w:rsid w:val="192B4E46"/>
    <w:rsid w:val="195A6BC0"/>
    <w:rsid w:val="1ADF78BB"/>
    <w:rsid w:val="1B0E2C71"/>
    <w:rsid w:val="1C5670DA"/>
    <w:rsid w:val="1C890385"/>
    <w:rsid w:val="1D394892"/>
    <w:rsid w:val="1D7D250F"/>
    <w:rsid w:val="1F7074E6"/>
    <w:rsid w:val="212A3898"/>
    <w:rsid w:val="213334EB"/>
    <w:rsid w:val="22087C6F"/>
    <w:rsid w:val="227A4EED"/>
    <w:rsid w:val="228D0750"/>
    <w:rsid w:val="237C10C0"/>
    <w:rsid w:val="23C200EA"/>
    <w:rsid w:val="2441529B"/>
    <w:rsid w:val="24786106"/>
    <w:rsid w:val="25A5748F"/>
    <w:rsid w:val="25BE1EBF"/>
    <w:rsid w:val="25D85A3C"/>
    <w:rsid w:val="261A7813"/>
    <w:rsid w:val="267E19B6"/>
    <w:rsid w:val="26A1441F"/>
    <w:rsid w:val="26E95967"/>
    <w:rsid w:val="27633576"/>
    <w:rsid w:val="283F6788"/>
    <w:rsid w:val="29026720"/>
    <w:rsid w:val="29093D0F"/>
    <w:rsid w:val="290A7EDA"/>
    <w:rsid w:val="29734191"/>
    <w:rsid w:val="2A1D36D7"/>
    <w:rsid w:val="2A437ED8"/>
    <w:rsid w:val="2A680A04"/>
    <w:rsid w:val="2B9E3425"/>
    <w:rsid w:val="2BCD523D"/>
    <w:rsid w:val="2BD84FDD"/>
    <w:rsid w:val="2BFA4386"/>
    <w:rsid w:val="2CD73EA3"/>
    <w:rsid w:val="2D3D4A15"/>
    <w:rsid w:val="2D845ED0"/>
    <w:rsid w:val="2EAB6E76"/>
    <w:rsid w:val="2F1C1ED1"/>
    <w:rsid w:val="2F3F3904"/>
    <w:rsid w:val="30226B4B"/>
    <w:rsid w:val="30381F4F"/>
    <w:rsid w:val="30F32955"/>
    <w:rsid w:val="335B1BCE"/>
    <w:rsid w:val="343D0CA7"/>
    <w:rsid w:val="34A05B77"/>
    <w:rsid w:val="366F0F07"/>
    <w:rsid w:val="37097428"/>
    <w:rsid w:val="378105FB"/>
    <w:rsid w:val="38AC36F6"/>
    <w:rsid w:val="394A3FAD"/>
    <w:rsid w:val="39ED7FCB"/>
    <w:rsid w:val="3AAD7F79"/>
    <w:rsid w:val="3B035AF9"/>
    <w:rsid w:val="3B991A52"/>
    <w:rsid w:val="3BB26AC4"/>
    <w:rsid w:val="3C35255B"/>
    <w:rsid w:val="3CE55188"/>
    <w:rsid w:val="3D3679ED"/>
    <w:rsid w:val="3DF05077"/>
    <w:rsid w:val="3E7B6048"/>
    <w:rsid w:val="3EF556A8"/>
    <w:rsid w:val="3FC22E88"/>
    <w:rsid w:val="408D7227"/>
    <w:rsid w:val="41195D48"/>
    <w:rsid w:val="41407E51"/>
    <w:rsid w:val="416261FF"/>
    <w:rsid w:val="416718EC"/>
    <w:rsid w:val="43251644"/>
    <w:rsid w:val="439D7A21"/>
    <w:rsid w:val="43D97719"/>
    <w:rsid w:val="447267E8"/>
    <w:rsid w:val="44DB6CFD"/>
    <w:rsid w:val="44E431E5"/>
    <w:rsid w:val="45567A15"/>
    <w:rsid w:val="456968FF"/>
    <w:rsid w:val="45BB27B0"/>
    <w:rsid w:val="45EF4DFF"/>
    <w:rsid w:val="46B30DE6"/>
    <w:rsid w:val="46CC5899"/>
    <w:rsid w:val="48814978"/>
    <w:rsid w:val="492A4A83"/>
    <w:rsid w:val="4956022C"/>
    <w:rsid w:val="495C1F5C"/>
    <w:rsid w:val="49F41101"/>
    <w:rsid w:val="4A183041"/>
    <w:rsid w:val="4AF77150"/>
    <w:rsid w:val="4B266D22"/>
    <w:rsid w:val="4B8B03E4"/>
    <w:rsid w:val="4CB30DFF"/>
    <w:rsid w:val="4D9A3F67"/>
    <w:rsid w:val="4DDF67CC"/>
    <w:rsid w:val="4EE12BFB"/>
    <w:rsid w:val="4F8211EC"/>
    <w:rsid w:val="4FAB4438"/>
    <w:rsid w:val="4FB2564E"/>
    <w:rsid w:val="50F25547"/>
    <w:rsid w:val="50FA6A61"/>
    <w:rsid w:val="51794BC1"/>
    <w:rsid w:val="52C40443"/>
    <w:rsid w:val="534D6CE9"/>
    <w:rsid w:val="53D25371"/>
    <w:rsid w:val="540F1FD2"/>
    <w:rsid w:val="54511A96"/>
    <w:rsid w:val="55CE6CAA"/>
    <w:rsid w:val="561F6663"/>
    <w:rsid w:val="56B934B6"/>
    <w:rsid w:val="57315BF2"/>
    <w:rsid w:val="57594B93"/>
    <w:rsid w:val="575E5899"/>
    <w:rsid w:val="58461589"/>
    <w:rsid w:val="589D0439"/>
    <w:rsid w:val="59026F8E"/>
    <w:rsid w:val="594A6990"/>
    <w:rsid w:val="597A3977"/>
    <w:rsid w:val="59F04200"/>
    <w:rsid w:val="5A2E0F40"/>
    <w:rsid w:val="5B254ABE"/>
    <w:rsid w:val="5B2A2CC3"/>
    <w:rsid w:val="5BEC7F89"/>
    <w:rsid w:val="5D350047"/>
    <w:rsid w:val="5E6A32E8"/>
    <w:rsid w:val="5E8307E5"/>
    <w:rsid w:val="5F056EB4"/>
    <w:rsid w:val="60475C3F"/>
    <w:rsid w:val="60785544"/>
    <w:rsid w:val="60A60070"/>
    <w:rsid w:val="60F5323F"/>
    <w:rsid w:val="61A26997"/>
    <w:rsid w:val="621670AC"/>
    <w:rsid w:val="621B3277"/>
    <w:rsid w:val="622C21AB"/>
    <w:rsid w:val="62D00ABF"/>
    <w:rsid w:val="63117482"/>
    <w:rsid w:val="63514A76"/>
    <w:rsid w:val="640C25AF"/>
    <w:rsid w:val="6541126B"/>
    <w:rsid w:val="65B640A4"/>
    <w:rsid w:val="676E766B"/>
    <w:rsid w:val="67AF38F8"/>
    <w:rsid w:val="683A303D"/>
    <w:rsid w:val="68802DB0"/>
    <w:rsid w:val="68B51C59"/>
    <w:rsid w:val="68C161FA"/>
    <w:rsid w:val="68E97B63"/>
    <w:rsid w:val="6A1862EE"/>
    <w:rsid w:val="6A5B2F9C"/>
    <w:rsid w:val="6B1E605C"/>
    <w:rsid w:val="6C3A69EF"/>
    <w:rsid w:val="6C5E0507"/>
    <w:rsid w:val="6C6B5505"/>
    <w:rsid w:val="6C7F6F76"/>
    <w:rsid w:val="6DF67C63"/>
    <w:rsid w:val="6E3F209B"/>
    <w:rsid w:val="6E630C5A"/>
    <w:rsid w:val="6ED02117"/>
    <w:rsid w:val="70324530"/>
    <w:rsid w:val="70A430AF"/>
    <w:rsid w:val="70B56BD1"/>
    <w:rsid w:val="71402FF1"/>
    <w:rsid w:val="725336E8"/>
    <w:rsid w:val="72DD6963"/>
    <w:rsid w:val="731D3C1A"/>
    <w:rsid w:val="73282472"/>
    <w:rsid w:val="73396BFD"/>
    <w:rsid w:val="74783A1C"/>
    <w:rsid w:val="74AB354D"/>
    <w:rsid w:val="74B05132"/>
    <w:rsid w:val="74ED2666"/>
    <w:rsid w:val="74EE3873"/>
    <w:rsid w:val="763D36EF"/>
    <w:rsid w:val="76465616"/>
    <w:rsid w:val="76C52AAF"/>
    <w:rsid w:val="76E02AD4"/>
    <w:rsid w:val="76E063E5"/>
    <w:rsid w:val="772A35DE"/>
    <w:rsid w:val="77D44DFB"/>
    <w:rsid w:val="78010510"/>
    <w:rsid w:val="781B5752"/>
    <w:rsid w:val="791F5DD1"/>
    <w:rsid w:val="798425C1"/>
    <w:rsid w:val="79942B61"/>
    <w:rsid w:val="79A35F22"/>
    <w:rsid w:val="79BF662E"/>
    <w:rsid w:val="79F05C41"/>
    <w:rsid w:val="7A751935"/>
    <w:rsid w:val="7A9D11E2"/>
    <w:rsid w:val="7B2952F2"/>
    <w:rsid w:val="7CF46BD3"/>
    <w:rsid w:val="7F3379F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5"/>
    <w:qFormat/>
    <w:uiPriority w:val="0"/>
    <w:pPr>
      <w:jc w:val="left"/>
    </w:pPr>
    <w:rPr>
      <w:rFonts w:ascii="仿宋_GB2312" w:hAnsi="宋体" w:eastAsia="仿宋_GB2312"/>
    </w:rPr>
  </w:style>
  <w:style w:type="paragraph" w:styleId="3">
    <w:name w:val="annotation text"/>
    <w:basedOn w:val="1"/>
    <w:link w:val="27"/>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Body Text Indent"/>
    <w:basedOn w:val="1"/>
    <w:semiHidden/>
    <w:qFormat/>
    <w:uiPriority w:val="0"/>
    <w:pPr>
      <w:ind w:left="-2" w:leftChars="-1" w:firstLine="420" w:firstLineChars="200"/>
    </w:pPr>
    <w:rPr>
      <w:rFonts w:ascii="Times New Roman" w:hAnsi="Times New Roman" w:eastAsia="宋体" w:cs="Times New Roman"/>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3"/>
    <w:semiHidden/>
    <w:unhideWhenUsed/>
    <w:qFormat/>
    <w:uiPriority w:val="99"/>
    <w:rPr>
      <w:b/>
      <w:bCs/>
    </w:rPr>
  </w:style>
  <w:style w:type="paragraph" w:styleId="15">
    <w:name w:val="Body Text First Indent 2"/>
    <w:basedOn w:val="5"/>
    <w:qFormat/>
    <w:uiPriority w:val="0"/>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21"/>
    <w:link w:val="1"/>
    <w:unhideWhenUsed/>
    <w:qFormat/>
    <w:uiPriority w:val="99"/>
    <w:rPr>
      <w:color w:val="0000FF"/>
      <w:u w:val="single"/>
    </w:rPr>
  </w:style>
  <w:style w:type="character" w:customStyle="1" w:styleId="21">
    <w:name w:val="NormalCharacter"/>
    <w:link w:val="1"/>
    <w:qFormat/>
    <w:uiPriority w:val="0"/>
    <w:rPr>
      <w:rFonts w:ascii="Times New Roman" w:hAnsi="Times New Roman" w:eastAsia="宋体" w:cs="Times New Roman"/>
      <w:kern w:val="2"/>
      <w:sz w:val="21"/>
      <w:szCs w:val="24"/>
      <w:lang w:val="en-US" w:eastAsia="zh-CN" w:bidi="ar-SA"/>
    </w:rPr>
  </w:style>
  <w:style w:type="character" w:styleId="22">
    <w:name w:val="annotation reference"/>
    <w:basedOn w:val="18"/>
    <w:unhideWhenUsed/>
    <w:qFormat/>
    <w:uiPriority w:val="99"/>
    <w:rPr>
      <w:sz w:val="21"/>
      <w:szCs w:val="21"/>
    </w:rPr>
  </w:style>
  <w:style w:type="character" w:styleId="23">
    <w:name w:val="footnote reference"/>
    <w:basedOn w:val="18"/>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8"/>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8"/>
    <w:link w:val="7"/>
    <w:semiHidden/>
    <w:qFormat/>
    <w:uiPriority w:val="99"/>
    <w:rPr>
      <w:rFonts w:ascii="Times New Roman" w:hAnsi="Times New Roman" w:eastAsia="宋体" w:cs="Times New Roman"/>
      <w:sz w:val="18"/>
      <w:szCs w:val="18"/>
    </w:rPr>
  </w:style>
  <w:style w:type="character" w:customStyle="1" w:styleId="30">
    <w:name w:val="页眉 字符"/>
    <w:basedOn w:val="18"/>
    <w:link w:val="9"/>
    <w:qFormat/>
    <w:uiPriority w:val="99"/>
    <w:rPr>
      <w:rFonts w:ascii="Times New Roman" w:hAnsi="Times New Roman" w:eastAsia="宋体" w:cs="Times New Roman"/>
      <w:sz w:val="18"/>
      <w:szCs w:val="18"/>
    </w:rPr>
  </w:style>
  <w:style w:type="character" w:customStyle="1" w:styleId="31">
    <w:name w:val="页脚 字符"/>
    <w:basedOn w:val="18"/>
    <w:link w:val="8"/>
    <w:qFormat/>
    <w:uiPriority w:val="99"/>
    <w:rPr>
      <w:rFonts w:ascii="Times New Roman" w:hAnsi="Times New Roman" w:eastAsia="宋体" w:cs="Times New Roman"/>
      <w:sz w:val="18"/>
      <w:szCs w:val="18"/>
    </w:rPr>
  </w:style>
  <w:style w:type="character" w:customStyle="1" w:styleId="32">
    <w:name w:val="标题1"/>
    <w:basedOn w:val="18"/>
    <w:qFormat/>
    <w:uiPriority w:val="0"/>
  </w:style>
  <w:style w:type="character" w:customStyle="1" w:styleId="33">
    <w:name w:val="批注主题 字符"/>
    <w:basedOn w:val="27"/>
    <w:link w:val="14"/>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8"/>
    <w:link w:val="2"/>
    <w:qFormat/>
    <w:uiPriority w:val="0"/>
    <w:rPr>
      <w:rFonts w:ascii="仿宋_GB2312" w:hAnsi="宋体" w:eastAsia="仿宋_GB2312"/>
      <w:kern w:val="2"/>
      <w:sz w:val="21"/>
      <w:szCs w:val="24"/>
    </w:rPr>
  </w:style>
  <w:style w:type="character" w:customStyle="1" w:styleId="36">
    <w:name w:val="脚注文本 字符"/>
    <w:basedOn w:val="18"/>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BodyText2"/>
    <w:basedOn w:val="1"/>
    <w:qFormat/>
    <w:uiPriority w:val="0"/>
    <w:pPr>
      <w:jc w:val="left"/>
      <w:textAlignment w:val="baseline"/>
    </w:pPr>
    <w:rPr>
      <w:rFonts w:ascii="仿宋_GB2312" w:hAnsi="宋体" w:eastAsia="仿宋_GB2312"/>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12529</Words>
  <Characters>13402</Characters>
  <Lines>140</Lines>
  <Paragraphs>39</Paragraphs>
  <TotalTime>71</TotalTime>
  <ScaleCrop>false</ScaleCrop>
  <LinksUpToDate>false</LinksUpToDate>
  <CharactersWithSpaces>15788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cp:lastPrinted>2023-09-08T03:49:00Z</cp:lastPrinted>
  <dcterms:modified xsi:type="dcterms:W3CDTF">2023-09-21T07:25:19Z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4208D9AC3B404398885BF1417FED2BED_13</vt:lpwstr>
  </property>
</Properties>
</file>