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284"/>
        <w:rPr>
          <w:rFonts w:ascii="仿宋" w:hAnsi="仿宋" w:eastAsia="仿宋"/>
          <w:sz w:val="30"/>
          <w:szCs w:val="30"/>
        </w:rPr>
      </w:pPr>
    </w:p>
    <w:p>
      <w:pPr>
        <w:spacing w:beforeLines="50"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Lines="50"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项目名称：深圳会展中心自行式剪型高空作业平台采购项目</w:t>
      </w: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p>
    <w:p>
      <w:pPr>
        <w:jc w:val="center"/>
        <w:rPr>
          <w:rFonts w:ascii="方正小标宋简体" w:hAnsi="方正小标宋_GBK" w:eastAsia="方正小标宋简体" w:cs="方正小标宋_GBK"/>
          <w:b/>
          <w:sz w:val="32"/>
          <w:szCs w:val="32"/>
        </w:rPr>
      </w:pPr>
    </w:p>
    <w:p>
      <w:pPr>
        <w:jc w:val="center"/>
        <w:rPr>
          <w:rFonts w:ascii="方正小标宋简体" w:hAnsi="方正小标宋_GBK" w:eastAsia="方正小标宋简体" w:cs="方正小标宋_GBK"/>
          <w:b/>
          <w:sz w:val="32"/>
          <w:szCs w:val="32"/>
        </w:rPr>
      </w:pPr>
    </w:p>
    <w:p>
      <w:pPr>
        <w:jc w:val="center"/>
        <w:rPr>
          <w:rFonts w:ascii="方正小标宋简体" w:hAnsi="方正小标宋_GBK" w:eastAsia="方正小标宋简体" w:cs="方正小标宋_GBK"/>
          <w:b/>
          <w:sz w:val="32"/>
          <w:szCs w:val="32"/>
        </w:rPr>
      </w:pPr>
    </w:p>
    <w:p>
      <w:pPr>
        <w:jc w:val="center"/>
        <w:rPr>
          <w:rFonts w:ascii="方正小标宋简体" w:hAnsi="方正小标宋_GBK" w:eastAsia="方正小标宋简体" w:cs="方正小标宋_GBK"/>
          <w:b/>
          <w:sz w:val="32"/>
          <w:szCs w:val="32"/>
        </w:rPr>
      </w:pPr>
    </w:p>
    <w:p>
      <w:pPr>
        <w:jc w:val="center"/>
        <w:rPr>
          <w:rFonts w:ascii="方正小标宋简体" w:hAnsi="方正小标宋_GBK" w:eastAsia="方正小标宋简体" w:cs="方正小标宋_GBK"/>
          <w:b/>
          <w:sz w:val="32"/>
          <w:szCs w:val="32"/>
        </w:rPr>
      </w:pPr>
    </w:p>
    <w:p>
      <w:pPr>
        <w:jc w:val="center"/>
        <w:rPr>
          <w:rFonts w:ascii="方正小标宋简体" w:hAnsi="方正小标宋_GBK" w:eastAsia="方正小标宋简体" w:cs="方正小标宋_GBK"/>
          <w:b/>
          <w:sz w:val="32"/>
          <w:szCs w:val="32"/>
        </w:rPr>
      </w:pPr>
    </w:p>
    <w:p>
      <w:pPr>
        <w:jc w:val="center"/>
        <w:rPr>
          <w:rFonts w:ascii="方正小标宋简体" w:hAnsi="方正小标宋_GBK" w:eastAsia="方正小标宋简体" w:cs="方正小标宋_GBK"/>
          <w:b/>
          <w:sz w:val="32"/>
          <w:szCs w:val="32"/>
        </w:rPr>
      </w:pPr>
    </w:p>
    <w:p>
      <w:pPr>
        <w:jc w:val="center"/>
        <w:rPr>
          <w:rFonts w:ascii="方正小标宋简体" w:hAnsi="方正小标宋_GBK" w:eastAsia="方正小标宋简体" w:cs="方正小标宋_GBK"/>
          <w:b/>
          <w:sz w:val="32"/>
          <w:szCs w:val="32"/>
        </w:rPr>
      </w:pPr>
    </w:p>
    <w:p>
      <w:pPr>
        <w:jc w:val="center"/>
        <w:rPr>
          <w:rFonts w:ascii="方正小标宋简体" w:hAnsi="方正小标宋_GBK" w:eastAsia="方正小标宋简体" w:cs="方正小标宋_GBK"/>
          <w:b/>
          <w:sz w:val="32"/>
          <w:szCs w:val="32"/>
        </w:rPr>
      </w:pPr>
    </w:p>
    <w:p>
      <w:pPr>
        <w:jc w:val="center"/>
        <w:rPr>
          <w:rFonts w:ascii="方正小标宋简体" w:hAnsi="方正小标宋_GBK" w:eastAsia="方正小标宋简体"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2023年9月</w:t>
      </w:r>
      <w:r>
        <w:rPr>
          <w:rFonts w:hint="eastAsia" w:ascii="方正小标宋简体" w:hAnsi="方正小标宋_GBK" w:eastAsia="方正小标宋简体" w:cs="方正小标宋_GBK"/>
          <w:b/>
          <w:sz w:val="32"/>
          <w:szCs w:val="32"/>
        </w:rPr>
        <w:br w:type="page"/>
      </w:r>
    </w:p>
    <w:p>
      <w:pPr>
        <w:pStyle w:val="8"/>
        <w:tabs>
          <w:tab w:val="right" w:leader="dot" w:pos="8306"/>
        </w:tabs>
        <w:spacing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8"/>
        <w:tabs>
          <w:tab w:val="right" w:leader="dot" w:pos="8296"/>
        </w:tabs>
        <w:rPr>
          <w:rFonts w:asciiTheme="minorHAnsi" w:hAnsiTheme="minorHAnsi"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18"/>
          <w:rFonts w:ascii="宋体" w:hAnsi="宋体"/>
          <w:b/>
        </w:rPr>
        <w:t>第一部分 项目要求</w:t>
      </w:r>
      <w:r>
        <w:tab/>
      </w:r>
      <w:r>
        <w:fldChar w:fldCharType="end"/>
      </w:r>
      <w:r>
        <w:rPr>
          <w:rFonts w:hint="eastAsia"/>
        </w:rPr>
        <w:t>3</w:t>
      </w:r>
    </w:p>
    <w:p>
      <w:pPr>
        <w:pStyle w:val="10"/>
        <w:tabs>
          <w:tab w:val="right" w:leader="dot" w:pos="8296"/>
        </w:tabs>
        <w:rPr>
          <w:rFonts w:asciiTheme="minorHAnsi" w:hAnsiTheme="minorHAnsi" w:cstheme="minorBidi"/>
          <w:szCs w:val="22"/>
        </w:rPr>
      </w:pPr>
      <w:r>
        <w:fldChar w:fldCharType="begin"/>
      </w:r>
      <w:r>
        <w:instrText xml:space="preserve"> HYPERLINK \l "_Toc116550345" </w:instrText>
      </w:r>
      <w:r>
        <w:fldChar w:fldCharType="separate"/>
      </w:r>
      <w:r>
        <w:rPr>
          <w:rStyle w:val="18"/>
          <w:rFonts w:ascii="宋体" w:hAnsi="宋体" w:cs="仿宋"/>
          <w:bCs/>
        </w:rPr>
        <w:t>一、</w:t>
      </w:r>
      <w:r>
        <w:rPr>
          <w:rStyle w:val="18"/>
          <w:rFonts w:ascii="宋体" w:hAnsi="宋体"/>
        </w:rPr>
        <w:t xml:space="preserve"> 投标人须知</w:t>
      </w:r>
      <w:r>
        <w:tab/>
      </w:r>
      <w:r>
        <w:fldChar w:fldCharType="end"/>
      </w:r>
      <w:r>
        <w:rPr>
          <w:rFonts w:hint="eastAsia"/>
        </w:rPr>
        <w:t>3</w:t>
      </w:r>
    </w:p>
    <w:p>
      <w:pPr>
        <w:pStyle w:val="10"/>
        <w:tabs>
          <w:tab w:val="right" w:leader="dot" w:pos="8296"/>
        </w:tabs>
        <w:rPr>
          <w:rFonts w:asciiTheme="minorHAnsi" w:hAnsiTheme="minorHAnsi" w:cstheme="minorBidi"/>
          <w:szCs w:val="22"/>
        </w:rPr>
      </w:pPr>
      <w:r>
        <w:fldChar w:fldCharType="begin"/>
      </w:r>
      <w:r>
        <w:instrText xml:space="preserve"> HYPERLINK \l "_Toc116550346" </w:instrText>
      </w:r>
      <w:r>
        <w:fldChar w:fldCharType="separate"/>
      </w:r>
      <w:r>
        <w:rPr>
          <w:rStyle w:val="18"/>
          <w:rFonts w:ascii="宋体" w:hAnsi="宋体" w:cs="仿宋"/>
          <w:bCs/>
        </w:rPr>
        <w:t>二、</w:t>
      </w:r>
      <w:r>
        <w:rPr>
          <w:rStyle w:val="18"/>
          <w:rFonts w:ascii="宋体" w:hAnsi="宋体"/>
        </w:rPr>
        <w:t xml:space="preserve"> 特别说明</w:t>
      </w:r>
      <w:r>
        <w:tab/>
      </w:r>
      <w:r>
        <w:fldChar w:fldCharType="end"/>
      </w:r>
      <w:r>
        <w:rPr>
          <w:rFonts w:hint="eastAsia"/>
        </w:rPr>
        <w:t>5</w:t>
      </w:r>
    </w:p>
    <w:p>
      <w:pPr>
        <w:pStyle w:val="10"/>
        <w:tabs>
          <w:tab w:val="right" w:leader="dot" w:pos="8296"/>
        </w:tabs>
        <w:rPr>
          <w:rFonts w:asciiTheme="minorHAnsi" w:hAnsiTheme="minorHAnsi" w:cstheme="minorBidi"/>
          <w:szCs w:val="22"/>
        </w:rPr>
      </w:pPr>
      <w:r>
        <w:fldChar w:fldCharType="begin"/>
      </w:r>
      <w:r>
        <w:instrText xml:space="preserve"> HYPERLINK \l "_Toc116550347" </w:instrText>
      </w:r>
      <w:r>
        <w:fldChar w:fldCharType="separate"/>
      </w:r>
      <w:r>
        <w:rPr>
          <w:rStyle w:val="18"/>
          <w:rFonts w:ascii="宋体" w:hAnsi="宋体" w:cs="仿宋"/>
          <w:bCs/>
        </w:rPr>
        <w:t>三、</w:t>
      </w:r>
      <w:r>
        <w:rPr>
          <w:rStyle w:val="18"/>
          <w:rFonts w:ascii="宋体" w:hAnsi="宋体"/>
        </w:rPr>
        <w:t xml:space="preserve"> 投标文件编制</w:t>
      </w:r>
      <w:r>
        <w:tab/>
      </w:r>
      <w:r>
        <w:fldChar w:fldCharType="end"/>
      </w:r>
      <w:r>
        <w:rPr>
          <w:rFonts w:hint="eastAsia"/>
        </w:rPr>
        <w:t>5</w:t>
      </w:r>
    </w:p>
    <w:p>
      <w:pPr>
        <w:pStyle w:val="10"/>
        <w:tabs>
          <w:tab w:val="right" w:leader="dot" w:pos="8296"/>
        </w:tabs>
        <w:rPr>
          <w:rFonts w:asciiTheme="minorHAnsi" w:hAnsiTheme="minorHAnsi" w:cstheme="minorBidi"/>
          <w:szCs w:val="22"/>
        </w:rPr>
      </w:pPr>
      <w:r>
        <w:fldChar w:fldCharType="begin"/>
      </w:r>
      <w:r>
        <w:instrText xml:space="preserve"> HYPERLINK \l "_Toc116550348" </w:instrText>
      </w:r>
      <w:r>
        <w:fldChar w:fldCharType="separate"/>
      </w:r>
      <w:r>
        <w:rPr>
          <w:rStyle w:val="18"/>
          <w:rFonts w:ascii="宋体" w:hAnsi="宋体" w:cs="仿宋"/>
          <w:bCs/>
        </w:rPr>
        <w:t>四、</w:t>
      </w:r>
      <w:r>
        <w:rPr>
          <w:rStyle w:val="18"/>
          <w:rFonts w:ascii="宋体" w:hAnsi="宋体"/>
        </w:rPr>
        <w:t xml:space="preserve"> 项目要求</w:t>
      </w:r>
      <w:r>
        <w:tab/>
      </w:r>
      <w:r>
        <w:fldChar w:fldCharType="end"/>
      </w:r>
      <w:r>
        <w:rPr>
          <w:rFonts w:hint="eastAsia"/>
        </w:rPr>
        <w:t>6</w:t>
      </w:r>
    </w:p>
    <w:p>
      <w:pPr>
        <w:pStyle w:val="10"/>
        <w:tabs>
          <w:tab w:val="right" w:leader="dot" w:pos="8296"/>
        </w:tabs>
        <w:rPr>
          <w:rFonts w:asciiTheme="minorHAnsi" w:hAnsiTheme="minorHAnsi" w:cstheme="minorBidi"/>
          <w:szCs w:val="22"/>
        </w:rPr>
      </w:pPr>
      <w:r>
        <w:fldChar w:fldCharType="begin"/>
      </w:r>
      <w:r>
        <w:instrText xml:space="preserve"> HYPERLINK \l "_Toc116550349" </w:instrText>
      </w:r>
      <w:r>
        <w:fldChar w:fldCharType="separate"/>
      </w:r>
      <w:r>
        <w:rPr>
          <w:rStyle w:val="18"/>
          <w:rFonts w:ascii="宋体" w:hAnsi="宋体" w:cs="仿宋"/>
          <w:bCs/>
        </w:rPr>
        <w:t>五、</w:t>
      </w:r>
      <w:r>
        <w:rPr>
          <w:rStyle w:val="18"/>
          <w:rFonts w:ascii="宋体" w:hAnsi="宋体"/>
        </w:rPr>
        <w:t xml:space="preserve"> 其他项目说明资料</w:t>
      </w:r>
      <w:r>
        <w:tab/>
      </w:r>
      <w:r>
        <w:fldChar w:fldCharType="end"/>
      </w:r>
      <w:r>
        <w:rPr>
          <w:rFonts w:hint="eastAsia"/>
        </w:rPr>
        <w:t>10</w:t>
      </w:r>
    </w:p>
    <w:p>
      <w:pPr>
        <w:pStyle w:val="8"/>
        <w:tabs>
          <w:tab w:val="right" w:leader="dot" w:pos="8296"/>
        </w:tabs>
        <w:rPr>
          <w:rFonts w:asciiTheme="minorHAnsi" w:hAnsiTheme="minorHAnsi" w:cstheme="minorBidi"/>
          <w:szCs w:val="22"/>
        </w:rPr>
      </w:pPr>
      <w:r>
        <w:fldChar w:fldCharType="begin"/>
      </w:r>
      <w:r>
        <w:instrText xml:space="preserve"> HYPERLINK \l "_Toc116550350" </w:instrText>
      </w:r>
      <w:r>
        <w:fldChar w:fldCharType="separate"/>
      </w:r>
      <w:r>
        <w:rPr>
          <w:rStyle w:val="18"/>
          <w:rFonts w:ascii="宋体" w:hAnsi="宋体"/>
          <w:b/>
        </w:rPr>
        <w:t>第二部分：开标评标流程</w:t>
      </w:r>
      <w:r>
        <w:tab/>
      </w:r>
      <w:r>
        <w:fldChar w:fldCharType="end"/>
      </w:r>
      <w:r>
        <w:rPr>
          <w:rFonts w:hint="eastAsia"/>
        </w:rPr>
        <w:t>11</w:t>
      </w:r>
    </w:p>
    <w:p>
      <w:pPr>
        <w:pStyle w:val="10"/>
        <w:tabs>
          <w:tab w:val="right" w:leader="dot" w:pos="8296"/>
        </w:tabs>
        <w:rPr>
          <w:rFonts w:asciiTheme="minorHAnsi" w:hAnsiTheme="minorHAnsi" w:cstheme="minorBidi"/>
          <w:szCs w:val="22"/>
        </w:rPr>
      </w:pPr>
      <w:r>
        <w:fldChar w:fldCharType="begin"/>
      </w:r>
      <w:r>
        <w:instrText xml:space="preserve"> HYPERLINK \l "_Toc116550351" </w:instrText>
      </w:r>
      <w:r>
        <w:fldChar w:fldCharType="separate"/>
      </w:r>
      <w:r>
        <w:rPr>
          <w:rStyle w:val="18"/>
          <w:rFonts w:ascii="宋体" w:hAnsi="宋体" w:cs="仿宋"/>
          <w:bCs/>
        </w:rPr>
        <w:t>六、</w:t>
      </w:r>
      <w:r>
        <w:rPr>
          <w:rStyle w:val="18"/>
        </w:rPr>
        <w:t xml:space="preserve"> 开标阶段</w:t>
      </w:r>
      <w:r>
        <w:tab/>
      </w:r>
      <w:r>
        <w:fldChar w:fldCharType="end"/>
      </w:r>
      <w:r>
        <w:rPr>
          <w:rFonts w:hint="eastAsia"/>
        </w:rPr>
        <w:t>11</w:t>
      </w:r>
    </w:p>
    <w:p>
      <w:pPr>
        <w:pStyle w:val="10"/>
        <w:tabs>
          <w:tab w:val="right" w:leader="dot" w:pos="8296"/>
        </w:tabs>
        <w:rPr>
          <w:rFonts w:asciiTheme="minorHAnsi" w:hAnsiTheme="minorHAnsi" w:cstheme="minorBidi"/>
          <w:szCs w:val="22"/>
        </w:rPr>
      </w:pPr>
      <w:r>
        <w:fldChar w:fldCharType="begin"/>
      </w:r>
      <w:r>
        <w:instrText xml:space="preserve"> HYPERLINK \l "_Toc116550352" </w:instrText>
      </w:r>
      <w:r>
        <w:fldChar w:fldCharType="separate"/>
      </w:r>
      <w:r>
        <w:rPr>
          <w:rStyle w:val="18"/>
          <w:rFonts w:ascii="宋体" w:hAnsi="宋体" w:cs="仿宋"/>
          <w:bCs/>
        </w:rPr>
        <w:t>七、</w:t>
      </w:r>
      <w:r>
        <w:rPr>
          <w:rStyle w:val="18"/>
        </w:rPr>
        <w:t xml:space="preserve"> 评标阶段</w:t>
      </w:r>
      <w:r>
        <w:tab/>
      </w:r>
      <w:r>
        <w:fldChar w:fldCharType="end"/>
      </w:r>
      <w:r>
        <w:rPr>
          <w:rFonts w:hint="eastAsia"/>
        </w:rPr>
        <w:t>11</w:t>
      </w:r>
    </w:p>
    <w:p>
      <w:pPr>
        <w:pStyle w:val="8"/>
        <w:tabs>
          <w:tab w:val="right" w:leader="dot" w:pos="8296"/>
        </w:tabs>
        <w:rPr>
          <w:rFonts w:asciiTheme="minorHAnsi" w:hAnsiTheme="minorHAnsi" w:cstheme="minorBidi"/>
          <w:szCs w:val="22"/>
        </w:rPr>
      </w:pPr>
      <w:r>
        <w:fldChar w:fldCharType="begin"/>
      </w:r>
      <w:r>
        <w:instrText xml:space="preserve"> HYPERLINK \l "_Toc116550353" </w:instrText>
      </w:r>
      <w:r>
        <w:fldChar w:fldCharType="separate"/>
      </w:r>
      <w:r>
        <w:rPr>
          <w:rStyle w:val="18"/>
          <w:rFonts w:ascii="宋体" w:hAnsi="宋体"/>
          <w:b/>
        </w:rPr>
        <w:t>第三部分：评审办法</w:t>
      </w:r>
      <w:r>
        <w:tab/>
      </w:r>
      <w:r>
        <w:fldChar w:fldCharType="end"/>
      </w:r>
      <w:r>
        <w:rPr>
          <w:rFonts w:hint="eastAsia"/>
        </w:rPr>
        <w:t>12</w:t>
      </w:r>
    </w:p>
    <w:p>
      <w:pPr>
        <w:pStyle w:val="10"/>
        <w:tabs>
          <w:tab w:val="right" w:leader="dot" w:pos="8296"/>
        </w:tabs>
        <w:rPr>
          <w:rFonts w:asciiTheme="minorHAnsi" w:hAnsiTheme="minorHAnsi" w:cstheme="minorBidi"/>
          <w:szCs w:val="22"/>
        </w:rPr>
      </w:pPr>
      <w:r>
        <w:fldChar w:fldCharType="begin"/>
      </w:r>
      <w:r>
        <w:instrText xml:space="preserve"> HYPERLINK \l "_Toc116550354" </w:instrText>
      </w:r>
      <w:r>
        <w:fldChar w:fldCharType="separate"/>
      </w:r>
      <w:r>
        <w:rPr>
          <w:rStyle w:val="18"/>
          <w:rFonts w:ascii="宋体" w:hAnsi="宋体" w:cs="仿宋"/>
          <w:bCs/>
        </w:rPr>
        <w:t>八、</w:t>
      </w:r>
      <w:r>
        <w:rPr>
          <w:rStyle w:val="18"/>
          <w:rFonts w:ascii="宋体" w:hAnsi="宋体"/>
          <w:bCs/>
        </w:rPr>
        <w:t xml:space="preserve"> 评审办法</w:t>
      </w:r>
      <w:r>
        <w:tab/>
      </w:r>
      <w:r>
        <w:fldChar w:fldCharType="end"/>
      </w:r>
      <w:r>
        <w:rPr>
          <w:rFonts w:hint="eastAsia"/>
        </w:rPr>
        <w:t>12</w:t>
      </w:r>
    </w:p>
    <w:p>
      <w:pPr>
        <w:pStyle w:val="4"/>
        <w:tabs>
          <w:tab w:val="left" w:pos="1682"/>
          <w:tab w:val="right" w:leader="dot" w:pos="8296"/>
        </w:tabs>
        <w:rPr>
          <w:rFonts w:asciiTheme="minorHAnsi" w:hAnsiTheme="minorHAnsi" w:cstheme="minorBidi"/>
          <w:szCs w:val="22"/>
        </w:rPr>
      </w:pPr>
      <w:r>
        <w:fldChar w:fldCharType="begin"/>
      </w:r>
      <w:r>
        <w:instrText xml:space="preserve"> HYPERLINK \l "_Toc116550355" </w:instrText>
      </w:r>
      <w:r>
        <w:fldChar w:fldCharType="separate"/>
      </w:r>
      <w:r>
        <w:rPr>
          <w:rStyle w:val="18"/>
          <w:rFonts w:ascii="宋体" w:hAnsi="宋体"/>
        </w:rPr>
        <w:t>（一）</w:t>
      </w:r>
      <w:r>
        <w:rPr>
          <w:rFonts w:asciiTheme="minorHAnsi" w:hAnsiTheme="minorHAnsi" w:eastAsiaTheme="minorEastAsia" w:cstheme="minorBidi"/>
          <w:szCs w:val="22"/>
        </w:rPr>
        <w:tab/>
      </w:r>
      <w:r>
        <w:rPr>
          <w:rStyle w:val="18"/>
          <w:rFonts w:ascii="宋体" w:hAnsi="宋体"/>
          <w:bCs/>
        </w:rPr>
        <w:t>符合性检查</w:t>
      </w:r>
      <w:r>
        <w:tab/>
      </w:r>
      <w:r>
        <w:fldChar w:fldCharType="end"/>
      </w:r>
      <w:r>
        <w:rPr>
          <w:rFonts w:hint="eastAsia"/>
        </w:rPr>
        <w:t>12</w:t>
      </w:r>
    </w:p>
    <w:p>
      <w:pPr>
        <w:pStyle w:val="4"/>
        <w:tabs>
          <w:tab w:val="left" w:pos="1682"/>
          <w:tab w:val="right" w:leader="dot" w:pos="8296"/>
        </w:tabs>
        <w:rPr>
          <w:rFonts w:asciiTheme="minorHAnsi" w:hAnsiTheme="minorHAnsi" w:cstheme="minorBidi"/>
          <w:szCs w:val="22"/>
        </w:rPr>
      </w:pPr>
      <w:r>
        <w:fldChar w:fldCharType="begin"/>
      </w:r>
      <w:r>
        <w:instrText xml:space="preserve"> HYPERLINK \l "_Toc116550356" </w:instrText>
      </w:r>
      <w:r>
        <w:fldChar w:fldCharType="separate"/>
      </w:r>
      <w:r>
        <w:rPr>
          <w:rStyle w:val="18"/>
          <w:rFonts w:ascii="宋体" w:hAnsi="宋体"/>
          <w:bCs/>
        </w:rPr>
        <w:t>（二）</w:t>
      </w:r>
      <w:r>
        <w:rPr>
          <w:rFonts w:asciiTheme="minorHAnsi" w:hAnsiTheme="minorHAnsi" w:eastAsiaTheme="minorEastAsia" w:cstheme="minorBidi"/>
          <w:szCs w:val="22"/>
        </w:rPr>
        <w:tab/>
      </w:r>
      <w:r>
        <w:rPr>
          <w:rStyle w:val="18"/>
          <w:rFonts w:ascii="宋体" w:hAnsi="宋体"/>
          <w:bCs/>
        </w:rPr>
        <w:t>不可偏离项检查</w:t>
      </w:r>
      <w:r>
        <w:tab/>
      </w:r>
      <w:r>
        <w:fldChar w:fldCharType="end"/>
      </w:r>
      <w:r>
        <w:rPr>
          <w:rFonts w:hint="eastAsia"/>
        </w:rPr>
        <w:t>12</w:t>
      </w:r>
    </w:p>
    <w:p>
      <w:pPr>
        <w:pStyle w:val="4"/>
        <w:tabs>
          <w:tab w:val="left" w:pos="1682"/>
          <w:tab w:val="right" w:leader="dot" w:pos="8296"/>
        </w:tabs>
        <w:rPr>
          <w:rFonts w:asciiTheme="minorHAnsi" w:hAnsiTheme="minorHAnsi" w:cstheme="minorBidi"/>
          <w:szCs w:val="22"/>
        </w:rPr>
      </w:pPr>
      <w:r>
        <w:fldChar w:fldCharType="begin"/>
      </w:r>
      <w:r>
        <w:instrText xml:space="preserve"> HYPERLINK \l "_Toc116550357" </w:instrText>
      </w:r>
      <w:r>
        <w:fldChar w:fldCharType="separate"/>
      </w:r>
      <w:r>
        <w:rPr>
          <w:rStyle w:val="18"/>
          <w:rFonts w:ascii="宋体" w:hAnsi="宋体"/>
          <w:bCs/>
        </w:rPr>
        <w:t>（三）</w:t>
      </w:r>
      <w:r>
        <w:rPr>
          <w:rFonts w:asciiTheme="minorHAnsi" w:hAnsiTheme="minorHAnsi" w:eastAsiaTheme="minorEastAsia" w:cstheme="minorBidi"/>
          <w:szCs w:val="22"/>
        </w:rPr>
        <w:tab/>
      </w:r>
      <w:r>
        <w:rPr>
          <w:rStyle w:val="18"/>
          <w:rFonts w:ascii="宋体" w:hAnsi="宋体"/>
          <w:bCs/>
        </w:rPr>
        <w:t>综合评议指标表</w:t>
      </w:r>
      <w:r>
        <w:tab/>
      </w:r>
      <w:r>
        <w:fldChar w:fldCharType="end"/>
      </w:r>
      <w:r>
        <w:rPr>
          <w:rFonts w:hint="eastAsia"/>
        </w:rPr>
        <w:t>12</w:t>
      </w:r>
    </w:p>
    <w:p>
      <w:pPr>
        <w:pStyle w:val="8"/>
        <w:tabs>
          <w:tab w:val="right" w:leader="dot" w:pos="8296"/>
        </w:tabs>
        <w:rPr>
          <w:rFonts w:asciiTheme="minorHAnsi" w:hAnsiTheme="minorHAnsi" w:cstheme="minorBidi"/>
          <w:szCs w:val="22"/>
        </w:rPr>
      </w:pPr>
      <w:r>
        <w:fldChar w:fldCharType="begin"/>
      </w:r>
      <w:r>
        <w:instrText xml:space="preserve"> HYPERLINK \l "_Toc116550358" </w:instrText>
      </w:r>
      <w:r>
        <w:fldChar w:fldCharType="separate"/>
      </w:r>
      <w:r>
        <w:rPr>
          <w:rStyle w:val="18"/>
          <w:rFonts w:ascii="宋体" w:hAnsi="宋体"/>
          <w:b/>
        </w:rPr>
        <w:t>第四部分：合同条款及格式</w:t>
      </w:r>
      <w:r>
        <w:tab/>
      </w:r>
      <w:r>
        <w:fldChar w:fldCharType="end"/>
      </w:r>
      <w:r>
        <w:rPr>
          <w:rFonts w:hint="eastAsia"/>
        </w:rPr>
        <w:t>16</w:t>
      </w:r>
    </w:p>
    <w:p>
      <w:pPr>
        <w:pStyle w:val="8"/>
        <w:tabs>
          <w:tab w:val="right" w:leader="dot" w:pos="8296"/>
        </w:tabs>
        <w:rPr>
          <w:rFonts w:asciiTheme="minorHAnsi" w:hAnsiTheme="minorHAnsi" w:cstheme="minorBidi"/>
          <w:szCs w:val="22"/>
        </w:rPr>
      </w:pPr>
      <w:r>
        <w:fldChar w:fldCharType="begin"/>
      </w:r>
      <w:r>
        <w:instrText xml:space="preserve"> HYPERLINK \l "_Toc116550359" </w:instrText>
      </w:r>
      <w:r>
        <w:fldChar w:fldCharType="separate"/>
      </w:r>
      <w:r>
        <w:rPr>
          <w:rStyle w:val="18"/>
          <w:b/>
        </w:rPr>
        <w:t>第五部分：参考附件</w:t>
      </w:r>
      <w:r>
        <w:tab/>
      </w:r>
      <w:r>
        <w:fldChar w:fldCharType="end"/>
      </w:r>
      <w:r>
        <w:rPr>
          <w:rFonts w:hint="eastAsia"/>
        </w:rPr>
        <w:t>20</w:t>
      </w:r>
    </w:p>
    <w:p>
      <w:pPr>
        <w:pStyle w:val="10"/>
        <w:tabs>
          <w:tab w:val="right" w:leader="dot" w:pos="8296"/>
        </w:tabs>
        <w:rPr>
          <w:rFonts w:asciiTheme="minorHAnsi" w:hAnsiTheme="minorHAnsi" w:cstheme="minorBidi"/>
          <w:szCs w:val="22"/>
        </w:rPr>
      </w:pPr>
      <w:r>
        <w:fldChar w:fldCharType="begin"/>
      </w:r>
      <w:r>
        <w:instrText xml:space="preserve"> HYPERLINK \l "_Toc116550360" </w:instrText>
      </w:r>
      <w:r>
        <w:fldChar w:fldCharType="separate"/>
      </w:r>
      <w:r>
        <w:rPr>
          <w:rStyle w:val="18"/>
          <w:rFonts w:ascii="宋体" w:hAnsi="宋体"/>
        </w:rPr>
        <w:t>附件1：报名回函</w:t>
      </w:r>
      <w:r>
        <w:tab/>
      </w:r>
      <w:r>
        <w:fldChar w:fldCharType="end"/>
      </w:r>
      <w:r>
        <w:rPr>
          <w:rFonts w:hint="eastAsia"/>
        </w:rPr>
        <w:t>20</w:t>
      </w:r>
    </w:p>
    <w:p>
      <w:pPr>
        <w:pStyle w:val="10"/>
        <w:tabs>
          <w:tab w:val="right" w:leader="dot" w:pos="8296"/>
        </w:tabs>
        <w:rPr>
          <w:rFonts w:asciiTheme="minorHAnsi" w:hAnsiTheme="minorHAnsi" w:cstheme="minorBidi"/>
          <w:szCs w:val="22"/>
        </w:rPr>
      </w:pPr>
      <w:r>
        <w:fldChar w:fldCharType="begin"/>
      </w:r>
      <w:r>
        <w:instrText xml:space="preserve"> HYPERLINK \l "_Toc116550361" </w:instrText>
      </w:r>
      <w:r>
        <w:fldChar w:fldCharType="separate"/>
      </w:r>
      <w:r>
        <w:rPr>
          <w:rStyle w:val="18"/>
          <w:rFonts w:ascii="宋体" w:hAnsi="宋体"/>
        </w:rPr>
        <w:t>附件2：投标函</w:t>
      </w:r>
      <w:r>
        <w:tab/>
      </w:r>
      <w:r>
        <w:fldChar w:fldCharType="end"/>
      </w:r>
      <w:r>
        <w:rPr>
          <w:rFonts w:hint="eastAsia"/>
        </w:rPr>
        <w:t>21</w:t>
      </w:r>
    </w:p>
    <w:p>
      <w:pPr>
        <w:pStyle w:val="10"/>
        <w:tabs>
          <w:tab w:val="right" w:leader="dot" w:pos="8296"/>
        </w:tabs>
        <w:rPr>
          <w:rFonts w:asciiTheme="minorHAnsi" w:hAnsiTheme="minorHAnsi" w:cstheme="minorBidi"/>
          <w:szCs w:val="22"/>
        </w:rPr>
      </w:pPr>
      <w:r>
        <w:fldChar w:fldCharType="begin"/>
      </w:r>
      <w:r>
        <w:instrText xml:space="preserve"> HYPERLINK \l "_Toc116550362" </w:instrText>
      </w:r>
      <w:r>
        <w:fldChar w:fldCharType="separate"/>
      </w:r>
      <w:r>
        <w:rPr>
          <w:rStyle w:val="18"/>
          <w:rFonts w:ascii="宋体" w:hAnsi="宋体"/>
        </w:rPr>
        <w:t>附件3：投标一览表</w:t>
      </w:r>
      <w:r>
        <w:tab/>
      </w:r>
      <w:r>
        <w:fldChar w:fldCharType="end"/>
      </w:r>
      <w:r>
        <w:rPr>
          <w:rFonts w:hint="eastAsia"/>
        </w:rPr>
        <w:t>22</w:t>
      </w:r>
    </w:p>
    <w:p>
      <w:pPr>
        <w:pStyle w:val="10"/>
        <w:tabs>
          <w:tab w:val="right" w:leader="dot" w:pos="8296"/>
        </w:tabs>
        <w:rPr>
          <w:rFonts w:asciiTheme="minorHAnsi" w:hAnsiTheme="minorHAnsi" w:cstheme="minorBidi"/>
          <w:szCs w:val="22"/>
        </w:rPr>
      </w:pPr>
      <w:r>
        <w:fldChar w:fldCharType="begin"/>
      </w:r>
      <w:r>
        <w:instrText xml:space="preserve"> HYPERLINK \l "_Toc116550363" </w:instrText>
      </w:r>
      <w:r>
        <w:fldChar w:fldCharType="separate"/>
      </w:r>
      <w:r>
        <w:rPr>
          <w:rStyle w:val="18"/>
          <w:rFonts w:ascii="宋体" w:hAnsi="宋体"/>
        </w:rPr>
        <w:t>附件4：考察证明（本项目不适用）</w:t>
      </w:r>
      <w:r>
        <w:tab/>
      </w:r>
      <w:r>
        <w:fldChar w:fldCharType="end"/>
      </w:r>
      <w:r>
        <w:rPr>
          <w:rFonts w:hint="eastAsia"/>
        </w:rPr>
        <w:t>23</w:t>
      </w:r>
    </w:p>
    <w:p>
      <w:pPr>
        <w:pStyle w:val="10"/>
        <w:tabs>
          <w:tab w:val="right" w:leader="dot" w:pos="8296"/>
        </w:tabs>
        <w:rPr>
          <w:rFonts w:asciiTheme="minorHAnsi" w:hAnsiTheme="minorHAnsi" w:cstheme="minorBidi"/>
          <w:szCs w:val="22"/>
        </w:rPr>
      </w:pPr>
      <w:r>
        <w:fldChar w:fldCharType="begin"/>
      </w:r>
      <w:r>
        <w:instrText xml:space="preserve"> HYPERLINK \l "_Toc116550364" </w:instrText>
      </w:r>
      <w:r>
        <w:fldChar w:fldCharType="separate"/>
      </w:r>
      <w:r>
        <w:rPr>
          <w:rStyle w:val="18"/>
          <w:rFonts w:ascii="宋体" w:hAnsi="宋体"/>
        </w:rPr>
        <w:t>附件5：技术服务响应/偏离表</w:t>
      </w:r>
      <w:r>
        <w:tab/>
      </w:r>
      <w:r>
        <w:fldChar w:fldCharType="end"/>
      </w:r>
      <w:r>
        <w:rPr>
          <w:rFonts w:hint="eastAsia"/>
        </w:rPr>
        <w:t>24</w:t>
      </w:r>
    </w:p>
    <w:p>
      <w:pPr>
        <w:pStyle w:val="10"/>
        <w:tabs>
          <w:tab w:val="right" w:leader="dot" w:pos="8296"/>
        </w:tabs>
        <w:rPr>
          <w:rFonts w:asciiTheme="minorHAnsi" w:hAnsiTheme="minorHAnsi" w:cstheme="minorBidi"/>
          <w:szCs w:val="22"/>
        </w:rPr>
      </w:pPr>
      <w:r>
        <w:fldChar w:fldCharType="begin"/>
      </w:r>
      <w:r>
        <w:instrText xml:space="preserve"> HYPERLINK \l "_Toc116550365" </w:instrText>
      </w:r>
      <w:r>
        <w:fldChar w:fldCharType="separate"/>
      </w:r>
      <w:r>
        <w:rPr>
          <w:rStyle w:val="18"/>
          <w:rFonts w:ascii="宋体" w:hAnsi="宋体"/>
        </w:rPr>
        <w:t>附件6：商务条款响应/偏离表</w:t>
      </w:r>
      <w:r>
        <w:tab/>
      </w:r>
      <w:r>
        <w:fldChar w:fldCharType="end"/>
      </w:r>
      <w:r>
        <w:rPr>
          <w:rFonts w:hint="eastAsia"/>
        </w:rPr>
        <w:t>25</w:t>
      </w:r>
    </w:p>
    <w:p>
      <w:pPr>
        <w:pStyle w:val="10"/>
        <w:tabs>
          <w:tab w:val="right" w:leader="dot" w:pos="8296"/>
        </w:tabs>
        <w:rPr>
          <w:rFonts w:asciiTheme="minorHAnsi" w:hAnsiTheme="minorHAnsi" w:cstheme="minorBidi"/>
          <w:szCs w:val="22"/>
        </w:rPr>
      </w:pPr>
      <w:r>
        <w:fldChar w:fldCharType="begin"/>
      </w:r>
      <w:r>
        <w:instrText xml:space="preserve"> HYPERLINK \l "_Toc116550366" </w:instrText>
      </w:r>
      <w:r>
        <w:fldChar w:fldCharType="separate"/>
      </w:r>
      <w:r>
        <w:rPr>
          <w:rStyle w:val="18"/>
          <w:rFonts w:ascii="宋体" w:hAnsi="宋体"/>
        </w:rPr>
        <w:t>附件7：报价一览表（货物）</w:t>
      </w:r>
      <w:r>
        <w:tab/>
      </w:r>
      <w:r>
        <w:fldChar w:fldCharType="end"/>
      </w:r>
      <w:r>
        <w:rPr>
          <w:rFonts w:hint="eastAsia"/>
        </w:rPr>
        <w:t>26</w:t>
      </w:r>
    </w:p>
    <w:p>
      <w:pPr>
        <w:pStyle w:val="10"/>
        <w:tabs>
          <w:tab w:val="right" w:leader="dot" w:pos="8296"/>
        </w:tabs>
        <w:rPr>
          <w:rFonts w:asciiTheme="minorHAnsi" w:hAnsiTheme="minorHAnsi" w:cstheme="minorBidi"/>
          <w:szCs w:val="22"/>
        </w:rPr>
      </w:pPr>
      <w:r>
        <w:fldChar w:fldCharType="begin"/>
      </w:r>
      <w:r>
        <w:instrText xml:space="preserve"> HYPERLINK \l "_Toc116550367" </w:instrText>
      </w:r>
      <w:r>
        <w:fldChar w:fldCharType="separate"/>
      </w:r>
      <w:r>
        <w:rPr>
          <w:rStyle w:val="18"/>
          <w:rFonts w:ascii="宋体" w:hAnsi="宋体"/>
        </w:rPr>
        <w:t>附件8：报价一览表（服务）（本项目不适用）</w:t>
      </w:r>
      <w:r>
        <w:tab/>
      </w:r>
      <w:r>
        <w:fldChar w:fldCharType="end"/>
      </w:r>
      <w:r>
        <w:rPr>
          <w:rFonts w:hint="eastAsia"/>
        </w:rPr>
        <w:t>27</w:t>
      </w:r>
    </w:p>
    <w:p>
      <w:pPr>
        <w:pStyle w:val="10"/>
        <w:tabs>
          <w:tab w:val="right" w:leader="dot" w:pos="8296"/>
        </w:tabs>
        <w:rPr>
          <w:rFonts w:asciiTheme="minorHAnsi" w:hAnsiTheme="minorHAnsi" w:cstheme="minorBidi"/>
          <w:szCs w:val="22"/>
        </w:rPr>
      </w:pPr>
      <w:r>
        <w:fldChar w:fldCharType="begin"/>
      </w:r>
      <w:r>
        <w:instrText xml:space="preserve"> HYPERLINK \l "_Toc116550368" </w:instrText>
      </w:r>
      <w:r>
        <w:fldChar w:fldCharType="separate"/>
      </w:r>
      <w:r>
        <w:rPr>
          <w:rStyle w:val="18"/>
          <w:rFonts w:ascii="宋体" w:hAnsi="宋体"/>
        </w:rPr>
        <w:t>附件9：报价一览表（工程）（本项目不适用）</w:t>
      </w:r>
      <w:r>
        <w:tab/>
      </w:r>
      <w:r>
        <w:fldChar w:fldCharType="end"/>
      </w:r>
      <w:r>
        <w:rPr>
          <w:rFonts w:hint="eastAsia"/>
        </w:rPr>
        <w:t>28</w:t>
      </w:r>
    </w:p>
    <w:p>
      <w:pPr>
        <w:pStyle w:val="10"/>
        <w:tabs>
          <w:tab w:val="right" w:leader="dot" w:pos="8296"/>
        </w:tabs>
        <w:rPr>
          <w:rFonts w:asciiTheme="minorHAnsi" w:hAnsiTheme="minorHAnsi" w:cstheme="minorBidi"/>
          <w:szCs w:val="22"/>
        </w:rPr>
      </w:pPr>
      <w:r>
        <w:fldChar w:fldCharType="begin"/>
      </w:r>
      <w:r>
        <w:instrText xml:space="preserve"> HYPERLINK \l "_Toc116550369" </w:instrText>
      </w:r>
      <w:r>
        <w:fldChar w:fldCharType="separate"/>
      </w:r>
      <w:r>
        <w:rPr>
          <w:rStyle w:val="18"/>
          <w:rFonts w:ascii="宋体" w:hAnsi="宋体"/>
        </w:rPr>
        <w:t>附件10：法定代表人证明书</w:t>
      </w:r>
      <w:r>
        <w:tab/>
      </w:r>
      <w:r>
        <w:fldChar w:fldCharType="end"/>
      </w:r>
      <w:r>
        <w:rPr>
          <w:rFonts w:hint="eastAsia"/>
        </w:rPr>
        <w:t>29</w:t>
      </w:r>
    </w:p>
    <w:p>
      <w:pPr>
        <w:pStyle w:val="10"/>
        <w:tabs>
          <w:tab w:val="right" w:leader="dot" w:pos="8296"/>
        </w:tabs>
        <w:rPr>
          <w:rFonts w:asciiTheme="minorHAnsi" w:hAnsiTheme="minorHAnsi" w:cstheme="minorBidi"/>
          <w:szCs w:val="22"/>
        </w:rPr>
      </w:pPr>
      <w:r>
        <w:fldChar w:fldCharType="begin"/>
      </w:r>
      <w:r>
        <w:instrText xml:space="preserve"> HYPERLINK \l "_Toc116550370" </w:instrText>
      </w:r>
      <w:r>
        <w:fldChar w:fldCharType="separate"/>
      </w:r>
      <w:r>
        <w:rPr>
          <w:rStyle w:val="18"/>
          <w:rFonts w:ascii="宋体" w:hAnsi="宋体"/>
        </w:rPr>
        <w:t>附件11：法人授权委托证明书</w:t>
      </w:r>
      <w:r>
        <w:tab/>
      </w:r>
      <w:r>
        <w:fldChar w:fldCharType="end"/>
      </w:r>
      <w:r>
        <w:rPr>
          <w:rFonts w:hint="eastAsia"/>
        </w:rPr>
        <w:t>30</w:t>
      </w:r>
    </w:p>
    <w:p>
      <w:pPr>
        <w:pStyle w:val="10"/>
        <w:tabs>
          <w:tab w:val="right" w:leader="dot" w:pos="8296"/>
        </w:tabs>
        <w:rPr>
          <w:rFonts w:asciiTheme="minorHAnsi" w:hAnsiTheme="minorHAnsi" w:cstheme="minorBidi"/>
          <w:szCs w:val="22"/>
        </w:rPr>
      </w:pPr>
      <w:r>
        <w:fldChar w:fldCharType="begin"/>
      </w:r>
      <w:r>
        <w:instrText xml:space="preserve"> HYPERLINK \l "_Toc116550371" </w:instrText>
      </w:r>
      <w:r>
        <w:fldChar w:fldCharType="separate"/>
      </w:r>
      <w:r>
        <w:rPr>
          <w:rStyle w:val="18"/>
          <w:rFonts w:ascii="宋体" w:hAnsi="宋体"/>
        </w:rPr>
        <w:t>附件12：经营业绩一览表</w:t>
      </w:r>
      <w:r>
        <w:tab/>
      </w:r>
      <w:r>
        <w:fldChar w:fldCharType="end"/>
      </w:r>
      <w:r>
        <w:rPr>
          <w:rFonts w:hint="eastAsia"/>
        </w:rPr>
        <w:t>31</w:t>
      </w:r>
    </w:p>
    <w:p>
      <w:pPr>
        <w:pStyle w:val="10"/>
        <w:tabs>
          <w:tab w:val="right" w:leader="dot" w:pos="8296"/>
        </w:tabs>
        <w:rPr>
          <w:rFonts w:asciiTheme="minorHAnsi" w:hAnsiTheme="minorHAnsi" w:cstheme="minorBidi"/>
          <w:szCs w:val="22"/>
        </w:rPr>
      </w:pPr>
      <w:r>
        <w:fldChar w:fldCharType="begin"/>
      </w:r>
      <w:r>
        <w:instrText xml:space="preserve"> HYPERLINK \l "_Toc116550372" </w:instrText>
      </w:r>
      <w:r>
        <w:fldChar w:fldCharType="separate"/>
      </w:r>
      <w:r>
        <w:rPr>
          <w:rStyle w:val="18"/>
          <w:rFonts w:ascii="宋体" w:hAnsi="宋体"/>
        </w:rPr>
        <w:t>附件13：售后服务承诺书（质量保证服务承诺书）</w:t>
      </w:r>
      <w:r>
        <w:tab/>
      </w:r>
      <w:r>
        <w:fldChar w:fldCharType="end"/>
      </w:r>
      <w:r>
        <w:rPr>
          <w:rFonts w:hint="eastAsia"/>
        </w:rPr>
        <w:t>32</w:t>
      </w:r>
    </w:p>
    <w:p>
      <w:pPr>
        <w:pStyle w:val="10"/>
        <w:tabs>
          <w:tab w:val="right" w:leader="dot" w:pos="8296"/>
        </w:tabs>
        <w:rPr>
          <w:rFonts w:asciiTheme="minorHAnsi" w:hAnsiTheme="minorHAnsi" w:cstheme="minorBidi"/>
          <w:szCs w:val="22"/>
        </w:rPr>
      </w:pPr>
      <w:r>
        <w:fldChar w:fldCharType="begin"/>
      </w:r>
      <w:r>
        <w:instrText xml:space="preserve"> HYPERLINK \l "_Toc116550373" </w:instrText>
      </w:r>
      <w:r>
        <w:fldChar w:fldCharType="separate"/>
      </w:r>
      <w:r>
        <w:rPr>
          <w:rStyle w:val="18"/>
          <w:rFonts w:ascii="宋体" w:hAnsi="宋体"/>
        </w:rPr>
        <w:t>附件14：履约情况及社会信誉承诺书</w:t>
      </w:r>
      <w:r>
        <w:tab/>
      </w:r>
      <w:r>
        <w:fldChar w:fldCharType="end"/>
      </w:r>
      <w:r>
        <w:rPr>
          <w:rFonts w:hint="eastAsia"/>
        </w:rPr>
        <w:t>33</w:t>
      </w:r>
    </w:p>
    <w:p>
      <w:pPr>
        <w:pStyle w:val="10"/>
        <w:tabs>
          <w:tab w:val="right" w:leader="dot" w:pos="8296"/>
        </w:tabs>
        <w:rPr>
          <w:rFonts w:asciiTheme="minorHAnsi" w:hAnsiTheme="minorHAnsi" w:cstheme="minorBidi"/>
          <w:szCs w:val="22"/>
        </w:rPr>
      </w:pPr>
      <w:r>
        <w:fldChar w:fldCharType="begin"/>
      </w:r>
      <w:r>
        <w:instrText xml:space="preserve"> HYPERLINK \l "_Toc116550374" </w:instrText>
      </w:r>
      <w:r>
        <w:fldChar w:fldCharType="separate"/>
      </w:r>
      <w:r>
        <w:rPr>
          <w:rStyle w:val="18"/>
          <w:rFonts w:ascii="宋体" w:hAnsi="宋体"/>
        </w:rPr>
        <w:t>附件15：投标文件密码单</w:t>
      </w:r>
      <w:r>
        <w:tab/>
      </w:r>
      <w:r>
        <w:fldChar w:fldCharType="end"/>
      </w:r>
      <w:r>
        <w:rPr>
          <w:rFonts w:hint="eastAsia"/>
        </w:rPr>
        <w:t>34</w:t>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16550344"/>
      <w:r>
        <w:rPr>
          <w:rFonts w:hint="eastAsia" w:ascii="宋体" w:hAnsi="宋体"/>
          <w:b/>
          <w:sz w:val="32"/>
          <w:szCs w:val="32"/>
        </w:rPr>
        <w:t>第一部分 项目要求</w:t>
      </w:r>
      <w:bookmarkEnd w:id="0"/>
    </w:p>
    <w:p>
      <w:pPr>
        <w:numPr>
          <w:ilvl w:val="0"/>
          <w:numId w:val="1"/>
        </w:numPr>
        <w:spacing w:beforeLines="50" w:line="360" w:lineRule="auto"/>
        <w:outlineLvl w:val="1"/>
        <w:rPr>
          <w:rFonts w:ascii="宋体" w:hAnsi="宋体"/>
          <w:b/>
          <w:szCs w:val="21"/>
        </w:rPr>
      </w:pPr>
      <w:bookmarkStart w:id="1" w:name="_Toc116550345"/>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联系人：区女士</w:t>
            </w:r>
          </w:p>
          <w:p>
            <w:pPr>
              <w:wordWrap w:val="0"/>
              <w:autoSpaceDE w:val="0"/>
              <w:autoSpaceDN w:val="0"/>
              <w:adjustRightInd w:val="0"/>
              <w:snapToGrid w:val="0"/>
              <w:rPr>
                <w:rFonts w:ascii="宋体" w:hAnsi="宋体"/>
                <w:szCs w:val="21"/>
              </w:rPr>
            </w:pPr>
            <w:r>
              <w:rPr>
                <w:rFonts w:hint="eastAsia" w:ascii="宋体" w:hAnsi="宋体"/>
                <w:szCs w:val="21"/>
              </w:rPr>
              <w:t>电话：0755-82848795</w:t>
            </w:r>
          </w:p>
          <w:p>
            <w:pPr>
              <w:wordWrap w:val="0"/>
              <w:autoSpaceDE w:val="0"/>
              <w:autoSpaceDN w:val="0"/>
              <w:adjustRightInd w:val="0"/>
              <w:snapToGrid w:val="0"/>
              <w:rPr>
                <w:rFonts w:ascii="宋体" w:hAnsi="宋体"/>
                <w:szCs w:val="21"/>
              </w:rPr>
            </w:pPr>
            <w:r>
              <w:rPr>
                <w:rFonts w:hint="eastAsia" w:ascii="宋体" w:hAnsi="宋体"/>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rPr>
                <w:rFonts w:hint="eastAsia"/>
              </w:rPr>
              <w:fldChar w:fldCharType="begin"/>
            </w:r>
            <w:r>
              <w:instrText xml:space="preserve"> HYPERLINK "mailto:*@qq.com" </w:instrText>
            </w:r>
            <w:r>
              <w:rPr>
                <w:rFonts w:hint="eastAsia"/>
              </w:rPr>
              <w:fldChar w:fldCharType="separate"/>
            </w:r>
            <w:r>
              <w:rPr>
                <w:rFonts w:hint="eastAsia" w:ascii="宋体" w:hAnsi="宋体"/>
                <w:szCs w:val="21"/>
              </w:rPr>
              <w:t>ouwx@</w:t>
            </w:r>
            <w:r>
              <w:rPr>
                <w:rFonts w:hint="eastAsia" w:ascii="宋体" w:hAnsi="宋体"/>
                <w:szCs w:val="21"/>
              </w:rPr>
              <w:fldChar w:fldCharType="end"/>
            </w:r>
            <w:r>
              <w:rPr>
                <w:rFonts w:hint="eastAsia" w:ascii="宋体" w:hAnsi="宋体"/>
                <w:szCs w:val="21"/>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szCs w:val="21"/>
              </w:rPr>
              <w:t>深圳会展中心自行式剪型高空作业平台采购项目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FF0000"/>
                <w:szCs w:val="21"/>
                <w:highlight w:val="yellow"/>
              </w:rPr>
            </w:pPr>
            <w:r>
              <w:rPr>
                <w:rFonts w:hint="eastAsia" w:ascii="宋体" w:hAnsi="宋体"/>
                <w:szCs w:val="21"/>
              </w:rPr>
              <w:t>为了满足招标</w:t>
            </w:r>
            <w:r>
              <w:rPr>
                <w:rFonts w:ascii="宋体" w:hAnsi="宋体"/>
                <w:szCs w:val="21"/>
              </w:rPr>
              <w:t>人</w:t>
            </w:r>
            <w:r>
              <w:rPr>
                <w:rFonts w:hint="eastAsia" w:ascii="宋体" w:hAnsi="宋体"/>
                <w:szCs w:val="21"/>
              </w:rPr>
              <w:t>日常高空维修及安装等工作，切实保障施工安全和提高工作效率，拟购置5台剪式高空作业平台用于满足工作要求。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rPr>
              <w:t>深圳市福田区福华三路深圳会展中心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 xml:space="preserve">交货期 </w:t>
            </w:r>
            <w:r>
              <w:rPr>
                <w:rFonts w:hint="eastAsia" w:ascii="宋体" w:hAnsi="宋体"/>
                <w:szCs w:val="21"/>
                <w:u w:val="single"/>
              </w:rPr>
              <w:t xml:space="preserve">60 </w:t>
            </w:r>
            <w:r>
              <w:rPr>
                <w:rFonts w:hint="eastAsia" w:ascii="宋体" w:hAnsi="宋体"/>
                <w:szCs w:val="21"/>
              </w:rPr>
              <w:t>天（合同签订之日起60个日历日）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09</w:t>
            </w:r>
            <w:r>
              <w:rPr>
                <w:rFonts w:ascii="宋体" w:hAnsi="宋体"/>
                <w:b/>
                <w:bCs/>
                <w:szCs w:val="21"/>
                <w:highlight w:val="yellow"/>
              </w:rPr>
              <w:t>-</w:t>
            </w:r>
            <w:r>
              <w:rPr>
                <w:rFonts w:hint="eastAsia" w:ascii="宋体" w:hAnsi="宋体"/>
                <w:b/>
                <w:bCs/>
                <w:szCs w:val="21"/>
                <w:highlight w:val="yellow"/>
                <w:lang w:val="en-US" w:eastAsia="zh-CN"/>
              </w:rPr>
              <w:t>21</w:t>
            </w:r>
            <w:r>
              <w:rPr>
                <w:rFonts w:ascii="宋体" w:hAnsi="宋体"/>
                <w:b/>
                <w:bCs/>
                <w:szCs w:val="21"/>
                <w:highlight w:val="yellow"/>
              </w:rPr>
              <w:t xml:space="preserve"> </w:t>
            </w:r>
            <w:r>
              <w:rPr>
                <w:rFonts w:hint="eastAsia" w:ascii="宋体" w:hAnsi="宋体"/>
                <w:b/>
                <w:bCs/>
                <w:szCs w:val="21"/>
                <w:highlight w:val="yellow"/>
                <w:lang w:val="en-US" w:eastAsia="zh-CN"/>
              </w:rPr>
              <w:t>14</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
                <w:bCs/>
                <w:szCs w:val="21"/>
                <w:highlight w:val="yellow"/>
              </w:rPr>
              <w:t>https://cg.szcec.com/sharing/zqjTvDndb</w:t>
            </w:r>
            <w:r>
              <w:rPr>
                <w:rFonts w:hint="eastAsia" w:ascii="宋体" w:hAnsi="宋体"/>
                <w:bCs/>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18"/>
                <w:rFonts w:ascii="宋体" w:hAnsi="宋体"/>
                <w:szCs w:val="21"/>
              </w:rPr>
              <w:t>https://www.szcec.com/News/index/id/256.html</w:t>
            </w:r>
            <w:r>
              <w:rPr>
                <w:rStyle w:val="18"/>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rPr>
                <w:rFonts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09</w:t>
            </w:r>
            <w:r>
              <w:rPr>
                <w:rFonts w:ascii="宋体" w:hAnsi="宋体"/>
                <w:b/>
                <w:bCs/>
                <w:szCs w:val="21"/>
                <w:highlight w:val="yellow"/>
              </w:rPr>
              <w:t>-</w:t>
            </w:r>
            <w:r>
              <w:rPr>
                <w:rFonts w:hint="eastAsia" w:ascii="宋体" w:hAnsi="宋体"/>
                <w:b/>
                <w:bCs/>
                <w:szCs w:val="21"/>
                <w:highlight w:val="yellow"/>
                <w:lang w:val="en-US" w:eastAsia="zh-CN"/>
              </w:rPr>
              <w:t>26</w:t>
            </w:r>
            <w:r>
              <w:rPr>
                <w:rFonts w:ascii="宋体" w:hAnsi="宋体"/>
                <w:b/>
                <w:bCs/>
                <w:szCs w:val="21"/>
                <w:highlight w:val="yellow"/>
              </w:rPr>
              <w:t xml:space="preserve"> </w:t>
            </w:r>
            <w:r>
              <w:rPr>
                <w:rFonts w:hint="eastAsia" w:ascii="宋体" w:hAnsi="宋体"/>
                <w:b/>
                <w:bCs/>
                <w:szCs w:val="21"/>
                <w:highlight w:val="yellow"/>
                <w:lang w:val="en-US" w:eastAsia="zh-CN"/>
              </w:rPr>
              <w:t>14</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09</w:t>
            </w:r>
            <w:r>
              <w:rPr>
                <w:rFonts w:ascii="宋体" w:hAnsi="宋体"/>
                <w:b/>
                <w:bCs/>
                <w:szCs w:val="21"/>
                <w:highlight w:val="yellow"/>
              </w:rPr>
              <w:t>-</w:t>
            </w:r>
            <w:r>
              <w:rPr>
                <w:rFonts w:hint="eastAsia" w:ascii="宋体" w:hAnsi="宋体"/>
                <w:b/>
                <w:bCs/>
                <w:szCs w:val="21"/>
                <w:highlight w:val="yellow"/>
                <w:lang w:val="en-US" w:eastAsia="zh-CN"/>
              </w:rPr>
              <w:t>26</w:t>
            </w:r>
            <w:r>
              <w:rPr>
                <w:rFonts w:ascii="宋体" w:hAnsi="宋体"/>
                <w:b/>
                <w:bCs/>
                <w:szCs w:val="21"/>
                <w:highlight w:val="yellow"/>
              </w:rPr>
              <w:t xml:space="preserve"> </w:t>
            </w:r>
            <w:r>
              <w:rPr>
                <w:rFonts w:hint="eastAsia" w:ascii="宋体" w:hAnsi="宋体"/>
                <w:b/>
                <w:bCs/>
                <w:szCs w:val="21"/>
                <w:highlight w:val="yellow"/>
                <w:lang w:val="en-US" w:eastAsia="zh-CN"/>
              </w:rPr>
              <w:t>14</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09</w:t>
            </w:r>
            <w:r>
              <w:rPr>
                <w:rFonts w:ascii="宋体" w:hAnsi="宋体"/>
                <w:b/>
                <w:bCs/>
                <w:szCs w:val="21"/>
                <w:highlight w:val="yellow"/>
              </w:rPr>
              <w:t>-</w:t>
            </w:r>
            <w:r>
              <w:rPr>
                <w:rFonts w:hint="eastAsia" w:ascii="宋体" w:hAnsi="宋体"/>
                <w:b/>
                <w:bCs/>
                <w:szCs w:val="21"/>
                <w:highlight w:val="yellow"/>
                <w:lang w:val="en-US" w:eastAsia="zh-CN"/>
              </w:rPr>
              <w:t>27</w:t>
            </w:r>
            <w:r>
              <w:rPr>
                <w:rFonts w:ascii="宋体" w:hAnsi="宋体"/>
                <w:b/>
                <w:bCs/>
                <w:szCs w:val="21"/>
                <w:highlight w:val="yellow"/>
              </w:rPr>
              <w:t xml:space="preserve"> </w:t>
            </w:r>
            <w:r>
              <w:rPr>
                <w:rFonts w:hint="eastAsia" w:ascii="宋体" w:hAnsi="宋体"/>
                <w:b/>
                <w:bCs/>
                <w:szCs w:val="21"/>
                <w:highlight w:val="yellow"/>
                <w:lang w:val="en-US" w:eastAsia="zh-CN"/>
              </w:rPr>
              <w:t>14</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10</w:t>
            </w:r>
            <w:r>
              <w:rPr>
                <w:rFonts w:ascii="宋体" w:hAnsi="宋体"/>
                <w:b/>
                <w:bCs/>
                <w:szCs w:val="21"/>
                <w:highlight w:val="yellow"/>
              </w:rPr>
              <w:t>-</w:t>
            </w:r>
            <w:r>
              <w:rPr>
                <w:rFonts w:hint="eastAsia" w:ascii="宋体" w:hAnsi="宋体"/>
                <w:b/>
                <w:bCs/>
                <w:szCs w:val="21"/>
                <w:highlight w:val="yellow"/>
                <w:lang w:val="en-US" w:eastAsia="zh-CN"/>
              </w:rPr>
              <w:t>09</w:t>
            </w:r>
            <w:r>
              <w:rPr>
                <w:rFonts w:ascii="宋体" w:hAnsi="宋体"/>
                <w:b/>
                <w:bCs/>
                <w:szCs w:val="21"/>
                <w:highlight w:val="yellow"/>
              </w:rPr>
              <w:t xml:space="preserve"> </w:t>
            </w:r>
            <w:r>
              <w:rPr>
                <w:rFonts w:hint="eastAsia" w:ascii="宋体" w:hAnsi="宋体"/>
                <w:b/>
                <w:bCs/>
                <w:szCs w:val="21"/>
                <w:highlight w:val="yellow"/>
                <w:lang w:val="en-US" w:eastAsia="zh-CN"/>
              </w:rPr>
              <w:t>14</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
                <w:bCs/>
                <w:szCs w:val="21"/>
                <w:highlight w:val="yellow"/>
              </w:rPr>
              <w:t>https://cg.szcec.com/sharing/n2RnqfjVL</w:t>
            </w:r>
            <w:r>
              <w:rPr>
                <w:rFonts w:hint="eastAsia" w:ascii="宋体" w:hAnsi="宋体"/>
                <w:bCs/>
              </w:rPr>
              <w:t>，</w:t>
            </w:r>
            <w:r>
              <w:rPr>
                <w:rFonts w:hint="eastAsia" w:ascii="宋体" w:hAnsi="宋体"/>
                <w:szCs w:val="21"/>
              </w:rPr>
              <w:t>并致电确认</w:t>
            </w:r>
            <w:bookmarkStart w:id="2" w:name="_Toc478392822"/>
            <w:bookmarkStart w:id="3" w:name="_Toc478110532"/>
            <w:bookmarkStart w:id="4" w:name="_Toc478393187"/>
            <w:r>
              <w:rPr>
                <w:rFonts w:hint="eastAsia" w:ascii="宋体" w:hAnsi="宋体"/>
                <w:szCs w:val="21"/>
              </w:rPr>
              <w:t>。</w:t>
            </w:r>
            <w:r>
              <w:rPr>
                <w:rFonts w:hint="eastAsia" w:ascii="宋体" w:hAnsi="宋体"/>
              </w:rPr>
              <w:t>注意事项如下：</w:t>
            </w:r>
          </w:p>
          <w:p>
            <w:pPr>
              <w:pStyle w:val="22"/>
              <w:numPr>
                <w:ilvl w:val="0"/>
                <w:numId w:val="3"/>
              </w:numPr>
              <w:ind w:left="0" w:firstLine="0"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10</w:t>
            </w:r>
            <w:r>
              <w:rPr>
                <w:rFonts w:ascii="宋体" w:hAnsi="宋体"/>
                <w:b/>
                <w:bCs/>
                <w:szCs w:val="21"/>
                <w:highlight w:val="yellow"/>
              </w:rPr>
              <w:t>-</w:t>
            </w:r>
            <w:r>
              <w:rPr>
                <w:rFonts w:hint="eastAsia" w:ascii="宋体" w:hAnsi="宋体"/>
                <w:b/>
                <w:bCs/>
                <w:szCs w:val="21"/>
                <w:highlight w:val="yellow"/>
                <w:lang w:val="en-US" w:eastAsia="zh-CN"/>
              </w:rPr>
              <w:t>11</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30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腾讯会议号：</w:t>
            </w:r>
            <w:r>
              <w:rPr>
                <w:rFonts w:hint="eastAsia" w:ascii="宋体" w:hAnsi="宋体"/>
                <w:b/>
                <w:bCs/>
                <w:szCs w:val="21"/>
                <w:highlight w:val="yellow"/>
                <w:lang w:val="en-US" w:eastAsia="zh-CN"/>
              </w:rPr>
              <w:t>553-526-991</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cs="宋体"/>
                <w:b/>
                <w:bCs/>
                <w:highlight w:val="yellow"/>
              </w:rPr>
              <w:t>https://cg.szcec.com/sharing/DIRFqnUzN</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szCs w:val="21"/>
              </w:rPr>
            </w:pPr>
            <w:r>
              <w:rPr>
                <w:rFonts w:hint="eastAsia" w:ascii="宋体" w:hAnsi="宋体"/>
                <w:kern w:val="0"/>
                <w:szCs w:val="21"/>
              </w:rPr>
              <w:sym w:font="Wingdings 2" w:char="0052"/>
            </w:r>
            <w:r>
              <w:rPr>
                <w:rFonts w:hint="eastAsia" w:ascii="宋体" w:hAnsi="宋体" w:cstheme="minorBidi"/>
                <w:szCs w:val="21"/>
              </w:rPr>
              <w:t>不接受</w:t>
            </w:r>
          </w:p>
          <w:p>
            <w:pPr>
              <w:autoSpaceDE w:val="0"/>
              <w:autoSpaceDN w:val="0"/>
              <w:adjustRightInd w:val="0"/>
              <w:snapToGrid w:val="0"/>
              <w:rPr>
                <w:rFonts w:ascii="宋体" w:hAnsi="宋体"/>
                <w:kern w:val="0"/>
                <w:szCs w:val="21"/>
              </w:rPr>
            </w:pPr>
            <w:r>
              <w:rPr>
                <w:rFonts w:hint="eastAsia" w:ascii="宋体" w:hAnsi="宋体" w:cstheme="minorBidi"/>
                <w:szCs w:val="21"/>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rPr>
            </w:pPr>
            <w:r>
              <w:rPr>
                <w:rFonts w:hint="eastAsia" w:ascii="宋体" w:hAnsi="宋体"/>
                <w:kern w:val="0"/>
                <w:szCs w:val="21"/>
              </w:rPr>
              <w:sym w:font="Wingdings 2" w:char="0052"/>
            </w:r>
            <w:r>
              <w:rPr>
                <w:rFonts w:hint="eastAsia" w:ascii="宋体" w:hAnsi="宋体" w:cstheme="minorBidi"/>
                <w:kern w:val="0"/>
                <w:szCs w:val="21"/>
              </w:rPr>
              <w:t>不组织,投标人可在本项目招标公告发布后至报名（文件获取）时间截止前自行踏勘。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rPr>
              <w:t>□组织，踏勘要求：</w:t>
            </w:r>
          </w:p>
          <w:p>
            <w:pPr>
              <w:pStyle w:val="22"/>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2"/>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2"/>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××邀请投标人人员察看现场并讲解项目需求；投标人应指派符合要求的人员参加本项目的现场踏勘。</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2"/>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2"/>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22"/>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kern w:val="0"/>
                <w:szCs w:val="21"/>
              </w:rPr>
              <w:sym w:font="Wingdings 2" w:char="0052"/>
            </w:r>
            <w:r>
              <w:rPr>
                <w:rFonts w:hint="eastAsia" w:ascii="宋体" w:hAnsi="宋体" w:eastAsia="宋体" w:cs="Segoe UI Symbol"/>
                <w:kern w:val="0"/>
                <w:szCs w:val="21"/>
              </w:rPr>
              <w:t>不要求</w:t>
            </w:r>
          </w:p>
          <w:p>
            <w:pPr>
              <w:pStyle w:val="22"/>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t>□要求</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hint="eastAsia" w:ascii="宋体" w:hAnsi="宋体" w:eastAsia="宋体" w:cs="Segoe UI Symbol"/>
                <w:kern w:val="0"/>
                <w:szCs w:val="21"/>
                <w:u w:val="single"/>
              </w:rPr>
              <w:t xml:space="preserve"> </w:t>
            </w:r>
            <w:r>
              <w:rPr>
                <w:rFonts w:ascii="宋体" w:hAnsi="宋体" w:eastAsia="宋体" w:cs="Segoe UI Symbol"/>
                <w:kern w:val="0"/>
                <w:szCs w:val="21"/>
                <w:u w:val="single"/>
              </w:rPr>
              <w:t>/</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元</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hint="eastAsia" w:ascii="宋体" w:hAnsi="宋体"/>
                <w:szCs w:val="21"/>
              </w:rPr>
              <w:t>不要求递交投标样品</w:t>
            </w:r>
          </w:p>
          <w:p>
            <w:pPr>
              <w:autoSpaceDE w:val="0"/>
              <w:autoSpaceDN w:val="0"/>
              <w:adjustRightInd w:val="0"/>
              <w:snapToGrid w:val="0"/>
              <w:jc w:val="left"/>
              <w:rPr>
                <w:rFonts w:ascii="宋体" w:hAnsi="宋体"/>
                <w:szCs w:val="21"/>
                <w:u w:val="single"/>
              </w:rPr>
            </w:pPr>
            <w:r>
              <w:rPr>
                <w:rFonts w:hint="eastAsia" w:ascii="宋体" w:hAnsi="宋体"/>
                <w:szCs w:val="21"/>
              </w:rPr>
              <w:t>□递交投标样品，具体要求：</w:t>
            </w:r>
            <w:r>
              <w:rPr>
                <w:rFonts w:hint="eastAsia" w:ascii="宋体" w:hAnsi="宋体"/>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hint="eastAsia" w:ascii="宋体" w:hAnsi="宋体" w:cs="Segoe UI Symbol"/>
                <w:kern w:val="0"/>
                <w:szCs w:val="21"/>
              </w:rPr>
              <w:t>综合评分法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□最低价法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□其他：</w:t>
            </w:r>
            <w:r>
              <w:rPr>
                <w:rFonts w:hint="eastAsia" w:ascii="宋体" w:hAnsi="宋体" w:cs="Segoe UI Symbol"/>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hint="eastAsia" w:ascii="宋体" w:hAnsi="宋体" w:cs="Segoe UI Symbol"/>
                <w:kern w:val="0"/>
                <w:szCs w:val="21"/>
              </w:rPr>
              <w:t>内部招标评标</w:t>
            </w:r>
            <w:r>
              <w:rPr>
                <w:rFonts w:ascii="宋体" w:hAnsi="宋体" w:cs="Segoe UI Symbol"/>
                <w:kern w:val="0"/>
                <w:szCs w:val="21"/>
              </w:rPr>
              <w:t>小组推荐的中标候选人数</w:t>
            </w:r>
            <w:r>
              <w:rPr>
                <w:rFonts w:hint="eastAsia" w:ascii="宋体" w:hAnsi="宋体" w:cs="Segoe UI Symbol"/>
                <w:kern w:val="0"/>
                <w:szCs w:val="21"/>
              </w:rPr>
              <w:t>：</w:t>
            </w:r>
            <w:r>
              <w:rPr>
                <w:rFonts w:hint="eastAsia" w:ascii="宋体" w:hAnsi="宋体" w:cs="Segoe UI Symbol"/>
                <w:kern w:val="0"/>
                <w:szCs w:val="21"/>
                <w:u w:val="single"/>
              </w:rPr>
              <w:t xml:space="preserve">  1  个</w:t>
            </w:r>
            <w:r>
              <w:rPr>
                <w:rFonts w:hint="eastAsia" w:ascii="宋体" w:hAnsi="宋体" w:cs="Segoe UI Symbol"/>
                <w:kern w:val="0"/>
                <w:szCs w:val="21"/>
              </w:rPr>
              <w:t>。</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w:t>
            </w:r>
            <w:r>
              <w:rPr>
                <w:rFonts w:hint="eastAsia" w:ascii="宋体" w:hAnsi="宋体" w:cs="宋体"/>
                <w:szCs w:val="21"/>
              </w:rPr>
              <w:t>适用于采用</w:t>
            </w:r>
            <w:r>
              <w:rPr>
                <w:rFonts w:hint="eastAsia" w:ascii="宋体" w:hAnsi="宋体" w:cs="宋体"/>
                <w:b/>
                <w:bCs/>
                <w:szCs w:val="21"/>
              </w:rPr>
              <w:t>综合评分法</w:t>
            </w:r>
            <w:r>
              <w:rPr>
                <w:rFonts w:hint="eastAsia" w:ascii="宋体" w:hAnsi="宋体" w:cs="宋体"/>
                <w:szCs w:val="21"/>
              </w:rPr>
              <w:t>、</w:t>
            </w:r>
            <w:r>
              <w:rPr>
                <w:rFonts w:hint="eastAsia" w:ascii="宋体" w:hAnsi="宋体" w:cs="宋体"/>
                <w:b/>
                <w:bCs/>
                <w:szCs w:val="21"/>
              </w:rPr>
              <w:t>最低价法</w:t>
            </w:r>
            <w:r>
              <w:rPr>
                <w:rFonts w:hint="eastAsia" w:ascii="宋体" w:hAnsi="宋体" w:cs="宋体"/>
                <w:bCs/>
                <w:szCs w:val="21"/>
              </w:rPr>
              <w:t>）</w:t>
            </w:r>
          </w:p>
        </w:tc>
      </w:tr>
    </w:tbl>
    <w:p>
      <w:pPr>
        <w:numPr>
          <w:ilvl w:val="0"/>
          <w:numId w:val="1"/>
        </w:numPr>
        <w:spacing w:line="560" w:lineRule="exact"/>
        <w:outlineLvl w:val="1"/>
        <w:rPr>
          <w:rFonts w:ascii="宋体" w:hAnsi="宋体"/>
          <w:b/>
          <w:szCs w:val="21"/>
        </w:rPr>
      </w:pPr>
      <w:bookmarkStart w:id="6" w:name="_Toc82685542"/>
      <w:bookmarkEnd w:id="6"/>
      <w:bookmarkStart w:id="7" w:name="_Toc82684588"/>
      <w:bookmarkEnd w:id="7"/>
      <w:bookmarkStart w:id="8" w:name="_Toc82684705"/>
      <w:bookmarkEnd w:id="8"/>
      <w:bookmarkStart w:id="9" w:name="_Toc82684703"/>
      <w:bookmarkEnd w:id="9"/>
      <w:bookmarkStart w:id="10" w:name="_Toc82684706"/>
      <w:bookmarkEnd w:id="10"/>
      <w:bookmarkStart w:id="11" w:name="_Toc82684590"/>
      <w:bookmarkEnd w:id="11"/>
      <w:bookmarkStart w:id="12" w:name="_Toc82684591"/>
      <w:bookmarkEnd w:id="12"/>
      <w:bookmarkStart w:id="13" w:name="_Toc82591927"/>
      <w:bookmarkEnd w:id="13"/>
      <w:bookmarkStart w:id="14" w:name="_Toc82591926"/>
      <w:bookmarkEnd w:id="14"/>
      <w:bookmarkStart w:id="15" w:name="_Toc82591928"/>
      <w:bookmarkEnd w:id="15"/>
      <w:bookmarkStart w:id="16" w:name="_Toc82685540"/>
      <w:bookmarkEnd w:id="16"/>
      <w:bookmarkStart w:id="17" w:name="_Toc82685541"/>
      <w:bookmarkEnd w:id="17"/>
      <w:bookmarkStart w:id="18" w:name="_Toc82685543"/>
      <w:bookmarkEnd w:id="18"/>
      <w:bookmarkStart w:id="19" w:name="_Toc82591925"/>
      <w:bookmarkEnd w:id="19"/>
      <w:bookmarkStart w:id="20" w:name="_Toc82684589"/>
      <w:bookmarkEnd w:id="20"/>
      <w:bookmarkStart w:id="21" w:name="_Toc82684704"/>
      <w:bookmarkEnd w:id="21"/>
      <w:bookmarkStart w:id="22" w:name="_Toc116550346"/>
      <w:r>
        <w:rPr>
          <w:rFonts w:hint="eastAsia" w:ascii="宋体" w:hAnsi="宋体"/>
          <w:b/>
          <w:szCs w:val="21"/>
        </w:rPr>
        <w:t>特别说明</w:t>
      </w:r>
      <w:bookmarkEnd w:id="22"/>
    </w:p>
    <w:p>
      <w:pPr>
        <w:pStyle w:val="22"/>
        <w:numPr>
          <w:ilvl w:val="0"/>
          <w:numId w:val="9"/>
        </w:numPr>
        <w:spacing w:line="360" w:lineRule="auto"/>
        <w:ind w:left="0" w:firstLine="420" w:firstLineChars="0"/>
        <w:rPr>
          <w:rFonts w:ascii="宋体" w:hAnsi="宋体" w:eastAsia="宋体" w:cs="宋体"/>
          <w:szCs w:val="21"/>
        </w:rPr>
      </w:pPr>
      <w:bookmarkStart w:id="23" w:name="_Toc45028463"/>
      <w:bookmarkStart w:id="24" w:name="_Toc517278751"/>
      <w:bookmarkStart w:id="25" w:name="_Toc478387747"/>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3"/>
    <w:bookmarkEnd w:id="24"/>
    <w:bookmarkEnd w:id="25"/>
    <w:p>
      <w:pPr>
        <w:numPr>
          <w:ilvl w:val="0"/>
          <w:numId w:val="1"/>
        </w:numPr>
        <w:spacing w:line="560" w:lineRule="exact"/>
        <w:outlineLvl w:val="1"/>
        <w:rPr>
          <w:rFonts w:ascii="宋体" w:hAnsi="宋体"/>
          <w:b/>
          <w:szCs w:val="21"/>
        </w:rPr>
      </w:pPr>
      <w:bookmarkStart w:id="26" w:name="_Toc82591988"/>
      <w:bookmarkEnd w:id="26"/>
      <w:bookmarkStart w:id="27" w:name="_Toc82591989"/>
      <w:bookmarkEnd w:id="27"/>
      <w:bookmarkStart w:id="28" w:name="_Toc82591930"/>
      <w:bookmarkEnd w:id="28"/>
      <w:bookmarkStart w:id="29" w:name="_Toc82591987"/>
      <w:bookmarkEnd w:id="29"/>
      <w:bookmarkStart w:id="30" w:name="_Toc82591985"/>
      <w:bookmarkEnd w:id="30"/>
      <w:bookmarkStart w:id="31" w:name="_Toc82591986"/>
      <w:bookmarkEnd w:id="31"/>
      <w:bookmarkStart w:id="32" w:name="_Toc82685545"/>
      <w:bookmarkEnd w:id="32"/>
      <w:bookmarkStart w:id="33" w:name="_Toc82684593"/>
      <w:bookmarkEnd w:id="33"/>
      <w:bookmarkStart w:id="34" w:name="_Toc82684708"/>
      <w:bookmarkEnd w:id="34"/>
      <w:bookmarkStart w:id="35" w:name="_Toc116550347"/>
      <w:r>
        <w:rPr>
          <w:rFonts w:hint="eastAsia" w:ascii="宋体" w:hAnsi="宋体"/>
          <w:b/>
          <w:szCs w:val="21"/>
        </w:rPr>
        <w:t>投标文件编制</w:t>
      </w:r>
      <w:bookmarkEnd w:id="35"/>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1"/>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Style w:val="18"/>
                <w:rFonts w:ascii="宋体" w:hAnsi="宋体"/>
              </w:rPr>
            </w:pPr>
            <w:r>
              <w:rPr>
                <w:rFonts w:hint="eastAsia" w:ascii="宋体" w:hAnsi="宋体" w:cs="Courier New"/>
                <w:kern w:val="0"/>
                <w:szCs w:val="21"/>
              </w:rPr>
              <w:sym w:font="Wingdings 2" w:char="0052"/>
            </w:r>
            <w:r>
              <w:rPr>
                <w:rStyle w:val="18"/>
                <w:rFonts w:ascii="宋体" w:hAnsi="宋体"/>
                <w:color w:val="auto"/>
                <w:u w:val="none"/>
              </w:rPr>
              <w:t>售后服务承诺书（质量保证服务承诺书）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A3"/>
            </w: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116550348"/>
      <w:r>
        <w:rPr>
          <w:rFonts w:hint="eastAsia" w:ascii="宋体" w:hAnsi="宋体"/>
          <w:b/>
          <w:szCs w:val="21"/>
        </w:rPr>
        <w:t>项目要求</w:t>
      </w:r>
      <w:bookmarkEnd w:id="36"/>
    </w:p>
    <w:tbl>
      <w:tblPr>
        <w:tblStyle w:val="14"/>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restart"/>
            <w:tcBorders>
              <w:top w:val="single" w:color="auto" w:sz="4" w:space="0"/>
              <w:left w:val="single" w:color="auto" w:sz="4" w:space="0"/>
              <w:right w:val="single" w:color="auto" w:sz="4" w:space="0"/>
            </w:tcBorders>
            <w:vAlign w:val="center"/>
          </w:tcPr>
          <w:p>
            <w:pPr>
              <w:pStyle w:val="22"/>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4"/>
              <w:widowControl/>
              <w:numPr>
                <w:ilvl w:val="255"/>
                <w:numId w:val="0"/>
              </w:numPr>
              <w:tabs>
                <w:tab w:val="left" w:pos="606"/>
              </w:tabs>
              <w:spacing w:line="360" w:lineRule="auto"/>
              <w:ind w:right="30"/>
              <w:jc w:val="left"/>
              <w:rPr>
                <w:rFonts w:ascii="宋体" w:hAnsi="宋体" w:eastAsia="宋体" w:cs="宋体"/>
                <w:szCs w:val="21"/>
              </w:rPr>
            </w:pPr>
            <w:r>
              <w:rPr>
                <w:rFonts w:hint="eastAsia" w:ascii="宋体" w:hAnsi="宋体" w:eastAsia="宋体" w:cs="宋体"/>
                <w:szCs w:val="21"/>
              </w:rPr>
              <w:t>（1）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pStyle w:val="34"/>
              <w:widowControl/>
              <w:numPr>
                <w:ilvl w:val="255"/>
                <w:numId w:val="0"/>
              </w:numPr>
              <w:tabs>
                <w:tab w:val="left" w:pos="606"/>
              </w:tabs>
              <w:spacing w:line="360" w:lineRule="auto"/>
              <w:ind w:right="30"/>
              <w:jc w:val="left"/>
              <w:rPr>
                <w:rFonts w:ascii="宋体" w:hAnsi="宋体" w:eastAsia="宋体" w:cs="宋体"/>
                <w:szCs w:val="21"/>
              </w:rPr>
            </w:pPr>
            <w:r>
              <w:rPr>
                <w:rFonts w:hint="eastAsia" w:ascii="宋体" w:hAnsi="宋体" w:eastAsia="宋体" w:cs="宋体"/>
                <w:szCs w:val="21"/>
              </w:rPr>
              <w:t>（2）投标人代表必须是投标单位的法定代表人或持有法定代表人亲自签署的法人授权委托证明书的人员。（提供法定代表人证明书、法人授权委托证明书及法定代表人、被委托人身份证扫描件，如单位法定代表人为本项目授权代表，则仅提供法定代表人证明书及身份证复印件，各证明书须加盖投标人公章，身份证原件备查）。</w:t>
            </w:r>
          </w:p>
          <w:p>
            <w:pPr>
              <w:pStyle w:val="34"/>
              <w:widowControl/>
              <w:numPr>
                <w:ilvl w:val="255"/>
                <w:numId w:val="0"/>
              </w:numPr>
              <w:tabs>
                <w:tab w:val="left" w:pos="606"/>
              </w:tabs>
              <w:spacing w:line="360" w:lineRule="auto"/>
              <w:ind w:right="30"/>
              <w:jc w:val="left"/>
              <w:rPr>
                <w:rFonts w:ascii="宋体" w:hAnsi="宋体" w:eastAsia="宋体" w:cs="宋体"/>
                <w:szCs w:val="21"/>
              </w:rPr>
            </w:pPr>
            <w:r>
              <w:rPr>
                <w:rFonts w:hint="eastAsia" w:ascii="宋体" w:hAnsi="宋体" w:eastAsia="宋体" w:cs="宋体"/>
                <w:szCs w:val="21"/>
              </w:rPr>
              <w:t>（3）投标人为非产品制造企业的，需提供产品厂家针对本次投标项目所出具的项目授权委托书原件（加盖投标人公章）。</w:t>
            </w:r>
          </w:p>
          <w:p>
            <w:pPr>
              <w:pStyle w:val="34"/>
              <w:widowControl/>
              <w:numPr>
                <w:ilvl w:val="255"/>
                <w:numId w:val="0"/>
              </w:numPr>
              <w:tabs>
                <w:tab w:val="left" w:pos="606"/>
              </w:tabs>
              <w:spacing w:line="360" w:lineRule="auto"/>
              <w:ind w:right="30"/>
              <w:jc w:val="left"/>
              <w:rPr>
                <w:rFonts w:ascii="宋体" w:hAnsi="宋体" w:eastAsia="宋体" w:cs="宋体"/>
                <w:szCs w:val="21"/>
              </w:rPr>
            </w:pPr>
            <w:r>
              <w:rPr>
                <w:rFonts w:hint="eastAsia" w:ascii="宋体" w:hAnsi="宋体" w:eastAsia="宋体" w:cs="宋体"/>
                <w:szCs w:val="21"/>
              </w:rPr>
              <w:t>（4）本项目不接受联合体投标，严禁转包或非法分包。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pPr>
            <w:r>
              <w:rPr>
                <w:rFonts w:hint="eastAsia"/>
              </w:rPr>
              <w:t>（1）报价以人民币为结算币种，《投标一览表》应包含税率、税额、未税及税后总金额。</w:t>
            </w:r>
          </w:p>
          <w:p>
            <w:pPr>
              <w:numPr>
                <w:ilvl w:val="255"/>
                <w:numId w:val="0"/>
              </w:numPr>
              <w:tabs>
                <w:tab w:val="left" w:pos="531"/>
              </w:tabs>
              <w:snapToGrid w:val="0"/>
              <w:spacing w:line="360" w:lineRule="auto"/>
              <w:rPr>
                <w:rFonts w:ascii="宋体" w:hAnsi="宋体" w:cs="仿宋_GB2312"/>
                <w:szCs w:val="21"/>
              </w:rPr>
            </w:pPr>
            <w:r>
              <w:rPr>
                <w:rFonts w:hint="eastAsia" w:ascii="宋体" w:hAnsi="宋体" w:cs="仿宋_GB2312"/>
                <w:szCs w:val="21"/>
              </w:rPr>
              <w:t>（2）投标报价不得出现可选择性的报价,含有备选方案的报价将导致废标。</w:t>
            </w:r>
          </w:p>
          <w:p>
            <w:pPr>
              <w:numPr>
                <w:ilvl w:val="255"/>
                <w:numId w:val="0"/>
              </w:numPr>
              <w:tabs>
                <w:tab w:val="left" w:pos="531"/>
              </w:tabs>
              <w:spacing w:line="360" w:lineRule="auto"/>
            </w:pPr>
            <w:r>
              <w:rPr>
                <w:rFonts w:hint="eastAsia" w:ascii="宋体" w:hAnsi="宋体" w:cs="仿宋_GB2312"/>
                <w:szCs w:val="21"/>
              </w:rPr>
              <w:t>（3）投标报价应为</w:t>
            </w:r>
            <w:r>
              <w:rPr>
                <w:rFonts w:hint="eastAsia" w:ascii="宋体" w:hAnsi="宋体"/>
              </w:rPr>
              <w:t>运至招标人指定地点的交货价，包括但不限于车辆设备、随车配套材料、包装、运输、装卸、安装、调试、保险、安全措施、人工、培训、售后服务、税费</w:t>
            </w:r>
            <w:r>
              <w:rPr>
                <w:rFonts w:hint="eastAsia" w:ascii="宋体" w:hAnsi="宋体"/>
                <w:szCs w:val="21"/>
              </w:rPr>
              <w:t>等</w:t>
            </w:r>
            <w:r>
              <w:rPr>
                <w:rFonts w:hint="eastAsia" w:ascii="宋体" w:hAnsi="宋体" w:cs="仿宋_GB2312"/>
                <w:szCs w:val="21"/>
              </w:rPr>
              <w:t>完成本项目所需的全部费用。</w:t>
            </w:r>
            <w:r>
              <w:rPr>
                <w:rFonts w:hint="eastAsia"/>
              </w:rPr>
              <w:t>招标人不再支付任何费用。</w:t>
            </w:r>
          </w:p>
          <w:p>
            <w:pPr>
              <w:pStyle w:val="2"/>
              <w:spacing w:line="360" w:lineRule="auto"/>
              <w:ind w:left="0"/>
            </w:pPr>
            <w:r>
              <w:rPr>
                <w:rFonts w:hint="eastAsia" w:ascii="Times New Roman" w:hAnsi="Times New Roman"/>
                <w:spacing w:val="0"/>
                <w:kern w:val="2"/>
                <w:sz w:val="21"/>
              </w:rPr>
              <w:t>（4）投标人须提供</w:t>
            </w:r>
            <w:r>
              <w:rPr>
                <w:rFonts w:hint="eastAsia" w:ascii="宋体" w:hAnsi="宋体"/>
                <w:color w:val="000000"/>
                <w:szCs w:val="21"/>
              </w:rPr>
              <w:t>设备主要易耗件及配件的报价清单（加盖投标人公章），</w:t>
            </w:r>
            <w:r>
              <w:rPr>
                <w:rFonts w:hint="eastAsia"/>
              </w:rPr>
              <w:t>作为招标人后期维护费用结算依据，不计入本次投标总报价。</w:t>
            </w:r>
          </w:p>
          <w:p>
            <w:pPr>
              <w:numPr>
                <w:ilvl w:val="255"/>
                <w:numId w:val="0"/>
              </w:numPr>
              <w:tabs>
                <w:tab w:val="left" w:pos="531"/>
              </w:tabs>
              <w:snapToGrid w:val="0"/>
              <w:spacing w:line="360" w:lineRule="auto"/>
              <w:rPr>
                <w:rFonts w:ascii="宋体" w:hAnsi="宋体" w:cs="仿宋_GB2312"/>
                <w:szCs w:val="21"/>
              </w:rPr>
            </w:pPr>
            <w:r>
              <w:rPr>
                <w:rFonts w:hint="eastAsia" w:ascii="宋体" w:hAnsi="宋体"/>
              </w:rPr>
              <w:t>（5）本次投标费用由投标人自理。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spacing w:line="360" w:lineRule="auto"/>
              <w:ind w:right="28"/>
              <w:jc w:val="left"/>
              <w:rPr>
                <w:rFonts w:ascii="宋体" w:hAnsi="宋体" w:cs="宋体"/>
                <w:color w:val="FF0000"/>
                <w:szCs w:val="21"/>
              </w:rPr>
            </w:pPr>
            <w:r>
              <w:rPr>
                <w:rFonts w:hint="eastAsia" w:ascii="宋体" w:hAnsi="宋体" w:cs="宋体"/>
                <w:szCs w:val="21"/>
              </w:rPr>
              <w:t>本项目采购控制金额为人民币</w:t>
            </w:r>
            <w:r>
              <w:rPr>
                <w:rFonts w:hint="eastAsia" w:ascii="宋体" w:hAnsi="宋体"/>
                <w:szCs w:val="21"/>
              </w:rPr>
              <w:t>50</w:t>
            </w:r>
            <w:r>
              <w:rPr>
                <w:rFonts w:ascii="宋体" w:hAnsi="宋体" w:cs="宋体"/>
                <w:szCs w:val="21"/>
              </w:rPr>
              <w:t>万元（含税）</w:t>
            </w:r>
            <w:r>
              <w:rPr>
                <w:rFonts w:hint="eastAsia" w:ascii="宋体" w:hAnsi="宋体" w:cs="宋体"/>
                <w:szCs w:val="21"/>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spacing w:line="360" w:lineRule="auto"/>
              <w:rPr>
                <w:rFonts w:ascii="宋体" w:hAnsi="宋体" w:cs="宋体"/>
              </w:rPr>
            </w:pPr>
            <w:r>
              <w:rPr>
                <w:rFonts w:hint="eastAsia" w:ascii="宋体" w:hAnsi="宋体" w:cs="宋体"/>
              </w:rPr>
              <w:t>本项目</w:t>
            </w:r>
            <w:r>
              <w:rPr>
                <w:rFonts w:hint="eastAsia" w:ascii="宋体" w:hAnsi="宋体"/>
              </w:rPr>
              <w:t>交货、安装、调试</w:t>
            </w:r>
            <w:r>
              <w:rPr>
                <w:rFonts w:hint="eastAsia" w:ascii="宋体" w:hAnsi="宋体" w:cs="宋体"/>
              </w:rPr>
              <w:t>完毕且验收合格后，一次性支付合同总金额的97%。</w:t>
            </w:r>
          </w:p>
          <w:p>
            <w:pPr>
              <w:numPr>
                <w:ilvl w:val="0"/>
                <w:numId w:val="10"/>
              </w:numPr>
              <w:tabs>
                <w:tab w:val="left" w:pos="531"/>
              </w:tabs>
              <w:snapToGrid w:val="0"/>
              <w:spacing w:line="360" w:lineRule="auto"/>
              <w:ind w:left="0" w:firstLine="0"/>
              <w:rPr>
                <w:rFonts w:ascii="宋体" w:hAnsi="宋体" w:cs="宋体"/>
              </w:rPr>
            </w:pPr>
            <w:r>
              <w:rPr>
                <w:rFonts w:hint="eastAsia" w:ascii="宋体" w:hAnsi="宋体" w:cs="宋体"/>
              </w:rPr>
              <w:t>合同总金额的3%款项留作质保金，待质保期满、无质量和遗留问题，且完成罚金、违约金等清算后，一次性支付剩余款项（不计利息）。</w:t>
            </w:r>
          </w:p>
          <w:p>
            <w:pPr>
              <w:numPr>
                <w:ilvl w:val="0"/>
                <w:numId w:val="10"/>
              </w:numPr>
              <w:tabs>
                <w:tab w:val="left" w:pos="531"/>
              </w:tabs>
              <w:snapToGrid w:val="0"/>
              <w:spacing w:line="360" w:lineRule="auto"/>
              <w:ind w:left="0" w:firstLine="0"/>
              <w:rPr>
                <w:rFonts w:ascii="宋体" w:hAnsi="宋体" w:cs="宋体"/>
              </w:rPr>
            </w:pPr>
            <w:r>
              <w:rPr>
                <w:rFonts w:hint="eastAsia" w:ascii="宋体" w:hAnsi="宋体" w:cs="宋体"/>
                <w:szCs w:val="21"/>
              </w:rPr>
              <w:t>有关付款详细事宜以合同条款为准。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其他约定</w:t>
            </w:r>
          </w:p>
        </w:tc>
        <w:tc>
          <w:tcPr>
            <w:tcW w:w="7438" w:type="dxa"/>
            <w:tcBorders>
              <w:top w:val="single" w:color="auto" w:sz="4" w:space="0"/>
              <w:left w:val="single" w:color="auto" w:sz="4" w:space="0"/>
              <w:bottom w:val="single" w:color="auto" w:sz="4" w:space="0"/>
              <w:right w:val="single" w:color="auto" w:sz="4" w:space="0"/>
            </w:tcBorders>
            <w:vAlign w:val="center"/>
          </w:tcPr>
          <w:p>
            <w:pPr>
              <w:pStyle w:val="11"/>
              <w:numPr>
                <w:ilvl w:val="255"/>
                <w:numId w:val="0"/>
              </w:numPr>
              <w:spacing w:line="360" w:lineRule="auto"/>
              <w:rPr>
                <w:rFonts w:ascii="宋体" w:eastAsia="宋体"/>
                <w:color w:val="000000"/>
                <w:szCs w:val="21"/>
              </w:rPr>
            </w:pPr>
            <w:r>
              <w:rPr>
                <w:rFonts w:hint="eastAsia" w:ascii="宋体" w:eastAsia="宋体" w:cs="宋体"/>
                <w:szCs w:val="21"/>
              </w:rPr>
              <w:t>投标人所供产品的设计、制造、软件及技术等均不得涉及侵犯第三方权益。因投标人违法违规行为而导致的一切法律责任，均由投标人承担，与招标人无关。由此对招标人造成损失的，投标人应予以赔偿。投标人须提供相关承诺函。</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FF0000"/>
                <w:szCs w:val="21"/>
              </w:rPr>
            </w:pPr>
            <w:r>
              <w:rPr>
                <w:rFonts w:hint="eastAsia"/>
                <w:color w:val="000000"/>
              </w:rPr>
              <w:t>设备名称及</w:t>
            </w:r>
            <w:r>
              <w:rPr>
                <w:color w:val="000000"/>
              </w:rPr>
              <w:t>采购数量</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spacing w:line="360" w:lineRule="auto"/>
              <w:ind w:left="0" w:firstLine="0"/>
              <w:rPr>
                <w:rFonts w:ascii="宋体" w:hAnsi="宋体"/>
                <w:color w:val="FF0000"/>
              </w:rPr>
            </w:pPr>
            <w:r>
              <w:rPr>
                <w:rFonts w:hint="eastAsia"/>
                <w:color w:val="000000"/>
              </w:rPr>
              <w:t>设备名称：</w:t>
            </w:r>
            <w:r>
              <w:rPr>
                <w:rFonts w:hint="eastAsia" w:ascii="宋体" w:hAnsi="宋体"/>
                <w:bCs/>
                <w:szCs w:val="21"/>
              </w:rPr>
              <w:t>自行式剪型高空作业平台</w:t>
            </w:r>
          </w:p>
          <w:p>
            <w:pPr>
              <w:numPr>
                <w:ilvl w:val="0"/>
                <w:numId w:val="11"/>
              </w:numPr>
              <w:tabs>
                <w:tab w:val="left" w:pos="531"/>
              </w:tabs>
              <w:snapToGrid w:val="0"/>
              <w:spacing w:line="360" w:lineRule="auto"/>
              <w:ind w:left="0" w:firstLine="0"/>
              <w:rPr>
                <w:rFonts w:ascii="宋体" w:hAnsi="宋体"/>
                <w:color w:val="FF0000"/>
              </w:rPr>
            </w:pPr>
            <w:r>
              <w:rPr>
                <w:rFonts w:hint="eastAsia"/>
                <w:color w:val="000000"/>
              </w:rPr>
              <w:t>采购数量：5台</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709" w:type="dxa"/>
            <w:vMerge w:val="restart"/>
            <w:tcBorders>
              <w:top w:val="single" w:color="auto" w:sz="4" w:space="0"/>
              <w:left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vMerge w:val="restart"/>
            <w:tcBorders>
              <w:top w:val="single" w:color="auto" w:sz="4" w:space="0"/>
              <w:left w:val="single" w:color="auto" w:sz="4" w:space="0"/>
              <w:right w:val="single" w:color="auto" w:sz="4" w:space="0"/>
            </w:tcBorders>
            <w:vAlign w:val="center"/>
          </w:tcPr>
          <w:p>
            <w:pPr>
              <w:spacing w:line="360" w:lineRule="auto"/>
              <w:jc w:val="center"/>
              <w:rPr>
                <w:color w:val="000000"/>
              </w:rPr>
            </w:pPr>
            <w:r>
              <w:rPr>
                <w:color w:val="000000"/>
              </w:rPr>
              <w:t>技术</w:t>
            </w:r>
            <w:r>
              <w:rPr>
                <w:rFonts w:hint="eastAsia"/>
                <w:color w:val="000000"/>
              </w:rPr>
              <w:t>性能</w:t>
            </w:r>
          </w:p>
          <w:p>
            <w:pPr>
              <w:spacing w:line="360" w:lineRule="auto"/>
              <w:jc w:val="center"/>
              <w:rPr>
                <w:color w:val="000000"/>
              </w:rPr>
            </w:pPr>
            <w:r>
              <w:rPr>
                <w:color w:val="000000"/>
              </w:rPr>
              <w:t>需求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360" w:lineRule="auto"/>
              <w:rPr>
                <w:rFonts w:ascii="宋体" w:hAnsi="宋体"/>
                <w:szCs w:val="21"/>
              </w:rPr>
            </w:pPr>
            <w:r>
              <w:rPr>
                <w:rFonts w:hint="eastAsia" w:ascii="宋体" w:hAnsi="宋体"/>
                <w:szCs w:val="21"/>
              </w:rPr>
              <w:t>（1）最大平台和工作高度要求:</w:t>
            </w:r>
          </w:p>
          <w:p>
            <w:pPr>
              <w:tabs>
                <w:tab w:val="left" w:pos="531"/>
              </w:tabs>
              <w:snapToGrid w:val="0"/>
              <w:spacing w:line="360" w:lineRule="auto"/>
              <w:rPr>
                <w:color w:val="000000"/>
              </w:rPr>
            </w:pPr>
            <w:r>
              <w:rPr>
                <w:rFonts w:hint="eastAsia" w:ascii="宋体" w:hAnsi="宋体"/>
                <w:szCs w:val="21"/>
              </w:rPr>
              <w:t>（1.1）6.0米≥</w:t>
            </w:r>
            <w:r>
              <w:rPr>
                <w:rFonts w:hint="eastAsia"/>
                <w:color w:val="000000"/>
              </w:rPr>
              <w:t>最大平台高度</w:t>
            </w:r>
            <w:r>
              <w:rPr>
                <w:rFonts w:hint="eastAsia" w:ascii="宋体" w:hAnsi="宋体"/>
                <w:szCs w:val="21"/>
              </w:rPr>
              <w:t>≥</w:t>
            </w:r>
            <w:r>
              <w:rPr>
                <w:rFonts w:hint="eastAsia"/>
                <w:color w:val="000000"/>
              </w:rPr>
              <w:t>5.5米；</w:t>
            </w:r>
          </w:p>
          <w:p>
            <w:pPr>
              <w:tabs>
                <w:tab w:val="left" w:pos="531"/>
              </w:tabs>
              <w:snapToGrid w:val="0"/>
              <w:spacing w:line="360" w:lineRule="auto"/>
              <w:rPr>
                <w:color w:val="000000"/>
              </w:rPr>
            </w:pPr>
            <w:r>
              <w:rPr>
                <w:rFonts w:hint="eastAsia"/>
                <w:color w:val="000000"/>
              </w:rPr>
              <w:t>（1.2）8.0米</w:t>
            </w:r>
            <w:r>
              <w:rPr>
                <w:rFonts w:hint="eastAsia" w:ascii="宋体" w:hAnsi="宋体"/>
                <w:szCs w:val="21"/>
              </w:rPr>
              <w:t>≥</w:t>
            </w:r>
            <w:r>
              <w:rPr>
                <w:rFonts w:hint="eastAsia"/>
                <w:color w:val="000000"/>
              </w:rPr>
              <w:t>最大工作高度</w:t>
            </w:r>
            <w:r>
              <w:rPr>
                <w:rFonts w:hint="eastAsia" w:ascii="宋体" w:hAnsi="宋体"/>
                <w:szCs w:val="21"/>
              </w:rPr>
              <w:t>≥</w:t>
            </w:r>
            <w:r>
              <w:rPr>
                <w:rFonts w:hint="eastAsia"/>
                <w:color w:val="000000"/>
              </w:rPr>
              <w:t>7.50米；</w:t>
            </w:r>
          </w:p>
          <w:p>
            <w:pPr>
              <w:tabs>
                <w:tab w:val="left" w:pos="531"/>
              </w:tabs>
              <w:snapToGrid w:val="0"/>
              <w:spacing w:line="360" w:lineRule="auto"/>
              <w:rPr>
                <w:rFonts w:ascii="宋体" w:hAnsi="宋体"/>
                <w:b/>
                <w:color w:val="000000"/>
                <w:szCs w:val="21"/>
              </w:rPr>
            </w:pPr>
            <w:r>
              <w:rPr>
                <w:rFonts w:hint="eastAsia"/>
                <w:color w:val="000000"/>
              </w:rPr>
              <w:t>注：用于展厅及展厅外高空设施设备维修及安装作业工作，适用于6-8米区间。</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vMerge w:val="continue"/>
            <w:tcBorders>
              <w:left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p>
        </w:tc>
        <w:tc>
          <w:tcPr>
            <w:tcW w:w="1341" w:type="dxa"/>
            <w:vMerge w:val="continue"/>
            <w:tcBorders>
              <w:left w:val="single" w:color="auto" w:sz="4" w:space="0"/>
              <w:right w:val="single" w:color="auto" w:sz="4" w:space="0"/>
            </w:tcBorders>
            <w:vAlign w:val="center"/>
          </w:tcPr>
          <w:p>
            <w:pPr>
              <w:spacing w:line="360" w:lineRule="auto"/>
              <w:jc w:val="center"/>
              <w:rPr>
                <w:rFonts w:ascii="宋体" w:hAnsi="宋体" w:cs="宋体"/>
                <w:color w:val="FF0000"/>
                <w:szCs w:val="21"/>
              </w:rPr>
            </w:pPr>
          </w:p>
        </w:tc>
        <w:tc>
          <w:tcPr>
            <w:tcW w:w="7438"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rPr>
            </w:pPr>
            <w:r>
              <w:rPr>
                <w:rFonts w:hint="eastAsia"/>
                <w:color w:val="000000"/>
              </w:rPr>
              <w:t>（2）工作环境范围及承重要求（公斤）</w:t>
            </w:r>
          </w:p>
          <w:p>
            <w:pPr>
              <w:spacing w:line="360" w:lineRule="auto"/>
              <w:rPr>
                <w:color w:val="000000"/>
              </w:rPr>
            </w:pPr>
            <w:r>
              <w:rPr>
                <w:rFonts w:hint="eastAsia"/>
                <w:color w:val="000000"/>
              </w:rPr>
              <w:t>（2.1）电梯尺寸：长2.1米，门宽1.1米，高2.1米，要求设备能进入电梯；</w:t>
            </w:r>
          </w:p>
          <w:p>
            <w:pPr>
              <w:spacing w:line="360" w:lineRule="auto"/>
              <w:rPr>
                <w:color w:val="000000"/>
              </w:rPr>
            </w:pPr>
            <w:r>
              <w:rPr>
                <w:rFonts w:hint="eastAsia"/>
                <w:color w:val="000000"/>
              </w:rPr>
              <w:t>（2.2）设备能在潮湿、高温、低温环境下作业，室外气温从0度至40度的场合下连续运行；</w:t>
            </w:r>
          </w:p>
          <w:p>
            <w:pPr>
              <w:spacing w:line="360" w:lineRule="auto"/>
              <w:rPr>
                <w:color w:val="000000"/>
              </w:rPr>
            </w:pPr>
            <w:r>
              <w:rPr>
                <w:rFonts w:hint="eastAsia"/>
                <w:color w:val="000000"/>
              </w:rPr>
              <w:t>（2.3）要求设备符合自重</w:t>
            </w:r>
            <w:r>
              <w:rPr>
                <w:rFonts w:hint="eastAsia" w:ascii="宋体" w:hAnsi="宋体"/>
                <w:szCs w:val="21"/>
              </w:rPr>
              <w:t>≤1300</w:t>
            </w:r>
            <w:r>
              <w:rPr>
                <w:rFonts w:hint="eastAsia" w:ascii="宋体" w:hAnsi="宋体"/>
                <w:color w:val="000000"/>
                <w:szCs w:val="21"/>
              </w:rPr>
              <w:t>公斤（货梯额定载重为1600公斤）</w:t>
            </w:r>
            <w:r>
              <w:rPr>
                <w:rFonts w:hint="eastAsia"/>
                <w:color w:val="000000"/>
              </w:rPr>
              <w:t>；</w:t>
            </w:r>
          </w:p>
          <w:p>
            <w:pPr>
              <w:spacing w:line="360" w:lineRule="auto"/>
              <w:rPr>
                <w:color w:val="000000"/>
              </w:rPr>
            </w:pPr>
            <w:r>
              <w:rPr>
                <w:rFonts w:hint="eastAsia"/>
                <w:color w:val="000000"/>
              </w:rPr>
              <w:t>（2.4）平台承载能力为200公斤以上（两人作业）；</w:t>
            </w:r>
          </w:p>
          <w:p>
            <w:pPr>
              <w:tabs>
                <w:tab w:val="left" w:pos="531"/>
              </w:tabs>
              <w:snapToGrid w:val="0"/>
              <w:spacing w:line="360" w:lineRule="auto"/>
              <w:rPr>
                <w:color w:val="FF0000"/>
                <w:highlight w:val="yellow"/>
              </w:rPr>
            </w:pPr>
            <w:r>
              <w:rPr>
                <w:rFonts w:hint="eastAsia"/>
                <w:color w:val="000000"/>
              </w:rPr>
              <w:t>（2.5）延伸平台承载能力须</w:t>
            </w:r>
            <w:r>
              <w:rPr>
                <w:rFonts w:hint="eastAsia" w:ascii="宋体" w:hAnsi="宋体"/>
                <w:szCs w:val="21"/>
              </w:rPr>
              <w:t>≥</w:t>
            </w:r>
            <w:r>
              <w:rPr>
                <w:rFonts w:hint="eastAsia"/>
                <w:color w:val="000000"/>
              </w:rPr>
              <w:t>100公斤以上，延伸平台长度</w:t>
            </w:r>
            <w:r>
              <w:rPr>
                <w:rFonts w:hint="eastAsia" w:ascii="宋体" w:hAnsi="宋体"/>
                <w:szCs w:val="21"/>
              </w:rPr>
              <w:t>≥</w:t>
            </w:r>
            <w:r>
              <w:rPr>
                <w:rFonts w:hint="eastAsia"/>
                <w:color w:val="000000"/>
              </w:rPr>
              <w:t>0.6米以上。</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vMerge w:val="continue"/>
            <w:tcBorders>
              <w:left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p>
        </w:tc>
        <w:tc>
          <w:tcPr>
            <w:tcW w:w="1341" w:type="dxa"/>
            <w:vMerge w:val="continue"/>
            <w:tcBorders>
              <w:left w:val="single" w:color="auto" w:sz="4" w:space="0"/>
              <w:right w:val="single" w:color="auto" w:sz="4" w:space="0"/>
            </w:tcBorders>
            <w:vAlign w:val="center"/>
          </w:tcPr>
          <w:p>
            <w:pPr>
              <w:spacing w:line="360" w:lineRule="auto"/>
              <w:jc w:val="center"/>
              <w:rPr>
                <w:color w:val="FF0000"/>
                <w:highlight w:val="yellow"/>
              </w:rPr>
            </w:pPr>
          </w:p>
        </w:tc>
        <w:tc>
          <w:tcPr>
            <w:tcW w:w="7438"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left="0"/>
              <w:rPr>
                <w:rFonts w:ascii="宋体" w:hAnsi="宋体"/>
                <w:color w:val="000000"/>
                <w:sz w:val="21"/>
                <w:szCs w:val="21"/>
              </w:rPr>
            </w:pPr>
            <w:r>
              <w:rPr>
                <w:rFonts w:hint="eastAsia" w:ascii="宋体" w:hAnsi="宋体"/>
                <w:color w:val="000000"/>
                <w:sz w:val="21"/>
                <w:szCs w:val="21"/>
              </w:rPr>
              <w:t>（3）设备收藏尺寸、升降速度</w:t>
            </w:r>
            <w:r>
              <w:rPr>
                <w:rFonts w:ascii="宋体" w:hAnsi="宋体"/>
                <w:color w:val="000000"/>
                <w:sz w:val="21"/>
                <w:szCs w:val="21"/>
              </w:rPr>
              <w:t>及爬坡能力基本要求</w:t>
            </w:r>
          </w:p>
          <w:p>
            <w:pPr>
              <w:pStyle w:val="2"/>
              <w:spacing w:after="0" w:line="360" w:lineRule="auto"/>
              <w:ind w:left="0"/>
              <w:rPr>
                <w:rFonts w:ascii="宋体" w:hAnsi="宋体"/>
                <w:sz w:val="21"/>
                <w:szCs w:val="21"/>
              </w:rPr>
            </w:pPr>
            <w:r>
              <w:rPr>
                <w:rFonts w:hint="eastAsia" w:ascii="宋体" w:hAnsi="宋体"/>
                <w:sz w:val="21"/>
                <w:szCs w:val="21"/>
              </w:rPr>
              <w:t>（3.1）车辆收藏尺寸：长≤1.55米、宽≤0.81米、高≤2.1米；</w:t>
            </w:r>
          </w:p>
          <w:p>
            <w:pPr>
              <w:pStyle w:val="2"/>
              <w:spacing w:after="0" w:line="360" w:lineRule="auto"/>
              <w:ind w:left="0"/>
            </w:pPr>
            <w:r>
              <w:rPr>
                <w:rFonts w:hint="eastAsia" w:ascii="宋体" w:hAnsi="宋体"/>
                <w:sz w:val="21"/>
                <w:szCs w:val="21"/>
              </w:rPr>
              <w:t>（3.2）转弯半径-外侧≤1.65米，并具有自由转弯装置；</w:t>
            </w:r>
          </w:p>
          <w:p>
            <w:pPr>
              <w:spacing w:line="360" w:lineRule="auto"/>
              <w:rPr>
                <w:rFonts w:ascii="宋体" w:hAnsi="宋体"/>
                <w:szCs w:val="21"/>
              </w:rPr>
            </w:pPr>
            <w:r>
              <w:rPr>
                <w:rFonts w:hint="eastAsia" w:ascii="宋体" w:hAnsi="宋体"/>
                <w:szCs w:val="21"/>
              </w:rPr>
              <w:t>（3.3）作业平台提升/下降速度（秒）≤30/25秒；</w:t>
            </w:r>
          </w:p>
          <w:p>
            <w:pPr>
              <w:spacing w:line="360" w:lineRule="auto"/>
              <w:rPr>
                <w:color w:val="000000"/>
              </w:rPr>
            </w:pPr>
            <w:r>
              <w:rPr>
                <w:rFonts w:hint="eastAsia" w:ascii="宋体" w:hAnsi="宋体"/>
                <w:szCs w:val="21"/>
              </w:rPr>
              <w:t>（3.4）</w:t>
            </w:r>
            <w:r>
              <w:rPr>
                <w:rFonts w:ascii="宋体" w:hAnsi="宋体"/>
                <w:szCs w:val="21"/>
              </w:rPr>
              <w:t>爬坡能力不得低于</w:t>
            </w:r>
            <w:r>
              <w:rPr>
                <w:rFonts w:hint="eastAsia" w:ascii="宋体" w:hAnsi="宋体"/>
                <w:szCs w:val="21"/>
              </w:rPr>
              <w:t>25</w:t>
            </w:r>
            <w:r>
              <w:rPr>
                <w:rFonts w:ascii="宋体" w:hAnsi="宋体"/>
                <w:szCs w:val="21"/>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vMerge w:val="continue"/>
            <w:tcBorders>
              <w:left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p>
        </w:tc>
        <w:tc>
          <w:tcPr>
            <w:tcW w:w="1341" w:type="dxa"/>
            <w:vMerge w:val="continue"/>
            <w:tcBorders>
              <w:left w:val="single" w:color="auto" w:sz="4" w:space="0"/>
              <w:right w:val="single" w:color="auto" w:sz="4" w:space="0"/>
            </w:tcBorders>
            <w:vAlign w:val="center"/>
          </w:tcPr>
          <w:p>
            <w:pPr>
              <w:spacing w:line="360" w:lineRule="auto"/>
              <w:jc w:val="center"/>
              <w:rPr>
                <w:color w:val="FF0000"/>
                <w:highlight w:val="yellow"/>
              </w:rPr>
            </w:pPr>
          </w:p>
        </w:tc>
        <w:tc>
          <w:tcPr>
            <w:tcW w:w="7438"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left="0"/>
              <w:rPr>
                <w:rFonts w:ascii="宋体" w:hAnsi="宋体"/>
                <w:color w:val="000000"/>
                <w:sz w:val="21"/>
                <w:szCs w:val="21"/>
              </w:rPr>
            </w:pPr>
            <w:r>
              <w:rPr>
                <w:rFonts w:hint="eastAsia" w:ascii="宋体" w:hAnsi="宋体"/>
                <w:color w:val="000000"/>
                <w:sz w:val="21"/>
                <w:szCs w:val="21"/>
              </w:rPr>
              <w:t>（4）</w:t>
            </w:r>
            <w:r>
              <w:rPr>
                <w:rFonts w:ascii="宋体" w:hAnsi="宋体"/>
                <w:color w:val="000000"/>
                <w:sz w:val="21"/>
                <w:szCs w:val="21"/>
              </w:rPr>
              <w:t>车辆</w:t>
            </w:r>
            <w:r>
              <w:rPr>
                <w:rFonts w:hint="eastAsia" w:ascii="宋体" w:hAnsi="宋体"/>
                <w:color w:val="000000"/>
                <w:sz w:val="21"/>
                <w:szCs w:val="21"/>
              </w:rPr>
              <w:t>驱动</w:t>
            </w:r>
            <w:r>
              <w:rPr>
                <w:rFonts w:ascii="宋体" w:hAnsi="宋体"/>
                <w:color w:val="000000"/>
                <w:sz w:val="21"/>
                <w:szCs w:val="21"/>
              </w:rPr>
              <w:t>行走方式</w:t>
            </w:r>
            <w:r>
              <w:rPr>
                <w:rFonts w:hint="eastAsia" w:ascii="宋体" w:hAnsi="宋体"/>
                <w:color w:val="000000"/>
                <w:sz w:val="21"/>
                <w:szCs w:val="21"/>
              </w:rPr>
              <w:t>及速度</w:t>
            </w:r>
          </w:p>
          <w:p>
            <w:pPr>
              <w:spacing w:line="360" w:lineRule="auto"/>
              <w:rPr>
                <w:rFonts w:ascii="宋体" w:hAnsi="宋体"/>
                <w:color w:val="000000"/>
                <w:szCs w:val="21"/>
              </w:rPr>
            </w:pPr>
            <w:r>
              <w:rPr>
                <w:rFonts w:hint="eastAsia" w:ascii="宋体" w:hAnsi="宋体"/>
                <w:color w:val="000000"/>
                <w:szCs w:val="21"/>
              </w:rPr>
              <w:t>（4.1）</w:t>
            </w:r>
            <w:r>
              <w:rPr>
                <w:rFonts w:ascii="宋体" w:hAnsi="宋体"/>
                <w:color w:val="000000"/>
                <w:szCs w:val="21"/>
              </w:rPr>
              <w:t>驱动模式具有高低速</w:t>
            </w:r>
            <w:r>
              <w:rPr>
                <w:rFonts w:ascii="宋体" w:hAnsi="宋体"/>
                <w:szCs w:val="21"/>
              </w:rPr>
              <w:t>（</w:t>
            </w:r>
            <w:r>
              <w:rPr>
                <w:rFonts w:hint="eastAsia" w:ascii="宋体" w:hAnsi="宋体"/>
                <w:szCs w:val="21"/>
              </w:rPr>
              <w:t>3</w:t>
            </w:r>
            <w:r>
              <w:rPr>
                <w:rFonts w:ascii="宋体" w:hAnsi="宋体"/>
                <w:color w:val="000000"/>
                <w:szCs w:val="21"/>
              </w:rPr>
              <w:t>种以上为佳）功能，车辆运行时转换动作快捷、平稳无停滞冲击</w:t>
            </w:r>
            <w:r>
              <w:rPr>
                <w:rFonts w:hint="eastAsia" w:ascii="宋体" w:hAnsi="宋体"/>
                <w:color w:val="000000"/>
                <w:szCs w:val="21"/>
              </w:rPr>
              <w:t>；</w:t>
            </w:r>
          </w:p>
          <w:p>
            <w:pPr>
              <w:spacing w:line="360" w:lineRule="auto"/>
              <w:rPr>
                <w:rFonts w:ascii="宋体" w:hAnsi="宋体"/>
                <w:color w:val="FF0000"/>
                <w:szCs w:val="21"/>
              </w:rPr>
            </w:pPr>
            <w:r>
              <w:rPr>
                <w:rFonts w:hint="eastAsia" w:ascii="宋体" w:hAnsi="宋体"/>
                <w:color w:val="000000"/>
                <w:szCs w:val="21"/>
              </w:rPr>
              <w:t>（4.2）车辆采用双前轮</w:t>
            </w:r>
            <w:r>
              <w:rPr>
                <w:rFonts w:hint="eastAsia" w:ascii="宋体" w:hAnsi="宋体"/>
                <w:szCs w:val="21"/>
              </w:rPr>
              <w:t>直流电动驱动和转向,双前电动刹车；</w:t>
            </w:r>
          </w:p>
          <w:p>
            <w:pPr>
              <w:pStyle w:val="2"/>
              <w:spacing w:after="0" w:line="360" w:lineRule="auto"/>
              <w:ind w:left="0"/>
              <w:rPr>
                <w:rFonts w:ascii="宋体" w:hAnsi="宋体"/>
                <w:color w:val="000000"/>
                <w:sz w:val="21"/>
                <w:szCs w:val="21"/>
              </w:rPr>
            </w:pPr>
            <w:r>
              <w:rPr>
                <w:rFonts w:hint="eastAsia" w:ascii="宋体" w:hAnsi="宋体"/>
                <w:color w:val="000000"/>
                <w:sz w:val="21"/>
                <w:szCs w:val="21"/>
              </w:rPr>
              <w:t>（4.3）</w:t>
            </w:r>
            <w:r>
              <w:rPr>
                <w:rFonts w:ascii="宋体" w:hAnsi="宋体"/>
                <w:color w:val="000000"/>
                <w:sz w:val="21"/>
                <w:szCs w:val="21"/>
              </w:rPr>
              <w:t>车辆（收藏时）行驶速度</w:t>
            </w:r>
            <w:r>
              <w:rPr>
                <w:rFonts w:hint="eastAsia" w:ascii="宋体" w:hAnsi="宋体"/>
                <w:sz w:val="21"/>
                <w:szCs w:val="21"/>
              </w:rPr>
              <w:t>≥</w:t>
            </w:r>
            <w:r>
              <w:rPr>
                <w:rFonts w:hint="eastAsia" w:ascii="宋体" w:hAnsi="宋体"/>
                <w:color w:val="000000"/>
                <w:sz w:val="21"/>
                <w:szCs w:val="21"/>
              </w:rPr>
              <w:t>4.0</w:t>
            </w:r>
            <w:r>
              <w:rPr>
                <w:rFonts w:ascii="宋体" w:hAnsi="宋体"/>
                <w:color w:val="000000"/>
                <w:sz w:val="21"/>
                <w:szCs w:val="21"/>
              </w:rPr>
              <w:t>公里/小时。</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vMerge w:val="continue"/>
            <w:tcBorders>
              <w:left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p>
        </w:tc>
        <w:tc>
          <w:tcPr>
            <w:tcW w:w="1341" w:type="dxa"/>
            <w:vMerge w:val="continue"/>
            <w:tcBorders>
              <w:left w:val="single" w:color="auto" w:sz="4" w:space="0"/>
              <w:right w:val="single" w:color="auto" w:sz="4" w:space="0"/>
            </w:tcBorders>
            <w:vAlign w:val="center"/>
          </w:tcPr>
          <w:p>
            <w:pPr>
              <w:jc w:val="center"/>
              <w:rPr>
                <w:color w:val="FF0000"/>
                <w:highlight w:val="yellow"/>
              </w:rPr>
            </w:pPr>
          </w:p>
        </w:tc>
        <w:tc>
          <w:tcPr>
            <w:tcW w:w="74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（5）车辆自我安全防护装置要求</w:t>
            </w:r>
          </w:p>
          <w:p>
            <w:pPr>
              <w:spacing w:line="360" w:lineRule="auto"/>
              <w:rPr>
                <w:rFonts w:ascii="宋体" w:hAnsi="宋体"/>
                <w:szCs w:val="21"/>
              </w:rPr>
            </w:pPr>
            <w:r>
              <w:rPr>
                <w:rFonts w:hint="eastAsia" w:ascii="宋体" w:hAnsi="宋体"/>
                <w:szCs w:val="21"/>
              </w:rPr>
              <w:t>（5.1）工作平台和地面控制应具有紧急停止装置；</w:t>
            </w:r>
          </w:p>
          <w:p>
            <w:pPr>
              <w:spacing w:line="360" w:lineRule="auto"/>
              <w:rPr>
                <w:rFonts w:ascii="宋体" w:hAnsi="宋体"/>
                <w:szCs w:val="21"/>
              </w:rPr>
            </w:pPr>
            <w:r>
              <w:rPr>
                <w:rFonts w:hint="eastAsia" w:ascii="宋体" w:hAnsi="宋体"/>
                <w:szCs w:val="21"/>
              </w:rPr>
              <w:t>（5.2）车辆行走时具有倾斜（倾斜角＞3度时）报警功能，保证车辆通过障碍时平台始终与地面保持水平；</w:t>
            </w:r>
          </w:p>
          <w:p>
            <w:pPr>
              <w:spacing w:line="360" w:lineRule="auto"/>
              <w:rPr>
                <w:rFonts w:ascii="宋体" w:hAnsi="宋体"/>
                <w:szCs w:val="21"/>
              </w:rPr>
            </w:pPr>
            <w:r>
              <w:rPr>
                <w:rFonts w:hint="eastAsia" w:ascii="宋体" w:hAnsi="宋体"/>
                <w:szCs w:val="21"/>
              </w:rPr>
              <w:t>（5.3）操作平台提升/下降时，动作应稳定平缓摆动小，下降需带有声音报警功能；</w:t>
            </w:r>
          </w:p>
          <w:p>
            <w:pPr>
              <w:spacing w:line="360" w:lineRule="auto"/>
              <w:rPr>
                <w:rFonts w:ascii="宋体" w:hAnsi="宋体"/>
                <w:szCs w:val="21"/>
              </w:rPr>
            </w:pPr>
            <w:r>
              <w:rPr>
                <w:rFonts w:hint="eastAsia" w:ascii="宋体" w:hAnsi="宋体"/>
                <w:szCs w:val="21"/>
              </w:rPr>
              <w:t>（5.4）平台具有超载保护装置，在发生故障情况下具有手动工作平台迫降功能；</w:t>
            </w:r>
          </w:p>
          <w:p>
            <w:pPr>
              <w:spacing w:line="360" w:lineRule="auto"/>
              <w:rPr>
                <w:rFonts w:ascii="宋体" w:hAnsi="宋体"/>
                <w:szCs w:val="21"/>
              </w:rPr>
            </w:pPr>
            <w:r>
              <w:rPr>
                <w:rFonts w:hint="eastAsia" w:ascii="宋体" w:hAnsi="宋体"/>
                <w:szCs w:val="21"/>
              </w:rPr>
              <w:t>（5.5）车辆应具有防坑洼安全装置系统。</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709" w:type="dxa"/>
            <w:vMerge w:val="continue"/>
            <w:tcBorders>
              <w:left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p>
        </w:tc>
        <w:tc>
          <w:tcPr>
            <w:tcW w:w="1341" w:type="dxa"/>
            <w:vMerge w:val="continue"/>
            <w:tcBorders>
              <w:left w:val="single" w:color="auto" w:sz="4" w:space="0"/>
              <w:right w:val="single" w:color="auto" w:sz="4" w:space="0"/>
            </w:tcBorders>
            <w:vAlign w:val="center"/>
          </w:tcPr>
          <w:p>
            <w:pPr>
              <w:jc w:val="center"/>
              <w:rPr>
                <w:color w:val="000000"/>
              </w:rPr>
            </w:pPr>
          </w:p>
        </w:tc>
        <w:tc>
          <w:tcPr>
            <w:tcW w:w="74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（6）车辆操作方式及指示</w:t>
            </w:r>
          </w:p>
          <w:p>
            <w:pPr>
              <w:spacing w:line="360" w:lineRule="auto"/>
              <w:rPr>
                <w:rFonts w:ascii="宋体" w:hAnsi="宋体"/>
                <w:szCs w:val="21"/>
              </w:rPr>
            </w:pPr>
            <w:r>
              <w:rPr>
                <w:rFonts w:hint="eastAsia" w:ascii="宋体" w:hAnsi="宋体"/>
                <w:szCs w:val="21"/>
              </w:rPr>
              <w:t>（6.1）具有地面及工作平台双重操作控制系统，但不能同时操作（联锁）；</w:t>
            </w:r>
          </w:p>
          <w:p>
            <w:pPr>
              <w:spacing w:line="360" w:lineRule="auto"/>
              <w:rPr>
                <w:rFonts w:ascii="宋体" w:hAnsi="宋体"/>
                <w:szCs w:val="21"/>
              </w:rPr>
            </w:pPr>
            <w:r>
              <w:rPr>
                <w:rFonts w:hint="eastAsia" w:ascii="宋体" w:hAnsi="宋体"/>
                <w:szCs w:val="21"/>
              </w:rPr>
              <w:t>（6.2）操作方式简单，并具有相应的工作状态指示和安全故障报警显示功能；</w:t>
            </w:r>
          </w:p>
          <w:p>
            <w:pPr>
              <w:spacing w:line="360" w:lineRule="auto"/>
              <w:rPr>
                <w:rFonts w:ascii="宋体" w:hAnsi="宋体"/>
                <w:szCs w:val="21"/>
              </w:rPr>
            </w:pPr>
            <w:r>
              <w:rPr>
                <w:rFonts w:hint="eastAsia" w:ascii="宋体" w:hAnsi="宋体"/>
                <w:szCs w:val="21"/>
              </w:rPr>
              <w:t>（6.3）工作平台操作为可移动式控制箱；</w:t>
            </w:r>
          </w:p>
          <w:p>
            <w:pPr>
              <w:spacing w:line="360" w:lineRule="auto"/>
              <w:rPr>
                <w:rFonts w:ascii="宋体" w:hAnsi="宋体"/>
                <w:szCs w:val="21"/>
              </w:rPr>
            </w:pPr>
            <w:r>
              <w:rPr>
                <w:rFonts w:hint="eastAsia" w:ascii="宋体" w:hAnsi="宋体"/>
                <w:szCs w:val="21"/>
              </w:rPr>
              <w:t>（6.4）操作手柄具有比例控制（渐变控制）提升和驱动功能。</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vMerge w:val="continue"/>
            <w:tcBorders>
              <w:left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p>
        </w:tc>
        <w:tc>
          <w:tcPr>
            <w:tcW w:w="1341" w:type="dxa"/>
            <w:vMerge w:val="continue"/>
            <w:tcBorders>
              <w:left w:val="single" w:color="auto" w:sz="4" w:space="0"/>
              <w:right w:val="single" w:color="auto" w:sz="4" w:space="0"/>
            </w:tcBorders>
            <w:vAlign w:val="center"/>
          </w:tcPr>
          <w:p>
            <w:pPr>
              <w:spacing w:line="360" w:lineRule="auto"/>
              <w:jc w:val="center"/>
              <w:rPr>
                <w:color w:val="000000"/>
              </w:rPr>
            </w:pPr>
          </w:p>
        </w:tc>
        <w:tc>
          <w:tcPr>
            <w:tcW w:w="74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（7）制动系统</w:t>
            </w:r>
          </w:p>
          <w:p>
            <w:pPr>
              <w:spacing w:line="360" w:lineRule="auto"/>
              <w:rPr>
                <w:rFonts w:ascii="宋体" w:hAnsi="宋体"/>
                <w:szCs w:val="21"/>
              </w:rPr>
            </w:pPr>
            <w:r>
              <w:rPr>
                <w:rFonts w:hint="eastAsia" w:ascii="宋体" w:hAnsi="宋体"/>
                <w:szCs w:val="21"/>
              </w:rPr>
              <w:t>（7.1）制动方式要求手控松开即刹车；</w:t>
            </w:r>
          </w:p>
          <w:p>
            <w:pPr>
              <w:spacing w:line="360" w:lineRule="auto"/>
              <w:rPr>
                <w:rFonts w:ascii="宋体" w:hAnsi="宋体"/>
                <w:szCs w:val="21"/>
              </w:rPr>
            </w:pPr>
            <w:r>
              <w:rPr>
                <w:rFonts w:hint="eastAsia" w:ascii="宋体" w:hAnsi="宋体"/>
                <w:szCs w:val="21"/>
              </w:rPr>
              <w:t>（7.2）采用多盘或电动刹车装置；</w:t>
            </w:r>
          </w:p>
          <w:p>
            <w:pPr>
              <w:spacing w:line="360" w:lineRule="auto"/>
              <w:rPr>
                <w:rFonts w:ascii="宋体" w:hAnsi="宋体"/>
                <w:szCs w:val="21"/>
              </w:rPr>
            </w:pPr>
            <w:r>
              <w:rPr>
                <w:rFonts w:hint="eastAsia" w:ascii="宋体" w:hAnsi="宋体"/>
                <w:szCs w:val="21"/>
              </w:rPr>
              <w:t>（7.3）刹车具有释放，可人工推移；</w:t>
            </w:r>
          </w:p>
          <w:p>
            <w:pPr>
              <w:spacing w:line="360" w:lineRule="auto"/>
              <w:rPr>
                <w:rFonts w:ascii="宋体" w:hAnsi="宋体"/>
                <w:szCs w:val="21"/>
              </w:rPr>
            </w:pPr>
            <w:r>
              <w:rPr>
                <w:rFonts w:hint="eastAsia" w:ascii="宋体" w:hAnsi="宋体"/>
                <w:szCs w:val="21"/>
              </w:rPr>
              <w:t>（7.4）车辆驻车时定位稳定，且具有防滑性。</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vMerge w:val="continue"/>
            <w:tcBorders>
              <w:left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p>
        </w:tc>
        <w:tc>
          <w:tcPr>
            <w:tcW w:w="1341" w:type="dxa"/>
            <w:vMerge w:val="continue"/>
            <w:tcBorders>
              <w:left w:val="single" w:color="auto" w:sz="4" w:space="0"/>
              <w:right w:val="single" w:color="auto" w:sz="4" w:space="0"/>
            </w:tcBorders>
            <w:vAlign w:val="center"/>
          </w:tcPr>
          <w:p>
            <w:pPr>
              <w:jc w:val="center"/>
              <w:rPr>
                <w:color w:val="000000"/>
              </w:rPr>
            </w:pPr>
          </w:p>
        </w:tc>
        <w:tc>
          <w:tcPr>
            <w:tcW w:w="74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（8）电控系统及运行噪音</w:t>
            </w:r>
          </w:p>
          <w:p>
            <w:pPr>
              <w:spacing w:line="360" w:lineRule="auto"/>
              <w:rPr>
                <w:rFonts w:ascii="宋体" w:hAnsi="宋体"/>
                <w:szCs w:val="21"/>
              </w:rPr>
            </w:pPr>
            <w:r>
              <w:rPr>
                <w:rFonts w:hint="eastAsia" w:ascii="宋体" w:hAnsi="宋体"/>
                <w:szCs w:val="21"/>
              </w:rPr>
              <w:t>（8.1）车辆在运行过程中，电控系统各种控制、转换动作平稳；</w:t>
            </w:r>
          </w:p>
          <w:p>
            <w:pPr>
              <w:spacing w:line="360" w:lineRule="auto"/>
              <w:rPr>
                <w:rFonts w:ascii="宋体" w:hAnsi="宋体"/>
                <w:szCs w:val="21"/>
              </w:rPr>
            </w:pPr>
            <w:r>
              <w:rPr>
                <w:rFonts w:hint="eastAsia" w:ascii="宋体" w:hAnsi="宋体"/>
                <w:szCs w:val="21"/>
              </w:rPr>
              <w:t>（8.2）电路系统（电控箱防护等级不低于产品相关安全系数）安全、可靠、耐久性好；</w:t>
            </w:r>
          </w:p>
          <w:p>
            <w:pPr>
              <w:spacing w:line="360" w:lineRule="auto"/>
              <w:rPr>
                <w:rFonts w:ascii="宋体" w:hAnsi="宋体"/>
                <w:szCs w:val="21"/>
              </w:rPr>
            </w:pPr>
            <w:r>
              <w:rPr>
                <w:rFonts w:hint="eastAsia" w:ascii="宋体" w:hAnsi="宋体"/>
                <w:szCs w:val="21"/>
              </w:rPr>
              <w:t>（8.3）电机运行噪音要小，并且安全、可靠及耐用性强，运行时平顺无停滞冲击；</w:t>
            </w:r>
          </w:p>
          <w:p>
            <w:pPr>
              <w:spacing w:line="360" w:lineRule="auto"/>
              <w:rPr>
                <w:rFonts w:ascii="宋体" w:hAnsi="宋体"/>
                <w:szCs w:val="21"/>
              </w:rPr>
            </w:pPr>
            <w:r>
              <w:rPr>
                <w:rFonts w:hint="eastAsia" w:ascii="宋体" w:hAnsi="宋体"/>
                <w:szCs w:val="21"/>
              </w:rPr>
              <w:t>（8.4）动力源为低压直流（电池）。</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vMerge w:val="continue"/>
            <w:tcBorders>
              <w:left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p>
        </w:tc>
        <w:tc>
          <w:tcPr>
            <w:tcW w:w="1341" w:type="dxa"/>
            <w:vMerge w:val="continue"/>
            <w:tcBorders>
              <w:left w:val="single" w:color="auto" w:sz="4" w:space="0"/>
              <w:right w:val="single" w:color="auto" w:sz="4" w:space="0"/>
            </w:tcBorders>
            <w:vAlign w:val="center"/>
          </w:tcPr>
          <w:p>
            <w:pPr>
              <w:jc w:val="center"/>
              <w:rPr>
                <w:color w:val="000000"/>
              </w:rPr>
            </w:pPr>
          </w:p>
        </w:tc>
        <w:tc>
          <w:tcPr>
            <w:tcW w:w="74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（9）电瓶使用寿命</w:t>
            </w:r>
          </w:p>
          <w:p>
            <w:pPr>
              <w:spacing w:line="360" w:lineRule="auto"/>
              <w:rPr>
                <w:rFonts w:ascii="宋体" w:hAnsi="宋体"/>
                <w:szCs w:val="21"/>
              </w:rPr>
            </w:pPr>
            <w:r>
              <w:rPr>
                <w:rFonts w:hint="eastAsia" w:ascii="宋体" w:hAnsi="宋体"/>
                <w:szCs w:val="21"/>
              </w:rPr>
              <w:t>（9.1）车辆采用24V直流电源；</w:t>
            </w:r>
          </w:p>
          <w:p>
            <w:pPr>
              <w:spacing w:line="360" w:lineRule="auto"/>
              <w:rPr>
                <w:rFonts w:ascii="宋体" w:hAnsi="宋体"/>
                <w:szCs w:val="21"/>
              </w:rPr>
            </w:pPr>
            <w:r>
              <w:rPr>
                <w:rFonts w:hint="eastAsia" w:ascii="宋体" w:hAnsi="宋体"/>
                <w:szCs w:val="21"/>
              </w:rPr>
              <w:t>（9.2）采用国际知名品牌蓄电池；</w:t>
            </w:r>
          </w:p>
          <w:p>
            <w:pPr>
              <w:spacing w:line="360" w:lineRule="auto"/>
              <w:rPr>
                <w:rFonts w:ascii="宋体" w:hAnsi="宋体"/>
                <w:szCs w:val="21"/>
              </w:rPr>
            </w:pPr>
            <w:r>
              <w:rPr>
                <w:rFonts w:hint="eastAsia" w:ascii="宋体" w:hAnsi="宋体"/>
                <w:szCs w:val="21"/>
              </w:rPr>
              <w:t>（9.3）蓄电池持续工作时间不得小于3小时（单个电池容量不得小于110Ah）；</w:t>
            </w:r>
          </w:p>
          <w:p>
            <w:pPr>
              <w:spacing w:line="360" w:lineRule="auto"/>
              <w:rPr>
                <w:rFonts w:ascii="宋体" w:hAnsi="宋体"/>
                <w:szCs w:val="21"/>
              </w:rPr>
            </w:pPr>
            <w:r>
              <w:rPr>
                <w:rFonts w:hint="eastAsia" w:ascii="宋体" w:hAnsi="宋体"/>
                <w:szCs w:val="21"/>
              </w:rPr>
              <w:t>（9.4）要求电池充放电次数在750次以上；</w:t>
            </w:r>
          </w:p>
          <w:p>
            <w:pPr>
              <w:spacing w:line="360" w:lineRule="auto"/>
              <w:rPr>
                <w:rFonts w:ascii="宋体" w:hAnsi="宋体"/>
                <w:szCs w:val="21"/>
              </w:rPr>
            </w:pPr>
            <w:r>
              <w:rPr>
                <w:rFonts w:hint="eastAsia" w:ascii="宋体" w:hAnsi="宋体"/>
                <w:szCs w:val="21"/>
              </w:rPr>
              <w:t>（9.5）整组电池应有两年以上的质量承诺；</w:t>
            </w:r>
          </w:p>
          <w:p>
            <w:pPr>
              <w:spacing w:line="360" w:lineRule="auto"/>
              <w:rPr>
                <w:rFonts w:ascii="宋体" w:hAnsi="宋体"/>
                <w:szCs w:val="21"/>
              </w:rPr>
            </w:pPr>
            <w:r>
              <w:rPr>
                <w:rFonts w:hint="eastAsia" w:ascii="宋体" w:hAnsi="宋体"/>
                <w:szCs w:val="21"/>
              </w:rPr>
              <w:t>（9.6）充电电源接口应稳定牢固。</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9" w:type="dxa"/>
            <w:vMerge w:val="continue"/>
            <w:tcBorders>
              <w:left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p>
        </w:tc>
        <w:tc>
          <w:tcPr>
            <w:tcW w:w="1341" w:type="dxa"/>
            <w:vMerge w:val="continue"/>
            <w:tcBorders>
              <w:left w:val="single" w:color="auto" w:sz="4" w:space="0"/>
              <w:right w:val="single" w:color="auto" w:sz="4" w:space="0"/>
            </w:tcBorders>
            <w:vAlign w:val="center"/>
          </w:tcPr>
          <w:p>
            <w:pPr>
              <w:jc w:val="center"/>
              <w:rPr>
                <w:color w:val="000000"/>
              </w:rPr>
            </w:pPr>
          </w:p>
        </w:tc>
        <w:tc>
          <w:tcPr>
            <w:tcW w:w="74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（10）轮胎质量要求</w:t>
            </w:r>
          </w:p>
          <w:p>
            <w:pPr>
              <w:spacing w:line="360" w:lineRule="auto"/>
              <w:rPr>
                <w:rFonts w:ascii="宋体" w:hAnsi="宋体"/>
                <w:szCs w:val="21"/>
              </w:rPr>
            </w:pPr>
            <w:r>
              <w:rPr>
                <w:rFonts w:hint="eastAsia" w:ascii="宋体" w:hAnsi="宋体"/>
                <w:szCs w:val="21"/>
              </w:rPr>
              <w:t>（10.1）适用于光滑地面（填充式/无泄漏）实心无痕轮胎；</w:t>
            </w:r>
          </w:p>
          <w:p>
            <w:pPr>
              <w:spacing w:line="360" w:lineRule="auto"/>
              <w:rPr>
                <w:rFonts w:ascii="宋体" w:hAnsi="宋体"/>
                <w:szCs w:val="21"/>
              </w:rPr>
            </w:pPr>
            <w:r>
              <w:rPr>
                <w:rFonts w:hint="eastAsia" w:ascii="宋体" w:hAnsi="宋体"/>
                <w:szCs w:val="21"/>
              </w:rPr>
              <w:t>（10.2）安全结实具有防滑性。</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9" w:type="dxa"/>
            <w:vMerge w:val="continue"/>
            <w:tcBorders>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p>
        </w:tc>
        <w:tc>
          <w:tcPr>
            <w:tcW w:w="1341" w:type="dxa"/>
            <w:vMerge w:val="continue"/>
            <w:tcBorders>
              <w:left w:val="single" w:color="auto" w:sz="4" w:space="0"/>
              <w:right w:val="single" w:color="auto" w:sz="4" w:space="0"/>
            </w:tcBorders>
            <w:vAlign w:val="center"/>
          </w:tcPr>
          <w:p>
            <w:pPr>
              <w:jc w:val="center"/>
              <w:rPr>
                <w:color w:val="000000"/>
              </w:rPr>
            </w:pPr>
          </w:p>
        </w:tc>
        <w:tc>
          <w:tcPr>
            <w:tcW w:w="74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（11）其它特殊功能</w:t>
            </w:r>
          </w:p>
          <w:p>
            <w:pPr>
              <w:spacing w:line="360" w:lineRule="auto"/>
              <w:rPr>
                <w:rFonts w:ascii="宋体" w:hAnsi="宋体"/>
                <w:szCs w:val="21"/>
              </w:rPr>
            </w:pPr>
            <w:r>
              <w:rPr>
                <w:rFonts w:hint="eastAsia" w:ascii="宋体" w:hAnsi="宋体"/>
                <w:szCs w:val="21"/>
              </w:rPr>
              <w:t>如果设备有与其他同类产品所不具有的特殊功能，就其功能可给予特别介绍；提供详细介绍并提供相关图片及其他证明材料。</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left w:val="single" w:color="auto" w:sz="4" w:space="0"/>
              <w:right w:val="single" w:color="auto" w:sz="4" w:space="0"/>
            </w:tcBorders>
            <w:vAlign w:val="center"/>
          </w:tcPr>
          <w:p>
            <w:pPr>
              <w:jc w:val="center"/>
              <w:rPr>
                <w:color w:val="000000"/>
              </w:rPr>
            </w:pPr>
            <w:r>
              <w:rPr>
                <w:rFonts w:hint="eastAsia"/>
                <w:color w:val="000000"/>
              </w:rPr>
              <w:t>随车配件</w:t>
            </w:r>
          </w:p>
          <w:p>
            <w:pPr>
              <w:jc w:val="center"/>
              <w:rPr>
                <w:color w:val="000000"/>
              </w:rPr>
            </w:pPr>
            <w:r>
              <w:rPr>
                <w:rFonts w:hint="eastAsia"/>
                <w:color w:val="000000"/>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rPr>
            </w:pPr>
            <w:r>
              <w:rPr>
                <w:rFonts w:hint="eastAsia"/>
                <w:color w:val="000000"/>
              </w:rPr>
              <w:t>（1）附随车配件清单；</w:t>
            </w:r>
          </w:p>
          <w:p>
            <w:pPr>
              <w:spacing w:line="360" w:lineRule="auto"/>
              <w:rPr>
                <w:color w:val="000000"/>
              </w:rPr>
            </w:pPr>
            <w:r>
              <w:rPr>
                <w:rFonts w:hint="eastAsia"/>
                <w:color w:val="000000"/>
              </w:rPr>
              <w:t>（2）附</w:t>
            </w:r>
            <w:r>
              <w:rPr>
                <w:color w:val="000000"/>
              </w:rPr>
              <w:t>产品维护保养手册（中文版）及产品技术资料（中文版</w:t>
            </w:r>
            <w:r>
              <w:rPr>
                <w:rFonts w:hint="eastAsia"/>
                <w:color w:val="000000"/>
              </w:rPr>
              <w:t>，如没有，中标人需翻译后加盖公章</w:t>
            </w:r>
            <w:r>
              <w:rPr>
                <w:color w:val="000000"/>
              </w:rPr>
              <w:t>）；</w:t>
            </w:r>
          </w:p>
          <w:p>
            <w:pPr>
              <w:spacing w:line="360" w:lineRule="auto"/>
              <w:rPr>
                <w:color w:val="000000"/>
              </w:rPr>
            </w:pPr>
            <w:r>
              <w:rPr>
                <w:rFonts w:hint="eastAsia"/>
                <w:color w:val="000000"/>
              </w:rPr>
              <w:t>（3）</w:t>
            </w:r>
            <w:r>
              <w:rPr>
                <w:color w:val="000000"/>
              </w:rPr>
              <w:t>随车配件及附加一套常用维修工具。</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left w:val="single" w:color="auto" w:sz="4" w:space="0"/>
              <w:right w:val="single" w:color="auto" w:sz="4" w:space="0"/>
            </w:tcBorders>
            <w:vAlign w:val="center"/>
          </w:tcPr>
          <w:p>
            <w:pPr>
              <w:jc w:val="center"/>
              <w:rPr>
                <w:color w:val="000000"/>
              </w:rPr>
            </w:pPr>
            <w:r>
              <w:rPr>
                <w:color w:val="000000"/>
              </w:rPr>
              <w:t>产品保修</w:t>
            </w:r>
          </w:p>
          <w:p>
            <w:pPr>
              <w:jc w:val="center"/>
              <w:rPr>
                <w:color w:val="000000"/>
              </w:rPr>
            </w:pPr>
            <w:r>
              <w:rPr>
                <w:color w:val="000000"/>
              </w:rPr>
              <w:t>时间</w:t>
            </w:r>
          </w:p>
        </w:tc>
        <w:tc>
          <w:tcPr>
            <w:tcW w:w="7438" w:type="dxa"/>
            <w:tcBorders>
              <w:top w:val="single" w:color="auto" w:sz="4" w:space="0"/>
              <w:left w:val="single" w:color="auto" w:sz="4" w:space="0"/>
              <w:bottom w:val="single" w:color="auto" w:sz="4" w:space="0"/>
              <w:right w:val="single" w:color="auto" w:sz="4" w:space="0"/>
            </w:tcBorders>
            <w:vAlign w:val="center"/>
          </w:tcPr>
          <w:p>
            <w:pPr>
              <w:spacing w:line="360" w:lineRule="auto"/>
              <w:ind w:left="315" w:hanging="315" w:hangingChars="150"/>
              <w:rPr>
                <w:rFonts w:ascii="宋体" w:hAnsi="宋体"/>
                <w:color w:val="000000"/>
                <w:sz w:val="24"/>
              </w:rPr>
            </w:pPr>
            <w:r>
              <w:rPr>
                <w:rFonts w:hint="eastAsia"/>
                <w:color w:val="000000"/>
              </w:rPr>
              <w:t>（1）</w:t>
            </w:r>
            <w:r>
              <w:rPr>
                <w:color w:val="000000"/>
              </w:rPr>
              <w:t>验收合格后免费保修时间：</w:t>
            </w:r>
            <w:r>
              <w:rPr>
                <w:rFonts w:hint="eastAsia"/>
                <w:color w:val="000000"/>
              </w:rPr>
              <w:t>整车</w:t>
            </w:r>
            <w:r>
              <w:rPr>
                <w:color w:val="000000"/>
              </w:rPr>
              <w:t>免费</w:t>
            </w:r>
            <w:r>
              <w:rPr>
                <w:rFonts w:hint="eastAsia"/>
                <w:color w:val="000000"/>
              </w:rPr>
              <w:t>质保期</w:t>
            </w:r>
            <w:r>
              <w:rPr>
                <w:color w:val="000000"/>
              </w:rPr>
              <w:t>1年，每</w:t>
            </w:r>
            <w:r>
              <w:rPr>
                <w:rFonts w:hint="eastAsia"/>
                <w:color w:val="000000"/>
              </w:rPr>
              <w:t>3</w:t>
            </w:r>
            <w:r>
              <w:rPr>
                <w:color w:val="000000"/>
              </w:rPr>
              <w:t>个月定期例检</w:t>
            </w:r>
            <w:r>
              <w:rPr>
                <w:rFonts w:hint="eastAsia"/>
                <w:color w:val="000000"/>
              </w:rPr>
              <w:t>。</w:t>
            </w:r>
          </w:p>
          <w:p>
            <w:pPr>
              <w:spacing w:line="360" w:lineRule="auto"/>
              <w:rPr>
                <w:color w:val="000000"/>
              </w:rPr>
            </w:pPr>
            <w:r>
              <w:rPr>
                <w:rFonts w:hint="eastAsia" w:ascii="宋体" w:hAnsi="宋体"/>
                <w:color w:val="000000"/>
                <w:szCs w:val="21"/>
              </w:rPr>
              <w:t>（2）产品终生维护，保修期满按实际发生上门检测费、人工费、易耗件及配件费结算实际维保费用。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left w:val="single" w:color="auto" w:sz="4" w:space="0"/>
              <w:right w:val="single" w:color="auto" w:sz="4" w:space="0"/>
            </w:tcBorders>
            <w:vAlign w:val="center"/>
          </w:tcPr>
          <w:p>
            <w:pPr>
              <w:jc w:val="center"/>
              <w:rPr>
                <w:color w:val="000000"/>
              </w:rPr>
            </w:pPr>
            <w:r>
              <w:rPr>
                <w:color w:val="000000"/>
              </w:rPr>
              <w:t>售后服务</w:t>
            </w:r>
          </w:p>
          <w:p>
            <w:pPr>
              <w:jc w:val="center"/>
              <w:rPr>
                <w:color w:val="000000"/>
              </w:rPr>
            </w:pPr>
            <w:r>
              <w:rPr>
                <w:color w:val="000000"/>
              </w:rPr>
              <w:t>承诺</w:t>
            </w:r>
          </w:p>
        </w:tc>
        <w:tc>
          <w:tcPr>
            <w:tcW w:w="7438"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rPr>
            </w:pPr>
            <w:r>
              <w:rPr>
                <w:rFonts w:hint="eastAsia"/>
                <w:color w:val="000000"/>
              </w:rPr>
              <w:t>（1）</w:t>
            </w:r>
            <w:r>
              <w:rPr>
                <w:color w:val="000000"/>
              </w:rPr>
              <w:t>需提供专门售后服务计划书：包括深圳本地（或外地）维修技术人员基本情况、应急维修响应时间（须列明人员到位时间和最快使设备重新投入使用的时间）、快速维护手段，主要维修备件的价格清单；</w:t>
            </w:r>
          </w:p>
          <w:p>
            <w:pPr>
              <w:spacing w:line="360" w:lineRule="auto"/>
              <w:rPr>
                <w:color w:val="000000"/>
              </w:rPr>
            </w:pPr>
            <w:r>
              <w:rPr>
                <w:rFonts w:hint="eastAsia"/>
                <w:color w:val="000000"/>
              </w:rPr>
              <w:t>（2）</w:t>
            </w:r>
            <w:r>
              <w:rPr>
                <w:color w:val="000000"/>
              </w:rPr>
              <w:t>售后期内为确保设备正常，应派合格技术人员做定期例行服务检查；</w:t>
            </w:r>
          </w:p>
          <w:p>
            <w:pPr>
              <w:spacing w:line="360" w:lineRule="auto"/>
              <w:rPr>
                <w:color w:val="000000"/>
              </w:rPr>
            </w:pPr>
            <w:r>
              <w:rPr>
                <w:rFonts w:hint="eastAsia"/>
                <w:color w:val="000000"/>
              </w:rPr>
              <w:t>（3）</w:t>
            </w:r>
            <w:r>
              <w:rPr>
                <w:color w:val="000000"/>
              </w:rPr>
              <w:t>在每年高交会期间应指派专门技术人员到现场负责技术指导和设备维护；</w:t>
            </w:r>
          </w:p>
          <w:p>
            <w:pPr>
              <w:spacing w:line="360" w:lineRule="auto"/>
              <w:rPr>
                <w:color w:val="000000"/>
              </w:rPr>
            </w:pPr>
            <w:r>
              <w:rPr>
                <w:rFonts w:hint="eastAsia"/>
                <w:color w:val="000000"/>
              </w:rPr>
              <w:t>（4）</w:t>
            </w:r>
            <w:r>
              <w:rPr>
                <w:color w:val="000000"/>
              </w:rPr>
              <w:t>在保修期满后（视情况）可签定维护保养合同指派专门技术人员到现场负责技术指导和设备检修维护；</w:t>
            </w:r>
          </w:p>
          <w:p>
            <w:pPr>
              <w:spacing w:line="360" w:lineRule="auto"/>
              <w:rPr>
                <w:color w:val="000000"/>
              </w:rPr>
            </w:pPr>
            <w:r>
              <w:rPr>
                <w:rFonts w:hint="eastAsia"/>
                <w:color w:val="000000"/>
              </w:rPr>
              <w:t>（5）</w:t>
            </w:r>
            <w:r>
              <w:rPr>
                <w:color w:val="000000"/>
              </w:rPr>
              <w:t>按照每台设备至少培训</w:t>
            </w:r>
            <w:r>
              <w:rPr>
                <w:rFonts w:hint="eastAsia"/>
                <w:color w:val="000000"/>
              </w:rPr>
              <w:t>3</w:t>
            </w:r>
            <w:r>
              <w:rPr>
                <w:color w:val="000000"/>
              </w:rPr>
              <w:t>-</w:t>
            </w:r>
            <w:r>
              <w:rPr>
                <w:rFonts w:hint="eastAsia"/>
                <w:color w:val="000000"/>
              </w:rPr>
              <w:t>5</w:t>
            </w:r>
            <w:r>
              <w:rPr>
                <w:color w:val="000000"/>
              </w:rPr>
              <w:t>人的标准无偿负责培训驾驶并颁发相关（厂家）操作证件；</w:t>
            </w:r>
          </w:p>
          <w:p>
            <w:pPr>
              <w:spacing w:line="360" w:lineRule="auto"/>
              <w:rPr>
                <w:color w:val="000000"/>
              </w:rPr>
            </w:pPr>
            <w:r>
              <w:rPr>
                <w:rFonts w:hint="eastAsia"/>
                <w:color w:val="000000"/>
              </w:rPr>
              <w:t>（6）</w:t>
            </w:r>
            <w:r>
              <w:rPr>
                <w:color w:val="000000"/>
              </w:rPr>
              <w:t>由乙方免费提供专业技术工程师对甲方2-3名专职人员进行设备日常维修保养培训</w:t>
            </w:r>
            <w:r>
              <w:rPr>
                <w:rFonts w:hint="eastAsia"/>
                <w:color w:val="000000"/>
              </w:rPr>
              <w:t>。</w:t>
            </w:r>
          </w:p>
          <w:p>
            <w:pPr>
              <w:tabs>
                <w:tab w:val="left" w:pos="531"/>
              </w:tabs>
              <w:spacing w:line="360" w:lineRule="auto"/>
              <w:rPr>
                <w:rFonts w:ascii="宋体" w:hAnsi="宋体"/>
                <w:color w:val="000000"/>
                <w:szCs w:val="21"/>
              </w:rPr>
            </w:pPr>
            <w:r>
              <w:rPr>
                <w:rFonts w:hint="eastAsia"/>
                <w:color w:val="000000"/>
              </w:rPr>
              <w:t>（7）投标人须对此次所投标产品做出专门的质量及服务承诺，提供承诺函并加盖公章。</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6</w:t>
            </w:r>
          </w:p>
        </w:tc>
        <w:tc>
          <w:tcPr>
            <w:tcW w:w="1341" w:type="dxa"/>
            <w:tcBorders>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其他</w:t>
            </w:r>
            <w:r>
              <w:t>说明</w:t>
            </w:r>
          </w:p>
        </w:tc>
        <w:tc>
          <w:tcPr>
            <w:tcW w:w="74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2"/>
              </w:rPr>
            </w:pPr>
            <w:r>
              <w:rPr>
                <w:rFonts w:hint="eastAsia" w:ascii="宋体" w:hAnsi="宋体"/>
                <w:szCs w:val="22"/>
              </w:rPr>
              <w:t>（1）提供产品制造商简介。</w:t>
            </w:r>
          </w:p>
          <w:p>
            <w:pPr>
              <w:pStyle w:val="11"/>
              <w:spacing w:line="360" w:lineRule="auto"/>
              <w:rPr>
                <w:rFonts w:ascii="宋体" w:eastAsia="宋体"/>
                <w:color w:val="000000"/>
                <w:szCs w:val="21"/>
              </w:rPr>
            </w:pPr>
            <w:r>
              <w:rPr>
                <w:rFonts w:hint="eastAsia" w:ascii="宋体" w:eastAsia="宋体"/>
                <w:szCs w:val="22"/>
              </w:rPr>
              <w:t>（2）提供投标产品机型的技术说明资料原件或复印件加盖投标人公章。</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ascii="宋体" w:hAnsi="宋体" w:cs="宋体"/>
                <w:szCs w:val="21"/>
              </w:rPr>
              <w:t>不可偏离</w:t>
            </w:r>
          </w:p>
        </w:tc>
      </w:tr>
    </w:tbl>
    <w:p>
      <w:pPr>
        <w:numPr>
          <w:ilvl w:val="255"/>
          <w:numId w:val="0"/>
        </w:numPr>
        <w:jc w:val="left"/>
        <w:outlineLvl w:val="1"/>
        <w:rPr>
          <w:rFonts w:ascii="宋体" w:hAnsi="宋体"/>
          <w:b/>
          <w:szCs w:val="21"/>
        </w:rPr>
      </w:pPr>
      <w:bookmarkStart w:id="37" w:name="_Toc82684715"/>
      <w:bookmarkEnd w:id="37"/>
      <w:bookmarkStart w:id="38" w:name="_Toc82591996"/>
      <w:bookmarkEnd w:id="38"/>
      <w:bookmarkStart w:id="39" w:name="_Toc82684600"/>
      <w:bookmarkEnd w:id="39"/>
      <w:bookmarkStart w:id="40" w:name="_Toc82685552"/>
      <w:bookmarkEnd w:id="40"/>
      <w:bookmarkStart w:id="41" w:name="_Toc116550349"/>
    </w:p>
    <w:p>
      <w:pPr>
        <w:numPr>
          <w:ilvl w:val="0"/>
          <w:numId w:val="1"/>
        </w:numPr>
        <w:jc w:val="left"/>
        <w:outlineLvl w:val="1"/>
        <w:rPr>
          <w:rFonts w:ascii="宋体" w:hAnsi="宋体"/>
          <w:b/>
          <w:szCs w:val="21"/>
        </w:rPr>
      </w:pPr>
      <w:r>
        <w:rPr>
          <w:rFonts w:hint="eastAsia" w:ascii="宋体" w:hAnsi="宋体"/>
          <w:b/>
          <w:szCs w:val="21"/>
        </w:rPr>
        <w:t>其他项目说明资料</w:t>
      </w:r>
      <w:bookmarkEnd w:id="41"/>
    </w:p>
    <w:p>
      <w:pPr>
        <w:pStyle w:val="2"/>
        <w:rPr>
          <w:bCs/>
        </w:rPr>
      </w:pPr>
      <w:r>
        <w:rPr>
          <w:rFonts w:hint="eastAsia" w:ascii="宋体" w:hAnsi="宋体"/>
          <w:bCs/>
          <w:szCs w:val="21"/>
        </w:rPr>
        <w:t>无</w:t>
      </w:r>
    </w:p>
    <w:p>
      <w:pPr>
        <w:spacing w:line="360" w:lineRule="auto"/>
        <w:jc w:val="center"/>
        <w:outlineLvl w:val="0"/>
        <w:rPr>
          <w:rFonts w:ascii="宋体" w:hAnsi="宋体"/>
          <w:b/>
          <w:sz w:val="32"/>
          <w:szCs w:val="32"/>
        </w:rPr>
      </w:pPr>
      <w:bookmarkStart w:id="42" w:name="_Toc116550350"/>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pStyle w:val="2"/>
        <w:rPr>
          <w:rFonts w:ascii="宋体" w:hAnsi="宋体"/>
          <w:b/>
          <w:sz w:val="32"/>
          <w:szCs w:val="32"/>
        </w:rPr>
      </w:pPr>
    </w:p>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r>
        <w:rPr>
          <w:rFonts w:hint="eastAsia" w:ascii="宋体" w:hAnsi="宋体"/>
          <w:b/>
          <w:sz w:val="32"/>
          <w:szCs w:val="32"/>
        </w:rPr>
        <w:t>第二部分：开标评标流程</w:t>
      </w:r>
      <w:bookmarkEnd w:id="42"/>
    </w:p>
    <w:p>
      <w:pPr>
        <w:numPr>
          <w:ilvl w:val="0"/>
          <w:numId w:val="1"/>
        </w:numPr>
        <w:spacing w:line="360" w:lineRule="auto"/>
        <w:outlineLvl w:val="1"/>
        <w:rPr>
          <w:b/>
        </w:rPr>
      </w:pPr>
      <w:bookmarkStart w:id="43" w:name="_Toc116550351"/>
      <w:bookmarkStart w:id="44" w:name="_Toc104994641"/>
      <w:bookmarkStart w:id="45" w:name="_Hlk104908581"/>
      <w:bookmarkStart w:id="46" w:name="_Hlk104908397"/>
      <w:r>
        <w:rPr>
          <w:rFonts w:hint="eastAsia"/>
          <w:b/>
        </w:rPr>
        <w:t>开标阶段</w:t>
      </w:r>
      <w:bookmarkEnd w:id="43"/>
      <w:bookmarkEnd w:id="44"/>
    </w:p>
    <w:bookmarkEnd w:id="45"/>
    <w:p>
      <w:pPr>
        <w:pStyle w:val="22"/>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2"/>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2"/>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2"/>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2"/>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2"/>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2"/>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2"/>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7" w:name="_Toc104994642"/>
      <w:bookmarkStart w:id="48" w:name="_Toc116550352"/>
      <w:r>
        <w:rPr>
          <w:rFonts w:hint="eastAsia"/>
          <w:b/>
        </w:rPr>
        <w:t>评标阶段</w:t>
      </w:r>
      <w:bookmarkEnd w:id="47"/>
      <w:bookmarkEnd w:id="48"/>
    </w:p>
    <w:p>
      <w:pPr>
        <w:pStyle w:val="22"/>
        <w:numPr>
          <w:ilvl w:val="0"/>
          <w:numId w:val="13"/>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6"/>
    <w:p>
      <w:pPr>
        <w:widowControl/>
        <w:jc w:val="left"/>
        <w:rPr>
          <w:rFonts w:ascii="仿宋_GB2312" w:hAnsi="宋体" w:eastAsia="仿宋_GB2312"/>
        </w:rPr>
      </w:pPr>
      <w:r>
        <w:br w:type="page"/>
      </w:r>
    </w:p>
    <w:p>
      <w:pPr>
        <w:spacing w:line="360" w:lineRule="auto"/>
        <w:jc w:val="center"/>
        <w:outlineLvl w:val="0"/>
        <w:rPr>
          <w:rFonts w:ascii="宋体" w:hAnsi="宋体"/>
          <w:b/>
          <w:sz w:val="32"/>
          <w:szCs w:val="32"/>
        </w:rPr>
      </w:pPr>
      <w:bookmarkStart w:id="49" w:name="_Toc116550353"/>
      <w:r>
        <w:rPr>
          <w:rFonts w:hint="eastAsia" w:ascii="宋体" w:hAnsi="宋体"/>
          <w:b/>
          <w:sz w:val="32"/>
          <w:szCs w:val="32"/>
        </w:rPr>
        <w:t>第三部分：评审办法</w:t>
      </w:r>
      <w:bookmarkEnd w:id="49"/>
    </w:p>
    <w:p>
      <w:pPr>
        <w:numPr>
          <w:ilvl w:val="0"/>
          <w:numId w:val="1"/>
        </w:numPr>
        <w:spacing w:line="360" w:lineRule="auto"/>
        <w:outlineLvl w:val="1"/>
        <w:rPr>
          <w:rFonts w:ascii="宋体" w:hAnsi="宋体"/>
          <w:szCs w:val="21"/>
        </w:rPr>
      </w:pPr>
      <w:bookmarkStart w:id="50" w:name="_Toc116550354"/>
      <w:r>
        <w:rPr>
          <w:rFonts w:hint="eastAsia" w:ascii="宋体" w:hAnsi="宋体"/>
          <w:b/>
          <w:bCs/>
          <w:szCs w:val="21"/>
        </w:rPr>
        <w:t>评审办法</w:t>
      </w:r>
      <w:bookmarkEnd w:id="50"/>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rPr>
        <w:t>100分制综合评分法</w:t>
      </w:r>
      <w:r>
        <w:rPr>
          <w:rFonts w:hint="eastAsia" w:ascii="宋体" w:hAnsi="宋体"/>
          <w:szCs w:val="21"/>
        </w:rPr>
        <w:t>进行评分。</w:t>
      </w:r>
    </w:p>
    <w:tbl>
      <w:tblPr>
        <w:tblStyle w:val="15"/>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szCs w:val="21"/>
              </w:rPr>
            </w:pPr>
            <w:r>
              <w:rPr>
                <w:rFonts w:hint="eastAsia" w:ascii="宋体" w:hAnsi="宋体"/>
                <w:szCs w:val="21"/>
              </w:rPr>
              <w:t>15%</w:t>
            </w:r>
          </w:p>
        </w:tc>
        <w:tc>
          <w:tcPr>
            <w:tcW w:w="2131" w:type="dxa"/>
            <w:vAlign w:val="center"/>
          </w:tcPr>
          <w:p>
            <w:pPr>
              <w:autoSpaceDE w:val="0"/>
              <w:autoSpaceDN w:val="0"/>
              <w:adjustRightInd w:val="0"/>
              <w:snapToGrid w:val="0"/>
              <w:jc w:val="center"/>
              <w:rPr>
                <w:rFonts w:ascii="宋体" w:hAnsi="宋体"/>
                <w:szCs w:val="21"/>
              </w:rPr>
            </w:pPr>
            <w:r>
              <w:rPr>
                <w:rFonts w:hint="eastAsia" w:ascii="宋体" w:hAnsi="宋体"/>
                <w:szCs w:val="21"/>
              </w:rPr>
              <w:t>50%</w:t>
            </w:r>
          </w:p>
        </w:tc>
        <w:tc>
          <w:tcPr>
            <w:tcW w:w="2585" w:type="dxa"/>
            <w:vAlign w:val="center"/>
          </w:tcPr>
          <w:p>
            <w:pPr>
              <w:autoSpaceDE w:val="0"/>
              <w:autoSpaceDN w:val="0"/>
              <w:adjustRightInd w:val="0"/>
              <w:snapToGrid w:val="0"/>
              <w:jc w:val="center"/>
              <w:rPr>
                <w:rFonts w:ascii="宋体" w:hAnsi="宋体"/>
                <w:szCs w:val="21"/>
              </w:rPr>
            </w:pPr>
            <w:r>
              <w:rPr>
                <w:rFonts w:hint="eastAsia" w:ascii="宋体" w:hAnsi="宋体"/>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4"/>
        </w:numPr>
        <w:spacing w:beforeLines="50"/>
        <w:ind w:left="720" w:hanging="720"/>
        <w:jc w:val="left"/>
        <w:outlineLvl w:val="2"/>
        <w:rPr>
          <w:rStyle w:val="29"/>
          <w:rFonts w:ascii="宋体" w:hAnsi="宋体"/>
          <w:b/>
          <w:spacing w:val="-5"/>
          <w:kern w:val="0"/>
          <w:sz w:val="20"/>
          <w:szCs w:val="21"/>
        </w:rPr>
      </w:pPr>
      <w:bookmarkStart w:id="51" w:name="_Toc116550355"/>
      <w:r>
        <w:rPr>
          <w:rStyle w:val="29"/>
          <w:rFonts w:hint="eastAsia" w:ascii="宋体" w:hAnsi="宋体"/>
          <w:b/>
          <w:bCs/>
          <w:szCs w:val="21"/>
        </w:rPr>
        <w:t>符合性检查</w:t>
      </w:r>
      <w:bookmarkEnd w:id="51"/>
    </w:p>
    <w:tbl>
      <w:tblPr>
        <w:tblStyle w:val="14"/>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宋体"/>
                <w:szCs w:val="21"/>
              </w:rPr>
              <w:t>是否提供法定代表人证明书、法人授权委托证明书及法定代表人、被委托人身份证扫描件，如单位法定代表人为本项目授权代表，则仅提供法定代表人证明书及身份证复印件（身份证原件备查，各类证明书需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投标人是否提供以下证明文件：</w:t>
            </w:r>
            <w:r>
              <w:rPr>
                <w:rFonts w:ascii="宋体" w:hAnsi="宋体" w:cs="仿宋"/>
                <w:szCs w:val="21"/>
              </w:rPr>
              <w:t xml:space="preserve"> </w:t>
            </w:r>
          </w:p>
          <w:p>
            <w:pPr>
              <w:spacing w:line="360" w:lineRule="auto"/>
              <w:rPr>
                <w:rFonts w:ascii="宋体" w:hAnsi="宋体" w:cs="宋体"/>
                <w:szCs w:val="21"/>
              </w:rPr>
            </w:pPr>
            <w:r>
              <w:rPr>
                <w:rFonts w:hint="eastAsia" w:ascii="宋体" w:hAnsi="宋体" w:cs="宋体"/>
                <w:szCs w:val="21"/>
              </w:rPr>
              <w:t>（1）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spacing w:line="360" w:lineRule="auto"/>
              <w:rPr>
                <w:rFonts w:ascii="宋体" w:hAnsi="宋体" w:cs="宋体"/>
                <w:szCs w:val="21"/>
              </w:rPr>
            </w:pPr>
            <w:r>
              <w:rPr>
                <w:rFonts w:hint="eastAsia" w:ascii="宋体" w:hAnsi="宋体" w:cs="宋体"/>
                <w:szCs w:val="21"/>
              </w:rPr>
              <w:t>（2）投标人为非产品制造企业的，需提供产品厂家针对本次投标项目所出具的项目授权委托书原件（加盖投标人公章）。</w:t>
            </w:r>
          </w:p>
          <w:p>
            <w:r>
              <w:rPr>
                <w:rFonts w:hint="eastAsia" w:ascii="宋体" w:hAnsi="宋体" w:cs="宋体"/>
                <w:szCs w:val="21"/>
              </w:rPr>
              <w:t>（3）本项目不接受联合体投标，严禁转包或非法分包。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本项目报价是否高于</w:t>
            </w:r>
            <w:r>
              <w:rPr>
                <w:rFonts w:hint="eastAsia" w:ascii="宋体" w:hAnsi="宋体"/>
                <w:szCs w:val="21"/>
              </w:rPr>
              <w:t>50</w:t>
            </w:r>
            <w:r>
              <w:rPr>
                <w:rFonts w:ascii="宋体" w:hAnsi="宋体" w:cs="仿宋"/>
                <w:szCs w:val="21"/>
              </w:rPr>
              <w:t>万元（含税）</w:t>
            </w:r>
            <w:r>
              <w:rPr>
                <w:rFonts w:hint="eastAsia" w:ascii="宋体" w:hAnsi="宋体" w:cs="仿宋"/>
                <w:szCs w:val="21"/>
              </w:rPr>
              <w:t>，超过上述控制金额的视为无效报价。</w:t>
            </w:r>
          </w:p>
        </w:tc>
      </w:tr>
    </w:tbl>
    <w:p>
      <w:pPr>
        <w:numPr>
          <w:ilvl w:val="0"/>
          <w:numId w:val="14"/>
        </w:numPr>
        <w:spacing w:beforeLines="50"/>
        <w:ind w:left="720" w:hanging="720"/>
        <w:jc w:val="left"/>
        <w:outlineLvl w:val="2"/>
        <w:rPr>
          <w:rStyle w:val="29"/>
          <w:rFonts w:ascii="宋体" w:hAnsi="宋体"/>
          <w:b/>
          <w:bCs/>
          <w:szCs w:val="21"/>
        </w:rPr>
      </w:pPr>
      <w:bookmarkStart w:id="52" w:name="_Toc116550356"/>
      <w:bookmarkStart w:id="53" w:name="_Toc114675512"/>
      <w:r>
        <w:rPr>
          <w:rStyle w:val="29"/>
          <w:rFonts w:hint="eastAsia" w:ascii="宋体" w:hAnsi="宋体"/>
          <w:b/>
          <w:bCs/>
          <w:szCs w:val="21"/>
        </w:rPr>
        <w:t>不可偏离项检查</w:t>
      </w:r>
      <w:bookmarkEnd w:id="52"/>
      <w:bookmarkEnd w:id="53"/>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4"/>
        </w:numPr>
        <w:spacing w:beforeLines="50"/>
        <w:ind w:left="720" w:hanging="720"/>
        <w:jc w:val="left"/>
        <w:outlineLvl w:val="2"/>
        <w:rPr>
          <w:rFonts w:ascii="宋体" w:hAnsi="宋体"/>
          <w:b/>
          <w:bCs/>
          <w:szCs w:val="21"/>
        </w:rPr>
      </w:pPr>
      <w:bookmarkStart w:id="54" w:name="_Toc116550357"/>
      <w:bookmarkStart w:id="55" w:name="_Toc114675513"/>
      <w:r>
        <w:rPr>
          <w:rStyle w:val="29"/>
          <w:rFonts w:hint="eastAsia" w:ascii="宋体" w:hAnsi="宋体"/>
          <w:b/>
          <w:bCs/>
          <w:szCs w:val="21"/>
        </w:rPr>
        <w:t>综合评议指标表</w:t>
      </w:r>
      <w:bookmarkEnd w:id="54"/>
      <w:bookmarkEnd w:id="55"/>
    </w:p>
    <w:tbl>
      <w:tblPr>
        <w:tblStyle w:val="14"/>
        <w:tblpPr w:leftFromText="180" w:rightFromText="180" w:vertAnchor="text" w:horzAnchor="margin" w:tblpY="184"/>
        <w:tblOverlap w:val="never"/>
        <w:tblW w:w="9351" w:type="dxa"/>
        <w:tblCellSpacing w:w="0"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3" w:hRule="atLeast"/>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6" w:hRule="atLeast"/>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b/>
                <w:bCs/>
                <w:szCs w:val="21"/>
              </w:rPr>
              <w:t>15</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21" w:hRule="atLeast"/>
          <w:tblCellSpacing w:w="0" w:type="dxa"/>
        </w:trPr>
        <w:tc>
          <w:tcPr>
            <w:tcW w:w="704" w:type="dxa"/>
            <w:tcBorders>
              <w:tl2br w:val="nil"/>
              <w:tr2bl w:val="nil"/>
            </w:tcBorders>
            <w:vAlign w:val="center"/>
          </w:tcPr>
          <w:p>
            <w:pPr>
              <w:pStyle w:val="22"/>
              <w:numPr>
                <w:ilvl w:val="0"/>
                <w:numId w:val="15"/>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ascii="宋体" w:hAnsi="宋体"/>
                <w:color w:val="FF0000"/>
                <w:szCs w:val="21"/>
              </w:rPr>
            </w:pPr>
            <w:r>
              <w:rPr>
                <w:rFonts w:hint="eastAsia" w:ascii="宋体" w:hAnsi="宋体"/>
                <w:szCs w:val="21"/>
              </w:rPr>
              <w:t>品牌实力</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rPr>
            </w:pPr>
            <w:r>
              <w:rPr>
                <w:rFonts w:hint="eastAsia" w:ascii="宋体" w:hAnsi="宋体"/>
                <w:color w:val="000000"/>
                <w:szCs w:val="21"/>
              </w:rPr>
              <w:t>7分</w:t>
            </w:r>
          </w:p>
        </w:tc>
        <w:tc>
          <w:tcPr>
            <w:tcW w:w="6804" w:type="dxa"/>
            <w:gridSpan w:val="2"/>
            <w:tcBorders>
              <w:tl2br w:val="nil"/>
              <w:tr2bl w:val="nil"/>
            </w:tcBorders>
            <w:tcMar>
              <w:top w:w="15" w:type="dxa"/>
              <w:left w:w="15" w:type="dxa"/>
              <w:bottom w:w="15" w:type="dxa"/>
              <w:right w:w="15" w:type="dxa"/>
            </w:tcMar>
            <w:vAlign w:val="center"/>
          </w:tcPr>
          <w:p>
            <w:pPr>
              <w:spacing w:line="360" w:lineRule="auto"/>
              <w:rPr>
                <w:rFonts w:ascii="宋体" w:hAnsi="宋体"/>
                <w:szCs w:val="21"/>
              </w:rPr>
            </w:pPr>
            <w:r>
              <w:rPr>
                <w:rFonts w:hint="eastAsia" w:ascii="宋体" w:hAnsi="宋体"/>
                <w:color w:val="000000"/>
              </w:rPr>
              <w:t>所投品牌综合实力：</w:t>
            </w:r>
            <w:r>
              <w:rPr>
                <w:rFonts w:hint="eastAsia" w:ascii="宋体" w:hAnsi="宋体"/>
                <w:color w:val="000000"/>
              </w:rPr>
              <w:br w:type="textWrapping"/>
            </w:r>
            <w:r>
              <w:rPr>
                <w:rFonts w:hint="eastAsia" w:ascii="宋体" w:hAnsi="宋体"/>
                <w:color w:val="000000"/>
              </w:rPr>
              <w:t>根据招标文件的要求，对投标人所投品牌制造商的高空设备产品在全球产品总销售额等综合实力进行综合比较，排名</w:t>
            </w:r>
            <w:r>
              <w:rPr>
                <w:rFonts w:hint="eastAsia" w:ascii="宋体" w:hAnsi="宋体"/>
                <w:color w:val="000000"/>
                <w:szCs w:val="21"/>
              </w:rPr>
              <w:t>第一名7分</w:t>
            </w:r>
            <w:r>
              <w:rPr>
                <w:rFonts w:hint="eastAsia" w:ascii="宋体" w:hAnsi="宋体"/>
                <w:szCs w:val="21"/>
              </w:rPr>
              <w:t>、第二名5分、第三名4分</w:t>
            </w:r>
            <w:r>
              <w:rPr>
                <w:rFonts w:ascii="宋体" w:hAnsi="宋体"/>
                <w:szCs w:val="21"/>
              </w:rPr>
              <w:t>,</w:t>
            </w:r>
            <w:r>
              <w:rPr>
                <w:rFonts w:hint="eastAsia" w:ascii="宋体" w:hAnsi="宋体"/>
                <w:szCs w:val="21"/>
              </w:rPr>
              <w:t>第四名得</w:t>
            </w:r>
            <w:r>
              <w:rPr>
                <w:rFonts w:ascii="宋体" w:hAnsi="宋体"/>
                <w:szCs w:val="21"/>
              </w:rPr>
              <w:t>2分</w:t>
            </w:r>
            <w:r>
              <w:rPr>
                <w:rFonts w:hint="eastAsia" w:ascii="宋体" w:hAnsi="宋体"/>
                <w:szCs w:val="21"/>
              </w:rPr>
              <w:t>，第五名及以后排名仅满招标文件要求得</w:t>
            </w:r>
            <w:r>
              <w:rPr>
                <w:rFonts w:ascii="宋体" w:hAnsi="宋体"/>
                <w:szCs w:val="21"/>
              </w:rPr>
              <w:t>1分。</w:t>
            </w:r>
          </w:p>
          <w:p>
            <w:pPr>
              <w:spacing w:line="360" w:lineRule="auto"/>
              <w:rPr>
                <w:rFonts w:ascii="宋体" w:hAnsi="宋体"/>
                <w:b/>
              </w:rPr>
            </w:pPr>
            <w:r>
              <w:rPr>
                <w:rFonts w:hint="eastAsia" w:ascii="宋体" w:hAnsi="宋体"/>
                <w:b/>
                <w:color w:val="000000"/>
              </w:rPr>
              <w:t>评审依</w:t>
            </w:r>
            <w:r>
              <w:rPr>
                <w:rFonts w:hint="eastAsia" w:ascii="宋体" w:hAnsi="宋体"/>
                <w:b/>
              </w:rPr>
              <w:t>据：</w:t>
            </w:r>
          </w:p>
          <w:p>
            <w:pPr>
              <w:spacing w:line="360" w:lineRule="auto"/>
              <w:rPr>
                <w:rFonts w:ascii="宋体" w:hAnsi="宋体"/>
                <w:color w:val="FF0000"/>
                <w:szCs w:val="21"/>
              </w:rPr>
            </w:pPr>
            <w:r>
              <w:rPr>
                <w:rFonts w:hint="eastAsia" w:ascii="宋体" w:hAnsi="宋体"/>
              </w:rPr>
              <w:t>根据</w:t>
            </w:r>
            <w:r>
              <w:rPr>
                <w:rFonts w:ascii="宋体" w:hAnsi="宋体"/>
              </w:rPr>
              <w:t>20</w:t>
            </w:r>
            <w:r>
              <w:rPr>
                <w:rFonts w:hint="eastAsia" w:ascii="宋体" w:hAnsi="宋体"/>
              </w:rPr>
              <w:t>22</w:t>
            </w:r>
            <w:r>
              <w:rPr>
                <w:rFonts w:ascii="宋体" w:hAnsi="宋体"/>
              </w:rPr>
              <w:t>年</w:t>
            </w:r>
            <w:r>
              <w:rPr>
                <w:rFonts w:hint="eastAsia" w:ascii="宋体" w:hAnsi="宋体"/>
              </w:rPr>
              <w:t>全球最具权威的工程机械信息</w:t>
            </w:r>
            <w:r>
              <w:rPr>
                <w:rFonts w:hint="eastAsia" w:ascii="宋体" w:hAnsi="宋体"/>
                <w:color w:val="000000"/>
              </w:rPr>
              <w:t>提供商-英国 KHL 集团旗下《International Construction》发布的Access 20 Manufactures，由投标人提供相关资料。以上相关证明文件资料需加盖投标单位公章</w:t>
            </w:r>
            <w:r>
              <w:rPr>
                <w:rFonts w:hint="eastAsia" w:asciiTheme="minorEastAsia" w:hAnsiTheme="minorEastAsia" w:eastAsiaTheme="minorEastAsia"/>
                <w:color w:val="00000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04" w:hRule="atLeast"/>
          <w:tblCellSpacing w:w="0" w:type="dxa"/>
        </w:trPr>
        <w:tc>
          <w:tcPr>
            <w:tcW w:w="704" w:type="dxa"/>
            <w:tcBorders>
              <w:tl2br w:val="nil"/>
              <w:tr2bl w:val="nil"/>
            </w:tcBorders>
            <w:vAlign w:val="center"/>
          </w:tcPr>
          <w:p>
            <w:pPr>
              <w:pStyle w:val="22"/>
              <w:numPr>
                <w:ilvl w:val="0"/>
                <w:numId w:val="15"/>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FF0000"/>
                <w:highlight w:val="yellow"/>
              </w:rPr>
            </w:pPr>
            <w:r>
              <w:rPr>
                <w:rFonts w:hint="eastAsia" w:ascii="宋体" w:hAnsi="宋体"/>
                <w:szCs w:val="21"/>
              </w:rPr>
              <w:t>品牌历史</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highlight w:val="yellow"/>
              </w:rPr>
            </w:pPr>
            <w:r>
              <w:rPr>
                <w:rFonts w:hint="eastAsia" w:ascii="宋体" w:hAnsi="宋体"/>
                <w:color w:val="000000"/>
                <w:szCs w:val="21"/>
              </w:rPr>
              <w:t>5分</w:t>
            </w:r>
          </w:p>
        </w:tc>
        <w:tc>
          <w:tcPr>
            <w:tcW w:w="6804" w:type="dxa"/>
            <w:gridSpan w:val="2"/>
            <w:tcBorders>
              <w:tl2br w:val="nil"/>
              <w:tr2bl w:val="nil"/>
            </w:tcBorders>
            <w:tcMar>
              <w:top w:w="15" w:type="dxa"/>
              <w:left w:w="15" w:type="dxa"/>
              <w:bottom w:w="15" w:type="dxa"/>
              <w:right w:w="15" w:type="dxa"/>
            </w:tcMar>
            <w:vAlign w:val="center"/>
          </w:tcPr>
          <w:p>
            <w:pPr>
              <w:spacing w:line="360" w:lineRule="auto"/>
              <w:rPr>
                <w:rFonts w:ascii="宋体" w:hAnsi="宋体"/>
                <w:szCs w:val="21"/>
              </w:rPr>
            </w:pPr>
            <w:r>
              <w:rPr>
                <w:rFonts w:hint="eastAsia" w:ascii="宋体" w:hAnsi="宋体"/>
              </w:rPr>
              <w:t>根据投标人所投品牌成立年限进行比较。所投品牌制造</w:t>
            </w:r>
            <w:r>
              <w:rPr>
                <w:rFonts w:ascii="宋体" w:hAnsi="宋体"/>
              </w:rPr>
              <w:t>商</w:t>
            </w:r>
            <w:r>
              <w:rPr>
                <w:rFonts w:hint="eastAsia" w:ascii="宋体" w:hAnsi="宋体"/>
              </w:rPr>
              <w:t>成立年限50年及以上</w:t>
            </w:r>
            <w:r>
              <w:rPr>
                <w:rFonts w:hint="eastAsia" w:ascii="宋体" w:hAnsi="宋体"/>
                <w:color w:val="000000"/>
              </w:rPr>
              <w:t>得5分，30年以上得2分，20年以上得1分，</w:t>
            </w:r>
            <w:r>
              <w:rPr>
                <w:rFonts w:hint="eastAsia" w:ascii="宋体" w:hAnsi="宋体"/>
                <w:szCs w:val="21"/>
              </w:rPr>
              <w:t>低于10年</w:t>
            </w:r>
            <w:r>
              <w:rPr>
                <w:rFonts w:hint="eastAsia" w:ascii="宋体" w:hAnsi="宋体"/>
                <w:color w:val="000000"/>
              </w:rPr>
              <w:t>（不</w:t>
            </w:r>
            <w:r>
              <w:rPr>
                <w:rFonts w:ascii="宋体" w:hAnsi="宋体"/>
                <w:color w:val="000000"/>
              </w:rPr>
              <w:t>含）</w:t>
            </w:r>
            <w:r>
              <w:rPr>
                <w:rFonts w:hint="eastAsia" w:ascii="宋体" w:hAnsi="宋体"/>
                <w:szCs w:val="21"/>
              </w:rPr>
              <w:t>者不得分。</w:t>
            </w:r>
          </w:p>
          <w:p>
            <w:pPr>
              <w:spacing w:line="360" w:lineRule="auto"/>
              <w:rPr>
                <w:rFonts w:ascii="宋体" w:hAnsi="宋体"/>
                <w:b/>
                <w:color w:val="000000"/>
                <w:szCs w:val="21"/>
              </w:rPr>
            </w:pPr>
            <w:r>
              <w:rPr>
                <w:rFonts w:hint="eastAsia" w:ascii="宋体" w:hAnsi="宋体"/>
                <w:b/>
                <w:color w:val="000000"/>
                <w:szCs w:val="21"/>
              </w:rPr>
              <w:t>评审依据：</w:t>
            </w:r>
          </w:p>
          <w:p>
            <w:pPr>
              <w:spacing w:line="360" w:lineRule="auto"/>
              <w:rPr>
                <w:rFonts w:ascii="宋体" w:hAnsi="宋体"/>
                <w:color w:val="FF0000"/>
                <w:szCs w:val="21"/>
              </w:rPr>
            </w:pPr>
            <w:r>
              <w:rPr>
                <w:rFonts w:hint="eastAsia" w:ascii="宋体" w:hAnsi="宋体"/>
                <w:szCs w:val="21"/>
              </w:rPr>
              <w:t>以产品制造商营业执照（或</w:t>
            </w:r>
            <w:r>
              <w:rPr>
                <w:rFonts w:hint="eastAsia" w:ascii="宋体" w:hAnsi="宋体"/>
                <w:color w:val="000000" w:themeColor="text1"/>
                <w:szCs w:val="21"/>
              </w:rPr>
              <w:t>在本国或属地法律地位等同于营业执照的注册证明材料</w:t>
            </w:r>
            <w:r>
              <w:rPr>
                <w:rFonts w:hint="eastAsia" w:ascii="宋体" w:hAnsi="宋体"/>
                <w:szCs w:val="21"/>
              </w:rPr>
              <w:t>）上的成立日期为准。</w:t>
            </w:r>
            <w:r>
              <w:rPr>
                <w:rFonts w:hint="eastAsia" w:ascii="宋体" w:hAnsi="宋体"/>
                <w:color w:val="000000"/>
              </w:rPr>
              <w:t>以上相关证明文件资料需加盖投标单位公章</w:t>
            </w:r>
            <w:r>
              <w:rPr>
                <w:rFonts w:hint="eastAsia" w:asciiTheme="minorEastAsia" w:hAnsiTheme="minorEastAsia" w:eastAsiaTheme="minorEastAsia"/>
                <w:color w:val="00000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51" w:hRule="atLeast"/>
          <w:tblCellSpacing w:w="0" w:type="dxa"/>
        </w:trPr>
        <w:tc>
          <w:tcPr>
            <w:tcW w:w="704" w:type="dxa"/>
            <w:tcBorders>
              <w:tl2br w:val="nil"/>
              <w:tr2bl w:val="nil"/>
            </w:tcBorders>
            <w:vAlign w:val="center"/>
          </w:tcPr>
          <w:p>
            <w:pPr>
              <w:pStyle w:val="22"/>
              <w:numPr>
                <w:ilvl w:val="0"/>
                <w:numId w:val="15"/>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FF0000"/>
                <w:highlight w:val="yellow"/>
              </w:rPr>
            </w:pPr>
            <w:r>
              <w:rPr>
                <w:rFonts w:hint="eastAsia" w:ascii="宋体" w:hAnsi="宋体"/>
                <w:szCs w:val="21"/>
              </w:rPr>
              <w:t>销售业绩</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highlight w:val="yellow"/>
              </w:rPr>
            </w:pPr>
            <w:r>
              <w:rPr>
                <w:rFonts w:hint="eastAsia" w:ascii="宋体" w:hAnsi="宋体"/>
                <w:color w:val="000000"/>
                <w:szCs w:val="21"/>
              </w:rPr>
              <w:t>3分</w:t>
            </w:r>
          </w:p>
        </w:tc>
        <w:tc>
          <w:tcPr>
            <w:tcW w:w="6804" w:type="dxa"/>
            <w:gridSpan w:val="2"/>
            <w:tcBorders>
              <w:tl2br w:val="nil"/>
              <w:tr2bl w:val="nil"/>
            </w:tcBorders>
            <w:tcMar>
              <w:top w:w="15" w:type="dxa"/>
              <w:left w:w="15" w:type="dxa"/>
              <w:bottom w:w="15" w:type="dxa"/>
              <w:right w:w="15" w:type="dxa"/>
            </w:tcMar>
            <w:vAlign w:val="center"/>
          </w:tcPr>
          <w:p>
            <w:pPr>
              <w:numPr>
                <w:ilvl w:val="255"/>
                <w:numId w:val="0"/>
              </w:numPr>
              <w:spacing w:line="360" w:lineRule="auto"/>
              <w:rPr>
                <w:rFonts w:ascii="宋体" w:hAnsi="宋体"/>
                <w:szCs w:val="21"/>
              </w:rPr>
            </w:pPr>
            <w:r>
              <w:rPr>
                <w:rFonts w:hint="eastAsia" w:ascii="宋体" w:hAnsi="宋体"/>
                <w:szCs w:val="21"/>
              </w:rPr>
              <w:t>自2021年1月1日起至本项目招标公告发布之日止，投标人自行式剪型高空作业平台项目销售业绩</w:t>
            </w:r>
            <w:r>
              <w:rPr>
                <w:rFonts w:hint="eastAsia"/>
                <w:color w:val="000000"/>
              </w:rPr>
              <w:t>进行综合比较</w:t>
            </w:r>
            <w:r>
              <w:rPr>
                <w:rFonts w:hint="eastAsia" w:ascii="宋体" w:hAnsi="宋体"/>
                <w:szCs w:val="21"/>
              </w:rPr>
              <w:t>：</w:t>
            </w:r>
            <w:r>
              <w:rPr>
                <w:rFonts w:hint="eastAsia" w:ascii="宋体" w:hAnsi="宋体"/>
                <w:kern w:val="0"/>
                <w:szCs w:val="21"/>
                <w:lang w:val="zh-CN"/>
              </w:rPr>
              <w:t>累计销售合同产品数量排序</w:t>
            </w:r>
            <w:r>
              <w:rPr>
                <w:rFonts w:hint="eastAsia" w:ascii="宋体" w:hAnsi="宋体"/>
                <w:szCs w:val="21"/>
              </w:rPr>
              <w:t>，</w:t>
            </w:r>
            <w:r>
              <w:rPr>
                <w:rFonts w:hint="eastAsia" w:ascii="宋体" w:hAnsi="宋体"/>
                <w:color w:val="000000"/>
                <w:szCs w:val="21"/>
              </w:rPr>
              <w:t>第一</w:t>
            </w:r>
            <w:r>
              <w:rPr>
                <w:rFonts w:hint="eastAsia" w:ascii="宋体" w:hAnsi="宋体"/>
                <w:szCs w:val="21"/>
              </w:rPr>
              <w:t>名3分、第二名2分、第三名1分。</w:t>
            </w:r>
          </w:p>
          <w:p>
            <w:pPr>
              <w:numPr>
                <w:ilvl w:val="255"/>
                <w:numId w:val="0"/>
              </w:numPr>
              <w:spacing w:line="360" w:lineRule="auto"/>
              <w:rPr>
                <w:rFonts w:ascii="宋体" w:hAnsi="宋体"/>
                <w:b/>
                <w:color w:val="000000"/>
                <w:szCs w:val="21"/>
              </w:rPr>
            </w:pPr>
            <w:r>
              <w:rPr>
                <w:rFonts w:hint="eastAsia" w:ascii="宋体" w:hAnsi="宋体"/>
                <w:b/>
                <w:color w:val="000000"/>
                <w:szCs w:val="21"/>
              </w:rPr>
              <w:t>评</w:t>
            </w:r>
            <w:r>
              <w:rPr>
                <w:rFonts w:ascii="宋体" w:hAnsi="宋体"/>
                <w:b/>
                <w:color w:val="000000"/>
                <w:szCs w:val="21"/>
              </w:rPr>
              <w:t>审依据：</w:t>
            </w:r>
          </w:p>
          <w:p>
            <w:pPr>
              <w:autoSpaceDE w:val="0"/>
              <w:autoSpaceDN w:val="0"/>
              <w:spacing w:line="360" w:lineRule="auto"/>
              <w:rPr>
                <w:rFonts w:ascii="宋体"/>
              </w:rPr>
            </w:pPr>
            <w:r>
              <w:rPr>
                <w:rFonts w:hint="eastAsia" w:ascii="宋体"/>
              </w:rPr>
              <w:t>（1）投标人需自行汇总上述合同业绩清单，统计销售总量。</w:t>
            </w:r>
          </w:p>
          <w:p>
            <w:pPr>
              <w:autoSpaceDE w:val="0"/>
              <w:autoSpaceDN w:val="0"/>
              <w:spacing w:line="360" w:lineRule="auto"/>
              <w:rPr>
                <w:rFonts w:ascii="宋体"/>
              </w:rPr>
            </w:pPr>
            <w:r>
              <w:rPr>
                <w:rFonts w:hint="eastAsia" w:ascii="宋体"/>
              </w:rPr>
              <w:t>（2）投标人需提供该上述合同业绩关键页复印件，并加盖投标人公章。合同关键页包含但不限于项目名称、业主方名称、产品、合同主要内容、合同台数、签订时间、履约地点、甲乙双方盖章等。</w:t>
            </w:r>
          </w:p>
          <w:p>
            <w:pPr>
              <w:spacing w:line="360" w:lineRule="auto"/>
              <w:rPr>
                <w:rFonts w:ascii="宋体" w:hAnsi="宋体"/>
                <w:color w:val="FF0000"/>
                <w:szCs w:val="21"/>
                <w:highlight w:val="yellow"/>
              </w:rPr>
            </w:pPr>
            <w:r>
              <w:rPr>
                <w:rFonts w:hint="eastAsia" w:ascii="宋体"/>
              </w:rPr>
              <w:t>（3）未提供或提供的相关证明文件不清晰、不完整或不符合要求的，不得分。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7" w:hRule="atLeast"/>
          <w:tblCellSpacing w:w="0" w:type="dxa"/>
        </w:trPr>
        <w:tc>
          <w:tcPr>
            <w:tcW w:w="9351" w:type="dxa"/>
            <w:gridSpan w:val="5"/>
            <w:tcBorders>
              <w:tl2br w:val="nil"/>
              <w:tr2bl w:val="nil"/>
            </w:tcBorders>
            <w:vAlign w:val="center"/>
          </w:tcPr>
          <w:p>
            <w:pPr>
              <w:jc w:val="center"/>
              <w:rPr>
                <w:rFonts w:ascii="宋体" w:hAnsi="宋体"/>
                <w:b/>
                <w:color w:val="FF0000"/>
                <w:szCs w:val="21"/>
                <w:highlight w:val="yellow"/>
              </w:rPr>
            </w:pPr>
            <w:r>
              <w:rPr>
                <w:rFonts w:hint="eastAsia" w:ascii="宋体" w:hAnsi="宋体"/>
                <w:b/>
                <w:szCs w:val="21"/>
              </w:rPr>
              <w:t>技术服务评议项（</w:t>
            </w:r>
            <w:r>
              <w:rPr>
                <w:rFonts w:hint="eastAsia" w:ascii="宋体" w:hAnsi="宋体"/>
                <w:b/>
                <w:bCs/>
                <w:szCs w:val="21"/>
              </w:rPr>
              <w:t>50</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blCellSpacing w:w="0" w:type="dxa"/>
        </w:trPr>
        <w:tc>
          <w:tcPr>
            <w:tcW w:w="704" w:type="dxa"/>
            <w:tcBorders>
              <w:tl2br w:val="nil"/>
              <w:tr2bl w:val="nil"/>
            </w:tcBorders>
            <w:vAlign w:val="center"/>
          </w:tcPr>
          <w:p>
            <w:pPr>
              <w:pStyle w:val="22"/>
              <w:numPr>
                <w:ilvl w:val="0"/>
                <w:numId w:val="16"/>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FF0000"/>
                <w:highlight w:val="yellow"/>
              </w:rPr>
            </w:pPr>
            <w:r>
              <w:rPr>
                <w:rFonts w:hint="eastAsia" w:ascii="宋体" w:hAnsi="宋体"/>
                <w:szCs w:val="21"/>
              </w:rPr>
              <w:t>高空作业平台贮藏高度</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5分</w:t>
            </w:r>
          </w:p>
        </w:tc>
        <w:tc>
          <w:tcPr>
            <w:tcW w:w="6804" w:type="dxa"/>
            <w:gridSpan w:val="2"/>
            <w:tcBorders>
              <w:tl2br w:val="nil"/>
              <w:tr2bl w:val="nil"/>
            </w:tcBorders>
            <w:tcMar>
              <w:top w:w="15" w:type="dxa"/>
              <w:left w:w="15" w:type="dxa"/>
              <w:bottom w:w="15" w:type="dxa"/>
              <w:right w:w="15" w:type="dxa"/>
            </w:tcMar>
            <w:vAlign w:val="center"/>
          </w:tcPr>
          <w:p>
            <w:pPr>
              <w:spacing w:line="360" w:lineRule="auto"/>
              <w:rPr>
                <w:rFonts w:ascii="宋体" w:hAnsi="宋体"/>
                <w:szCs w:val="21"/>
              </w:rPr>
            </w:pPr>
            <w:r>
              <w:rPr>
                <w:rFonts w:hint="eastAsia" w:ascii="宋体" w:hAnsi="宋体"/>
                <w:szCs w:val="21"/>
              </w:rPr>
              <w:t>按照高空作业平台贮藏（带护栏）高度评分，贮藏（带护栏）高度最低者得5分，第二名3分，第三名2分，第四名及以后排名仅满招标文件要求得1分。</w:t>
            </w:r>
          </w:p>
          <w:p>
            <w:pPr>
              <w:autoSpaceDE w:val="0"/>
              <w:autoSpaceDN w:val="0"/>
              <w:spacing w:line="360" w:lineRule="auto"/>
              <w:rPr>
                <w:rFonts w:asciiTheme="minorEastAsia" w:hAnsiTheme="minorEastAsia" w:eastAsiaTheme="minorEastAsia"/>
                <w:color w:val="000000"/>
                <w:szCs w:val="21"/>
              </w:rPr>
            </w:pPr>
            <w:r>
              <w:rPr>
                <w:rFonts w:hint="eastAsia" w:ascii="宋体" w:hAnsi="宋体"/>
                <w:b/>
                <w:szCs w:val="21"/>
              </w:rPr>
              <w:t>评审依据：</w:t>
            </w:r>
            <w:r>
              <w:rPr>
                <w:rFonts w:hint="eastAsia" w:ascii="宋体" w:hAnsi="宋体"/>
                <w:szCs w:val="21"/>
              </w:rPr>
              <w:t>以投标产品参数及彩页资料参数为准。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6" w:hRule="atLeast"/>
          <w:tblCellSpacing w:w="0" w:type="dxa"/>
        </w:trPr>
        <w:tc>
          <w:tcPr>
            <w:tcW w:w="704" w:type="dxa"/>
            <w:tcBorders>
              <w:tl2br w:val="nil"/>
              <w:tr2bl w:val="nil"/>
            </w:tcBorders>
            <w:vAlign w:val="center"/>
          </w:tcPr>
          <w:p>
            <w:pPr>
              <w:pStyle w:val="22"/>
              <w:numPr>
                <w:ilvl w:val="0"/>
                <w:numId w:val="16"/>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ascii="宋体" w:hAnsi="宋体"/>
                <w:color w:val="FF0000"/>
                <w:highlight w:val="yellow"/>
              </w:rPr>
            </w:pPr>
            <w:r>
              <w:rPr>
                <w:rFonts w:hint="eastAsia" w:ascii="宋体" w:hAnsi="宋体"/>
                <w:szCs w:val="21"/>
              </w:rPr>
              <w:t>高空作业平台机器长度</w:t>
            </w:r>
          </w:p>
        </w:tc>
        <w:tc>
          <w:tcPr>
            <w:tcW w:w="709" w:type="dxa"/>
            <w:tcBorders>
              <w:tl2br w:val="nil"/>
              <w:tr2bl w:val="nil"/>
            </w:tcBorders>
            <w:tcMar>
              <w:top w:w="15" w:type="dxa"/>
              <w:left w:w="15" w:type="dxa"/>
              <w:bottom w:w="15" w:type="dxa"/>
              <w:right w:w="15" w:type="dxa"/>
            </w:tcMar>
            <w:vAlign w:val="center"/>
          </w:tcPr>
          <w:p>
            <w:pPr>
              <w:jc w:val="center"/>
              <w:rPr>
                <w:rFonts w:ascii="宋体" w:hAnsi="宋体"/>
                <w:szCs w:val="21"/>
              </w:rPr>
            </w:pPr>
            <w:r>
              <w:rPr>
                <w:rFonts w:hint="eastAsia" w:ascii="宋体" w:hAnsi="宋体"/>
                <w:szCs w:val="21"/>
              </w:rPr>
              <w:t>5分</w:t>
            </w:r>
          </w:p>
        </w:tc>
        <w:tc>
          <w:tcPr>
            <w:tcW w:w="6804" w:type="dxa"/>
            <w:gridSpan w:val="2"/>
            <w:tcBorders>
              <w:tl2br w:val="nil"/>
              <w:tr2bl w:val="nil"/>
            </w:tcBorders>
            <w:tcMar>
              <w:top w:w="15" w:type="dxa"/>
              <w:left w:w="15" w:type="dxa"/>
              <w:bottom w:w="15" w:type="dxa"/>
              <w:right w:w="15" w:type="dxa"/>
            </w:tcMar>
            <w:vAlign w:val="center"/>
          </w:tcPr>
          <w:p>
            <w:pPr>
              <w:spacing w:line="360" w:lineRule="auto"/>
              <w:rPr>
                <w:rFonts w:ascii="宋体" w:hAnsi="宋体"/>
                <w:szCs w:val="21"/>
              </w:rPr>
            </w:pPr>
            <w:r>
              <w:rPr>
                <w:rFonts w:hint="eastAsia" w:ascii="宋体" w:hAnsi="宋体"/>
                <w:szCs w:val="21"/>
              </w:rPr>
              <w:t>机器长度最小者第一名得5分，第二名得3分，第三名得2分，第四名及以后排名仅满招标文件要求得1分。</w:t>
            </w:r>
          </w:p>
          <w:p>
            <w:pPr>
              <w:autoSpaceDE w:val="0"/>
              <w:autoSpaceDN w:val="0"/>
              <w:spacing w:line="360" w:lineRule="auto"/>
              <w:rPr>
                <w:rFonts w:ascii="宋体" w:hAnsi="宋体"/>
                <w:color w:val="000000"/>
                <w:szCs w:val="21"/>
              </w:rPr>
            </w:pPr>
            <w:r>
              <w:rPr>
                <w:rFonts w:hint="eastAsia" w:ascii="宋体" w:hAnsi="宋体"/>
                <w:b/>
                <w:szCs w:val="21"/>
              </w:rPr>
              <w:t>评审依据：</w:t>
            </w:r>
            <w:r>
              <w:rPr>
                <w:rFonts w:hint="eastAsia" w:ascii="宋体" w:hAnsi="宋体"/>
                <w:szCs w:val="21"/>
              </w:rPr>
              <w:t>以投标产品参数及彩页资料参数为准。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10" w:hRule="atLeast"/>
          <w:tblCellSpacing w:w="0" w:type="dxa"/>
        </w:trPr>
        <w:tc>
          <w:tcPr>
            <w:tcW w:w="704" w:type="dxa"/>
            <w:tcBorders>
              <w:tl2br w:val="nil"/>
              <w:tr2bl w:val="nil"/>
            </w:tcBorders>
            <w:vAlign w:val="center"/>
          </w:tcPr>
          <w:p>
            <w:pPr>
              <w:pStyle w:val="22"/>
              <w:numPr>
                <w:ilvl w:val="0"/>
                <w:numId w:val="16"/>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FF0000"/>
                <w:highlight w:val="yellow"/>
              </w:rPr>
            </w:pPr>
            <w:r>
              <w:rPr>
                <w:rFonts w:hint="eastAsia" w:ascii="宋体" w:hAnsi="宋体"/>
                <w:szCs w:val="21"/>
              </w:rPr>
              <w:t>高空作业平台外转弯半径</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rPr>
            </w:pPr>
            <w:r>
              <w:rPr>
                <w:rFonts w:hint="eastAsia" w:ascii="宋体" w:hAnsi="宋体"/>
                <w:szCs w:val="21"/>
              </w:rPr>
              <w:t>5分</w:t>
            </w:r>
          </w:p>
        </w:tc>
        <w:tc>
          <w:tcPr>
            <w:tcW w:w="6804" w:type="dxa"/>
            <w:gridSpan w:val="2"/>
            <w:tcBorders>
              <w:tl2br w:val="nil"/>
              <w:tr2bl w:val="nil"/>
            </w:tcBorders>
            <w:tcMar>
              <w:top w:w="15" w:type="dxa"/>
              <w:left w:w="15" w:type="dxa"/>
              <w:bottom w:w="15" w:type="dxa"/>
              <w:right w:w="15" w:type="dxa"/>
            </w:tcMar>
            <w:vAlign w:val="center"/>
          </w:tcPr>
          <w:p>
            <w:pPr>
              <w:spacing w:line="360" w:lineRule="auto"/>
              <w:rPr>
                <w:rFonts w:ascii="宋体" w:hAnsi="宋体"/>
                <w:szCs w:val="21"/>
              </w:rPr>
            </w:pPr>
            <w:r>
              <w:rPr>
                <w:rFonts w:hint="eastAsia" w:ascii="宋体" w:hAnsi="宋体"/>
                <w:szCs w:val="21"/>
              </w:rPr>
              <w:t>外转弯半径最小者第一名得5分，第二名得3分，第三名得2分，第四名及以后排名仅满招标文件要求得1分。</w:t>
            </w:r>
          </w:p>
          <w:p>
            <w:pPr>
              <w:widowControl/>
              <w:spacing w:line="360" w:lineRule="auto"/>
              <w:rPr>
                <w:rFonts w:ascii="宋体" w:hAnsi="宋体" w:cs="宋体"/>
                <w:color w:val="FF0000"/>
                <w:kern w:val="0"/>
                <w:szCs w:val="21"/>
              </w:rPr>
            </w:pPr>
            <w:r>
              <w:rPr>
                <w:rFonts w:hint="eastAsia" w:ascii="宋体" w:hAnsi="宋体"/>
                <w:b/>
                <w:szCs w:val="21"/>
              </w:rPr>
              <w:t>评审依据：</w:t>
            </w:r>
            <w:r>
              <w:rPr>
                <w:rFonts w:hint="eastAsia" w:ascii="宋体" w:hAnsi="宋体"/>
                <w:szCs w:val="21"/>
              </w:rPr>
              <w:t>以投标产品参数及彩页资料参数为准。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71" w:hRule="atLeast"/>
          <w:tblCellSpacing w:w="0" w:type="dxa"/>
        </w:trPr>
        <w:tc>
          <w:tcPr>
            <w:tcW w:w="704" w:type="dxa"/>
            <w:tcBorders>
              <w:tl2br w:val="nil"/>
              <w:tr2bl w:val="nil"/>
            </w:tcBorders>
            <w:vAlign w:val="center"/>
          </w:tcPr>
          <w:p>
            <w:pPr>
              <w:pStyle w:val="22"/>
              <w:numPr>
                <w:ilvl w:val="0"/>
                <w:numId w:val="16"/>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FF0000"/>
                <w:highlight w:val="yellow"/>
              </w:rPr>
            </w:pPr>
            <w:r>
              <w:rPr>
                <w:rFonts w:hint="eastAsia" w:ascii="宋体" w:hAnsi="宋体"/>
                <w:szCs w:val="21"/>
              </w:rPr>
              <w:t>机器总体重量</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rPr>
            </w:pPr>
            <w:r>
              <w:rPr>
                <w:rFonts w:hint="eastAsia" w:ascii="宋体" w:hAnsi="宋体"/>
                <w:szCs w:val="21"/>
              </w:rPr>
              <w:t>4分</w:t>
            </w:r>
          </w:p>
        </w:tc>
        <w:tc>
          <w:tcPr>
            <w:tcW w:w="6804" w:type="dxa"/>
            <w:gridSpan w:val="2"/>
            <w:tcBorders>
              <w:tl2br w:val="nil"/>
              <w:tr2bl w:val="nil"/>
            </w:tcBorders>
            <w:tcMar>
              <w:top w:w="15" w:type="dxa"/>
              <w:left w:w="15" w:type="dxa"/>
              <w:bottom w:w="15" w:type="dxa"/>
              <w:right w:w="15" w:type="dxa"/>
            </w:tcMar>
            <w:vAlign w:val="center"/>
          </w:tcPr>
          <w:p>
            <w:pPr>
              <w:spacing w:line="360" w:lineRule="auto"/>
              <w:rPr>
                <w:rFonts w:ascii="宋体" w:hAnsi="宋体"/>
                <w:szCs w:val="21"/>
              </w:rPr>
            </w:pPr>
            <w:r>
              <w:rPr>
                <w:rFonts w:ascii="宋体" w:hAnsi="宋体"/>
                <w:szCs w:val="21"/>
              </w:rPr>
              <w:t>投标产品</w:t>
            </w:r>
            <w:r>
              <w:rPr>
                <w:rFonts w:hint="eastAsia" w:ascii="宋体" w:hAnsi="宋体"/>
                <w:szCs w:val="21"/>
              </w:rPr>
              <w:t>机器总体重量进行</w:t>
            </w:r>
            <w:r>
              <w:rPr>
                <w:rFonts w:ascii="宋体" w:hAnsi="宋体"/>
                <w:szCs w:val="21"/>
              </w:rPr>
              <w:t>排序，</w:t>
            </w:r>
            <w:r>
              <w:rPr>
                <w:rFonts w:hint="eastAsia" w:ascii="宋体" w:hAnsi="宋体"/>
                <w:szCs w:val="21"/>
              </w:rPr>
              <w:t>机器自重最轻者第一名得4分，第二名2分，第三名得</w:t>
            </w:r>
            <w:r>
              <w:rPr>
                <w:rFonts w:ascii="宋体" w:hAnsi="宋体"/>
                <w:szCs w:val="21"/>
              </w:rPr>
              <w:t>1</w:t>
            </w:r>
            <w:r>
              <w:rPr>
                <w:rFonts w:hint="eastAsia" w:ascii="宋体" w:hAnsi="宋体"/>
                <w:szCs w:val="21"/>
              </w:rPr>
              <w:t>分，第四名及以下排名不得分，不满足招标文件要求不得分。</w:t>
            </w:r>
          </w:p>
          <w:p>
            <w:pPr>
              <w:widowControl/>
              <w:spacing w:line="360" w:lineRule="auto"/>
              <w:rPr>
                <w:rFonts w:ascii="宋体" w:hAnsi="宋体" w:cs="宋体"/>
                <w:color w:val="FF0000"/>
                <w:kern w:val="0"/>
                <w:szCs w:val="21"/>
              </w:rPr>
            </w:pPr>
            <w:r>
              <w:rPr>
                <w:rFonts w:hint="eastAsia" w:ascii="宋体" w:hAnsi="宋体"/>
                <w:b/>
                <w:szCs w:val="21"/>
              </w:rPr>
              <w:t>评审依据：</w:t>
            </w:r>
            <w:r>
              <w:rPr>
                <w:rFonts w:hint="eastAsia" w:ascii="宋体" w:hAnsi="宋体"/>
                <w:szCs w:val="21"/>
              </w:rPr>
              <w:t>以投标产品参数及彩页资料参数为准。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16"/>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highlight w:val="yellow"/>
              </w:rPr>
            </w:pPr>
            <w:r>
              <w:rPr>
                <w:rFonts w:hint="eastAsia" w:ascii="宋体" w:hAnsi="宋体"/>
                <w:szCs w:val="21"/>
              </w:rPr>
              <w:t>认证标准</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highlight w:val="yellow"/>
              </w:rPr>
            </w:pPr>
            <w:r>
              <w:rPr>
                <w:rFonts w:hint="eastAsia" w:ascii="宋体" w:hAnsi="宋体"/>
                <w:szCs w:val="21"/>
              </w:rPr>
              <w:t>3分</w:t>
            </w:r>
          </w:p>
        </w:tc>
        <w:tc>
          <w:tcPr>
            <w:tcW w:w="6804" w:type="dxa"/>
            <w:gridSpan w:val="2"/>
            <w:tcBorders>
              <w:tl2br w:val="nil"/>
              <w:tr2bl w:val="nil"/>
            </w:tcBorders>
            <w:tcMar>
              <w:top w:w="15" w:type="dxa"/>
              <w:left w:w="15" w:type="dxa"/>
              <w:bottom w:w="15" w:type="dxa"/>
              <w:right w:w="15" w:type="dxa"/>
            </w:tcMar>
            <w:vAlign w:val="center"/>
          </w:tcPr>
          <w:p>
            <w:pPr>
              <w:spacing w:line="360" w:lineRule="auto"/>
              <w:rPr>
                <w:rFonts w:ascii="宋体" w:hAnsi="宋体"/>
                <w:szCs w:val="21"/>
              </w:rPr>
            </w:pPr>
            <w:r>
              <w:rPr>
                <w:rFonts w:hint="eastAsia" w:ascii="宋体" w:hAnsi="宋体"/>
                <w:szCs w:val="21"/>
              </w:rPr>
              <w:t>投标产品符合CE和GB认证标准得3分，不符合不得分。</w:t>
            </w:r>
          </w:p>
          <w:p>
            <w:pPr>
              <w:tabs>
                <w:tab w:val="left" w:pos="531"/>
              </w:tabs>
              <w:spacing w:line="360" w:lineRule="auto"/>
              <w:rPr>
                <w:rFonts w:ascii="宋体" w:hAnsi="宋体"/>
                <w:color w:val="FF0000"/>
                <w:szCs w:val="21"/>
                <w:highlight w:val="yellow"/>
              </w:rPr>
            </w:pPr>
            <w:r>
              <w:rPr>
                <w:rFonts w:hint="eastAsia" w:ascii="宋体" w:hAnsi="宋体"/>
                <w:b/>
                <w:szCs w:val="21"/>
              </w:rPr>
              <w:t>评审依据：</w:t>
            </w:r>
            <w:r>
              <w:rPr>
                <w:rFonts w:hint="eastAsia" w:ascii="宋体" w:hAnsi="宋体"/>
                <w:szCs w:val="21"/>
              </w:rPr>
              <w:t>以彩页资料或其他说明资料为准。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16"/>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highlight w:val="yellow"/>
              </w:rPr>
            </w:pPr>
            <w:r>
              <w:rPr>
                <w:rFonts w:hint="eastAsia" w:ascii="宋体" w:hAnsi="宋体"/>
                <w:szCs w:val="21"/>
              </w:rPr>
              <w:t>安全防护</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highlight w:val="yellow"/>
              </w:rPr>
            </w:pPr>
            <w:r>
              <w:rPr>
                <w:rFonts w:hint="eastAsia" w:ascii="宋体" w:hAnsi="宋体"/>
                <w:szCs w:val="21"/>
              </w:rPr>
              <w:t>8分</w:t>
            </w:r>
          </w:p>
        </w:tc>
        <w:tc>
          <w:tcPr>
            <w:tcW w:w="6804" w:type="dxa"/>
            <w:gridSpan w:val="2"/>
            <w:tcBorders>
              <w:tl2br w:val="nil"/>
              <w:tr2bl w:val="nil"/>
            </w:tcBorders>
            <w:tcMar>
              <w:top w:w="15" w:type="dxa"/>
              <w:left w:w="15" w:type="dxa"/>
              <w:bottom w:w="15" w:type="dxa"/>
              <w:right w:w="15" w:type="dxa"/>
            </w:tcMar>
            <w:vAlign w:val="center"/>
          </w:tcPr>
          <w:p>
            <w:pPr>
              <w:pStyle w:val="22"/>
              <w:spacing w:line="360" w:lineRule="auto"/>
              <w:ind w:firstLine="0" w:firstLineChars="0"/>
              <w:rPr>
                <w:rFonts w:ascii="宋体" w:hAnsi="宋体" w:eastAsia="宋体"/>
                <w:szCs w:val="21"/>
              </w:rPr>
            </w:pPr>
            <w:r>
              <w:rPr>
                <w:rFonts w:hint="eastAsia" w:ascii="宋体" w:hAnsi="宋体" w:eastAsia="宋体"/>
                <w:szCs w:val="21"/>
              </w:rPr>
              <w:t>（1）车辆配有超载报警和保护装置得4分，没有不得分。</w:t>
            </w:r>
          </w:p>
          <w:p>
            <w:pPr>
              <w:pStyle w:val="22"/>
              <w:spacing w:line="360" w:lineRule="auto"/>
              <w:ind w:firstLine="0" w:firstLineChars="0"/>
              <w:rPr>
                <w:rFonts w:ascii="宋体" w:hAnsi="宋体" w:eastAsia="宋体"/>
                <w:szCs w:val="21"/>
              </w:rPr>
            </w:pPr>
            <w:r>
              <w:rPr>
                <w:rFonts w:hint="eastAsia" w:ascii="宋体" w:hAnsi="宋体" w:eastAsia="宋体"/>
                <w:szCs w:val="21"/>
              </w:rPr>
              <w:t>（2）带电池指示器的随机故障诊断系统者得4分，没有不得分。</w:t>
            </w:r>
          </w:p>
          <w:p>
            <w:pPr>
              <w:tabs>
                <w:tab w:val="left" w:pos="531"/>
              </w:tabs>
              <w:spacing w:line="360" w:lineRule="auto"/>
              <w:rPr>
                <w:rFonts w:ascii="宋体" w:hAnsi="宋体"/>
                <w:color w:val="FF0000"/>
                <w:szCs w:val="21"/>
                <w:highlight w:val="yellow"/>
              </w:rPr>
            </w:pPr>
            <w:r>
              <w:rPr>
                <w:rFonts w:hint="eastAsia" w:ascii="宋体" w:hAnsi="宋体"/>
                <w:b/>
                <w:szCs w:val="21"/>
              </w:rPr>
              <w:t>评审依据：</w:t>
            </w:r>
            <w:r>
              <w:rPr>
                <w:rFonts w:hint="eastAsia" w:ascii="宋体" w:hAnsi="宋体"/>
                <w:szCs w:val="21"/>
              </w:rPr>
              <w:t>以彩页资料或其他说明资料为准。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78" w:hRule="atLeast"/>
          <w:tblCellSpacing w:w="0" w:type="dxa"/>
        </w:trPr>
        <w:tc>
          <w:tcPr>
            <w:tcW w:w="704" w:type="dxa"/>
            <w:tcBorders>
              <w:tl2br w:val="nil"/>
              <w:tr2bl w:val="nil"/>
            </w:tcBorders>
            <w:vAlign w:val="center"/>
          </w:tcPr>
          <w:p>
            <w:pPr>
              <w:pStyle w:val="22"/>
              <w:numPr>
                <w:ilvl w:val="0"/>
                <w:numId w:val="16"/>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highlight w:val="yellow"/>
              </w:rPr>
            </w:pPr>
            <w:r>
              <w:rPr>
                <w:rFonts w:hint="eastAsia" w:ascii="宋体" w:hAnsi="宋体"/>
                <w:szCs w:val="21"/>
              </w:rPr>
              <w:t>动力电池容量</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highlight w:val="yellow"/>
              </w:rPr>
            </w:pPr>
            <w:r>
              <w:rPr>
                <w:rFonts w:hint="eastAsia" w:ascii="宋体" w:hAnsi="宋体"/>
                <w:szCs w:val="21"/>
              </w:rPr>
              <w:t>5分</w:t>
            </w:r>
          </w:p>
        </w:tc>
        <w:tc>
          <w:tcPr>
            <w:tcW w:w="6804" w:type="dxa"/>
            <w:gridSpan w:val="2"/>
            <w:tcBorders>
              <w:tl2br w:val="nil"/>
              <w:tr2bl w:val="nil"/>
            </w:tcBorders>
            <w:tcMar>
              <w:top w:w="15" w:type="dxa"/>
              <w:left w:w="15" w:type="dxa"/>
              <w:bottom w:w="15" w:type="dxa"/>
              <w:right w:w="15" w:type="dxa"/>
            </w:tcMar>
            <w:vAlign w:val="center"/>
          </w:tcPr>
          <w:p>
            <w:pPr>
              <w:spacing w:line="360" w:lineRule="auto"/>
              <w:rPr>
                <w:rFonts w:ascii="宋体" w:hAnsi="宋体"/>
                <w:szCs w:val="21"/>
              </w:rPr>
            </w:pPr>
            <w:r>
              <w:rPr>
                <w:rFonts w:hint="eastAsia" w:ascii="宋体" w:hAnsi="宋体"/>
                <w:bCs/>
                <w:szCs w:val="21"/>
              </w:rPr>
              <w:t>动力电池安时数最大者第一名得5分</w:t>
            </w:r>
            <w:r>
              <w:rPr>
                <w:rFonts w:hint="eastAsia" w:ascii="宋体" w:hAnsi="宋体"/>
                <w:b/>
                <w:szCs w:val="21"/>
              </w:rPr>
              <w:t>，</w:t>
            </w:r>
            <w:r>
              <w:rPr>
                <w:rFonts w:hint="eastAsia" w:ascii="宋体" w:hAnsi="宋体"/>
                <w:szCs w:val="21"/>
              </w:rPr>
              <w:t>第二名</w:t>
            </w:r>
            <w:r>
              <w:rPr>
                <w:rFonts w:ascii="宋体" w:hAnsi="宋体"/>
                <w:szCs w:val="21"/>
              </w:rPr>
              <w:t>3</w:t>
            </w:r>
            <w:r>
              <w:rPr>
                <w:rFonts w:hint="eastAsia" w:ascii="宋体" w:hAnsi="宋体"/>
                <w:szCs w:val="21"/>
              </w:rPr>
              <w:t>分，第三名得</w:t>
            </w:r>
            <w:r>
              <w:rPr>
                <w:rFonts w:ascii="宋体" w:hAnsi="宋体"/>
                <w:szCs w:val="21"/>
              </w:rPr>
              <w:t>2</w:t>
            </w:r>
            <w:r>
              <w:rPr>
                <w:rFonts w:hint="eastAsia" w:ascii="宋体" w:hAnsi="宋体"/>
                <w:szCs w:val="21"/>
              </w:rPr>
              <w:t>分，第四名及以后排名仅满足招标文件者得</w:t>
            </w:r>
            <w:r>
              <w:rPr>
                <w:rFonts w:ascii="宋体" w:hAnsi="宋体"/>
                <w:szCs w:val="21"/>
              </w:rPr>
              <w:t>1分。</w:t>
            </w:r>
          </w:p>
          <w:p>
            <w:pPr>
              <w:spacing w:line="360" w:lineRule="auto"/>
              <w:rPr>
                <w:rFonts w:ascii="宋体" w:hAnsi="宋体"/>
                <w:szCs w:val="21"/>
              </w:rPr>
            </w:pPr>
            <w:r>
              <w:rPr>
                <w:rFonts w:hint="eastAsia" w:ascii="宋体" w:hAnsi="宋体"/>
                <w:b/>
                <w:szCs w:val="21"/>
              </w:rPr>
              <w:t>评审依据：</w:t>
            </w:r>
            <w:r>
              <w:rPr>
                <w:rFonts w:hint="eastAsia" w:ascii="宋体" w:hAnsi="宋体"/>
                <w:szCs w:val="21"/>
              </w:rPr>
              <w:t>以投标产品参数及彩页资料参数为准。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78" w:hRule="atLeast"/>
          <w:tblCellSpacing w:w="0" w:type="dxa"/>
        </w:trPr>
        <w:tc>
          <w:tcPr>
            <w:tcW w:w="704" w:type="dxa"/>
            <w:tcBorders>
              <w:tl2br w:val="nil"/>
              <w:tr2bl w:val="nil"/>
            </w:tcBorders>
            <w:vAlign w:val="center"/>
          </w:tcPr>
          <w:p>
            <w:pPr>
              <w:pStyle w:val="22"/>
              <w:numPr>
                <w:ilvl w:val="0"/>
                <w:numId w:val="16"/>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ascii="宋体" w:hAnsi="宋体"/>
                <w:szCs w:val="21"/>
              </w:rPr>
            </w:pPr>
            <w:r>
              <w:rPr>
                <w:rFonts w:hint="eastAsia" w:ascii="宋体" w:hAnsi="宋体"/>
                <w:szCs w:val="21"/>
              </w:rPr>
              <w:t>动力电池品牌质量保证</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3分</w:t>
            </w:r>
          </w:p>
        </w:tc>
        <w:tc>
          <w:tcPr>
            <w:tcW w:w="6804" w:type="dxa"/>
            <w:gridSpan w:val="2"/>
            <w:tcBorders>
              <w:tl2br w:val="nil"/>
              <w:tr2bl w:val="nil"/>
            </w:tcBorders>
            <w:tcMar>
              <w:top w:w="15" w:type="dxa"/>
              <w:left w:w="15" w:type="dxa"/>
              <w:bottom w:w="15" w:type="dxa"/>
              <w:right w:w="15" w:type="dxa"/>
            </w:tcMar>
            <w:vAlign w:val="center"/>
          </w:tcPr>
          <w:p>
            <w:pPr>
              <w:spacing w:line="360" w:lineRule="auto"/>
              <w:rPr>
                <w:rFonts w:ascii="宋体" w:hAnsi="宋体"/>
                <w:szCs w:val="21"/>
              </w:rPr>
            </w:pPr>
            <w:r>
              <w:rPr>
                <w:rFonts w:hint="eastAsia" w:ascii="宋体" w:hAnsi="宋体"/>
                <w:szCs w:val="21"/>
              </w:rPr>
              <w:t>采用性能优异的国际一线品牌动力电池，投标产品动力电池配置为美国T</w:t>
            </w:r>
            <w:r>
              <w:rPr>
                <w:rFonts w:ascii="宋体" w:hAnsi="宋体"/>
                <w:szCs w:val="21"/>
              </w:rPr>
              <w:t>ROJAN</w:t>
            </w:r>
            <w:r>
              <w:rPr>
                <w:rFonts w:hint="eastAsia" w:ascii="宋体" w:hAnsi="宋体"/>
                <w:szCs w:val="21"/>
              </w:rPr>
              <w:t>或美国US或英国H</w:t>
            </w:r>
            <w:r>
              <w:rPr>
                <w:rFonts w:ascii="宋体" w:hAnsi="宋体"/>
                <w:szCs w:val="21"/>
              </w:rPr>
              <w:t>AWKER</w:t>
            </w:r>
            <w:r>
              <w:rPr>
                <w:rFonts w:hint="eastAsia" w:ascii="宋体" w:hAnsi="宋体"/>
                <w:szCs w:val="21"/>
              </w:rPr>
              <w:t>品牌其中一种动力电池的得3分，其他得1分。</w:t>
            </w:r>
          </w:p>
          <w:p>
            <w:pPr>
              <w:spacing w:line="360" w:lineRule="auto"/>
              <w:rPr>
                <w:rFonts w:ascii="宋体" w:hAnsi="宋体"/>
                <w:bCs/>
                <w:szCs w:val="21"/>
              </w:rPr>
            </w:pPr>
            <w:r>
              <w:rPr>
                <w:rFonts w:hint="eastAsia" w:ascii="宋体" w:hAnsi="宋体"/>
                <w:b/>
                <w:szCs w:val="21"/>
              </w:rPr>
              <w:t>评审依据：</w:t>
            </w:r>
            <w:r>
              <w:rPr>
                <w:rFonts w:hint="eastAsia" w:ascii="宋体" w:hAnsi="宋体"/>
                <w:szCs w:val="21"/>
              </w:rPr>
              <w:t>以彩页资料或其他说明资料为准。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78" w:hRule="atLeast"/>
          <w:tblCellSpacing w:w="0" w:type="dxa"/>
        </w:trPr>
        <w:tc>
          <w:tcPr>
            <w:tcW w:w="704" w:type="dxa"/>
            <w:tcBorders>
              <w:tl2br w:val="nil"/>
              <w:tr2bl w:val="nil"/>
            </w:tcBorders>
            <w:vAlign w:val="center"/>
          </w:tcPr>
          <w:p>
            <w:pPr>
              <w:pStyle w:val="22"/>
              <w:numPr>
                <w:ilvl w:val="0"/>
                <w:numId w:val="16"/>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ascii="宋体" w:hAnsi="宋体"/>
                <w:szCs w:val="21"/>
              </w:rPr>
            </w:pPr>
            <w:r>
              <w:rPr>
                <w:rFonts w:hint="eastAsia" w:ascii="宋体" w:hAnsi="宋体"/>
                <w:szCs w:val="21"/>
              </w:rPr>
              <w:t>质保期</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color w:val="000000"/>
                <w:szCs w:val="21"/>
              </w:rPr>
              <w:t>6分</w:t>
            </w:r>
          </w:p>
        </w:tc>
        <w:tc>
          <w:tcPr>
            <w:tcW w:w="6804" w:type="dxa"/>
            <w:gridSpan w:val="2"/>
            <w:tcBorders>
              <w:tl2br w:val="nil"/>
              <w:tr2bl w:val="nil"/>
            </w:tcBorders>
            <w:tcMar>
              <w:top w:w="15" w:type="dxa"/>
              <w:left w:w="15" w:type="dxa"/>
              <w:bottom w:w="15" w:type="dxa"/>
              <w:right w:w="15" w:type="dxa"/>
            </w:tcMar>
            <w:vAlign w:val="center"/>
          </w:tcPr>
          <w:p>
            <w:pPr>
              <w:spacing w:line="360" w:lineRule="auto"/>
              <w:rPr>
                <w:rFonts w:ascii="宋体" w:hAnsi="宋体"/>
                <w:szCs w:val="21"/>
              </w:rPr>
            </w:pPr>
            <w:r>
              <w:rPr>
                <w:rFonts w:hint="eastAsia" w:ascii="宋体" w:hAnsi="宋体"/>
                <w:szCs w:val="21"/>
              </w:rPr>
              <w:t>质保期在满足基本质保期限1年的基础上时间越长得分越高，满足基本质保期不得分，每增加1年加2分，最高得6分。</w:t>
            </w:r>
          </w:p>
          <w:p>
            <w:pPr>
              <w:spacing w:line="360" w:lineRule="auto"/>
              <w:rPr>
                <w:rFonts w:ascii="宋体" w:hAnsi="宋体"/>
                <w:szCs w:val="21"/>
              </w:rPr>
            </w:pPr>
            <w:r>
              <w:rPr>
                <w:rFonts w:hint="eastAsia" w:ascii="宋体" w:hAnsi="宋体"/>
                <w:b/>
                <w:color w:val="000000"/>
              </w:rPr>
              <w:t>评审依据：</w:t>
            </w:r>
            <w:r>
              <w:rPr>
                <w:rFonts w:hint="eastAsia" w:ascii="宋体" w:hAnsi="宋体" w:cs="宋体"/>
                <w:kern w:val="0"/>
                <w:szCs w:val="21"/>
              </w:rPr>
              <w:t>投标人根据项目要求，提供服务方案，并加盖投标人公章。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78" w:hRule="atLeast"/>
          <w:tblCellSpacing w:w="0" w:type="dxa"/>
        </w:trPr>
        <w:tc>
          <w:tcPr>
            <w:tcW w:w="704" w:type="dxa"/>
            <w:tcBorders>
              <w:tl2br w:val="nil"/>
              <w:tr2bl w:val="nil"/>
            </w:tcBorders>
            <w:vAlign w:val="center"/>
          </w:tcPr>
          <w:p>
            <w:pPr>
              <w:pStyle w:val="22"/>
              <w:numPr>
                <w:ilvl w:val="0"/>
                <w:numId w:val="16"/>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ascii="宋体" w:hAnsi="宋体"/>
                <w:szCs w:val="21"/>
              </w:rPr>
            </w:pPr>
            <w:r>
              <w:rPr>
                <w:rFonts w:ascii="Arial" w:hAnsi="Arial" w:cs="Arial"/>
                <w:color w:val="000000"/>
              </w:rPr>
              <w:t>售后服务</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6分</w:t>
            </w:r>
          </w:p>
        </w:tc>
        <w:tc>
          <w:tcPr>
            <w:tcW w:w="6804" w:type="dxa"/>
            <w:gridSpan w:val="2"/>
            <w:tcBorders>
              <w:tl2br w:val="nil"/>
              <w:tr2bl w:val="nil"/>
            </w:tcBorders>
            <w:tcMar>
              <w:top w:w="15" w:type="dxa"/>
              <w:left w:w="15" w:type="dxa"/>
              <w:bottom w:w="15" w:type="dxa"/>
              <w:right w:w="15" w:type="dxa"/>
            </w:tcMar>
            <w:vAlign w:val="center"/>
          </w:tcPr>
          <w:p>
            <w:pPr>
              <w:spacing w:line="360" w:lineRule="auto"/>
              <w:rPr>
                <w:rFonts w:ascii="宋体" w:hAnsi="宋体"/>
                <w:szCs w:val="21"/>
              </w:rPr>
            </w:pPr>
            <w:r>
              <w:rPr>
                <w:rFonts w:hint="eastAsia" w:ascii="宋体" w:hAnsi="宋体"/>
                <w:szCs w:val="21"/>
              </w:rPr>
              <w:t>根据投标方售后服务方案综合评判，最优者得6分，第二者得3分，其他得1分。</w:t>
            </w:r>
          </w:p>
          <w:p>
            <w:pPr>
              <w:spacing w:line="360" w:lineRule="auto"/>
              <w:rPr>
                <w:rFonts w:ascii="宋体" w:hAnsi="宋体"/>
                <w:szCs w:val="21"/>
              </w:rPr>
            </w:pPr>
            <w:r>
              <w:rPr>
                <w:rFonts w:hint="eastAsia" w:ascii="宋体" w:hAnsi="宋体"/>
                <w:b/>
                <w:color w:val="000000"/>
              </w:rPr>
              <w:t>评审依据</w:t>
            </w:r>
            <w:r>
              <w:rPr>
                <w:rFonts w:hint="eastAsia" w:ascii="宋体" w:hAnsi="宋体"/>
                <w:color w:val="000000"/>
              </w:rPr>
              <w:t>：</w:t>
            </w:r>
            <w:r>
              <w:rPr>
                <w:rFonts w:hint="eastAsia" w:ascii="宋体" w:hAnsi="宋体" w:cs="宋体"/>
                <w:kern w:val="0"/>
                <w:szCs w:val="21"/>
              </w:rPr>
              <w:t>投标人根据项目要求，提供</w:t>
            </w:r>
            <w:r>
              <w:rPr>
                <w:rFonts w:hint="eastAsia" w:ascii="宋体" w:hAnsi="宋体"/>
                <w:szCs w:val="21"/>
              </w:rPr>
              <w:t>售后服务计划及方案书</w:t>
            </w:r>
            <w:r>
              <w:rPr>
                <w:rFonts w:hint="eastAsia" w:ascii="宋体" w:hAnsi="宋体" w:cs="宋体"/>
                <w:kern w:val="0"/>
                <w:szCs w:val="21"/>
              </w:rPr>
              <w:t>，并加盖投标人公章。</w:t>
            </w:r>
            <w:r>
              <w:rPr>
                <w:rFonts w:hint="eastAsia" w:ascii="宋体" w:hAnsi="宋体"/>
                <w:szCs w:val="21"/>
              </w:rPr>
              <w:t>（参考售后服务方案中维保人员、响应时间、应急方案、维修水平、维修成本等综合评判打分）。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rPr>
            </w:pPr>
            <w:r>
              <w:rPr>
                <w:rFonts w:hint="eastAsia"/>
                <w:b/>
                <w:bCs/>
              </w:rPr>
              <w:t>价格评议项（35分）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3"/>
            <w:tcBorders>
              <w:tl2br w:val="nil"/>
              <w:tr2bl w:val="nil"/>
            </w:tcBorders>
            <w:vAlign w:val="center"/>
          </w:tcPr>
          <w:p>
            <w:pPr>
              <w:autoSpaceDE w:val="0"/>
              <w:autoSpaceDN w:val="0"/>
              <w:adjustRightInd w:val="0"/>
              <w:snapToGrid w:val="0"/>
              <w:spacing w:line="360" w:lineRule="auto"/>
              <w:jc w:val="left"/>
              <w:rPr>
                <w:rFonts w:ascii="宋体" w:hAnsi="宋体"/>
                <w:szCs w:val="21"/>
              </w:rPr>
            </w:pPr>
            <w:r>
              <w:rPr>
                <w:rFonts w:hint="eastAsia" w:ascii="宋体" w:hAnsi="宋体"/>
                <w:szCs w:val="21"/>
              </w:rPr>
              <w:t>□各有效</w:t>
            </w:r>
            <w:r>
              <w:rPr>
                <w:rFonts w:ascii="宋体" w:hAnsi="宋体"/>
                <w:szCs w:val="21"/>
              </w:rPr>
              <w:t>投</w:t>
            </w:r>
            <w:r>
              <w:rPr>
                <w:rFonts w:hint="eastAsia" w:ascii="宋体" w:hAnsi="宋体"/>
                <w:szCs w:val="21"/>
              </w:rPr>
              <w:t>标报价大于n家时，去掉一个最高和最低报价后的算术平均值乘以</w:t>
            </w:r>
            <w:r>
              <w:rPr>
                <w:rFonts w:ascii="宋体" w:hAnsi="宋体"/>
                <w:szCs w:val="21"/>
                <w:u w:val="single"/>
              </w:rPr>
              <w:t xml:space="preserve">    </w:t>
            </w:r>
            <w:r>
              <w:rPr>
                <w:rFonts w:hint="eastAsia" w:ascii="宋体" w:hAnsi="宋体"/>
                <w:szCs w:val="21"/>
              </w:rPr>
              <w:t>％。当有效投标报价少于n（含）家时，则以所有有效投标报价的算术平均值乘以</w:t>
            </w:r>
            <w:r>
              <w:rPr>
                <w:rFonts w:ascii="宋体" w:hAnsi="宋体"/>
                <w:szCs w:val="21"/>
                <w:u w:val="single"/>
              </w:rPr>
              <w:t xml:space="preserve">    </w:t>
            </w:r>
            <w:r>
              <w:rPr>
                <w:rFonts w:hint="eastAsia" w:ascii="宋体" w:hAnsi="宋体"/>
                <w:szCs w:val="21"/>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360" w:lineRule="auto"/>
              <w:jc w:val="left"/>
              <w:rPr>
                <w:rFonts w:ascii="宋体" w:hAnsi="宋体"/>
                <w:szCs w:val="21"/>
              </w:rPr>
            </w:pPr>
            <w:r>
              <w:rPr>
                <w:rFonts w:hint="eastAsia" w:ascii="宋体" w:hAnsi="宋体"/>
                <w:szCs w:val="21"/>
              </w:rPr>
              <w:sym w:font="Wingdings 2" w:char="0052"/>
            </w:r>
            <w:r>
              <w:rPr>
                <w:rFonts w:hint="eastAsia" w:ascii="宋体" w:hAnsi="宋体"/>
                <w:szCs w:val="21"/>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360" w:lineRule="auto"/>
              <w:jc w:val="left"/>
              <w:rPr>
                <w:rFonts w:ascii="宋体" w:hAnsi="宋体"/>
                <w:szCs w:val="21"/>
              </w:rPr>
            </w:pPr>
            <w:r>
              <w:rPr>
                <w:rFonts w:hint="eastAsia" w:ascii="宋体" w:hAnsi="宋体"/>
                <w:szCs w:val="21"/>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06"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gridSpan w:val="2"/>
            <w:tcBorders>
              <w:tl2br w:val="nil"/>
              <w:tr2bl w:val="nil"/>
            </w:tcBorders>
            <w:vAlign w:val="center"/>
          </w:tcPr>
          <w:p>
            <w:pPr>
              <w:spacing w:line="240" w:lineRule="atLeast"/>
              <w:jc w:val="center"/>
              <w:rPr>
                <w:rFonts w:ascii="宋体" w:cs="宋体"/>
                <w:kern w:val="0"/>
                <w:szCs w:val="21"/>
              </w:rPr>
            </w:pPr>
            <w:r>
              <w:rPr>
                <w:rFonts w:hint="eastAsia" w:ascii="宋体" w:hAnsi="宋体"/>
                <w:szCs w:val="21"/>
              </w:rPr>
              <w:sym w:font="Wingdings 2" w:char="00A3"/>
            </w:r>
            <w:r>
              <w:rPr>
                <w:rFonts w:hint="eastAsia" w:ascii="宋体" w:hAnsi="宋体"/>
                <w:szCs w:val="21"/>
              </w:rPr>
              <w:t>固定</w:t>
            </w:r>
            <w:r>
              <w:rPr>
                <w:rFonts w:ascii="宋体" w:hAnsi="宋体"/>
                <w:szCs w:val="21"/>
              </w:rPr>
              <w:t>比例</w:t>
            </w:r>
            <w:r>
              <w:rPr>
                <w:rFonts w:hint="eastAsia" w:ascii="宋体" w:hAnsi="宋体"/>
                <w:szCs w:val="21"/>
              </w:rPr>
              <w:t>法</w:t>
            </w:r>
          </w:p>
        </w:tc>
        <w:tc>
          <w:tcPr>
            <w:tcW w:w="5950" w:type="dxa"/>
            <w:tcBorders>
              <w:tl2br w:val="nil"/>
              <w:tr2bl w:val="nil"/>
            </w:tcBorders>
            <w:vAlign w:val="center"/>
          </w:tcPr>
          <w:p>
            <w:pPr>
              <w:autoSpaceDE w:val="0"/>
              <w:autoSpaceDN w:val="0"/>
              <w:adjustRightInd w:val="0"/>
              <w:snapToGrid w:val="0"/>
              <w:spacing w:line="360" w:lineRule="auto"/>
              <w:jc w:val="left"/>
              <w:rPr>
                <w:rFonts w:ascii="宋体" w:hAnsi="宋体"/>
                <w:szCs w:val="21"/>
              </w:rPr>
            </w:pPr>
            <w:r>
              <w:rPr>
                <w:rFonts w:hint="eastAsia" w:ascii="宋体" w:hAnsi="宋体"/>
                <w:szCs w:val="21"/>
              </w:rPr>
              <w:t>价格得分=M-[（｜投标价格-基准价｜/基准价）*100/</w:t>
            </w:r>
            <w:r>
              <w:rPr>
                <w:rFonts w:ascii="宋体" w:hAnsi="宋体"/>
                <w:szCs w:val="21"/>
              </w:rPr>
              <w:t>N]*</w:t>
            </w:r>
            <w:r>
              <w:rPr>
                <w:rFonts w:hint="eastAsia" w:ascii="宋体" w:hAnsi="宋体"/>
                <w:szCs w:val="21"/>
              </w:rPr>
              <w:t>扣分值</w:t>
            </w:r>
          </w:p>
          <w:p>
            <w:pPr>
              <w:autoSpaceDE w:val="0"/>
              <w:autoSpaceDN w:val="0"/>
              <w:adjustRightInd w:val="0"/>
              <w:snapToGrid w:val="0"/>
              <w:spacing w:line="360" w:lineRule="auto"/>
              <w:jc w:val="left"/>
              <w:rPr>
                <w:rFonts w:ascii="宋体" w:hAnsi="宋体"/>
                <w:szCs w:val="21"/>
              </w:rPr>
            </w:pPr>
            <w:r>
              <w:rPr>
                <w:rFonts w:hint="eastAsia" w:ascii="宋体" w:hAnsi="宋体"/>
                <w:szCs w:val="21"/>
              </w:rPr>
              <w:t>M=</w:t>
            </w:r>
            <w:r>
              <w:rPr>
                <w:rFonts w:ascii="宋体" w:hAnsi="宋体"/>
                <w:szCs w:val="21"/>
                <w:u w:val="single"/>
              </w:rPr>
              <w:t xml:space="preserve">    </w:t>
            </w:r>
            <w:r>
              <w:rPr>
                <w:rFonts w:hint="eastAsia" w:ascii="宋体" w:hAnsi="宋体"/>
                <w:szCs w:val="21"/>
              </w:rPr>
              <w:t>（价格评价分项满分值），N=</w:t>
            </w:r>
            <w:r>
              <w:rPr>
                <w:rFonts w:ascii="宋体" w:hAnsi="宋体"/>
                <w:szCs w:val="21"/>
                <w:u w:val="single"/>
              </w:rPr>
              <w:t xml:space="preserve">    </w:t>
            </w:r>
            <w:r>
              <w:rPr>
                <w:rFonts w:hint="eastAsia" w:ascii="宋体" w:hAnsi="宋体"/>
                <w:szCs w:val="21"/>
              </w:rPr>
              <w:t>，投标价格每高于N％时，扣</w:t>
            </w:r>
            <w:r>
              <w:rPr>
                <w:rFonts w:ascii="宋体" w:hAnsi="宋体"/>
                <w:szCs w:val="21"/>
                <w:u w:val="single"/>
              </w:rPr>
              <w:t xml:space="preserve">   </w:t>
            </w:r>
            <w:r>
              <w:rPr>
                <w:rFonts w:hint="eastAsia" w:ascii="宋体" w:hAnsi="宋体"/>
                <w:szCs w:val="21"/>
              </w:rPr>
              <w:t>分；每低于N％时，扣</w:t>
            </w:r>
            <w:r>
              <w:rPr>
                <w:rFonts w:ascii="宋体" w:hAnsi="宋体"/>
                <w:szCs w:val="21"/>
                <w:u w:val="single"/>
              </w:rPr>
              <w:t xml:space="preserve">   </w:t>
            </w:r>
            <w:bookmarkStart w:id="97" w:name="_GoBack"/>
            <w:bookmarkEnd w:id="97"/>
            <w:r>
              <w:rPr>
                <w:rFonts w:ascii="宋体" w:hAnsi="宋体"/>
                <w:szCs w:val="21"/>
                <w:u w:val="single"/>
              </w:rPr>
              <w:t xml:space="preserve"> </w:t>
            </w:r>
            <w:r>
              <w:rPr>
                <w:rFonts w:hint="eastAsia" w:ascii="宋体" w:hAnsi="宋体"/>
                <w:szCs w:val="21"/>
              </w:rPr>
              <w:t>分；</w:t>
            </w:r>
          </w:p>
          <w:p>
            <w:pPr>
              <w:spacing w:line="360" w:lineRule="auto"/>
              <w:jc w:val="left"/>
              <w:rPr>
                <w:rFonts w:ascii="宋体" w:cs="宋体"/>
                <w:kern w:val="0"/>
                <w:szCs w:val="21"/>
              </w:rPr>
            </w:pPr>
            <w:r>
              <w:rPr>
                <w:rFonts w:hint="eastAsia" w:ascii="宋体" w:hAnsi="宋体"/>
                <w:szCs w:val="21"/>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cs="宋体"/>
                <w:kern w:val="0"/>
                <w:szCs w:val="21"/>
              </w:rPr>
            </w:pPr>
            <w:r>
              <w:rPr>
                <w:rFonts w:hint="eastAsia" w:ascii="宋体" w:hAnsi="宋体"/>
                <w:szCs w:val="21"/>
              </w:rPr>
              <w:t>□固定乘积法</w:t>
            </w:r>
          </w:p>
        </w:tc>
        <w:tc>
          <w:tcPr>
            <w:tcW w:w="5950" w:type="dxa"/>
            <w:tcBorders>
              <w:tl2br w:val="nil"/>
              <w:tr2bl w:val="nil"/>
            </w:tcBorders>
            <w:vAlign w:val="center"/>
          </w:tcPr>
          <w:p>
            <w:pPr>
              <w:autoSpaceDE w:val="0"/>
              <w:autoSpaceDN w:val="0"/>
              <w:adjustRightInd w:val="0"/>
              <w:snapToGrid w:val="0"/>
              <w:spacing w:line="360" w:lineRule="auto"/>
              <w:jc w:val="left"/>
              <w:rPr>
                <w:rStyle w:val="19"/>
                <w:rFonts w:ascii="宋体" w:hAnsi="宋体"/>
              </w:rPr>
            </w:pPr>
            <w:r>
              <w:rPr>
                <w:rStyle w:val="19"/>
                <w:rFonts w:hint="eastAsia" w:ascii="宋体" w:hAnsi="宋体"/>
              </w:rPr>
              <w:t>价格得分=（1-A×｜1-投标报价/Z｜）×M</w:t>
            </w:r>
          </w:p>
          <w:p>
            <w:pPr>
              <w:numPr>
                <w:ilvl w:val="0"/>
                <w:numId w:val="17"/>
              </w:numPr>
              <w:autoSpaceDE w:val="0"/>
              <w:autoSpaceDN w:val="0"/>
              <w:adjustRightInd w:val="0"/>
              <w:snapToGrid w:val="0"/>
              <w:spacing w:line="360" w:lineRule="auto"/>
              <w:jc w:val="left"/>
              <w:rPr>
                <w:rStyle w:val="19"/>
                <w:rFonts w:ascii="宋体" w:hAnsi="宋体"/>
              </w:rPr>
            </w:pPr>
            <w:r>
              <w:rPr>
                <w:rStyle w:val="19"/>
                <w:rFonts w:hint="eastAsia" w:ascii="宋体" w:hAnsi="宋体"/>
              </w:rPr>
              <w:t xml:space="preserve">M= </w:t>
            </w:r>
            <w:r>
              <w:rPr>
                <w:rFonts w:hint="eastAsia" w:ascii="宋体" w:hAnsi="宋体"/>
                <w:color w:val="FF0000"/>
                <w:szCs w:val="21"/>
              </w:rPr>
              <w:t>××</w:t>
            </w:r>
            <w:r>
              <w:rPr>
                <w:rStyle w:val="19"/>
                <w:rFonts w:hint="eastAsia" w:ascii="宋体" w:hAnsi="宋体"/>
              </w:rPr>
              <w:t xml:space="preserve"> （价格评价分项满分值），Z为本次招标基准价；</w:t>
            </w:r>
          </w:p>
          <w:p>
            <w:pPr>
              <w:numPr>
                <w:ilvl w:val="0"/>
                <w:numId w:val="17"/>
              </w:numPr>
              <w:autoSpaceDE w:val="0"/>
              <w:autoSpaceDN w:val="0"/>
              <w:adjustRightInd w:val="0"/>
              <w:snapToGrid w:val="0"/>
              <w:spacing w:line="360" w:lineRule="auto"/>
              <w:jc w:val="left"/>
              <w:rPr>
                <w:rStyle w:val="19"/>
                <w:rFonts w:ascii="宋体" w:hAnsi="宋体"/>
              </w:rPr>
            </w:pPr>
            <w:r>
              <w:rPr>
                <w:rStyle w:val="19"/>
                <w:rFonts w:hint="eastAsia" w:ascii="宋体" w:hAnsi="宋体"/>
              </w:rPr>
              <w:t>A为价格调整系数，当投标报价低于本次招标最佳报价（即基准价）时，A=0.5；当投标报价高于次招标基准价时，取A=1；</w:t>
            </w:r>
          </w:p>
          <w:p>
            <w:pPr>
              <w:numPr>
                <w:ilvl w:val="0"/>
                <w:numId w:val="17"/>
              </w:numPr>
              <w:spacing w:line="360" w:lineRule="auto"/>
              <w:jc w:val="left"/>
              <w:rPr>
                <w:rFonts w:ascii="宋体" w:cs="宋体"/>
                <w:kern w:val="0"/>
                <w:szCs w:val="21"/>
              </w:rPr>
            </w:pPr>
            <w:r>
              <w:rPr>
                <w:rStyle w:val="19"/>
                <w:rFonts w:hint="eastAsia" w:ascii="宋体" w:hAnsi="宋体"/>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9"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hAnsi="宋体"/>
                <w:szCs w:val="21"/>
              </w:rPr>
            </w:pPr>
            <w:r>
              <w:rPr>
                <w:rFonts w:hint="eastAsia" w:ascii="宋体" w:hAnsi="宋体"/>
                <w:szCs w:val="21"/>
              </w:rPr>
              <w:sym w:font="Wingdings 2" w:char="0052"/>
            </w:r>
            <w:r>
              <w:rPr>
                <w:rFonts w:hint="eastAsia" w:ascii="宋体" w:hAnsi="宋体"/>
                <w:szCs w:val="21"/>
              </w:rPr>
              <w:t>其他</w:t>
            </w:r>
            <w:r>
              <w:rPr>
                <w:rFonts w:ascii="宋体" w:hAnsi="宋体"/>
                <w:szCs w:val="21"/>
              </w:rPr>
              <w:t>方法</w:t>
            </w:r>
          </w:p>
        </w:tc>
        <w:tc>
          <w:tcPr>
            <w:tcW w:w="5950" w:type="dxa"/>
            <w:tcBorders>
              <w:tl2br w:val="nil"/>
              <w:tr2bl w:val="nil"/>
            </w:tcBorders>
            <w:vAlign w:val="center"/>
          </w:tcPr>
          <w:p>
            <w:pPr>
              <w:widowControl/>
              <w:snapToGrid w:val="0"/>
              <w:spacing w:line="360" w:lineRule="auto"/>
              <w:jc w:val="left"/>
              <w:rPr>
                <w:rFonts w:ascii="宋体" w:hAnsi="宋体" w:cs="宋体"/>
                <w:szCs w:val="21"/>
              </w:rPr>
            </w:pPr>
            <w:r>
              <w:rPr>
                <w:rFonts w:hint="eastAsia" w:ascii="宋体" w:hAnsi="宋体" w:cs="宋体"/>
                <w:szCs w:val="21"/>
              </w:rPr>
              <w:t>价格得分=（1-｜投标报价-基准价｜÷基准价）×价格权重分</w:t>
            </w:r>
          </w:p>
          <w:p>
            <w:pPr>
              <w:spacing w:line="360" w:lineRule="auto"/>
              <w:jc w:val="left"/>
              <w:rPr>
                <w:rFonts w:ascii="宋体" w:cs="宋体"/>
                <w:kern w:val="0"/>
                <w:szCs w:val="21"/>
              </w:rPr>
            </w:pPr>
            <w:r>
              <w:rPr>
                <w:rFonts w:hint="eastAsia" w:ascii="宋体" w:hAnsi="宋体" w:cs="宋体"/>
                <w:szCs w:val="21"/>
              </w:rPr>
              <w:t>说明：报价最接近基准价的投标人价格分最高，价格分保留至小数点后两位。</w:t>
            </w:r>
          </w:p>
        </w:tc>
      </w:tr>
    </w:tbl>
    <w:p>
      <w:pPr>
        <w:pStyle w:val="2"/>
      </w:pPr>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18"/>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18"/>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6" w:name="_Toc116550358"/>
      <w:r>
        <w:rPr>
          <w:rFonts w:hint="eastAsia" w:ascii="宋体" w:hAnsi="宋体"/>
          <w:b/>
          <w:sz w:val="32"/>
          <w:szCs w:val="32"/>
        </w:rPr>
        <w:t>第四部分：合同条款及格式</w:t>
      </w:r>
      <w:bookmarkEnd w:id="56"/>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bookmarkStart w:id="57" w:name="_Hlk116549198"/>
      <w:r>
        <w:rPr>
          <w:rFonts w:hint="eastAsia" w:ascii="方正小标宋简体" w:eastAsia="方正小标宋简体"/>
          <w:bCs/>
          <w:sz w:val="32"/>
          <w:szCs w:val="32"/>
        </w:rPr>
        <w:t>深圳会展中心自行式剪型高空作业平台购销</w:t>
      </w:r>
      <w:r>
        <w:rPr>
          <w:rFonts w:hint="eastAsia" w:ascii="方正小标宋简体" w:hAnsi="方正小标宋简体" w:eastAsia="方正小标宋简体" w:cs="方正小标宋简体"/>
          <w:bCs/>
          <w:kern w:val="0"/>
          <w:sz w:val="28"/>
          <w:szCs w:val="28"/>
        </w:rPr>
        <w:t>合同</w:t>
      </w:r>
    </w:p>
    <w:bookmarkEnd w:id="57"/>
    <w:p>
      <w:pPr>
        <w:jc w:val="center"/>
        <w:rPr>
          <w:rFonts w:ascii="宋体" w:hAnsi="宋体"/>
          <w:szCs w:val="21"/>
        </w:rPr>
      </w:pPr>
      <w:bookmarkStart w:id="58" w:name="_Hlk116549211"/>
      <w:r>
        <w:rPr>
          <w:rFonts w:hint="eastAsia" w:ascii="方正小标宋简体" w:hAnsi="方正小标宋简体" w:eastAsia="方正小标宋简体" w:cs="方正小标宋简体"/>
          <w:bCs/>
          <w:kern w:val="0"/>
          <w:sz w:val="28"/>
          <w:szCs w:val="28"/>
        </w:rPr>
        <w:t>（合同模板仅供参考，后续根据招标结果完善）</w:t>
      </w:r>
    </w:p>
    <w:bookmarkEnd w:id="58"/>
    <w:p>
      <w:pPr>
        <w:ind w:firstLine="420" w:firstLineChars="200"/>
        <w:jc w:val="left"/>
        <w:rPr>
          <w:rFonts w:ascii="宋体" w:hAnsi="宋体"/>
          <w:szCs w:val="21"/>
        </w:rPr>
      </w:pPr>
    </w:p>
    <w:p>
      <w:pPr>
        <w:spacing w:line="360" w:lineRule="auto"/>
        <w:rPr>
          <w:rFonts w:ascii="宋体" w:hAnsi="宋体"/>
          <w:szCs w:val="21"/>
        </w:rPr>
      </w:pPr>
    </w:p>
    <w:p>
      <w:pPr>
        <w:widowControl/>
        <w:snapToGrid w:val="0"/>
        <w:spacing w:line="360" w:lineRule="auto"/>
        <w:jc w:val="left"/>
        <w:rPr>
          <w:rFonts w:ascii="宋体" w:hAnsi="宋体" w:cs="宋体"/>
          <w:b/>
          <w:kern w:val="0"/>
          <w:szCs w:val="21"/>
        </w:rPr>
      </w:pPr>
      <w:r>
        <w:rPr>
          <w:rFonts w:hint="eastAsia" w:ascii="宋体" w:hAnsi="宋体" w:cs="宋体"/>
          <w:b/>
          <w:kern w:val="0"/>
          <w:szCs w:val="21"/>
        </w:rPr>
        <w:t>甲方：深圳会展中心管理有限责任公司（简称“会展中心”）</w:t>
      </w:r>
    </w:p>
    <w:p>
      <w:pPr>
        <w:widowControl/>
        <w:snapToGrid w:val="0"/>
        <w:spacing w:line="360" w:lineRule="auto"/>
        <w:rPr>
          <w:rFonts w:ascii="宋体" w:hAnsi="宋体" w:cs="宋体"/>
          <w:kern w:val="0"/>
          <w:szCs w:val="21"/>
        </w:rPr>
      </w:pPr>
      <w:r>
        <w:rPr>
          <w:rFonts w:hint="eastAsia" w:ascii="宋体" w:hAnsi="宋体" w:cs="宋体"/>
          <w:kern w:val="0"/>
          <w:szCs w:val="21"/>
        </w:rPr>
        <w:t>法定代表人：XXX</w:t>
      </w:r>
    </w:p>
    <w:p>
      <w:pPr>
        <w:widowControl/>
        <w:snapToGrid w:val="0"/>
        <w:spacing w:line="360" w:lineRule="auto"/>
        <w:rPr>
          <w:rFonts w:ascii="宋体" w:hAnsi="宋体" w:cs="宋体"/>
          <w:kern w:val="0"/>
          <w:szCs w:val="21"/>
        </w:rPr>
      </w:pPr>
      <w:r>
        <w:rPr>
          <w:rFonts w:hint="eastAsia" w:ascii="宋体" w:hAnsi="宋体" w:cs="宋体"/>
          <w:kern w:val="0"/>
          <w:szCs w:val="21"/>
        </w:rPr>
        <w:t>地址：深圳市福田区福华三路深圳会展中心</w:t>
      </w:r>
    </w:p>
    <w:p>
      <w:pPr>
        <w:widowControl/>
        <w:snapToGrid w:val="0"/>
        <w:spacing w:line="360" w:lineRule="auto"/>
        <w:rPr>
          <w:rFonts w:ascii="宋体" w:hAnsi="宋体" w:cs="宋体"/>
          <w:kern w:val="0"/>
          <w:szCs w:val="21"/>
        </w:rPr>
      </w:pPr>
      <w:r>
        <w:rPr>
          <w:rFonts w:hint="eastAsia" w:ascii="宋体" w:hAnsi="宋体" w:cs="宋体"/>
          <w:kern w:val="0"/>
          <w:szCs w:val="21"/>
        </w:rPr>
        <w:t>联系人：XXX</w:t>
      </w:r>
    </w:p>
    <w:p>
      <w:pPr>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电话：0755-8284XXXX</w:t>
      </w:r>
      <w:r>
        <w:rPr>
          <w:rFonts w:ascii="宋体" w:hAnsi="宋体" w:cs="宋体"/>
          <w:kern w:val="0"/>
          <w:szCs w:val="21"/>
        </w:rPr>
        <w:t xml:space="preserve"> </w:t>
      </w:r>
    </w:p>
    <w:p>
      <w:pPr>
        <w:pStyle w:val="2"/>
        <w:spacing w:line="360" w:lineRule="auto"/>
        <w:ind w:left="0"/>
        <w:rPr>
          <w:rFonts w:ascii="宋体" w:hAnsi="宋体"/>
          <w:sz w:val="21"/>
          <w:szCs w:val="21"/>
        </w:rPr>
      </w:pPr>
      <w:r>
        <w:rPr>
          <w:rFonts w:hint="eastAsia" w:ascii="宋体" w:hAnsi="宋体" w:cs="宋体"/>
          <w:sz w:val="21"/>
          <w:szCs w:val="21"/>
        </w:rPr>
        <w:t>电子邮件：</w:t>
      </w:r>
    </w:p>
    <w:p>
      <w:pPr>
        <w:widowControl/>
        <w:snapToGrid w:val="0"/>
        <w:spacing w:line="360" w:lineRule="auto"/>
        <w:ind w:firstLine="560"/>
        <w:rPr>
          <w:rFonts w:ascii="宋体" w:hAnsi="宋体" w:cs="宋体"/>
          <w:kern w:val="0"/>
          <w:szCs w:val="21"/>
        </w:rPr>
      </w:pPr>
    </w:p>
    <w:p>
      <w:pPr>
        <w:widowControl/>
        <w:snapToGrid w:val="0"/>
        <w:spacing w:line="360" w:lineRule="auto"/>
        <w:rPr>
          <w:rFonts w:ascii="宋体" w:hAnsi="宋体" w:cs="宋体"/>
          <w:b/>
          <w:kern w:val="0"/>
          <w:szCs w:val="21"/>
        </w:rPr>
      </w:pPr>
      <w:r>
        <w:rPr>
          <w:rFonts w:hint="eastAsia" w:ascii="宋体" w:hAnsi="宋体" w:cs="宋体"/>
          <w:b/>
          <w:kern w:val="0"/>
          <w:szCs w:val="21"/>
        </w:rPr>
        <w:t>乙方：XXXX公司（简称“XXXX”）</w:t>
      </w:r>
    </w:p>
    <w:p>
      <w:pPr>
        <w:widowControl/>
        <w:snapToGrid w:val="0"/>
        <w:spacing w:line="360" w:lineRule="auto"/>
        <w:rPr>
          <w:rFonts w:ascii="宋体" w:hAnsi="宋体" w:cs="宋体"/>
          <w:kern w:val="0"/>
          <w:szCs w:val="21"/>
        </w:rPr>
      </w:pPr>
      <w:r>
        <w:rPr>
          <w:rFonts w:hint="eastAsia" w:ascii="宋体" w:hAnsi="宋体" w:cs="宋体"/>
          <w:kern w:val="0"/>
          <w:szCs w:val="21"/>
        </w:rPr>
        <w:t>法定代表人：XXX</w:t>
      </w:r>
    </w:p>
    <w:p>
      <w:pPr>
        <w:widowControl/>
        <w:snapToGrid w:val="0"/>
        <w:spacing w:line="360" w:lineRule="auto"/>
        <w:rPr>
          <w:rFonts w:ascii="宋体" w:hAnsi="宋体" w:cs="宋体"/>
          <w:kern w:val="0"/>
          <w:szCs w:val="21"/>
        </w:rPr>
      </w:pPr>
      <w:r>
        <w:rPr>
          <w:rFonts w:hint="eastAsia" w:ascii="宋体" w:hAnsi="宋体" w:cs="宋体"/>
          <w:kern w:val="0"/>
          <w:szCs w:val="21"/>
        </w:rPr>
        <w:t>地址：XXXXXXXXXXXX</w:t>
      </w:r>
    </w:p>
    <w:p>
      <w:pPr>
        <w:widowControl/>
        <w:snapToGrid w:val="0"/>
        <w:spacing w:line="360" w:lineRule="auto"/>
        <w:rPr>
          <w:rFonts w:ascii="宋体" w:hAnsi="宋体" w:cs="宋体"/>
          <w:kern w:val="0"/>
          <w:szCs w:val="21"/>
        </w:rPr>
      </w:pPr>
      <w:r>
        <w:rPr>
          <w:rFonts w:hint="eastAsia" w:ascii="宋体" w:hAnsi="宋体" w:cs="宋体"/>
          <w:kern w:val="0"/>
          <w:szCs w:val="21"/>
        </w:rPr>
        <w:t>联系人：XXX</w:t>
      </w:r>
      <w:r>
        <w:rPr>
          <w:rFonts w:ascii="宋体" w:hAnsi="宋体" w:cs="宋体"/>
          <w:kern w:val="0"/>
          <w:szCs w:val="21"/>
        </w:rPr>
        <w:t xml:space="preserve"> </w:t>
      </w:r>
      <w:r>
        <w:rPr>
          <w:rFonts w:hint="eastAsia" w:ascii="宋体" w:hAnsi="宋体" w:cs="宋体"/>
          <w:kern w:val="0"/>
          <w:szCs w:val="21"/>
        </w:rPr>
        <w:t xml:space="preserve">  </w:t>
      </w:r>
    </w:p>
    <w:p>
      <w:pPr>
        <w:widowControl/>
        <w:snapToGrid w:val="0"/>
        <w:spacing w:line="360" w:lineRule="auto"/>
        <w:rPr>
          <w:rFonts w:ascii="宋体" w:hAnsi="宋体" w:cs="宋体"/>
          <w:kern w:val="0"/>
          <w:szCs w:val="21"/>
        </w:rPr>
      </w:pPr>
      <w:r>
        <w:rPr>
          <w:rFonts w:hint="eastAsia" w:ascii="宋体" w:hAnsi="宋体" w:cs="宋体"/>
          <w:kern w:val="0"/>
          <w:szCs w:val="21"/>
        </w:rPr>
        <w:t>电话：0755-XXXXXX</w:t>
      </w:r>
    </w:p>
    <w:p>
      <w:pPr>
        <w:pStyle w:val="2"/>
        <w:spacing w:line="360" w:lineRule="auto"/>
        <w:ind w:left="0"/>
        <w:rPr>
          <w:rFonts w:ascii="宋体" w:hAnsi="宋体"/>
          <w:sz w:val="21"/>
          <w:szCs w:val="21"/>
        </w:rPr>
      </w:pPr>
      <w:r>
        <w:rPr>
          <w:rFonts w:hint="eastAsia" w:ascii="宋体" w:hAnsi="宋体" w:cs="宋体"/>
          <w:sz w:val="21"/>
          <w:szCs w:val="21"/>
        </w:rPr>
        <w:t>电子邮件：</w:t>
      </w:r>
    </w:p>
    <w:p>
      <w:pPr>
        <w:pStyle w:val="2"/>
        <w:spacing w:after="0" w:line="360" w:lineRule="auto"/>
        <w:ind w:left="0" w:firstLine="400" w:firstLineChars="200"/>
        <w:rPr>
          <w:rFonts w:ascii="宋体" w:hAnsi="宋体"/>
          <w:sz w:val="21"/>
          <w:szCs w:val="21"/>
        </w:rPr>
      </w:pPr>
    </w:p>
    <w:p>
      <w:pPr>
        <w:pStyle w:val="2"/>
        <w:spacing w:after="0" w:line="360" w:lineRule="auto"/>
        <w:ind w:left="0" w:firstLine="400" w:firstLineChars="200"/>
        <w:rPr>
          <w:rFonts w:ascii="宋体" w:hAnsi="宋体" w:cs="Arial"/>
          <w:sz w:val="21"/>
          <w:szCs w:val="21"/>
        </w:rPr>
      </w:pPr>
      <w:r>
        <w:rPr>
          <w:rFonts w:hint="eastAsia" w:ascii="宋体" w:hAnsi="宋体" w:cs="Arial"/>
          <w:sz w:val="21"/>
          <w:szCs w:val="21"/>
        </w:rPr>
        <w:t>依据《中华人民共和国民法典》及相关法律、法规的规定及行业规范，</w:t>
      </w:r>
      <w:r>
        <w:rPr>
          <w:rFonts w:hint="eastAsia" w:ascii="宋体" w:hAnsi="宋体" w:cs="仿宋"/>
          <w:sz w:val="21"/>
          <w:szCs w:val="21"/>
        </w:rPr>
        <w:t>甲、乙双方本着公平合理、平等互利、诚信自愿的原则，</w:t>
      </w:r>
      <w:r>
        <w:rPr>
          <w:rFonts w:hint="eastAsia" w:ascii="宋体" w:hAnsi="宋体" w:cs="Arial"/>
          <w:sz w:val="21"/>
          <w:szCs w:val="21"/>
        </w:rPr>
        <w:t>乙方受甲方委托为甲方提供</w:t>
      </w:r>
      <w:r>
        <w:rPr>
          <w:rFonts w:hint="eastAsia" w:ascii="宋体" w:hAnsi="宋体" w:cs="宋体"/>
          <w:sz w:val="21"/>
          <w:szCs w:val="21"/>
        </w:rPr>
        <w:t>XXXXXXXXXXXX</w:t>
      </w:r>
      <w:r>
        <w:rPr>
          <w:rFonts w:hint="eastAsia" w:ascii="宋体" w:hAnsi="宋体" w:cs="Arial"/>
          <w:sz w:val="21"/>
          <w:szCs w:val="21"/>
        </w:rPr>
        <w:t>服务，甲乙双方经协商一致，签订本合同，双方保证严格遵守和执行。</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服务内容及要求</w:t>
      </w:r>
    </w:p>
    <w:p>
      <w:pPr>
        <w:pStyle w:val="2"/>
        <w:numPr>
          <w:ilvl w:val="0"/>
          <w:numId w:val="20"/>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项目名称：</w:t>
      </w:r>
      <w:r>
        <w:rPr>
          <w:rFonts w:hint="eastAsia" w:ascii="宋体" w:hAnsi="宋体" w:cs="宋体"/>
          <w:sz w:val="21"/>
          <w:szCs w:val="21"/>
        </w:rPr>
        <w:t>XXXXXXXXXXXX</w:t>
      </w:r>
    </w:p>
    <w:p>
      <w:pPr>
        <w:pStyle w:val="2"/>
        <w:numPr>
          <w:ilvl w:val="0"/>
          <w:numId w:val="20"/>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项目实施地点：深圳会展中心</w:t>
      </w:r>
    </w:p>
    <w:p>
      <w:pPr>
        <w:pStyle w:val="2"/>
        <w:numPr>
          <w:ilvl w:val="0"/>
          <w:numId w:val="20"/>
        </w:numPr>
        <w:spacing w:after="0" w:line="360" w:lineRule="auto"/>
        <w:ind w:left="0" w:firstLine="400" w:firstLineChars="200"/>
        <w:rPr>
          <w:rFonts w:ascii="宋体" w:hAnsi="宋体" w:cs="仿宋"/>
          <w:sz w:val="21"/>
          <w:szCs w:val="21"/>
        </w:rPr>
      </w:pPr>
      <w:r>
        <w:rPr>
          <w:rFonts w:hint="eastAsia" w:ascii="宋体" w:hAnsi="宋体" w:cs="仿宋"/>
          <w:sz w:val="21"/>
          <w:szCs w:val="21"/>
        </w:rPr>
        <w:t>服务内容</w:t>
      </w:r>
    </w:p>
    <w:p>
      <w:pPr>
        <w:pStyle w:val="2"/>
        <w:numPr>
          <w:ilvl w:val="0"/>
          <w:numId w:val="21"/>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w:t>
      </w:r>
    </w:p>
    <w:p>
      <w:pPr>
        <w:pStyle w:val="2"/>
        <w:numPr>
          <w:ilvl w:val="0"/>
          <w:numId w:val="21"/>
        </w:numPr>
        <w:spacing w:after="0" w:line="360" w:lineRule="auto"/>
        <w:ind w:left="0" w:firstLine="400" w:firstLineChars="200"/>
        <w:rPr>
          <w:rFonts w:ascii="宋体" w:hAnsi="宋体" w:cs="宋体"/>
          <w:sz w:val="21"/>
          <w:szCs w:val="21"/>
        </w:rPr>
      </w:pPr>
      <w:r>
        <w:rPr>
          <w:rFonts w:hint="eastAsia" w:ascii="宋体" w:hAnsi="宋体" w:cs="宋体"/>
          <w:sz w:val="21"/>
          <w:szCs w:val="21"/>
        </w:rPr>
        <w:t>......</w:t>
      </w:r>
    </w:p>
    <w:p>
      <w:pPr>
        <w:pStyle w:val="2"/>
        <w:numPr>
          <w:ilvl w:val="0"/>
          <w:numId w:val="20"/>
        </w:numPr>
        <w:spacing w:after="0" w:line="360" w:lineRule="auto"/>
        <w:ind w:left="0" w:firstLine="400" w:firstLineChars="200"/>
        <w:rPr>
          <w:rFonts w:ascii="宋体" w:hAnsi="宋体" w:cs="仿宋"/>
          <w:sz w:val="21"/>
          <w:szCs w:val="21"/>
        </w:rPr>
      </w:pPr>
      <w:r>
        <w:rPr>
          <w:rFonts w:hint="eastAsia" w:ascii="宋体" w:hAnsi="宋体" w:cs="仿宋"/>
          <w:sz w:val="21"/>
          <w:szCs w:val="21"/>
        </w:rPr>
        <w:t>增值服务（如有）</w:t>
      </w:r>
    </w:p>
    <w:p>
      <w:pPr>
        <w:pStyle w:val="2"/>
        <w:numPr>
          <w:ilvl w:val="0"/>
          <w:numId w:val="22"/>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w:t>
      </w:r>
    </w:p>
    <w:p>
      <w:pPr>
        <w:pStyle w:val="2"/>
        <w:numPr>
          <w:ilvl w:val="0"/>
          <w:numId w:val="22"/>
        </w:numPr>
        <w:spacing w:after="0" w:line="360" w:lineRule="auto"/>
        <w:ind w:left="0" w:firstLine="400" w:firstLineChars="200"/>
        <w:rPr>
          <w:rFonts w:ascii="宋体" w:hAnsi="宋体" w:cs="仿宋"/>
          <w:sz w:val="21"/>
          <w:szCs w:val="21"/>
        </w:rPr>
      </w:pPr>
      <w:r>
        <w:rPr>
          <w:rFonts w:hint="eastAsia" w:ascii="宋体" w:hAnsi="宋体" w:cs="宋体"/>
          <w:sz w:val="21"/>
          <w:szCs w:val="21"/>
        </w:rPr>
        <w:t>......</w:t>
      </w:r>
    </w:p>
    <w:p>
      <w:pPr>
        <w:pStyle w:val="2"/>
        <w:numPr>
          <w:ilvl w:val="0"/>
          <w:numId w:val="20"/>
        </w:numPr>
        <w:spacing w:after="0" w:line="360" w:lineRule="auto"/>
        <w:ind w:left="0" w:firstLine="400" w:firstLineChars="200"/>
        <w:rPr>
          <w:rFonts w:ascii="宋体" w:hAnsi="宋体" w:cs="仿宋"/>
          <w:sz w:val="21"/>
          <w:szCs w:val="21"/>
        </w:rPr>
      </w:pPr>
      <w:r>
        <w:rPr>
          <w:rFonts w:hint="eastAsia" w:ascii="宋体" w:hAnsi="宋体" w:cs="仿宋"/>
          <w:sz w:val="21"/>
          <w:szCs w:val="21"/>
        </w:rPr>
        <w:t>服务要求</w:t>
      </w:r>
    </w:p>
    <w:p>
      <w:pPr>
        <w:pStyle w:val="2"/>
        <w:numPr>
          <w:ilvl w:val="0"/>
          <w:numId w:val="23"/>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w:t>
      </w:r>
    </w:p>
    <w:p>
      <w:pPr>
        <w:pStyle w:val="2"/>
        <w:numPr>
          <w:ilvl w:val="0"/>
          <w:numId w:val="23"/>
        </w:numPr>
        <w:spacing w:after="0" w:line="360" w:lineRule="auto"/>
        <w:ind w:left="0" w:firstLine="400" w:firstLineChars="200"/>
        <w:rPr>
          <w:rFonts w:ascii="宋体" w:hAnsi="宋体" w:cs="宋体"/>
          <w:sz w:val="21"/>
          <w:szCs w:val="21"/>
        </w:rPr>
      </w:pPr>
      <w:r>
        <w:rPr>
          <w:rFonts w:hint="eastAsia" w:ascii="宋体" w:hAnsi="宋体" w:cs="宋体"/>
          <w:sz w:val="21"/>
          <w:szCs w:val="21"/>
        </w:rPr>
        <w:t>......</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服务期限</w:t>
      </w:r>
    </w:p>
    <w:p>
      <w:pPr>
        <w:pStyle w:val="2"/>
        <w:spacing w:after="0" w:line="360" w:lineRule="auto"/>
        <w:ind w:left="0" w:firstLine="400" w:firstLineChars="200"/>
        <w:rPr>
          <w:rFonts w:ascii="宋体" w:hAnsi="宋体" w:cs="仿宋"/>
          <w:b/>
          <w:bCs/>
          <w:sz w:val="21"/>
          <w:szCs w:val="21"/>
        </w:rPr>
      </w:pPr>
      <w:r>
        <w:rPr>
          <w:rFonts w:hint="eastAsia" w:ascii="宋体" w:hAnsi="宋体" w:cs="仿宋"/>
          <w:sz w:val="21"/>
          <w:szCs w:val="21"/>
        </w:rPr>
        <w:t>本项目服务期限为XX年，从本合同签订生效之日起至XXXX年X月X日止。年度服务期满前两个月，乙方应主动向甲方申请对其本年度服务情况进行评审，经甲方综合考核评审服务达到优良（综合得分</w:t>
      </w:r>
      <w:r>
        <w:rPr>
          <w:rFonts w:ascii="宋体" w:hAnsi="宋体" w:cs="仿宋"/>
          <w:sz w:val="21"/>
          <w:szCs w:val="21"/>
        </w:rPr>
        <w:t>≥</w:t>
      </w:r>
      <w:r>
        <w:rPr>
          <w:rFonts w:hint="eastAsia" w:ascii="宋体" w:hAnsi="宋体" w:cs="仿宋"/>
          <w:sz w:val="21"/>
          <w:szCs w:val="21"/>
        </w:rPr>
        <w:t>80分），则执行下一年度服务合同。如综合考核评审服务未达到优良，甲方有权终止下一年度服务合同。综合考核评审细则详见附件《XXXX考核评审细则》。</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合同金额及付款要求</w:t>
      </w:r>
    </w:p>
    <w:p>
      <w:pPr>
        <w:pStyle w:val="22"/>
        <w:numPr>
          <w:ilvl w:val="1"/>
          <w:numId w:val="24"/>
        </w:numPr>
        <w:spacing w:line="360" w:lineRule="auto"/>
        <w:ind w:left="0" w:firstLine="420"/>
        <w:rPr>
          <w:rFonts w:ascii="宋体" w:hAnsi="宋体" w:eastAsia="宋体" w:cs="仿宋"/>
          <w:spacing w:val="-2"/>
          <w:szCs w:val="21"/>
        </w:rPr>
      </w:pPr>
      <w:r>
        <w:rPr>
          <w:rFonts w:hint="eastAsia" w:ascii="宋体" w:hAnsi="宋体" w:eastAsia="宋体" w:cs="仿宋"/>
          <w:szCs w:val="21"/>
        </w:rPr>
        <w:t>合同金额</w:t>
      </w:r>
    </w:p>
    <w:p>
      <w:pPr>
        <w:pStyle w:val="22"/>
        <w:numPr>
          <w:ilvl w:val="0"/>
          <w:numId w:val="25"/>
        </w:numPr>
        <w:spacing w:line="360" w:lineRule="auto"/>
        <w:rPr>
          <w:rFonts w:ascii="宋体" w:hAnsi="宋体" w:eastAsia="宋体" w:cs="仿宋"/>
          <w:spacing w:val="-2"/>
          <w:szCs w:val="21"/>
        </w:rPr>
      </w:pPr>
      <w:r>
        <w:rPr>
          <w:rFonts w:hint="eastAsia" w:ascii="宋体" w:hAnsi="宋体" w:eastAsia="宋体" w:cs="仿宋"/>
          <w:bCs/>
          <w:szCs w:val="21"/>
        </w:rPr>
        <w:t>本项</w:t>
      </w:r>
      <w:r>
        <w:rPr>
          <w:rFonts w:hint="eastAsia" w:ascii="宋体" w:hAnsi="宋体" w:eastAsia="宋体" w:cs="仿宋"/>
          <w:szCs w:val="21"/>
        </w:rPr>
        <w:t>目合同金额</w:t>
      </w:r>
      <w:r>
        <w:rPr>
          <w:rFonts w:hint="eastAsia" w:ascii="宋体" w:hAnsi="宋体" w:eastAsia="宋体" w:cs="仿宋"/>
          <w:bCs/>
          <w:szCs w:val="21"/>
        </w:rPr>
        <w:t>为¥XXX万元（</w:t>
      </w:r>
      <w:r>
        <w:rPr>
          <w:rFonts w:hint="eastAsia" w:ascii="宋体" w:hAnsi="宋体" w:eastAsia="宋体" w:cs="仿宋"/>
          <w:szCs w:val="21"/>
        </w:rPr>
        <w:t>大写人民币：</w:t>
      </w:r>
      <w:r>
        <w:rPr>
          <w:rFonts w:hint="eastAsia" w:ascii="宋体" w:hAnsi="宋体" w:eastAsia="宋体" w:cs="仿宋"/>
          <w:szCs w:val="21"/>
          <w:u w:val="single"/>
        </w:rPr>
        <w:t>XXXX元整</w:t>
      </w:r>
      <w:r>
        <w:rPr>
          <w:rFonts w:ascii="宋体" w:hAnsi="宋体" w:eastAsia="宋体" w:cs="仿宋"/>
          <w:szCs w:val="21"/>
          <w:u w:val="single"/>
        </w:rPr>
        <w:t xml:space="preserve"> </w:t>
      </w:r>
      <w:r>
        <w:rPr>
          <w:rFonts w:hint="eastAsia" w:ascii="宋体" w:hAnsi="宋体" w:eastAsia="宋体" w:cs="仿宋"/>
          <w:szCs w:val="21"/>
        </w:rPr>
        <w:t>），税率为X%</w:t>
      </w:r>
      <w:r>
        <w:rPr>
          <w:rFonts w:hint="eastAsia" w:ascii="宋体" w:hAnsi="宋体" w:eastAsia="宋体" w:cs="仿宋"/>
          <w:spacing w:val="-2"/>
          <w:szCs w:val="21"/>
        </w:rPr>
        <w:t>。</w:t>
      </w:r>
    </w:p>
    <w:p>
      <w:pPr>
        <w:pStyle w:val="22"/>
        <w:numPr>
          <w:ilvl w:val="0"/>
          <w:numId w:val="25"/>
        </w:numPr>
        <w:spacing w:line="360" w:lineRule="auto"/>
        <w:rPr>
          <w:rFonts w:ascii="宋体" w:hAnsi="宋体" w:eastAsia="宋体" w:cs="仿宋"/>
          <w:spacing w:val="-2"/>
          <w:szCs w:val="21"/>
        </w:rPr>
      </w:pPr>
      <w:r>
        <w:rPr>
          <w:rFonts w:hint="eastAsia" w:ascii="宋体" w:hAnsi="宋体" w:eastAsia="宋体" w:cs="仿宋"/>
          <w:bCs/>
          <w:szCs w:val="21"/>
        </w:rPr>
        <w:t>以上金额已经包含项目费用开具增值税专用发票所产生的税费及乙方完成本项目服务所发生的</w:t>
      </w:r>
      <w:r>
        <w:rPr>
          <w:rFonts w:hint="eastAsia" w:ascii="宋体" w:hAnsi="宋体" w:eastAsia="宋体" w:cs="仿宋"/>
          <w:szCs w:val="21"/>
        </w:rPr>
        <w:t>全部费用。</w:t>
      </w:r>
    </w:p>
    <w:p>
      <w:pPr>
        <w:pStyle w:val="22"/>
        <w:numPr>
          <w:ilvl w:val="1"/>
          <w:numId w:val="24"/>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付款要求</w:t>
      </w:r>
    </w:p>
    <w:p>
      <w:pPr>
        <w:pStyle w:val="22"/>
        <w:numPr>
          <w:ilvl w:val="0"/>
          <w:numId w:val="26"/>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 xml:space="preserve"> 合同签订，乙方完成XXX后，15个工作日内甲方向乙方支付合同金额XX％款项，即人民币XXXX元（大写：XXXX元整）；</w:t>
      </w:r>
    </w:p>
    <w:p>
      <w:pPr>
        <w:pStyle w:val="22"/>
        <w:numPr>
          <w:ilvl w:val="0"/>
          <w:numId w:val="26"/>
        </w:numPr>
        <w:spacing w:line="360" w:lineRule="auto"/>
        <w:ind w:left="0" w:firstLine="412"/>
        <w:rPr>
          <w:rFonts w:ascii="宋体" w:hAnsi="宋体" w:eastAsia="宋体" w:cs="仿宋"/>
          <w:szCs w:val="21"/>
        </w:rPr>
      </w:pPr>
      <w:r>
        <w:rPr>
          <w:rFonts w:hint="eastAsia" w:ascii="宋体" w:hAnsi="宋体" w:eastAsia="宋体" w:cs="仿宋"/>
          <w:spacing w:val="-2"/>
          <w:szCs w:val="21"/>
        </w:rPr>
        <w:t xml:space="preserve"> 完成本项目所有服务内容并经甲方验收合格且完成违约责任清算后，甲方支付本项目剩余款项。</w:t>
      </w:r>
    </w:p>
    <w:p>
      <w:pPr>
        <w:pStyle w:val="22"/>
        <w:numPr>
          <w:ilvl w:val="0"/>
          <w:numId w:val="26"/>
        </w:numPr>
        <w:spacing w:line="360" w:lineRule="auto"/>
        <w:ind w:left="0" w:firstLine="420"/>
        <w:rPr>
          <w:rFonts w:ascii="宋体" w:hAnsi="宋体" w:eastAsia="宋体" w:cs="仿宋"/>
          <w:szCs w:val="21"/>
        </w:rPr>
      </w:pPr>
      <w:r>
        <w:rPr>
          <w:rFonts w:hint="eastAsia" w:ascii="宋体" w:hAnsi="宋体" w:eastAsia="宋体" w:cs="仿宋"/>
          <w:szCs w:val="21"/>
        </w:rPr>
        <w:t xml:space="preserve"> 甲方办理合同款项支付前，乙方需先向甲方提供全额（等额）真实、合法有效的增值税专用发票。</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验收标准</w:t>
      </w:r>
    </w:p>
    <w:p>
      <w:pPr>
        <w:pStyle w:val="2"/>
        <w:numPr>
          <w:ilvl w:val="0"/>
          <w:numId w:val="27"/>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w:t>
      </w:r>
    </w:p>
    <w:p>
      <w:pPr>
        <w:pStyle w:val="2"/>
        <w:numPr>
          <w:ilvl w:val="0"/>
          <w:numId w:val="27"/>
        </w:numPr>
        <w:spacing w:after="0" w:line="360" w:lineRule="auto"/>
        <w:ind w:left="0" w:firstLine="402" w:firstLineChars="200"/>
        <w:rPr>
          <w:rFonts w:ascii="宋体" w:hAnsi="宋体" w:cs="宋体"/>
          <w:sz w:val="21"/>
          <w:szCs w:val="21"/>
        </w:rPr>
      </w:pPr>
      <w:r>
        <w:rPr>
          <w:rFonts w:hint="eastAsia" w:ascii="宋体" w:hAnsi="宋体" w:cs="仿宋"/>
          <w:b/>
          <w:bCs/>
          <w:sz w:val="21"/>
          <w:szCs w:val="21"/>
        </w:rPr>
        <w:t>.</w:t>
      </w:r>
      <w:r>
        <w:rPr>
          <w:rFonts w:hint="eastAsia" w:ascii="宋体" w:hAnsi="宋体" w:cs="宋体"/>
          <w:sz w:val="21"/>
          <w:szCs w:val="21"/>
        </w:rPr>
        <w:t>.....</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双方权利与义务</w:t>
      </w:r>
    </w:p>
    <w:p>
      <w:pPr>
        <w:pStyle w:val="2"/>
        <w:numPr>
          <w:ilvl w:val="0"/>
          <w:numId w:val="28"/>
        </w:numPr>
        <w:spacing w:after="0" w:line="360" w:lineRule="auto"/>
        <w:ind w:left="0" w:firstLine="400" w:firstLineChars="200"/>
        <w:rPr>
          <w:rFonts w:ascii="宋体" w:hAnsi="宋体" w:cs="仿宋"/>
          <w:sz w:val="21"/>
          <w:szCs w:val="21"/>
        </w:rPr>
      </w:pPr>
      <w:r>
        <w:rPr>
          <w:rFonts w:hint="eastAsia" w:ascii="宋体" w:hAnsi="宋体" w:cs="仿宋"/>
          <w:sz w:val="21"/>
          <w:szCs w:val="21"/>
        </w:rPr>
        <w:t>甲方权利与义务</w:t>
      </w:r>
    </w:p>
    <w:p>
      <w:pPr>
        <w:pStyle w:val="2"/>
        <w:numPr>
          <w:ilvl w:val="0"/>
          <w:numId w:val="29"/>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XXXXXXXXXXXXXXXXXXXXXXXXXX</w:t>
      </w:r>
    </w:p>
    <w:p>
      <w:pPr>
        <w:pStyle w:val="2"/>
        <w:numPr>
          <w:ilvl w:val="0"/>
          <w:numId w:val="29"/>
        </w:numPr>
        <w:spacing w:after="0" w:line="360" w:lineRule="auto"/>
        <w:ind w:left="0" w:firstLine="400" w:firstLineChars="200"/>
        <w:rPr>
          <w:rFonts w:ascii="宋体" w:hAnsi="宋体" w:cs="宋体"/>
          <w:sz w:val="21"/>
          <w:szCs w:val="21"/>
        </w:rPr>
      </w:pPr>
      <w:r>
        <w:rPr>
          <w:rFonts w:hint="eastAsia" w:ascii="宋体" w:hAnsi="宋体" w:cs="宋体"/>
          <w:sz w:val="21"/>
          <w:szCs w:val="21"/>
        </w:rPr>
        <w:t>......</w:t>
      </w:r>
    </w:p>
    <w:p>
      <w:pPr>
        <w:pStyle w:val="2"/>
        <w:numPr>
          <w:ilvl w:val="0"/>
          <w:numId w:val="28"/>
        </w:numPr>
        <w:spacing w:after="0" w:line="360" w:lineRule="auto"/>
        <w:ind w:left="0" w:firstLine="400" w:firstLineChars="200"/>
        <w:rPr>
          <w:rFonts w:ascii="宋体" w:hAnsi="宋体" w:cs="仿宋"/>
          <w:sz w:val="21"/>
          <w:szCs w:val="21"/>
        </w:rPr>
      </w:pPr>
      <w:r>
        <w:rPr>
          <w:rFonts w:hint="eastAsia" w:ascii="宋体" w:hAnsi="宋体" w:cs="仿宋"/>
          <w:sz w:val="21"/>
          <w:szCs w:val="21"/>
        </w:rPr>
        <w:t>乙方权利与义务</w:t>
      </w:r>
    </w:p>
    <w:p>
      <w:pPr>
        <w:pStyle w:val="2"/>
        <w:numPr>
          <w:ilvl w:val="0"/>
          <w:numId w:val="30"/>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XXXXXXXXXXXXXXXXXXXXXXXXXX</w:t>
      </w:r>
    </w:p>
    <w:p>
      <w:pPr>
        <w:pStyle w:val="2"/>
        <w:numPr>
          <w:ilvl w:val="0"/>
          <w:numId w:val="30"/>
        </w:numPr>
        <w:spacing w:after="0" w:line="360" w:lineRule="auto"/>
        <w:ind w:left="0" w:firstLine="400" w:firstLineChars="200"/>
        <w:rPr>
          <w:rFonts w:ascii="宋体" w:hAnsi="宋体" w:cs="仿宋"/>
          <w:sz w:val="21"/>
          <w:szCs w:val="21"/>
        </w:rPr>
      </w:pPr>
      <w:r>
        <w:rPr>
          <w:rFonts w:hint="eastAsia" w:ascii="宋体" w:hAnsi="宋体" w:cs="宋体"/>
          <w:sz w:val="21"/>
          <w:szCs w:val="21"/>
        </w:rPr>
        <w:t>......</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处罚标准（如有）</w:t>
      </w:r>
    </w:p>
    <w:p>
      <w:pPr>
        <w:pStyle w:val="2"/>
        <w:numPr>
          <w:ilvl w:val="0"/>
          <w:numId w:val="31"/>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XXXXXXXXXXXXXXXXXXXXXXXXXX</w:t>
      </w:r>
    </w:p>
    <w:p>
      <w:pPr>
        <w:pStyle w:val="2"/>
        <w:numPr>
          <w:ilvl w:val="0"/>
          <w:numId w:val="31"/>
        </w:numPr>
        <w:spacing w:after="0" w:line="360" w:lineRule="auto"/>
        <w:ind w:left="0" w:firstLine="400" w:firstLineChars="200"/>
        <w:rPr>
          <w:rFonts w:ascii="宋体" w:hAnsi="宋体" w:cs="仿宋"/>
          <w:b/>
          <w:bCs/>
          <w:sz w:val="21"/>
          <w:szCs w:val="21"/>
        </w:rPr>
      </w:pPr>
      <w:r>
        <w:rPr>
          <w:rFonts w:hint="eastAsia" w:ascii="宋体" w:hAnsi="宋体" w:cs="宋体"/>
          <w:sz w:val="21"/>
          <w:szCs w:val="21"/>
        </w:rPr>
        <w:t>......</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知识产权归属（如有）</w:t>
      </w:r>
    </w:p>
    <w:p>
      <w:pPr>
        <w:pStyle w:val="2"/>
        <w:numPr>
          <w:ilvl w:val="0"/>
          <w:numId w:val="32"/>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XXXXXXXXXXXXXXXXXXXXXXXXXX</w:t>
      </w:r>
    </w:p>
    <w:p>
      <w:pPr>
        <w:pStyle w:val="2"/>
        <w:numPr>
          <w:ilvl w:val="0"/>
          <w:numId w:val="32"/>
        </w:numPr>
        <w:spacing w:after="0" w:line="360" w:lineRule="auto"/>
        <w:ind w:left="0" w:firstLine="400" w:firstLineChars="200"/>
        <w:rPr>
          <w:rFonts w:ascii="宋体" w:hAnsi="宋体" w:cs="仿宋"/>
          <w:b/>
          <w:bCs/>
          <w:sz w:val="21"/>
          <w:szCs w:val="21"/>
        </w:rPr>
      </w:pPr>
      <w:r>
        <w:rPr>
          <w:rFonts w:hint="eastAsia" w:ascii="宋体" w:hAnsi="宋体" w:cs="宋体"/>
          <w:sz w:val="21"/>
          <w:szCs w:val="21"/>
        </w:rPr>
        <w:t>......</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违约责任</w:t>
      </w:r>
    </w:p>
    <w:p>
      <w:pPr>
        <w:numPr>
          <w:ilvl w:val="0"/>
          <w:numId w:val="33"/>
        </w:numPr>
        <w:snapToGrid w:val="0"/>
        <w:spacing w:line="360" w:lineRule="auto"/>
        <w:ind w:firstLine="420" w:firstLineChars="200"/>
        <w:rPr>
          <w:rFonts w:ascii="宋体" w:hAnsi="宋体" w:cs="仿宋"/>
          <w:szCs w:val="21"/>
        </w:rPr>
      </w:pPr>
      <w:r>
        <w:rPr>
          <w:rFonts w:hint="eastAsia" w:ascii="宋体" w:hAnsi="宋体" w:cs="仿宋"/>
          <w:szCs w:val="21"/>
        </w:rPr>
        <w:t>甲乙双方任何一方违反约定事项造成对方实际损失的，应在15天内向对方支付年度合同金额XX%的赔偿金和违约金。</w:t>
      </w:r>
    </w:p>
    <w:p>
      <w:pPr>
        <w:numPr>
          <w:ilvl w:val="0"/>
          <w:numId w:val="33"/>
        </w:numPr>
        <w:snapToGrid w:val="0"/>
        <w:spacing w:line="360" w:lineRule="auto"/>
        <w:ind w:firstLine="420" w:firstLineChars="200"/>
        <w:rPr>
          <w:rFonts w:ascii="宋体" w:hAnsi="宋体" w:cs="仿宋"/>
          <w:szCs w:val="21"/>
        </w:rPr>
      </w:pPr>
      <w:r>
        <w:rPr>
          <w:rFonts w:hint="eastAsia" w:ascii="宋体" w:hAnsi="宋体" w:cs="仿宋"/>
          <w:szCs w:val="21"/>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合同变更、终止</w:t>
      </w:r>
    </w:p>
    <w:p>
      <w:pPr>
        <w:numPr>
          <w:ilvl w:val="0"/>
          <w:numId w:val="34"/>
        </w:numPr>
        <w:snapToGrid w:val="0"/>
        <w:spacing w:line="360" w:lineRule="auto"/>
        <w:ind w:firstLineChars="200"/>
        <w:rPr>
          <w:rFonts w:ascii="宋体" w:hAnsi="宋体" w:cs="仿宋"/>
          <w:szCs w:val="21"/>
        </w:rPr>
      </w:pPr>
      <w:r>
        <w:rPr>
          <w:rFonts w:hint="eastAsia" w:ascii="宋体" w:hAnsi="宋体" w:cs="仿宋"/>
          <w:szCs w:val="21"/>
        </w:rPr>
        <w:t>如果出现不可预见的情形，影响本合同项下相关服务的执行时，甲乙双方均可要求变更约定事项，但应提前通知对方，并由双方协商解决。</w:t>
      </w:r>
    </w:p>
    <w:p>
      <w:pPr>
        <w:numPr>
          <w:ilvl w:val="0"/>
          <w:numId w:val="34"/>
        </w:numPr>
        <w:snapToGrid w:val="0"/>
        <w:spacing w:line="360" w:lineRule="auto"/>
        <w:ind w:firstLineChars="200"/>
        <w:rPr>
          <w:rFonts w:ascii="宋体" w:hAnsi="宋体" w:cs="仿宋"/>
          <w:szCs w:val="21"/>
        </w:rPr>
      </w:pPr>
      <w:r>
        <w:rPr>
          <w:rFonts w:hint="eastAsia" w:ascii="宋体" w:hAnsi="宋体" w:cs="仿宋"/>
          <w:szCs w:val="21"/>
        </w:rPr>
        <w:t>本合同签订后，双方应当按约履行，不得无故终止。如遇法定情形或特殊原因确需终止的,提出终止的一方应提前书面通知另一方。</w:t>
      </w:r>
    </w:p>
    <w:p>
      <w:pPr>
        <w:numPr>
          <w:ilvl w:val="0"/>
          <w:numId w:val="34"/>
        </w:numPr>
        <w:snapToGrid w:val="0"/>
        <w:spacing w:line="360" w:lineRule="auto"/>
        <w:ind w:firstLineChars="200"/>
        <w:rPr>
          <w:rFonts w:ascii="宋体" w:hAnsi="宋体" w:cs="仿宋"/>
          <w:szCs w:val="21"/>
        </w:rPr>
      </w:pPr>
      <w:r>
        <w:rPr>
          <w:rFonts w:hint="eastAsia" w:ascii="宋体" w:hAnsi="宋体" w:cs="仿宋"/>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00" w:firstLineChars="200"/>
        <w:rPr>
          <w:rFonts w:ascii="宋体" w:hAnsi="宋体"/>
          <w:sz w:val="21"/>
          <w:szCs w:val="21"/>
        </w:rPr>
      </w:pPr>
      <w:r>
        <w:rPr>
          <w:rFonts w:hint="eastAsia" w:ascii="宋体" w:hAnsi="宋体" w:cs="仿宋"/>
          <w:sz w:val="21"/>
          <w:szCs w:val="21"/>
        </w:rPr>
        <w:t>（四）在乙方因自身原因单方终止本合同的情况下，乙方须退回甲方已经支付的本合同项下乙方未完成和未开始实施项相关费用。</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保密条款</w:t>
      </w:r>
    </w:p>
    <w:p>
      <w:pPr>
        <w:pStyle w:val="2"/>
        <w:spacing w:after="0" w:line="360" w:lineRule="auto"/>
        <w:ind w:left="0" w:firstLine="400" w:firstLineChars="200"/>
        <w:rPr>
          <w:rFonts w:ascii="宋体" w:hAnsi="宋体" w:cs="仿宋"/>
          <w:sz w:val="21"/>
          <w:szCs w:val="21"/>
        </w:rPr>
      </w:pPr>
      <w:r>
        <w:rPr>
          <w:rFonts w:hint="eastAsia" w:ascii="宋体" w:hAnsi="宋体" w:cs="仿宋"/>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不可抗力</w:t>
      </w:r>
    </w:p>
    <w:p>
      <w:pPr>
        <w:pStyle w:val="22"/>
        <w:numPr>
          <w:ilvl w:val="0"/>
          <w:numId w:val="35"/>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pPr>
        <w:pStyle w:val="22"/>
        <w:numPr>
          <w:ilvl w:val="0"/>
          <w:numId w:val="35"/>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争议解决</w:t>
      </w:r>
    </w:p>
    <w:p>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其他条款</w:t>
      </w:r>
    </w:p>
    <w:p>
      <w:pPr>
        <w:numPr>
          <w:ilvl w:val="0"/>
          <w:numId w:val="36"/>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pPr>
        <w:numPr>
          <w:ilvl w:val="0"/>
          <w:numId w:val="36"/>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pPr>
        <w:pStyle w:val="34"/>
        <w:numPr>
          <w:ilvl w:val="0"/>
          <w:numId w:val="36"/>
        </w:numPr>
        <w:spacing w:line="360" w:lineRule="auto"/>
        <w:rPr>
          <w:rFonts w:ascii="宋体" w:hAnsi="宋体" w:eastAsia="宋体" w:cs="仿宋"/>
          <w:szCs w:val="21"/>
        </w:rPr>
      </w:pPr>
      <w:bookmarkStart w:id="59"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59"/>
    </w:p>
    <w:p>
      <w:pPr>
        <w:numPr>
          <w:ilvl w:val="0"/>
          <w:numId w:val="36"/>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numPr>
          <w:ilvl w:val="0"/>
          <w:numId w:val="36"/>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pPr>
        <w:pStyle w:val="2"/>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（以下无正文，为合同签章页）</w:t>
      </w:r>
      <w:r>
        <w:rPr>
          <w:rFonts w:hint="eastAsia" w:ascii="宋体" w:hAnsi="宋体" w:cs="仿宋"/>
          <w:b/>
          <w:bCs/>
          <w:sz w:val="21"/>
          <w:szCs w:val="21"/>
        </w:rPr>
        <w:t xml:space="preserve">    </w:t>
      </w:r>
    </w:p>
    <w:p>
      <w:pPr>
        <w:pStyle w:val="2"/>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r>
        <w:rPr>
          <w:rFonts w:hint="eastAsia" w:ascii="宋体" w:hAnsi="宋体" w:cs="仿宋"/>
          <w:szCs w:val="21"/>
          <w:u w:val="single"/>
        </w:rPr>
        <w:t xml:space="preserve">                  </w:t>
      </w:r>
      <w:r>
        <w:rPr>
          <w:rFonts w:hint="eastAsia" w:ascii="宋体" w:hAnsi="宋体" w:cs="仿宋"/>
          <w:szCs w:val="21"/>
        </w:rPr>
        <w:t xml:space="preserve">   </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pPr>
        <w:spacing w:line="360" w:lineRule="auto"/>
        <w:ind w:firstLine="562"/>
        <w:rPr>
          <w:rFonts w:ascii="宋体" w:hAnsi="宋体" w:cs="仿宋"/>
          <w:b/>
          <w:bCs/>
          <w:szCs w:val="21"/>
        </w:rPr>
      </w:pPr>
      <w:r>
        <w:rPr>
          <w:rFonts w:hint="eastAsia" w:ascii="宋体" w:hAnsi="宋体" w:cs="仿宋"/>
          <w:b/>
          <w:bCs/>
          <w:szCs w:val="21"/>
        </w:rPr>
        <w:t xml:space="preserve">日期：      年   月   日       </w:t>
      </w:r>
      <w:r>
        <w:rPr>
          <w:rFonts w:ascii="宋体" w:hAnsi="宋体" w:cs="仿宋"/>
          <w:b/>
          <w:bCs/>
          <w:szCs w:val="21"/>
        </w:rPr>
        <w:br w:type="page"/>
      </w:r>
    </w:p>
    <w:p>
      <w:pPr>
        <w:spacing w:beforeLines="100" w:afterLines="100" w:line="360" w:lineRule="auto"/>
        <w:jc w:val="center"/>
        <w:outlineLvl w:val="0"/>
        <w:rPr>
          <w:rFonts w:ascii="仿宋" w:hAnsi="仿宋" w:eastAsia="仿宋"/>
          <w:sz w:val="32"/>
          <w:szCs w:val="32"/>
        </w:rPr>
      </w:pPr>
      <w:bookmarkStart w:id="60" w:name="_Toc116550359"/>
      <w:r>
        <w:rPr>
          <w:rFonts w:hint="eastAsia"/>
          <w:b/>
          <w:sz w:val="32"/>
          <w:szCs w:val="32"/>
        </w:rPr>
        <w:t>第五部分：参考附件</w:t>
      </w:r>
      <w:bookmarkEnd w:id="60"/>
    </w:p>
    <w:p>
      <w:pPr>
        <w:spacing w:line="0" w:lineRule="atLeast"/>
        <w:outlineLvl w:val="1"/>
        <w:rPr>
          <w:rFonts w:ascii="宋体" w:hAnsi="宋体"/>
        </w:rPr>
      </w:pPr>
      <w:bookmarkStart w:id="61" w:name="_Toc116550360"/>
      <w:r>
        <w:rPr>
          <w:rFonts w:hint="eastAsia" w:ascii="宋体" w:hAnsi="宋体"/>
          <w:szCs w:val="21"/>
        </w:rPr>
        <w:t>附件1：</w:t>
      </w:r>
      <w:r>
        <w:rPr>
          <w:rFonts w:hint="eastAsia" w:ascii="宋体" w:hAnsi="宋体"/>
        </w:rPr>
        <w:t>报名回函</w:t>
      </w:r>
      <w:bookmarkEnd w:id="61"/>
    </w:p>
    <w:p>
      <w:pPr>
        <w:pStyle w:val="11"/>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rFonts w:ascii="宋体" w:hAnsi="宋体"/>
          <w:b/>
          <w:sz w:val="21"/>
          <w:szCs w:val="21"/>
        </w:rPr>
      </w:pPr>
    </w:p>
    <w:p>
      <w:pPr>
        <w:pStyle w:val="6"/>
        <w:rPr>
          <w:rFonts w:ascii="宋体" w:hAnsi="宋体"/>
          <w:b/>
          <w:sz w:val="21"/>
          <w:szCs w:val="21"/>
        </w:rPr>
      </w:pPr>
      <w:r>
        <w:rPr>
          <w:rFonts w:hint="eastAsia" w:ascii="宋体" w:hAnsi="宋体"/>
          <w:b/>
          <w:sz w:val="21"/>
          <w:szCs w:val="21"/>
        </w:rPr>
        <w:t>注：1.本件电子档及盖章后的扫描件按要求上传至指定地址；</w:t>
      </w:r>
    </w:p>
    <w:p>
      <w:pPr>
        <w:pStyle w:val="6"/>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6"/>
        <w:rPr>
          <w:b/>
          <w:sz w:val="21"/>
          <w:szCs w:val="21"/>
        </w:rPr>
      </w:pPr>
    </w:p>
    <w:p>
      <w:pPr>
        <w:widowControl/>
        <w:jc w:val="left"/>
        <w:rPr>
          <w:b/>
          <w:szCs w:val="21"/>
        </w:rPr>
      </w:pPr>
      <w:r>
        <w:rPr>
          <w:b/>
          <w:szCs w:val="21"/>
        </w:rPr>
        <w:br w:type="page"/>
      </w:r>
    </w:p>
    <w:p>
      <w:pPr>
        <w:pStyle w:val="6"/>
        <w:rPr>
          <w:b/>
          <w:sz w:val="21"/>
          <w:szCs w:val="21"/>
        </w:rPr>
      </w:pPr>
    </w:p>
    <w:p>
      <w:pPr>
        <w:spacing w:line="0" w:lineRule="atLeast"/>
        <w:outlineLvl w:val="1"/>
        <w:rPr>
          <w:rFonts w:ascii="宋体" w:hAnsi="宋体"/>
          <w:szCs w:val="21"/>
        </w:rPr>
      </w:pPr>
      <w:bookmarkStart w:id="62" w:name="_Toc116550361"/>
      <w:r>
        <w:rPr>
          <w:rFonts w:hint="eastAsia" w:ascii="宋体" w:hAnsi="宋体"/>
          <w:szCs w:val="21"/>
        </w:rPr>
        <w:t>附件2：投标函</w:t>
      </w:r>
      <w:bookmarkEnd w:id="62"/>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3" w:name="_Toc116550362"/>
      <w:r>
        <w:rPr>
          <w:rFonts w:hint="eastAsia" w:ascii="宋体" w:hAnsi="宋体"/>
          <w:szCs w:val="21"/>
        </w:rPr>
        <w:t>附件3：投标一览表</w:t>
      </w:r>
      <w:bookmarkEnd w:id="63"/>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4"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5"/>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未税总金额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4"/>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5" w:name="_Toc116550363"/>
      <w:r>
        <w:rPr>
          <w:rFonts w:hint="eastAsia" w:ascii="宋体" w:hAnsi="宋体"/>
          <w:szCs w:val="21"/>
        </w:rPr>
        <w:t>附件4：考察证明</w:t>
      </w:r>
      <w:bookmarkEnd w:id="65"/>
      <w:r>
        <w:rPr>
          <w:rFonts w:hint="eastAsia" w:ascii="宋体" w:hAnsi="宋体"/>
          <w:szCs w:val="21"/>
        </w:rPr>
        <w:t>（本项目不适用）</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6"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7" w:name="_Hlk116548155"/>
      <w:r>
        <w:rPr>
          <w:rFonts w:hint="eastAsia" w:ascii="仿宋" w:hAnsi="仿宋" w:eastAsia="仿宋"/>
          <w:sz w:val="28"/>
          <w:szCs w:val="28"/>
        </w:rPr>
        <w:t>你单位已于</w:t>
      </w:r>
      <w:r>
        <w:rPr>
          <w:rFonts w:hint="eastAsia" w:ascii="仿宋" w:hAnsi="仿宋" w:eastAsia="仿宋"/>
          <w:b/>
          <w:sz w:val="28"/>
          <w:szCs w:val="28"/>
          <w:u w:val="single"/>
        </w:rPr>
        <w:t xml:space="preserve">      </w:t>
      </w:r>
      <w:r>
        <w:rPr>
          <w:rFonts w:hint="eastAsia" w:ascii="仿宋" w:hAnsi="仿宋" w:eastAsia="仿宋"/>
          <w:bCs/>
          <w:sz w:val="28"/>
          <w:szCs w:val="28"/>
        </w:rPr>
        <w:t>年</w:t>
      </w:r>
      <w:r>
        <w:rPr>
          <w:rFonts w:hint="eastAsia" w:ascii="仿宋" w:hAnsi="仿宋" w:eastAsia="仿宋"/>
          <w:bCs/>
          <w:sz w:val="28"/>
          <w:szCs w:val="28"/>
          <w:u w:val="single"/>
        </w:rPr>
        <w:t xml:space="preserve">  </w:t>
      </w:r>
      <w:r>
        <w:rPr>
          <w:rFonts w:hint="eastAsia" w:ascii="仿宋" w:hAnsi="仿宋" w:eastAsia="仿宋"/>
          <w:bCs/>
          <w:sz w:val="28"/>
          <w:szCs w:val="28"/>
        </w:rPr>
        <w:t>月</w:t>
      </w:r>
      <w:r>
        <w:rPr>
          <w:rFonts w:hint="eastAsia" w:ascii="仿宋" w:hAnsi="仿宋" w:eastAsia="仿宋"/>
          <w:bCs/>
          <w:sz w:val="28"/>
          <w:szCs w:val="28"/>
          <w:u w:val="single"/>
        </w:rPr>
        <w:t xml:space="preserve">  </w:t>
      </w:r>
      <w:r>
        <w:rPr>
          <w:rFonts w:hint="eastAsia" w:ascii="仿宋" w:hAnsi="仿宋" w:eastAsia="仿宋"/>
          <w:bCs/>
          <w:sz w:val="28"/>
          <w:szCs w:val="28"/>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rPr>
        <w:t>关于</w:t>
      </w:r>
      <w:r>
        <w:rPr>
          <w:rFonts w:hint="eastAsia" w:ascii="仿宋" w:hAnsi="仿宋" w:eastAsia="仿宋"/>
          <w:b/>
          <w:sz w:val="28"/>
          <w:szCs w:val="28"/>
          <w:u w:val="single"/>
        </w:rPr>
        <w:t xml:space="preserve">                           项目</w:t>
      </w:r>
      <w:r>
        <w:rPr>
          <w:rFonts w:hint="eastAsia" w:ascii="仿宋" w:hAnsi="仿宋" w:eastAsia="仿宋"/>
          <w:b/>
          <w:sz w:val="28"/>
          <w:szCs w:val="28"/>
        </w:rPr>
        <w:t>的现场考察</w:t>
      </w:r>
      <w:r>
        <w:rPr>
          <w:rFonts w:hint="eastAsia" w:ascii="仿宋" w:hAnsi="仿宋" w:eastAsia="仿宋"/>
          <w:sz w:val="28"/>
          <w:szCs w:val="28"/>
        </w:rPr>
        <w:t>，详细听取了招标人的讲解和要求，已经知晓招标人本次项目的所有内容以及技术要求等。</w:t>
      </w:r>
    </w:p>
    <w:bookmarkEnd w:id="67"/>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6"/>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8" w:name="_Toc116550364"/>
      <w:r>
        <w:rPr>
          <w:rFonts w:hint="eastAsia" w:ascii="宋体" w:hAnsi="宋体"/>
          <w:szCs w:val="21"/>
        </w:rPr>
        <w:t>附件5：技术服务响应/偏离表</w:t>
      </w:r>
      <w:bookmarkEnd w:id="68"/>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9" w:name="_Toc211248418"/>
      <w:r>
        <w:rPr>
          <w:rFonts w:hint="eastAsia" w:ascii="方正小标宋_GBK" w:hAnsi="方正小标宋_GBK" w:eastAsia="方正小标宋_GBK"/>
          <w:b/>
          <w:sz w:val="32"/>
          <w:szCs w:val="32"/>
        </w:rPr>
        <w:t>技术服务响应/偏离表</w:t>
      </w:r>
      <w:bookmarkEnd w:id="69"/>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4"/>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0" w:name="_Hlk127434997"/>
      <w:bookmarkStart w:id="71" w:name="_Toc211243320"/>
      <w:r>
        <w:rPr>
          <w:rFonts w:hint="eastAsia" w:ascii="仿宋" w:hAnsi="仿宋" w:eastAsia="仿宋"/>
          <w:sz w:val="30"/>
          <w:szCs w:val="30"/>
        </w:rPr>
        <w:t>法定代表人或其授权委托人（签字或盖章）：</w:t>
      </w:r>
      <w:bookmarkEnd w:id="70"/>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1"/>
      <w:bookmarkStart w:id="72" w:name="_Toc236803114"/>
      <w:bookmarkStart w:id="73" w:name="_Toc246480945"/>
      <w:r>
        <w:rPr>
          <w:rFonts w:ascii="仿宋" w:hAnsi="仿宋" w:eastAsia="仿宋"/>
          <w:sz w:val="28"/>
          <w:szCs w:val="28"/>
        </w:rPr>
        <w:br w:type="page"/>
      </w:r>
    </w:p>
    <w:p>
      <w:pPr>
        <w:spacing w:line="0" w:lineRule="atLeast"/>
        <w:outlineLvl w:val="1"/>
        <w:rPr>
          <w:rFonts w:ascii="宋体" w:hAnsi="宋体"/>
          <w:szCs w:val="21"/>
        </w:rPr>
      </w:pPr>
      <w:bookmarkStart w:id="74" w:name="_Toc116550365"/>
      <w:r>
        <w:rPr>
          <w:rFonts w:hint="eastAsia" w:ascii="宋体" w:hAnsi="宋体"/>
          <w:szCs w:val="21"/>
        </w:rPr>
        <w:t>附件6：商务条款响应/偏离表</w:t>
      </w:r>
      <w:bookmarkEnd w:id="72"/>
      <w:bookmarkEnd w:id="73"/>
      <w:bookmarkEnd w:id="7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5" w:name="_Toc211248420"/>
      <w:r>
        <w:rPr>
          <w:rFonts w:hint="eastAsia" w:ascii="方正小标宋_GBK" w:hAnsi="方正小标宋_GBK" w:eastAsia="方正小标宋_GBK"/>
          <w:b/>
          <w:sz w:val="32"/>
          <w:szCs w:val="32"/>
        </w:rPr>
        <w:t>商务条款响应/偏离表</w:t>
      </w:r>
      <w:bookmarkEnd w:id="75"/>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4"/>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6" w:name="_Toc478387764"/>
      <w:bookmarkStart w:id="77" w:name="_Toc395883088"/>
      <w:bookmarkStart w:id="78" w:name="_Toc236803111"/>
      <w:r>
        <w:rPr>
          <w:rFonts w:ascii="仿宋" w:hAnsi="仿宋" w:eastAsia="仿宋"/>
          <w:sz w:val="28"/>
          <w:szCs w:val="28"/>
        </w:rPr>
        <w:br w:type="page"/>
      </w:r>
    </w:p>
    <w:p>
      <w:pPr>
        <w:spacing w:line="0" w:lineRule="atLeast"/>
        <w:outlineLvl w:val="1"/>
        <w:rPr>
          <w:rFonts w:ascii="宋体" w:hAnsi="宋体"/>
          <w:szCs w:val="21"/>
        </w:rPr>
      </w:pPr>
      <w:bookmarkStart w:id="79" w:name="_Toc116550366"/>
      <w:r>
        <w:rPr>
          <w:rFonts w:hint="eastAsia" w:ascii="宋体" w:hAnsi="宋体"/>
          <w:szCs w:val="21"/>
        </w:rPr>
        <w:t>附件7：报价一览表（货物）</w:t>
      </w:r>
      <w:bookmarkEnd w:id="79"/>
    </w:p>
    <w:bookmarkEnd w:id="76"/>
    <w:bookmarkEnd w:id="77"/>
    <w:bookmarkEnd w:id="78"/>
    <w:p>
      <w:pPr>
        <w:spacing w:before="120" w:after="240"/>
        <w:jc w:val="center"/>
        <w:rPr>
          <w:rFonts w:ascii="宋体" w:hAnsi="宋体"/>
          <w:b/>
          <w:sz w:val="32"/>
          <w:szCs w:val="32"/>
        </w:rPr>
      </w:pPr>
      <w:bookmarkStart w:id="80" w:name="_Toc211248412"/>
      <w:r>
        <w:rPr>
          <w:rFonts w:hint="eastAsia" w:ascii="方正小标宋_GBK" w:hAnsi="方正小标宋_GBK" w:eastAsia="方正小标宋_GBK"/>
          <w:b/>
          <w:sz w:val="32"/>
          <w:szCs w:val="32"/>
        </w:rPr>
        <w:t>报价一览表</w:t>
      </w:r>
      <w:bookmarkEnd w:id="80"/>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080"/>
        <w:gridCol w:w="1380"/>
        <w:gridCol w:w="1170"/>
        <w:gridCol w:w="825"/>
        <w:gridCol w:w="480"/>
        <w:gridCol w:w="690"/>
        <w:gridCol w:w="915"/>
        <w:gridCol w:w="855"/>
        <w:gridCol w:w="13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08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38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117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25"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48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69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915"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未税</w:t>
            </w:r>
          </w:p>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5"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含税</w:t>
            </w:r>
          </w:p>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135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含税金额小计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080" w:type="dxa"/>
            <w:vAlign w:val="center"/>
          </w:tcPr>
          <w:p>
            <w:pPr>
              <w:autoSpaceDE w:val="0"/>
              <w:autoSpaceDN w:val="0"/>
              <w:adjustRightInd w:val="0"/>
              <w:rPr>
                <w:rFonts w:ascii="仿宋" w:hAnsi="仿宋" w:eastAsia="仿宋"/>
                <w:sz w:val="28"/>
                <w:szCs w:val="28"/>
              </w:rPr>
            </w:pPr>
          </w:p>
        </w:tc>
        <w:tc>
          <w:tcPr>
            <w:tcW w:w="1380" w:type="dxa"/>
            <w:vAlign w:val="center"/>
          </w:tcPr>
          <w:p>
            <w:pPr>
              <w:autoSpaceDE w:val="0"/>
              <w:autoSpaceDN w:val="0"/>
              <w:adjustRightInd w:val="0"/>
              <w:rPr>
                <w:rFonts w:ascii="仿宋" w:hAnsi="仿宋" w:eastAsia="仿宋"/>
                <w:sz w:val="28"/>
                <w:szCs w:val="28"/>
              </w:rPr>
            </w:pPr>
          </w:p>
        </w:tc>
        <w:tc>
          <w:tcPr>
            <w:tcW w:w="1170" w:type="dxa"/>
            <w:vAlign w:val="center"/>
          </w:tcPr>
          <w:p>
            <w:pPr>
              <w:autoSpaceDE w:val="0"/>
              <w:autoSpaceDN w:val="0"/>
              <w:adjustRightInd w:val="0"/>
              <w:rPr>
                <w:rFonts w:ascii="仿宋" w:hAnsi="仿宋" w:eastAsia="仿宋"/>
                <w:sz w:val="28"/>
                <w:szCs w:val="28"/>
              </w:rPr>
            </w:pPr>
          </w:p>
        </w:tc>
        <w:tc>
          <w:tcPr>
            <w:tcW w:w="825" w:type="dxa"/>
            <w:vAlign w:val="center"/>
          </w:tcPr>
          <w:p>
            <w:pPr>
              <w:autoSpaceDE w:val="0"/>
              <w:autoSpaceDN w:val="0"/>
              <w:adjustRightInd w:val="0"/>
              <w:rPr>
                <w:rFonts w:ascii="仿宋" w:hAnsi="仿宋" w:eastAsia="仿宋"/>
                <w:sz w:val="28"/>
                <w:szCs w:val="28"/>
              </w:rPr>
            </w:pPr>
          </w:p>
        </w:tc>
        <w:tc>
          <w:tcPr>
            <w:tcW w:w="480" w:type="dxa"/>
            <w:vAlign w:val="center"/>
          </w:tcPr>
          <w:p>
            <w:pPr>
              <w:autoSpaceDE w:val="0"/>
              <w:autoSpaceDN w:val="0"/>
              <w:adjustRightInd w:val="0"/>
              <w:rPr>
                <w:rFonts w:ascii="仿宋" w:hAnsi="仿宋" w:eastAsia="仿宋"/>
                <w:sz w:val="28"/>
                <w:szCs w:val="28"/>
              </w:rPr>
            </w:pPr>
          </w:p>
        </w:tc>
        <w:tc>
          <w:tcPr>
            <w:tcW w:w="690" w:type="dxa"/>
            <w:vAlign w:val="center"/>
          </w:tcPr>
          <w:p>
            <w:pPr>
              <w:autoSpaceDE w:val="0"/>
              <w:autoSpaceDN w:val="0"/>
              <w:adjustRightInd w:val="0"/>
              <w:rPr>
                <w:rFonts w:ascii="仿宋" w:hAnsi="仿宋" w:eastAsia="仿宋"/>
                <w:sz w:val="28"/>
                <w:szCs w:val="28"/>
              </w:rPr>
            </w:pPr>
          </w:p>
        </w:tc>
        <w:tc>
          <w:tcPr>
            <w:tcW w:w="915" w:type="dxa"/>
            <w:vAlign w:val="center"/>
          </w:tcPr>
          <w:p>
            <w:pPr>
              <w:autoSpaceDE w:val="0"/>
              <w:autoSpaceDN w:val="0"/>
              <w:adjustRightInd w:val="0"/>
              <w:rPr>
                <w:rFonts w:ascii="仿宋" w:hAnsi="仿宋" w:eastAsia="仿宋"/>
                <w:sz w:val="28"/>
                <w:szCs w:val="28"/>
              </w:rPr>
            </w:pPr>
          </w:p>
        </w:tc>
        <w:tc>
          <w:tcPr>
            <w:tcW w:w="855" w:type="dxa"/>
            <w:vAlign w:val="center"/>
          </w:tcPr>
          <w:p>
            <w:pPr>
              <w:autoSpaceDE w:val="0"/>
              <w:autoSpaceDN w:val="0"/>
              <w:adjustRightInd w:val="0"/>
              <w:rPr>
                <w:rFonts w:ascii="仿宋" w:hAnsi="仿宋" w:eastAsia="仿宋"/>
                <w:sz w:val="28"/>
                <w:szCs w:val="28"/>
              </w:rPr>
            </w:pPr>
          </w:p>
        </w:tc>
        <w:tc>
          <w:tcPr>
            <w:tcW w:w="1356"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080" w:type="dxa"/>
            <w:vAlign w:val="center"/>
          </w:tcPr>
          <w:p>
            <w:pPr>
              <w:autoSpaceDE w:val="0"/>
              <w:autoSpaceDN w:val="0"/>
              <w:adjustRightInd w:val="0"/>
              <w:rPr>
                <w:rFonts w:ascii="仿宋" w:hAnsi="仿宋" w:eastAsia="仿宋"/>
                <w:sz w:val="28"/>
                <w:szCs w:val="28"/>
              </w:rPr>
            </w:pPr>
          </w:p>
        </w:tc>
        <w:tc>
          <w:tcPr>
            <w:tcW w:w="1380" w:type="dxa"/>
            <w:vAlign w:val="center"/>
          </w:tcPr>
          <w:p>
            <w:pPr>
              <w:autoSpaceDE w:val="0"/>
              <w:autoSpaceDN w:val="0"/>
              <w:adjustRightInd w:val="0"/>
              <w:rPr>
                <w:rFonts w:ascii="仿宋" w:hAnsi="仿宋" w:eastAsia="仿宋"/>
                <w:sz w:val="28"/>
                <w:szCs w:val="28"/>
              </w:rPr>
            </w:pPr>
          </w:p>
        </w:tc>
        <w:tc>
          <w:tcPr>
            <w:tcW w:w="1170" w:type="dxa"/>
            <w:vAlign w:val="center"/>
          </w:tcPr>
          <w:p>
            <w:pPr>
              <w:autoSpaceDE w:val="0"/>
              <w:autoSpaceDN w:val="0"/>
              <w:adjustRightInd w:val="0"/>
              <w:rPr>
                <w:rFonts w:ascii="仿宋" w:hAnsi="仿宋" w:eastAsia="仿宋"/>
                <w:sz w:val="28"/>
                <w:szCs w:val="28"/>
              </w:rPr>
            </w:pPr>
          </w:p>
        </w:tc>
        <w:tc>
          <w:tcPr>
            <w:tcW w:w="825" w:type="dxa"/>
            <w:vAlign w:val="center"/>
          </w:tcPr>
          <w:p>
            <w:pPr>
              <w:autoSpaceDE w:val="0"/>
              <w:autoSpaceDN w:val="0"/>
              <w:adjustRightInd w:val="0"/>
              <w:rPr>
                <w:rFonts w:ascii="仿宋" w:hAnsi="仿宋" w:eastAsia="仿宋"/>
                <w:sz w:val="28"/>
                <w:szCs w:val="28"/>
              </w:rPr>
            </w:pPr>
          </w:p>
        </w:tc>
        <w:tc>
          <w:tcPr>
            <w:tcW w:w="480" w:type="dxa"/>
            <w:vAlign w:val="center"/>
          </w:tcPr>
          <w:p>
            <w:pPr>
              <w:autoSpaceDE w:val="0"/>
              <w:autoSpaceDN w:val="0"/>
              <w:adjustRightInd w:val="0"/>
              <w:rPr>
                <w:rFonts w:ascii="仿宋" w:hAnsi="仿宋" w:eastAsia="仿宋"/>
                <w:sz w:val="28"/>
                <w:szCs w:val="28"/>
              </w:rPr>
            </w:pPr>
          </w:p>
        </w:tc>
        <w:tc>
          <w:tcPr>
            <w:tcW w:w="690" w:type="dxa"/>
            <w:vAlign w:val="center"/>
          </w:tcPr>
          <w:p>
            <w:pPr>
              <w:autoSpaceDE w:val="0"/>
              <w:autoSpaceDN w:val="0"/>
              <w:adjustRightInd w:val="0"/>
              <w:rPr>
                <w:rFonts w:ascii="仿宋" w:hAnsi="仿宋" w:eastAsia="仿宋"/>
                <w:sz w:val="28"/>
                <w:szCs w:val="28"/>
              </w:rPr>
            </w:pPr>
          </w:p>
        </w:tc>
        <w:tc>
          <w:tcPr>
            <w:tcW w:w="915" w:type="dxa"/>
            <w:vAlign w:val="center"/>
          </w:tcPr>
          <w:p>
            <w:pPr>
              <w:autoSpaceDE w:val="0"/>
              <w:autoSpaceDN w:val="0"/>
              <w:adjustRightInd w:val="0"/>
              <w:rPr>
                <w:rFonts w:ascii="仿宋" w:hAnsi="仿宋" w:eastAsia="仿宋"/>
                <w:sz w:val="28"/>
                <w:szCs w:val="28"/>
              </w:rPr>
            </w:pPr>
          </w:p>
        </w:tc>
        <w:tc>
          <w:tcPr>
            <w:tcW w:w="855" w:type="dxa"/>
            <w:vAlign w:val="center"/>
          </w:tcPr>
          <w:p>
            <w:pPr>
              <w:autoSpaceDE w:val="0"/>
              <w:autoSpaceDN w:val="0"/>
              <w:adjustRightInd w:val="0"/>
              <w:rPr>
                <w:rFonts w:ascii="仿宋" w:hAnsi="仿宋" w:eastAsia="仿宋"/>
                <w:sz w:val="28"/>
                <w:szCs w:val="28"/>
              </w:rPr>
            </w:pPr>
          </w:p>
        </w:tc>
        <w:tc>
          <w:tcPr>
            <w:tcW w:w="1356"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080" w:type="dxa"/>
            <w:vAlign w:val="center"/>
          </w:tcPr>
          <w:p>
            <w:pPr>
              <w:autoSpaceDE w:val="0"/>
              <w:autoSpaceDN w:val="0"/>
              <w:adjustRightInd w:val="0"/>
              <w:rPr>
                <w:rFonts w:ascii="仿宋" w:hAnsi="仿宋" w:eastAsia="仿宋"/>
                <w:sz w:val="28"/>
                <w:szCs w:val="28"/>
              </w:rPr>
            </w:pPr>
          </w:p>
        </w:tc>
        <w:tc>
          <w:tcPr>
            <w:tcW w:w="1380" w:type="dxa"/>
            <w:vAlign w:val="center"/>
          </w:tcPr>
          <w:p>
            <w:pPr>
              <w:autoSpaceDE w:val="0"/>
              <w:autoSpaceDN w:val="0"/>
              <w:adjustRightInd w:val="0"/>
              <w:rPr>
                <w:rFonts w:ascii="仿宋" w:hAnsi="仿宋" w:eastAsia="仿宋"/>
                <w:sz w:val="28"/>
                <w:szCs w:val="28"/>
              </w:rPr>
            </w:pPr>
          </w:p>
        </w:tc>
        <w:tc>
          <w:tcPr>
            <w:tcW w:w="1170" w:type="dxa"/>
            <w:vAlign w:val="center"/>
          </w:tcPr>
          <w:p>
            <w:pPr>
              <w:autoSpaceDE w:val="0"/>
              <w:autoSpaceDN w:val="0"/>
              <w:adjustRightInd w:val="0"/>
              <w:rPr>
                <w:rFonts w:ascii="仿宋" w:hAnsi="仿宋" w:eastAsia="仿宋"/>
                <w:sz w:val="28"/>
                <w:szCs w:val="28"/>
              </w:rPr>
            </w:pPr>
          </w:p>
        </w:tc>
        <w:tc>
          <w:tcPr>
            <w:tcW w:w="825" w:type="dxa"/>
            <w:vAlign w:val="center"/>
          </w:tcPr>
          <w:p>
            <w:pPr>
              <w:autoSpaceDE w:val="0"/>
              <w:autoSpaceDN w:val="0"/>
              <w:adjustRightInd w:val="0"/>
              <w:rPr>
                <w:rFonts w:ascii="仿宋" w:hAnsi="仿宋" w:eastAsia="仿宋"/>
                <w:sz w:val="28"/>
                <w:szCs w:val="28"/>
              </w:rPr>
            </w:pPr>
          </w:p>
        </w:tc>
        <w:tc>
          <w:tcPr>
            <w:tcW w:w="480" w:type="dxa"/>
            <w:vAlign w:val="center"/>
          </w:tcPr>
          <w:p>
            <w:pPr>
              <w:autoSpaceDE w:val="0"/>
              <w:autoSpaceDN w:val="0"/>
              <w:adjustRightInd w:val="0"/>
              <w:rPr>
                <w:rFonts w:ascii="仿宋" w:hAnsi="仿宋" w:eastAsia="仿宋"/>
                <w:sz w:val="28"/>
                <w:szCs w:val="28"/>
              </w:rPr>
            </w:pPr>
          </w:p>
        </w:tc>
        <w:tc>
          <w:tcPr>
            <w:tcW w:w="690" w:type="dxa"/>
            <w:vAlign w:val="center"/>
          </w:tcPr>
          <w:p>
            <w:pPr>
              <w:autoSpaceDE w:val="0"/>
              <w:autoSpaceDN w:val="0"/>
              <w:adjustRightInd w:val="0"/>
              <w:rPr>
                <w:rFonts w:ascii="仿宋" w:hAnsi="仿宋" w:eastAsia="仿宋"/>
                <w:sz w:val="28"/>
                <w:szCs w:val="28"/>
              </w:rPr>
            </w:pPr>
          </w:p>
        </w:tc>
        <w:tc>
          <w:tcPr>
            <w:tcW w:w="915" w:type="dxa"/>
            <w:vAlign w:val="center"/>
          </w:tcPr>
          <w:p>
            <w:pPr>
              <w:autoSpaceDE w:val="0"/>
              <w:autoSpaceDN w:val="0"/>
              <w:adjustRightInd w:val="0"/>
              <w:rPr>
                <w:rFonts w:ascii="仿宋" w:hAnsi="仿宋" w:eastAsia="仿宋"/>
                <w:sz w:val="28"/>
                <w:szCs w:val="28"/>
              </w:rPr>
            </w:pPr>
          </w:p>
        </w:tc>
        <w:tc>
          <w:tcPr>
            <w:tcW w:w="855" w:type="dxa"/>
            <w:vAlign w:val="center"/>
          </w:tcPr>
          <w:p>
            <w:pPr>
              <w:autoSpaceDE w:val="0"/>
              <w:autoSpaceDN w:val="0"/>
              <w:adjustRightInd w:val="0"/>
              <w:rPr>
                <w:rFonts w:ascii="仿宋" w:hAnsi="仿宋" w:eastAsia="仿宋"/>
                <w:sz w:val="28"/>
                <w:szCs w:val="28"/>
              </w:rPr>
            </w:pPr>
          </w:p>
        </w:tc>
        <w:tc>
          <w:tcPr>
            <w:tcW w:w="1356"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080" w:type="dxa"/>
            <w:vAlign w:val="center"/>
          </w:tcPr>
          <w:p>
            <w:pPr>
              <w:autoSpaceDE w:val="0"/>
              <w:autoSpaceDN w:val="0"/>
              <w:adjustRightInd w:val="0"/>
              <w:rPr>
                <w:rFonts w:ascii="仿宋" w:hAnsi="仿宋" w:eastAsia="仿宋"/>
                <w:sz w:val="28"/>
                <w:szCs w:val="28"/>
              </w:rPr>
            </w:pPr>
          </w:p>
        </w:tc>
        <w:tc>
          <w:tcPr>
            <w:tcW w:w="1380" w:type="dxa"/>
            <w:vAlign w:val="center"/>
          </w:tcPr>
          <w:p>
            <w:pPr>
              <w:autoSpaceDE w:val="0"/>
              <w:autoSpaceDN w:val="0"/>
              <w:adjustRightInd w:val="0"/>
              <w:rPr>
                <w:rFonts w:ascii="仿宋" w:hAnsi="仿宋" w:eastAsia="仿宋"/>
                <w:sz w:val="28"/>
                <w:szCs w:val="28"/>
              </w:rPr>
            </w:pPr>
          </w:p>
        </w:tc>
        <w:tc>
          <w:tcPr>
            <w:tcW w:w="1170" w:type="dxa"/>
            <w:vAlign w:val="center"/>
          </w:tcPr>
          <w:p>
            <w:pPr>
              <w:autoSpaceDE w:val="0"/>
              <w:autoSpaceDN w:val="0"/>
              <w:adjustRightInd w:val="0"/>
              <w:rPr>
                <w:rFonts w:ascii="仿宋" w:hAnsi="仿宋" w:eastAsia="仿宋"/>
                <w:sz w:val="28"/>
                <w:szCs w:val="28"/>
              </w:rPr>
            </w:pPr>
          </w:p>
        </w:tc>
        <w:tc>
          <w:tcPr>
            <w:tcW w:w="825" w:type="dxa"/>
            <w:vAlign w:val="center"/>
          </w:tcPr>
          <w:p>
            <w:pPr>
              <w:autoSpaceDE w:val="0"/>
              <w:autoSpaceDN w:val="0"/>
              <w:adjustRightInd w:val="0"/>
              <w:rPr>
                <w:rFonts w:ascii="仿宋" w:hAnsi="仿宋" w:eastAsia="仿宋"/>
                <w:sz w:val="28"/>
                <w:szCs w:val="28"/>
              </w:rPr>
            </w:pPr>
          </w:p>
        </w:tc>
        <w:tc>
          <w:tcPr>
            <w:tcW w:w="480" w:type="dxa"/>
            <w:vAlign w:val="center"/>
          </w:tcPr>
          <w:p>
            <w:pPr>
              <w:autoSpaceDE w:val="0"/>
              <w:autoSpaceDN w:val="0"/>
              <w:adjustRightInd w:val="0"/>
              <w:rPr>
                <w:rFonts w:ascii="仿宋" w:hAnsi="仿宋" w:eastAsia="仿宋"/>
                <w:sz w:val="28"/>
                <w:szCs w:val="28"/>
              </w:rPr>
            </w:pPr>
          </w:p>
        </w:tc>
        <w:tc>
          <w:tcPr>
            <w:tcW w:w="690" w:type="dxa"/>
            <w:vAlign w:val="center"/>
          </w:tcPr>
          <w:p>
            <w:pPr>
              <w:autoSpaceDE w:val="0"/>
              <w:autoSpaceDN w:val="0"/>
              <w:adjustRightInd w:val="0"/>
              <w:rPr>
                <w:rFonts w:ascii="仿宋" w:hAnsi="仿宋" w:eastAsia="仿宋"/>
                <w:sz w:val="28"/>
                <w:szCs w:val="28"/>
              </w:rPr>
            </w:pPr>
          </w:p>
        </w:tc>
        <w:tc>
          <w:tcPr>
            <w:tcW w:w="915" w:type="dxa"/>
            <w:vAlign w:val="center"/>
          </w:tcPr>
          <w:p>
            <w:pPr>
              <w:autoSpaceDE w:val="0"/>
              <w:autoSpaceDN w:val="0"/>
              <w:adjustRightInd w:val="0"/>
              <w:rPr>
                <w:rFonts w:ascii="仿宋" w:hAnsi="仿宋" w:eastAsia="仿宋"/>
                <w:sz w:val="28"/>
                <w:szCs w:val="28"/>
              </w:rPr>
            </w:pPr>
          </w:p>
        </w:tc>
        <w:tc>
          <w:tcPr>
            <w:tcW w:w="855" w:type="dxa"/>
            <w:vAlign w:val="center"/>
          </w:tcPr>
          <w:p>
            <w:pPr>
              <w:autoSpaceDE w:val="0"/>
              <w:autoSpaceDN w:val="0"/>
              <w:adjustRightInd w:val="0"/>
              <w:rPr>
                <w:rFonts w:ascii="仿宋" w:hAnsi="仿宋" w:eastAsia="仿宋"/>
                <w:sz w:val="28"/>
                <w:szCs w:val="28"/>
              </w:rPr>
            </w:pPr>
          </w:p>
        </w:tc>
        <w:tc>
          <w:tcPr>
            <w:tcW w:w="1356"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080" w:type="dxa"/>
            <w:vAlign w:val="center"/>
          </w:tcPr>
          <w:p>
            <w:pPr>
              <w:autoSpaceDE w:val="0"/>
              <w:autoSpaceDN w:val="0"/>
              <w:adjustRightInd w:val="0"/>
              <w:rPr>
                <w:rFonts w:ascii="仿宋" w:hAnsi="仿宋" w:eastAsia="仿宋"/>
                <w:sz w:val="28"/>
                <w:szCs w:val="28"/>
              </w:rPr>
            </w:pPr>
          </w:p>
        </w:tc>
        <w:tc>
          <w:tcPr>
            <w:tcW w:w="1380" w:type="dxa"/>
            <w:vAlign w:val="center"/>
          </w:tcPr>
          <w:p>
            <w:pPr>
              <w:autoSpaceDE w:val="0"/>
              <w:autoSpaceDN w:val="0"/>
              <w:adjustRightInd w:val="0"/>
              <w:rPr>
                <w:rFonts w:ascii="仿宋" w:hAnsi="仿宋" w:eastAsia="仿宋"/>
                <w:sz w:val="28"/>
                <w:szCs w:val="28"/>
              </w:rPr>
            </w:pPr>
          </w:p>
        </w:tc>
        <w:tc>
          <w:tcPr>
            <w:tcW w:w="1170" w:type="dxa"/>
            <w:vAlign w:val="center"/>
          </w:tcPr>
          <w:p>
            <w:pPr>
              <w:autoSpaceDE w:val="0"/>
              <w:autoSpaceDN w:val="0"/>
              <w:adjustRightInd w:val="0"/>
              <w:rPr>
                <w:rFonts w:ascii="仿宋" w:hAnsi="仿宋" w:eastAsia="仿宋"/>
                <w:sz w:val="28"/>
                <w:szCs w:val="28"/>
              </w:rPr>
            </w:pPr>
          </w:p>
        </w:tc>
        <w:tc>
          <w:tcPr>
            <w:tcW w:w="825" w:type="dxa"/>
            <w:vAlign w:val="center"/>
          </w:tcPr>
          <w:p>
            <w:pPr>
              <w:autoSpaceDE w:val="0"/>
              <w:autoSpaceDN w:val="0"/>
              <w:adjustRightInd w:val="0"/>
              <w:rPr>
                <w:rFonts w:ascii="仿宋" w:hAnsi="仿宋" w:eastAsia="仿宋"/>
                <w:sz w:val="28"/>
                <w:szCs w:val="28"/>
              </w:rPr>
            </w:pPr>
          </w:p>
        </w:tc>
        <w:tc>
          <w:tcPr>
            <w:tcW w:w="480" w:type="dxa"/>
            <w:vAlign w:val="center"/>
          </w:tcPr>
          <w:p>
            <w:pPr>
              <w:autoSpaceDE w:val="0"/>
              <w:autoSpaceDN w:val="0"/>
              <w:adjustRightInd w:val="0"/>
              <w:rPr>
                <w:rFonts w:ascii="仿宋" w:hAnsi="仿宋" w:eastAsia="仿宋"/>
                <w:sz w:val="28"/>
                <w:szCs w:val="28"/>
              </w:rPr>
            </w:pPr>
          </w:p>
        </w:tc>
        <w:tc>
          <w:tcPr>
            <w:tcW w:w="690" w:type="dxa"/>
            <w:vAlign w:val="center"/>
          </w:tcPr>
          <w:p>
            <w:pPr>
              <w:autoSpaceDE w:val="0"/>
              <w:autoSpaceDN w:val="0"/>
              <w:adjustRightInd w:val="0"/>
              <w:rPr>
                <w:rFonts w:ascii="仿宋" w:hAnsi="仿宋" w:eastAsia="仿宋"/>
                <w:sz w:val="28"/>
                <w:szCs w:val="28"/>
              </w:rPr>
            </w:pPr>
          </w:p>
        </w:tc>
        <w:tc>
          <w:tcPr>
            <w:tcW w:w="915" w:type="dxa"/>
            <w:vAlign w:val="center"/>
          </w:tcPr>
          <w:p>
            <w:pPr>
              <w:autoSpaceDE w:val="0"/>
              <w:autoSpaceDN w:val="0"/>
              <w:adjustRightInd w:val="0"/>
              <w:rPr>
                <w:rFonts w:ascii="仿宋" w:hAnsi="仿宋" w:eastAsia="仿宋"/>
                <w:sz w:val="28"/>
                <w:szCs w:val="28"/>
              </w:rPr>
            </w:pPr>
          </w:p>
        </w:tc>
        <w:tc>
          <w:tcPr>
            <w:tcW w:w="855" w:type="dxa"/>
            <w:vAlign w:val="center"/>
          </w:tcPr>
          <w:p>
            <w:pPr>
              <w:autoSpaceDE w:val="0"/>
              <w:autoSpaceDN w:val="0"/>
              <w:adjustRightInd w:val="0"/>
              <w:rPr>
                <w:rFonts w:ascii="仿宋" w:hAnsi="仿宋" w:eastAsia="仿宋"/>
                <w:sz w:val="28"/>
                <w:szCs w:val="28"/>
              </w:rPr>
            </w:pPr>
          </w:p>
        </w:tc>
        <w:tc>
          <w:tcPr>
            <w:tcW w:w="1356"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080" w:type="dxa"/>
            <w:vAlign w:val="center"/>
          </w:tcPr>
          <w:p>
            <w:pPr>
              <w:autoSpaceDE w:val="0"/>
              <w:autoSpaceDN w:val="0"/>
              <w:adjustRightInd w:val="0"/>
              <w:rPr>
                <w:rFonts w:ascii="仿宋" w:hAnsi="仿宋" w:eastAsia="仿宋"/>
                <w:sz w:val="28"/>
                <w:szCs w:val="28"/>
              </w:rPr>
            </w:pPr>
          </w:p>
        </w:tc>
        <w:tc>
          <w:tcPr>
            <w:tcW w:w="1380" w:type="dxa"/>
            <w:vAlign w:val="center"/>
          </w:tcPr>
          <w:p>
            <w:pPr>
              <w:autoSpaceDE w:val="0"/>
              <w:autoSpaceDN w:val="0"/>
              <w:adjustRightInd w:val="0"/>
              <w:rPr>
                <w:rFonts w:ascii="仿宋" w:hAnsi="仿宋" w:eastAsia="仿宋"/>
                <w:sz w:val="28"/>
                <w:szCs w:val="28"/>
              </w:rPr>
            </w:pPr>
          </w:p>
        </w:tc>
        <w:tc>
          <w:tcPr>
            <w:tcW w:w="1170" w:type="dxa"/>
            <w:vAlign w:val="center"/>
          </w:tcPr>
          <w:p>
            <w:pPr>
              <w:autoSpaceDE w:val="0"/>
              <w:autoSpaceDN w:val="0"/>
              <w:adjustRightInd w:val="0"/>
              <w:rPr>
                <w:rFonts w:ascii="仿宋" w:hAnsi="仿宋" w:eastAsia="仿宋"/>
                <w:sz w:val="28"/>
                <w:szCs w:val="28"/>
              </w:rPr>
            </w:pPr>
          </w:p>
        </w:tc>
        <w:tc>
          <w:tcPr>
            <w:tcW w:w="825" w:type="dxa"/>
            <w:vAlign w:val="center"/>
          </w:tcPr>
          <w:p>
            <w:pPr>
              <w:autoSpaceDE w:val="0"/>
              <w:autoSpaceDN w:val="0"/>
              <w:adjustRightInd w:val="0"/>
              <w:rPr>
                <w:rFonts w:ascii="仿宋" w:hAnsi="仿宋" w:eastAsia="仿宋"/>
                <w:sz w:val="28"/>
                <w:szCs w:val="28"/>
              </w:rPr>
            </w:pPr>
          </w:p>
        </w:tc>
        <w:tc>
          <w:tcPr>
            <w:tcW w:w="480" w:type="dxa"/>
            <w:vAlign w:val="center"/>
          </w:tcPr>
          <w:p>
            <w:pPr>
              <w:autoSpaceDE w:val="0"/>
              <w:autoSpaceDN w:val="0"/>
              <w:adjustRightInd w:val="0"/>
              <w:rPr>
                <w:rFonts w:ascii="仿宋" w:hAnsi="仿宋" w:eastAsia="仿宋"/>
                <w:sz w:val="28"/>
                <w:szCs w:val="28"/>
              </w:rPr>
            </w:pPr>
          </w:p>
        </w:tc>
        <w:tc>
          <w:tcPr>
            <w:tcW w:w="690" w:type="dxa"/>
            <w:vAlign w:val="center"/>
          </w:tcPr>
          <w:p>
            <w:pPr>
              <w:autoSpaceDE w:val="0"/>
              <w:autoSpaceDN w:val="0"/>
              <w:adjustRightInd w:val="0"/>
              <w:rPr>
                <w:rFonts w:ascii="仿宋" w:hAnsi="仿宋" w:eastAsia="仿宋"/>
                <w:sz w:val="28"/>
                <w:szCs w:val="28"/>
              </w:rPr>
            </w:pPr>
          </w:p>
        </w:tc>
        <w:tc>
          <w:tcPr>
            <w:tcW w:w="915" w:type="dxa"/>
            <w:vAlign w:val="center"/>
          </w:tcPr>
          <w:p>
            <w:pPr>
              <w:autoSpaceDE w:val="0"/>
              <w:autoSpaceDN w:val="0"/>
              <w:adjustRightInd w:val="0"/>
              <w:rPr>
                <w:rFonts w:ascii="仿宋" w:hAnsi="仿宋" w:eastAsia="仿宋"/>
                <w:sz w:val="28"/>
                <w:szCs w:val="28"/>
              </w:rPr>
            </w:pPr>
          </w:p>
        </w:tc>
        <w:tc>
          <w:tcPr>
            <w:tcW w:w="855" w:type="dxa"/>
            <w:vAlign w:val="center"/>
          </w:tcPr>
          <w:p>
            <w:pPr>
              <w:autoSpaceDE w:val="0"/>
              <w:autoSpaceDN w:val="0"/>
              <w:adjustRightInd w:val="0"/>
              <w:rPr>
                <w:rFonts w:ascii="仿宋" w:hAnsi="仿宋" w:eastAsia="仿宋"/>
                <w:sz w:val="28"/>
                <w:szCs w:val="28"/>
              </w:rPr>
            </w:pPr>
          </w:p>
        </w:tc>
        <w:tc>
          <w:tcPr>
            <w:tcW w:w="1356"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7978" w:type="dxa"/>
            <w:gridSpan w:val="9"/>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1356"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2"/>
        <w:numPr>
          <w:ilvl w:val="1"/>
          <w:numId w:val="39"/>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39"/>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2"/>
        <w:numPr>
          <w:ilvl w:val="1"/>
          <w:numId w:val="39"/>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2"/>
        <w:numPr>
          <w:ilvl w:val="1"/>
          <w:numId w:val="39"/>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1" w:name="_Toc82095917"/>
      <w:bookmarkStart w:id="82" w:name="_Toc82359026"/>
      <w:r>
        <w:rPr>
          <w:rFonts w:hint="eastAsia" w:ascii="仿宋" w:hAnsi="仿宋" w:eastAsia="仿宋"/>
          <w:sz w:val="28"/>
          <w:szCs w:val="28"/>
        </w:rPr>
        <w:t>日期：_________年____月____日</w:t>
      </w:r>
      <w:r>
        <w:rPr>
          <w:rFonts w:ascii="仿宋" w:hAnsi="仿宋" w:eastAsia="仿宋"/>
          <w:sz w:val="28"/>
          <w:szCs w:val="28"/>
        </w:rPr>
        <w:br w:type="page"/>
      </w:r>
    </w:p>
    <w:bookmarkEnd w:id="81"/>
    <w:bookmarkEnd w:id="82"/>
    <w:p>
      <w:pPr>
        <w:spacing w:line="0" w:lineRule="atLeast"/>
        <w:outlineLvl w:val="1"/>
        <w:rPr>
          <w:rFonts w:ascii="宋体" w:hAnsi="宋体"/>
          <w:szCs w:val="21"/>
        </w:rPr>
      </w:pPr>
      <w:bookmarkStart w:id="83" w:name="_Toc116550367"/>
      <w:r>
        <w:rPr>
          <w:rFonts w:hint="eastAsia" w:ascii="宋体" w:hAnsi="宋体"/>
          <w:szCs w:val="21"/>
        </w:rPr>
        <w:t>附件8：报价一览表（服务）（本项目不适用）</w:t>
      </w:r>
      <w:bookmarkEnd w:id="83"/>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2"/>
        <w:numPr>
          <w:ilvl w:val="1"/>
          <w:numId w:val="40"/>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2"/>
        <w:numPr>
          <w:ilvl w:val="1"/>
          <w:numId w:val="40"/>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2"/>
        <w:numPr>
          <w:ilvl w:val="1"/>
          <w:numId w:val="40"/>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4" w:name="_Toc116550368"/>
      <w:r>
        <w:rPr>
          <w:rFonts w:hint="eastAsia" w:ascii="宋体" w:hAnsi="宋体"/>
          <w:szCs w:val="21"/>
        </w:rPr>
        <w:t>附件9：报价一览表（工程）</w:t>
      </w:r>
      <w:bookmarkEnd w:id="84"/>
      <w:r>
        <w:rPr>
          <w:rFonts w:hint="eastAsia" w:ascii="宋体" w:hAnsi="宋体"/>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2"/>
        <w:numPr>
          <w:ilvl w:val="1"/>
          <w:numId w:val="41"/>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41"/>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2"/>
        <w:numPr>
          <w:ilvl w:val="1"/>
          <w:numId w:val="41"/>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2"/>
        <w:numPr>
          <w:ilvl w:val="1"/>
          <w:numId w:val="41"/>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5" w:name="_Toc116550369"/>
      <w:r>
        <w:rPr>
          <w:rFonts w:hint="eastAsia" w:ascii="宋体" w:hAnsi="宋体"/>
          <w:szCs w:val="21"/>
        </w:rPr>
        <w:t>附件10：法定代表人证明书</w:t>
      </w:r>
      <w:bookmarkEnd w:id="85"/>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2"/>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2"/>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2"/>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w:pict>
          <v:shape id="Text Box 2" o:spid="_x0000_s2053" o:spt="202" type="#_x0000_t202" style="position:absolute;left:0pt;margin-left:213pt;margin-top:20.1pt;height:126.75pt;width:198.25pt;z-index:251660288;mso-width-relative:page;mso-height-relative:page;"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Al/z/FGwIAAEc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gFRxImd6w30BcYm7vxYjbMcFdTPSKSFaZrx9+GhA/uN&#10;kgEnuaTu65FZQYl6r1GMTbZchtGPxnK1ztGwl57q0sM0R6iSekqm495P3+VorGw7zDTJr+EWBWxk&#10;pDaUOlU1y47TGhmff1b4Dpd2jPrx/3f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ByXLzaAAAA&#10;CgEAAA8AAAAAAAAAAQAgAAAAIgAAAGRycy9kb3ducmV2LnhtbFBLAQIUABQAAAAIAIdO4kAl/z/F&#10;GwIAAEcEAAAOAAAAAAAAAAEAIAAAACkBAABkcnMvZTJvRG9jLnhtbFBLBQYAAAAABgAGAFkBAAC2&#10;BQAAAAA=&#10;">
            <v:path/>
            <v:fill focussize="0,0"/>
            <v:stroke joinstyle="miter"/>
            <v:imagedata o:title=""/>
            <o:lock v:ext="edit"/>
            <v:textbox>
              <w:txbxContent>
                <w:p>
                  <w:r>
                    <w:rPr>
                      <w:rFonts w:hint="eastAsia"/>
                    </w:rPr>
                    <w:t>法人身份证</w:t>
                  </w:r>
                  <w:r>
                    <w:t>复印件</w:t>
                  </w:r>
                  <w:r>
                    <w:rPr>
                      <w:rFonts w:hint="eastAsia"/>
                    </w:rPr>
                    <w:t>（正面）</w:t>
                  </w:r>
                </w:p>
              </w:txbxContent>
            </v:textbox>
          </v:shape>
        </w:pict>
      </w:r>
      <w:r>
        <w:rPr>
          <w:rFonts w:ascii="仿宋_GB2312" w:hAnsi="宋体" w:eastAsia="仿宋_GB2312"/>
          <w:b/>
          <w:color w:val="000000"/>
        </w:rPr>
        <w:pict>
          <v:shape id="Text Box 3" o:spid="_x0000_s2052" o:spt="202" type="#_x0000_t202" style="position:absolute;left:0pt;margin-left:-7.5pt;margin-top:20.15pt;height:126.75pt;width:201.25pt;z-index:251661312;mso-width-relative:page;mso-height-relative:page;"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xOYMtsAAAAK&#10;AQAADwAAAAAAAAABACAAAAAiAAAAZHJzL2Rvd25yZXYueG1sUEsBAhQAFAAAAAgAh07iQOCP/fcZ&#10;AgAARwQAAA4AAAAAAAAAAQAgAAAAKgEAAGRycy9lMm9Eb2MueG1sUEsFBgAAAAAGAAYAWQEAALUF&#10;AAAAAA==&#10;">
            <v:path/>
            <v:fill focussize="0,0"/>
            <v:stroke joinstyle="miter"/>
            <v:imagedata o:title=""/>
            <o:lock v:ext="edit"/>
            <v:textbox>
              <w:txbxContent>
                <w:p>
                  <w:r>
                    <w:rPr>
                      <w:rFonts w:hint="eastAsia"/>
                    </w:rPr>
                    <w:t>法人身份证</w:t>
                  </w:r>
                  <w:r>
                    <w:t>复印件</w:t>
                  </w:r>
                  <w:r>
                    <w:rPr>
                      <w:rFonts w:hint="eastAsia"/>
                    </w:rPr>
                    <w:t>（反面）</w:t>
                  </w:r>
                </w:p>
              </w:txbxContent>
            </v:textbox>
          </v:shape>
        </w:pict>
      </w:r>
      <w:r>
        <w:rPr>
          <w:rFonts w:ascii="仿宋_GB2312" w:hAnsi="宋体" w:eastAsia="仿宋_GB2312"/>
          <w:b/>
          <w:color w:val="000000"/>
        </w:rPr>
        <w:br w:type="page"/>
      </w:r>
    </w:p>
    <w:p>
      <w:pPr>
        <w:spacing w:line="0" w:lineRule="atLeast"/>
        <w:outlineLvl w:val="1"/>
        <w:rPr>
          <w:rFonts w:ascii="宋体" w:hAnsi="宋体"/>
          <w:szCs w:val="21"/>
        </w:rPr>
      </w:pPr>
      <w:bookmarkStart w:id="86"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6"/>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2"/>
        <w:numPr>
          <w:ilvl w:val="1"/>
          <w:numId w:val="43"/>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2"/>
        <w:numPr>
          <w:ilvl w:val="1"/>
          <w:numId w:val="43"/>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2"/>
        <w:numPr>
          <w:ilvl w:val="1"/>
          <w:numId w:val="43"/>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w:pict>
          <v:shape id="_x0000_s2051" o:spid="_x0000_s2051" o:spt="202" type="#_x0000_t202" style="position:absolute;left:0pt;margin-left:0pt;margin-top:16.7pt;height:126.75pt;width:201.25pt;z-index:251663360;mso-width-relative:page;mso-height-relative:page;"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stl&#10;wNcAAAAHAQAADwAAAAAAAAABACAAAAAiAAAAZHJzL2Rvd25yZXYueG1sUEsBAhQAFAAAAAgAh07i&#10;QDq9YHMjAgAAUAQAAA4AAAAAAAAAAQAgAAAAJgEAAGRycy9lMm9Eb2MueG1sUEsFBgAAAAAGAAYA&#10;WQEAALsFAAAAAA==&#10;">
            <v:path/>
            <v:fill focussize="0,0"/>
            <v:stroke joinstyle="miter"/>
            <v:imagedata o:title=""/>
            <o:lock v:ext="edit"/>
            <v:textbox>
              <w:txbxContent>
                <w:p>
                  <w:r>
                    <w:rPr>
                      <w:rFonts w:hint="eastAsia"/>
                    </w:rPr>
                    <w:t>被委托人身份证扫描</w:t>
                  </w:r>
                  <w:r>
                    <w:t>件</w:t>
                  </w:r>
                  <w:r>
                    <w:rPr>
                      <w:rFonts w:hint="eastAsia"/>
                    </w:rPr>
                    <w:t>（反面）</w:t>
                  </w:r>
                </w:p>
              </w:txbxContent>
            </v:textbox>
          </v:shape>
        </w:pict>
      </w:r>
      <w:r>
        <w:rPr>
          <w:rFonts w:ascii="仿宋_GB2312" w:hAnsi="宋体" w:eastAsia="仿宋_GB2312"/>
          <w:b/>
          <w:color w:val="000000"/>
        </w:rPr>
        <w:pict>
          <v:shape id="_x0000_s2050" o:spid="_x0000_s2050" o:spt="202" type="#_x0000_t202" style="position:absolute;left:0pt;margin-left:220.5pt;margin-top:16.65pt;height:126.75pt;width:198.25pt;z-index:251662336;mso-width-relative:page;mso-height-relative:page;"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kzUmtNoAAAAKAQAADwAAAAAAAAABACAAAAAiAAAAZHJzL2Rvd25yZXYueG1sUEsBAhQAFAAAAAgA&#10;h07iQHUrsrMjAgAAUAQAAA4AAAAAAAAAAQAgAAAAKQEAAGRycy9lMm9Eb2MueG1sUEsFBgAAAAAG&#10;AAYAWQEAAL4FAAAAAA==&#10;">
            <v:path/>
            <v:fill focussize="0,0"/>
            <v:stroke joinstyle="miter"/>
            <v:imagedata o:title=""/>
            <o:lock v:ext="edit"/>
            <v:textbox>
              <w:txbxContent>
                <w:p>
                  <w:r>
                    <w:rPr>
                      <w:rFonts w:hint="eastAsia"/>
                    </w:rPr>
                    <w:t>被委托人身份证扫描</w:t>
                  </w:r>
                  <w:r>
                    <w:t>件</w:t>
                  </w:r>
                  <w:r>
                    <w:rPr>
                      <w:rFonts w:hint="eastAsia"/>
                    </w:rPr>
                    <w:t>（正面）</w:t>
                  </w:r>
                </w:p>
              </w:txbxContent>
            </v:textbox>
          </v:shape>
        </w:pict>
      </w:r>
      <w:r>
        <w:rPr>
          <w:rFonts w:ascii="仿宋_GB2312" w:hAnsi="宋体" w:eastAsia="仿宋_GB2312"/>
          <w:color w:val="000000"/>
        </w:rPr>
        <w:br w:type="page"/>
      </w:r>
    </w:p>
    <w:p>
      <w:pPr>
        <w:spacing w:line="0" w:lineRule="atLeast"/>
        <w:outlineLvl w:val="1"/>
        <w:rPr>
          <w:rFonts w:ascii="宋体" w:hAnsi="宋体"/>
          <w:szCs w:val="21"/>
        </w:rPr>
      </w:pPr>
      <w:bookmarkStart w:id="87"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7"/>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4"/>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2"/>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2"/>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2"/>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2"/>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8"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8"/>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9" w:name="_Toc32341"/>
      <w:r>
        <w:rPr>
          <w:rFonts w:ascii="仿宋" w:hAnsi="仿宋" w:eastAsia="仿宋"/>
          <w:sz w:val="28"/>
          <w:szCs w:val="28"/>
        </w:rPr>
        <w:br w:type="page"/>
      </w:r>
    </w:p>
    <w:p>
      <w:pPr>
        <w:spacing w:line="0" w:lineRule="atLeast"/>
        <w:outlineLvl w:val="1"/>
        <w:rPr>
          <w:rFonts w:ascii="宋体" w:hAnsi="宋体"/>
          <w:szCs w:val="21"/>
        </w:rPr>
      </w:pPr>
      <w:bookmarkStart w:id="90"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9"/>
      <w:bookmarkEnd w:id="90"/>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1"/>
      </w:pPr>
    </w:p>
    <w:p>
      <w:pPr>
        <w:spacing w:line="0" w:lineRule="atLeast"/>
        <w:outlineLvl w:val="1"/>
        <w:rPr>
          <w:rFonts w:ascii="宋体" w:hAnsi="宋体"/>
        </w:rPr>
      </w:pPr>
      <w:bookmarkStart w:id="91" w:name="_Toc100848654"/>
      <w:bookmarkStart w:id="92" w:name="_Toc116550374"/>
      <w:r>
        <w:rPr>
          <w:rFonts w:hint="eastAsia" w:ascii="宋体" w:hAnsi="宋体"/>
        </w:rPr>
        <w:t>附件15：投标文件密码</w:t>
      </w:r>
      <w:bookmarkEnd w:id="91"/>
      <w:r>
        <w:rPr>
          <w:rFonts w:hint="eastAsia" w:ascii="宋体" w:hAnsi="宋体"/>
        </w:rPr>
        <w:t>单</w:t>
      </w:r>
      <w:bookmarkEnd w:id="92"/>
    </w:p>
    <w:p>
      <w:pPr>
        <w:spacing w:line="360" w:lineRule="auto"/>
        <w:jc w:val="center"/>
        <w:rPr>
          <w:rFonts w:ascii="宋体" w:hAnsi="宋体"/>
          <w:b/>
          <w:sz w:val="44"/>
          <w:szCs w:val="44"/>
        </w:rPr>
      </w:pPr>
    </w:p>
    <w:p>
      <w:pPr>
        <w:jc w:val="center"/>
        <w:rPr>
          <w:rFonts w:ascii="宋体" w:hAnsi="宋体"/>
          <w:b/>
          <w:color w:val="000000" w:themeColor="text1"/>
          <w:sz w:val="32"/>
          <w:szCs w:val="32"/>
        </w:rPr>
      </w:pPr>
      <w:bookmarkStart w:id="93" w:name="_Hlk66864759"/>
      <w:r>
        <w:rPr>
          <w:rFonts w:hint="eastAsia" w:ascii="宋体" w:hAnsi="宋体"/>
          <w:b/>
          <w:color w:val="000000" w:themeColor="text1"/>
          <w:sz w:val="32"/>
          <w:szCs w:val="32"/>
        </w:rPr>
        <w:t>_</w:t>
      </w:r>
      <w:r>
        <w:rPr>
          <w:rFonts w:ascii="宋体" w:hAnsi="宋体"/>
          <w:b/>
          <w:color w:val="000000" w:themeColor="text1"/>
          <w:sz w:val="32"/>
          <w:szCs w:val="32"/>
        </w:rPr>
        <w:t>________________________________</w:t>
      </w:r>
      <w:r>
        <w:rPr>
          <w:rFonts w:hint="eastAsia" w:ascii="宋体" w:hAnsi="宋体"/>
          <w:b/>
          <w:color w:val="000000" w:themeColor="text1"/>
          <w:sz w:val="32"/>
          <w:szCs w:val="32"/>
        </w:rPr>
        <w:t>项目</w:t>
      </w:r>
      <w:bookmarkEnd w:id="93"/>
    </w:p>
    <w:p>
      <w:pPr>
        <w:jc w:val="center"/>
        <w:rPr>
          <w:rFonts w:ascii="宋体" w:hAnsi="宋体"/>
          <w:b/>
          <w:sz w:val="32"/>
          <w:szCs w:val="32"/>
        </w:rPr>
      </w:pPr>
      <w:r>
        <w:rPr>
          <w:rFonts w:hint="eastAsia" w:ascii="宋体" w:hAnsi="宋体"/>
          <w:b/>
          <w:sz w:val="32"/>
          <w:szCs w:val="32"/>
        </w:rPr>
        <w:t>投标文件密码单</w:t>
      </w:r>
    </w:p>
    <w:p>
      <w:pPr>
        <w:pStyle w:val="11"/>
        <w:rPr>
          <w:rFonts w:ascii="仿宋" w:hAnsi="仿宋" w:eastAsia="仿宋"/>
          <w:b/>
          <w:sz w:val="28"/>
          <w:szCs w:val="28"/>
        </w:rPr>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1"/>
        <w:rPr>
          <w:rFonts w:ascii="仿宋" w:hAnsi="仿宋" w:eastAsia="仿宋"/>
          <w:b/>
          <w:sz w:val="28"/>
          <w:szCs w:val="28"/>
        </w:rPr>
      </w:pPr>
    </w:p>
    <w:p>
      <w:pPr>
        <w:pStyle w:val="11"/>
        <w:rPr>
          <w:rFonts w:ascii="仿宋" w:hAnsi="仿宋" w:eastAsia="仿宋"/>
          <w:b/>
          <w:color w:val="FF0000"/>
          <w:sz w:val="28"/>
          <w:szCs w:val="28"/>
        </w:rPr>
      </w:pPr>
      <w:r>
        <w:rPr>
          <w:rFonts w:hint="eastAsia" w:ascii="仿宋" w:hAnsi="仿宋" w:eastAsia="仿宋"/>
          <w:b/>
          <w:color w:val="FF0000"/>
          <w:sz w:val="28"/>
          <w:szCs w:val="28"/>
        </w:rPr>
        <w:t>【特别注意】</w:t>
      </w:r>
    </w:p>
    <w:p>
      <w:pPr>
        <w:pStyle w:val="11"/>
        <w:numPr>
          <w:ilvl w:val="0"/>
          <w:numId w:val="47"/>
        </w:numPr>
        <w:rPr>
          <w:rFonts w:ascii="仿宋" w:hAnsi="仿宋" w:eastAsia="仿宋"/>
          <w:sz w:val="28"/>
          <w:szCs w:val="28"/>
        </w:rPr>
      </w:pPr>
      <w:r>
        <w:rPr>
          <w:rFonts w:hint="eastAsia" w:ascii="仿宋" w:hAnsi="仿宋" w:eastAsia="仿宋"/>
          <w:color w:val="000000" w:themeColor="text1"/>
          <w:sz w:val="28"/>
          <w:szCs w:val="28"/>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1"/>
        <w:numPr>
          <w:ilvl w:val="0"/>
          <w:numId w:val="47"/>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1"/>
      </w:pPr>
    </w:p>
    <w:p>
      <w:pPr>
        <w:pStyle w:val="11"/>
      </w:pPr>
    </w:p>
    <w:p>
      <w:pPr>
        <w:spacing w:line="360" w:lineRule="auto"/>
        <w:jc w:val="left"/>
        <w:rPr>
          <w:rFonts w:ascii="仿宋" w:hAnsi="仿宋" w:eastAsia="仿宋"/>
          <w:sz w:val="28"/>
          <w:szCs w:val="28"/>
        </w:rPr>
      </w:pPr>
      <w:bookmarkStart w:id="94"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bookmarkEnd w:id="94"/>
    </w:p>
    <w:p>
      <w:pPr>
        <w:pStyle w:val="11"/>
      </w:pPr>
    </w:p>
    <w:sectPr>
      <w:footerReference r:id="rId5" w:type="default"/>
      <w:pgSz w:w="11906" w:h="16838"/>
      <w:pgMar w:top="1134" w:right="1800" w:bottom="993" w:left="1800" w:header="851" w:footer="40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path/>
          <v:fill on="f" focussize="0,0"/>
          <v:stroke on="f" joinstyle="miter"/>
          <v:imagedata o:title=""/>
          <o:lock v:ext="edit"/>
          <v:textbox inset="0mm,0mm,0mm,0mm" style="mso-fit-shape-to-text:t;">
            <w:txbxContent>
              <w:p>
                <w:pPr>
                  <w:pStyle w:val="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path/>
          <v:fill on="f" focussize="0,0"/>
          <v:stroke on="f" joinstyle="miter"/>
          <v:imagedata o:title=""/>
          <o:lock v:ext="edit"/>
          <v:textbox inset="0mm,0mm,0mm,0mm" style="mso-fit-shape-to-text:t;">
            <w:txbxContent>
              <w:p>
                <w:pPr>
                  <w:pStyle w:val="6"/>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7797"/>
        <w:tab w:val="clear" w:pos="8306"/>
      </w:tabs>
      <w:ind w:right="-764" w:rightChars="-364"/>
      <w:jc w:val="right"/>
      <w:rPr>
        <w:rFonts w:ascii="宋体" w:hAnsi="宋体" w:cs="宋体"/>
        <w:bCs/>
      </w:rPr>
    </w:pPr>
    <w:bookmarkStart w:id="95" w:name="_Hlk116546063"/>
    <w:bookmarkStart w:id="96" w:name="_Hlk116546062"/>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95"/>
    <w:bookmarkEnd w:id="9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A2281775"/>
    <w:multiLevelType w:val="singleLevel"/>
    <w:tmpl w:val="A2281775"/>
    <w:lvl w:ilvl="0" w:tentative="0">
      <w:start w:val="1"/>
      <w:numFmt w:val="decimal"/>
      <w:suff w:val="space"/>
      <w:lvlText w:val="%1."/>
      <w:lvlJc w:val="left"/>
    </w:lvl>
  </w:abstractNum>
  <w:abstractNum w:abstractNumId="4">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5">
    <w:nsid w:val="CA690857"/>
    <w:multiLevelType w:val="singleLevel"/>
    <w:tmpl w:val="CA690857"/>
    <w:lvl w:ilvl="0" w:tentative="0">
      <w:start w:val="1"/>
      <w:numFmt w:val="decimal"/>
      <w:lvlText w:val="（%1）"/>
      <w:lvlJc w:val="left"/>
      <w:pPr>
        <w:ind w:left="420" w:hanging="420"/>
      </w:pPr>
      <w:rPr>
        <w:rFonts w:hint="eastAsia"/>
      </w:rPr>
    </w:lvl>
  </w:abstractNum>
  <w:abstractNum w:abstractNumId="6">
    <w:nsid w:val="CF7FE85F"/>
    <w:multiLevelType w:val="singleLevel"/>
    <w:tmpl w:val="CF7FE85F"/>
    <w:lvl w:ilvl="0" w:tentative="0">
      <w:start w:val="1"/>
      <w:numFmt w:val="decimal"/>
      <w:lvlText w:val="%1."/>
      <w:lvlJc w:val="left"/>
      <w:pPr>
        <w:ind w:left="425" w:hanging="425"/>
      </w:pPr>
      <w:rPr>
        <w:rFonts w:hint="default"/>
      </w:rPr>
    </w:lvl>
  </w:abstractNum>
  <w:abstractNum w:abstractNumId="7">
    <w:nsid w:val="D3051835"/>
    <w:multiLevelType w:val="singleLevel"/>
    <w:tmpl w:val="D3051835"/>
    <w:lvl w:ilvl="0" w:tentative="0">
      <w:start w:val="1"/>
      <w:numFmt w:val="decimal"/>
      <w:suff w:val="space"/>
      <w:lvlText w:val="%1."/>
      <w:lvlJc w:val="left"/>
    </w:lvl>
  </w:abstractNum>
  <w:abstractNum w:abstractNumId="8">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9">
    <w:nsid w:val="DAA5A57F"/>
    <w:multiLevelType w:val="singleLevel"/>
    <w:tmpl w:val="DAA5A57F"/>
    <w:lvl w:ilvl="0" w:tentative="0">
      <w:start w:val="1"/>
      <w:numFmt w:val="decimal"/>
      <w:suff w:val="space"/>
      <w:lvlText w:val="%1."/>
      <w:lvlJc w:val="left"/>
    </w:lvl>
  </w:abstractNum>
  <w:abstractNum w:abstractNumId="10">
    <w:nsid w:val="DB4D60E3"/>
    <w:multiLevelType w:val="singleLevel"/>
    <w:tmpl w:val="DB4D60E3"/>
    <w:lvl w:ilvl="0" w:tentative="0">
      <w:start w:val="1"/>
      <w:numFmt w:val="decimal"/>
      <w:suff w:val="space"/>
      <w:lvlText w:val="%1."/>
      <w:lvlJc w:val="left"/>
    </w:lvl>
  </w:abstractNum>
  <w:abstractNum w:abstractNumId="11">
    <w:nsid w:val="EBB28CBD"/>
    <w:multiLevelType w:val="singleLevel"/>
    <w:tmpl w:val="EBB28CBD"/>
    <w:lvl w:ilvl="0" w:tentative="0">
      <w:start w:val="1"/>
      <w:numFmt w:val="decimal"/>
      <w:suff w:val="space"/>
      <w:lvlText w:val="%1."/>
      <w:lvlJc w:val="left"/>
      <w:pPr>
        <w:ind w:left="520" w:firstLine="0"/>
      </w:pPr>
    </w:lvl>
  </w:abstractNum>
  <w:abstractNum w:abstractNumId="12">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3">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3"/>
    <w:multiLevelType w:val="singleLevel"/>
    <w:tmpl w:val="00000013"/>
    <w:lvl w:ilvl="0" w:tentative="0">
      <w:start w:val="1"/>
      <w:numFmt w:val="decimal"/>
      <w:lvlText w:val="%1."/>
      <w:lvlJc w:val="left"/>
      <w:pPr>
        <w:ind w:left="420" w:hanging="420"/>
      </w:pPr>
    </w:lvl>
  </w:abstractNum>
  <w:abstractNum w:abstractNumId="17">
    <w:nsid w:val="11D69C2C"/>
    <w:multiLevelType w:val="singleLevel"/>
    <w:tmpl w:val="11D69C2C"/>
    <w:lvl w:ilvl="0" w:tentative="0">
      <w:start w:val="1"/>
      <w:numFmt w:val="decimal"/>
      <w:suff w:val="space"/>
      <w:lvlText w:val="%1."/>
      <w:lvlJc w:val="left"/>
    </w:lvl>
  </w:abstractNum>
  <w:abstractNum w:abstractNumId="18">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0">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0AB9193"/>
    <w:multiLevelType w:val="singleLevel"/>
    <w:tmpl w:val="20AB9193"/>
    <w:lvl w:ilvl="0" w:tentative="0">
      <w:start w:val="1"/>
      <w:numFmt w:val="decimal"/>
      <w:lvlText w:val="%1."/>
      <w:lvlJc w:val="left"/>
      <w:pPr>
        <w:ind w:left="425" w:hanging="425"/>
      </w:pPr>
      <w:rPr>
        <w:rFonts w:hint="default"/>
      </w:rPr>
    </w:lvl>
  </w:abstractNum>
  <w:abstractNum w:abstractNumId="22">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1305886"/>
    <w:multiLevelType w:val="singleLevel"/>
    <w:tmpl w:val="21305886"/>
    <w:lvl w:ilvl="0" w:tentative="0">
      <w:start w:val="1"/>
      <w:numFmt w:val="decimal"/>
      <w:lvlText w:val="（%1）"/>
      <w:lvlJc w:val="left"/>
      <w:pPr>
        <w:ind w:left="420" w:hanging="420"/>
      </w:pPr>
      <w:rPr>
        <w:rFonts w:hint="eastAsia"/>
      </w:rPr>
    </w:lvl>
  </w:abstractNum>
  <w:abstractNum w:abstractNumId="24">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5">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8E10C89"/>
    <w:multiLevelType w:val="singleLevel"/>
    <w:tmpl w:val="28E10C89"/>
    <w:lvl w:ilvl="0" w:tentative="0">
      <w:start w:val="1"/>
      <w:numFmt w:val="decimal"/>
      <w:suff w:val="space"/>
      <w:lvlText w:val="%1."/>
      <w:lvlJc w:val="left"/>
    </w:lvl>
  </w:abstractNum>
  <w:abstractNum w:abstractNumId="28">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2">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3">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5">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6">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7">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9">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40">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3">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4">
    <w:nsid w:val="750E760B"/>
    <w:multiLevelType w:val="singleLevel"/>
    <w:tmpl w:val="750E760B"/>
    <w:lvl w:ilvl="0" w:tentative="0">
      <w:start w:val="1"/>
      <w:numFmt w:val="decimal"/>
      <w:lvlText w:val="（%1）"/>
      <w:lvlJc w:val="left"/>
      <w:pPr>
        <w:ind w:left="420" w:hanging="420"/>
      </w:pPr>
      <w:rPr>
        <w:rFonts w:hint="eastAsia"/>
        <w:color w:val="auto"/>
      </w:rPr>
    </w:lvl>
  </w:abstractNum>
  <w:abstractNum w:abstractNumId="45">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num w:numId="1">
    <w:abstractNumId w:val="39"/>
  </w:num>
  <w:num w:numId="2">
    <w:abstractNumId w:val="43"/>
  </w:num>
  <w:num w:numId="3">
    <w:abstractNumId w:val="30"/>
  </w:num>
  <w:num w:numId="4">
    <w:abstractNumId w:val="5"/>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40"/>
  </w:num>
  <w:num w:numId="8">
    <w:abstractNumId w:val="33"/>
  </w:num>
  <w:num w:numId="9">
    <w:abstractNumId w:val="18"/>
  </w:num>
  <w:num w:numId="10">
    <w:abstractNumId w:val="23"/>
  </w:num>
  <w:num w:numId="11">
    <w:abstractNumId w:val="44"/>
  </w:num>
  <w:num w:numId="12">
    <w:abstractNumId w:val="7"/>
  </w:num>
  <w:num w:numId="13">
    <w:abstractNumId w:val="27"/>
  </w:num>
  <w:num w:numId="14">
    <w:abstractNumId w:val="15"/>
  </w:num>
  <w:num w:numId="15">
    <w:abstractNumId w:val="20"/>
  </w:num>
  <w:num w:numId="16">
    <w:abstractNumId w:val="29"/>
  </w:num>
  <w:num w:numId="17">
    <w:abstractNumId w:val="3"/>
  </w:num>
  <w:num w:numId="18">
    <w:abstractNumId w:val="9"/>
  </w:num>
  <w:num w:numId="19">
    <w:abstractNumId w:val="34"/>
  </w:num>
  <w:num w:numId="20">
    <w:abstractNumId w:val="31"/>
  </w:num>
  <w:num w:numId="21">
    <w:abstractNumId w:val="11"/>
  </w:num>
  <w:num w:numId="22">
    <w:abstractNumId w:val="21"/>
  </w:num>
  <w:num w:numId="23">
    <w:abstractNumId w:val="6"/>
  </w:num>
  <w:num w:numId="24">
    <w:abstractNumId w:val="41"/>
  </w:num>
  <w:num w:numId="25">
    <w:abstractNumId w:val="17"/>
  </w:num>
  <w:num w:numId="26">
    <w:abstractNumId w:val="36"/>
  </w:num>
  <w:num w:numId="27">
    <w:abstractNumId w:val="4"/>
  </w:num>
  <w:num w:numId="28">
    <w:abstractNumId w:val="24"/>
  </w:num>
  <w:num w:numId="29">
    <w:abstractNumId w:val="1"/>
  </w:num>
  <w:num w:numId="30">
    <w:abstractNumId w:val="10"/>
  </w:num>
  <w:num w:numId="31">
    <w:abstractNumId w:val="8"/>
  </w:num>
  <w:num w:numId="32">
    <w:abstractNumId w:val="45"/>
  </w:num>
  <w:num w:numId="33">
    <w:abstractNumId w:val="0"/>
  </w:num>
  <w:num w:numId="34">
    <w:abstractNumId w:val="2"/>
  </w:num>
  <w:num w:numId="35">
    <w:abstractNumId w:val="32"/>
  </w:num>
  <w:num w:numId="36">
    <w:abstractNumId w:val="12"/>
  </w:num>
  <w:num w:numId="37">
    <w:abstractNumId w:val="14"/>
  </w:num>
  <w:num w:numId="38">
    <w:abstractNumId w:val="13"/>
  </w:num>
  <w:num w:numId="39">
    <w:abstractNumId w:val="42"/>
  </w:num>
  <w:num w:numId="40">
    <w:abstractNumId w:val="35"/>
  </w:num>
  <w:num w:numId="41">
    <w:abstractNumId w:val="28"/>
  </w:num>
  <w:num w:numId="42">
    <w:abstractNumId w:val="25"/>
  </w:num>
  <w:num w:numId="43">
    <w:abstractNumId w:val="37"/>
  </w:num>
  <w:num w:numId="44">
    <w:abstractNumId w:val="22"/>
  </w:num>
  <w:num w:numId="45">
    <w:abstractNumId w:val="16"/>
  </w:num>
  <w:num w:numId="46">
    <w:abstractNumId w:val="38"/>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M0Nzc4NTgxMTg1M2VmMTJlY2Y2ZjYwMjllOTg2ZDUifQ=="/>
  </w:docVars>
  <w:rsids>
    <w:rsidRoot w:val="007C50B2"/>
    <w:rsid w:val="000071F5"/>
    <w:rsid w:val="000109CF"/>
    <w:rsid w:val="0001408F"/>
    <w:rsid w:val="00017E63"/>
    <w:rsid w:val="00020D3D"/>
    <w:rsid w:val="0002431D"/>
    <w:rsid w:val="000262A2"/>
    <w:rsid w:val="00030ED4"/>
    <w:rsid w:val="0005325D"/>
    <w:rsid w:val="0006307A"/>
    <w:rsid w:val="00071803"/>
    <w:rsid w:val="00074891"/>
    <w:rsid w:val="00077160"/>
    <w:rsid w:val="00080360"/>
    <w:rsid w:val="00093F3A"/>
    <w:rsid w:val="00095512"/>
    <w:rsid w:val="000A2942"/>
    <w:rsid w:val="000A77C8"/>
    <w:rsid w:val="000C0416"/>
    <w:rsid w:val="000C45B3"/>
    <w:rsid w:val="000C7053"/>
    <w:rsid w:val="000D00F5"/>
    <w:rsid w:val="000E0ADA"/>
    <w:rsid w:val="000E3E7C"/>
    <w:rsid w:val="000F06D6"/>
    <w:rsid w:val="000F16F8"/>
    <w:rsid w:val="000F23B0"/>
    <w:rsid w:val="001052B4"/>
    <w:rsid w:val="001107A5"/>
    <w:rsid w:val="001223CE"/>
    <w:rsid w:val="001238C4"/>
    <w:rsid w:val="0012732B"/>
    <w:rsid w:val="0013213B"/>
    <w:rsid w:val="00133F13"/>
    <w:rsid w:val="001356BD"/>
    <w:rsid w:val="0013663B"/>
    <w:rsid w:val="00137AB2"/>
    <w:rsid w:val="00141B72"/>
    <w:rsid w:val="001427DC"/>
    <w:rsid w:val="00151C50"/>
    <w:rsid w:val="00154297"/>
    <w:rsid w:val="001544A8"/>
    <w:rsid w:val="00162AA4"/>
    <w:rsid w:val="0017163D"/>
    <w:rsid w:val="001723D2"/>
    <w:rsid w:val="00174846"/>
    <w:rsid w:val="00174AEA"/>
    <w:rsid w:val="0017678F"/>
    <w:rsid w:val="00180E0D"/>
    <w:rsid w:val="0018170D"/>
    <w:rsid w:val="001959E5"/>
    <w:rsid w:val="001978B2"/>
    <w:rsid w:val="001A282A"/>
    <w:rsid w:val="001A6C5B"/>
    <w:rsid w:val="001D65B4"/>
    <w:rsid w:val="001E1CE9"/>
    <w:rsid w:val="001E204B"/>
    <w:rsid w:val="001E264F"/>
    <w:rsid w:val="001E44D2"/>
    <w:rsid w:val="001E75C9"/>
    <w:rsid w:val="001F14F2"/>
    <w:rsid w:val="001F279E"/>
    <w:rsid w:val="0020628E"/>
    <w:rsid w:val="00206999"/>
    <w:rsid w:val="00207EAA"/>
    <w:rsid w:val="0022465E"/>
    <w:rsid w:val="00230DCB"/>
    <w:rsid w:val="002316CC"/>
    <w:rsid w:val="00233E0E"/>
    <w:rsid w:val="00252697"/>
    <w:rsid w:val="00253531"/>
    <w:rsid w:val="00292E63"/>
    <w:rsid w:val="002963F2"/>
    <w:rsid w:val="002A1B14"/>
    <w:rsid w:val="002A2788"/>
    <w:rsid w:val="002B743A"/>
    <w:rsid w:val="002C49F2"/>
    <w:rsid w:val="003158DE"/>
    <w:rsid w:val="00316428"/>
    <w:rsid w:val="00316E82"/>
    <w:rsid w:val="003231AB"/>
    <w:rsid w:val="0032368E"/>
    <w:rsid w:val="003255E6"/>
    <w:rsid w:val="003300CC"/>
    <w:rsid w:val="00337D03"/>
    <w:rsid w:val="00337EE5"/>
    <w:rsid w:val="003436BC"/>
    <w:rsid w:val="00354484"/>
    <w:rsid w:val="003545D1"/>
    <w:rsid w:val="00356F92"/>
    <w:rsid w:val="00362661"/>
    <w:rsid w:val="0037679F"/>
    <w:rsid w:val="003823A8"/>
    <w:rsid w:val="0039240E"/>
    <w:rsid w:val="00397C1E"/>
    <w:rsid w:val="003A09E6"/>
    <w:rsid w:val="003B01FB"/>
    <w:rsid w:val="003D0358"/>
    <w:rsid w:val="003D7BB2"/>
    <w:rsid w:val="003E00D4"/>
    <w:rsid w:val="003E55E9"/>
    <w:rsid w:val="003E6092"/>
    <w:rsid w:val="003E66A3"/>
    <w:rsid w:val="003E7621"/>
    <w:rsid w:val="003F1E01"/>
    <w:rsid w:val="00412BB1"/>
    <w:rsid w:val="004235D9"/>
    <w:rsid w:val="00423A37"/>
    <w:rsid w:val="00427D5D"/>
    <w:rsid w:val="004317BB"/>
    <w:rsid w:val="00432C74"/>
    <w:rsid w:val="00434E45"/>
    <w:rsid w:val="00441F17"/>
    <w:rsid w:val="004607EA"/>
    <w:rsid w:val="004707D2"/>
    <w:rsid w:val="00471ED2"/>
    <w:rsid w:val="00476C96"/>
    <w:rsid w:val="004775EE"/>
    <w:rsid w:val="00492F1D"/>
    <w:rsid w:val="0049515B"/>
    <w:rsid w:val="004A0594"/>
    <w:rsid w:val="004A09A2"/>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54298"/>
    <w:rsid w:val="00565EDC"/>
    <w:rsid w:val="005700E9"/>
    <w:rsid w:val="00570D48"/>
    <w:rsid w:val="005815FC"/>
    <w:rsid w:val="005941A9"/>
    <w:rsid w:val="005A26F8"/>
    <w:rsid w:val="005A480E"/>
    <w:rsid w:val="005B03C2"/>
    <w:rsid w:val="005B1453"/>
    <w:rsid w:val="005B328D"/>
    <w:rsid w:val="005C5034"/>
    <w:rsid w:val="005D123F"/>
    <w:rsid w:val="005E3734"/>
    <w:rsid w:val="005E43D8"/>
    <w:rsid w:val="005E4792"/>
    <w:rsid w:val="005F16B3"/>
    <w:rsid w:val="005F71F0"/>
    <w:rsid w:val="00604C0B"/>
    <w:rsid w:val="00606010"/>
    <w:rsid w:val="006115F6"/>
    <w:rsid w:val="00621681"/>
    <w:rsid w:val="00622CAA"/>
    <w:rsid w:val="00630585"/>
    <w:rsid w:val="006311FC"/>
    <w:rsid w:val="00632039"/>
    <w:rsid w:val="006333BC"/>
    <w:rsid w:val="00637F25"/>
    <w:rsid w:val="00640ADD"/>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0A72"/>
    <w:rsid w:val="0070433C"/>
    <w:rsid w:val="007115E1"/>
    <w:rsid w:val="007141D0"/>
    <w:rsid w:val="00714CDB"/>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854E7"/>
    <w:rsid w:val="00790A8A"/>
    <w:rsid w:val="007933D2"/>
    <w:rsid w:val="007C02CE"/>
    <w:rsid w:val="007C3EB8"/>
    <w:rsid w:val="007C50B2"/>
    <w:rsid w:val="007E5968"/>
    <w:rsid w:val="00803FA2"/>
    <w:rsid w:val="00805260"/>
    <w:rsid w:val="00807E88"/>
    <w:rsid w:val="008117C1"/>
    <w:rsid w:val="008134DA"/>
    <w:rsid w:val="00823E99"/>
    <w:rsid w:val="0084470A"/>
    <w:rsid w:val="00845DE7"/>
    <w:rsid w:val="00857F72"/>
    <w:rsid w:val="00866C0E"/>
    <w:rsid w:val="00867C56"/>
    <w:rsid w:val="00870B22"/>
    <w:rsid w:val="00874BB5"/>
    <w:rsid w:val="00876830"/>
    <w:rsid w:val="00895D5D"/>
    <w:rsid w:val="008A0193"/>
    <w:rsid w:val="008A3A93"/>
    <w:rsid w:val="008B2C67"/>
    <w:rsid w:val="008C44DE"/>
    <w:rsid w:val="008D359F"/>
    <w:rsid w:val="008E05E5"/>
    <w:rsid w:val="008E5A97"/>
    <w:rsid w:val="008F03B4"/>
    <w:rsid w:val="0090721F"/>
    <w:rsid w:val="0091320F"/>
    <w:rsid w:val="00915BDD"/>
    <w:rsid w:val="0092096B"/>
    <w:rsid w:val="00921D78"/>
    <w:rsid w:val="009220C4"/>
    <w:rsid w:val="00922825"/>
    <w:rsid w:val="0092480B"/>
    <w:rsid w:val="00926702"/>
    <w:rsid w:val="00927979"/>
    <w:rsid w:val="00937F12"/>
    <w:rsid w:val="00943245"/>
    <w:rsid w:val="0094528D"/>
    <w:rsid w:val="00956784"/>
    <w:rsid w:val="00960B05"/>
    <w:rsid w:val="00963D73"/>
    <w:rsid w:val="00967038"/>
    <w:rsid w:val="00976465"/>
    <w:rsid w:val="0098029E"/>
    <w:rsid w:val="0098263B"/>
    <w:rsid w:val="00982922"/>
    <w:rsid w:val="00991233"/>
    <w:rsid w:val="009A37EC"/>
    <w:rsid w:val="009A699B"/>
    <w:rsid w:val="009A6EF3"/>
    <w:rsid w:val="009B7189"/>
    <w:rsid w:val="009C0135"/>
    <w:rsid w:val="009C22CA"/>
    <w:rsid w:val="009C4CF2"/>
    <w:rsid w:val="009D1C89"/>
    <w:rsid w:val="009D7A17"/>
    <w:rsid w:val="009E19A2"/>
    <w:rsid w:val="009E25C8"/>
    <w:rsid w:val="009E2781"/>
    <w:rsid w:val="009E3D67"/>
    <w:rsid w:val="009E47FF"/>
    <w:rsid w:val="009E7342"/>
    <w:rsid w:val="00A0064A"/>
    <w:rsid w:val="00A0267F"/>
    <w:rsid w:val="00A1164B"/>
    <w:rsid w:val="00A14D3A"/>
    <w:rsid w:val="00A30228"/>
    <w:rsid w:val="00A31A55"/>
    <w:rsid w:val="00A326F2"/>
    <w:rsid w:val="00A3423A"/>
    <w:rsid w:val="00A35983"/>
    <w:rsid w:val="00A35F31"/>
    <w:rsid w:val="00A4407E"/>
    <w:rsid w:val="00A46C1C"/>
    <w:rsid w:val="00A47DFC"/>
    <w:rsid w:val="00A639F5"/>
    <w:rsid w:val="00A761F1"/>
    <w:rsid w:val="00A764F0"/>
    <w:rsid w:val="00A8313A"/>
    <w:rsid w:val="00A91CB9"/>
    <w:rsid w:val="00AA01BF"/>
    <w:rsid w:val="00AA0F85"/>
    <w:rsid w:val="00AA320E"/>
    <w:rsid w:val="00AA38D8"/>
    <w:rsid w:val="00AA56F4"/>
    <w:rsid w:val="00AA6BD5"/>
    <w:rsid w:val="00AB0184"/>
    <w:rsid w:val="00AB0A23"/>
    <w:rsid w:val="00AC1082"/>
    <w:rsid w:val="00AC6A2D"/>
    <w:rsid w:val="00AC7FB5"/>
    <w:rsid w:val="00AD0743"/>
    <w:rsid w:val="00AE1E1D"/>
    <w:rsid w:val="00AF0A7F"/>
    <w:rsid w:val="00AF1254"/>
    <w:rsid w:val="00AF348F"/>
    <w:rsid w:val="00AF730B"/>
    <w:rsid w:val="00B02F8D"/>
    <w:rsid w:val="00B049D6"/>
    <w:rsid w:val="00B1365B"/>
    <w:rsid w:val="00B21864"/>
    <w:rsid w:val="00B21C1D"/>
    <w:rsid w:val="00B37A2F"/>
    <w:rsid w:val="00B40F3E"/>
    <w:rsid w:val="00B44E4F"/>
    <w:rsid w:val="00B522B7"/>
    <w:rsid w:val="00B55137"/>
    <w:rsid w:val="00B65C5E"/>
    <w:rsid w:val="00B671B8"/>
    <w:rsid w:val="00B76BC6"/>
    <w:rsid w:val="00BA7AC7"/>
    <w:rsid w:val="00BB0EBD"/>
    <w:rsid w:val="00BC0C0B"/>
    <w:rsid w:val="00BC40BD"/>
    <w:rsid w:val="00BD120A"/>
    <w:rsid w:val="00BD666B"/>
    <w:rsid w:val="00BE3D59"/>
    <w:rsid w:val="00BF52E8"/>
    <w:rsid w:val="00C01654"/>
    <w:rsid w:val="00C15CC0"/>
    <w:rsid w:val="00C30244"/>
    <w:rsid w:val="00C33D2E"/>
    <w:rsid w:val="00C4032E"/>
    <w:rsid w:val="00C4211B"/>
    <w:rsid w:val="00C5180D"/>
    <w:rsid w:val="00C53AB0"/>
    <w:rsid w:val="00C53D1D"/>
    <w:rsid w:val="00C57330"/>
    <w:rsid w:val="00C61FB2"/>
    <w:rsid w:val="00C6530D"/>
    <w:rsid w:val="00C71B6D"/>
    <w:rsid w:val="00C72E08"/>
    <w:rsid w:val="00C73DAB"/>
    <w:rsid w:val="00C76FD5"/>
    <w:rsid w:val="00C84B98"/>
    <w:rsid w:val="00C84C10"/>
    <w:rsid w:val="00C84C31"/>
    <w:rsid w:val="00C9460F"/>
    <w:rsid w:val="00C95195"/>
    <w:rsid w:val="00CB0006"/>
    <w:rsid w:val="00CB1DEF"/>
    <w:rsid w:val="00CB4F4F"/>
    <w:rsid w:val="00CC73DA"/>
    <w:rsid w:val="00CD24C8"/>
    <w:rsid w:val="00CD4DCE"/>
    <w:rsid w:val="00CE24CE"/>
    <w:rsid w:val="00CE2F3E"/>
    <w:rsid w:val="00CE34F4"/>
    <w:rsid w:val="00CE5F16"/>
    <w:rsid w:val="00CE6379"/>
    <w:rsid w:val="00CF3F58"/>
    <w:rsid w:val="00D05270"/>
    <w:rsid w:val="00D05E1F"/>
    <w:rsid w:val="00D05E3F"/>
    <w:rsid w:val="00D13594"/>
    <w:rsid w:val="00D1644D"/>
    <w:rsid w:val="00D2411A"/>
    <w:rsid w:val="00D36CF5"/>
    <w:rsid w:val="00D4224E"/>
    <w:rsid w:val="00D43550"/>
    <w:rsid w:val="00D629CE"/>
    <w:rsid w:val="00D72ED5"/>
    <w:rsid w:val="00D83CA2"/>
    <w:rsid w:val="00D83CC0"/>
    <w:rsid w:val="00D84553"/>
    <w:rsid w:val="00D8470E"/>
    <w:rsid w:val="00D955EB"/>
    <w:rsid w:val="00DB1C4E"/>
    <w:rsid w:val="00DB59F8"/>
    <w:rsid w:val="00DB7D95"/>
    <w:rsid w:val="00DD544D"/>
    <w:rsid w:val="00DE54DF"/>
    <w:rsid w:val="00DE5E4C"/>
    <w:rsid w:val="00DE7DDC"/>
    <w:rsid w:val="00DF1681"/>
    <w:rsid w:val="00E107EC"/>
    <w:rsid w:val="00E1101D"/>
    <w:rsid w:val="00E11738"/>
    <w:rsid w:val="00E12957"/>
    <w:rsid w:val="00E27F91"/>
    <w:rsid w:val="00E31BD7"/>
    <w:rsid w:val="00E45D07"/>
    <w:rsid w:val="00E602A4"/>
    <w:rsid w:val="00E677C6"/>
    <w:rsid w:val="00E70687"/>
    <w:rsid w:val="00E710FC"/>
    <w:rsid w:val="00E7451C"/>
    <w:rsid w:val="00E75726"/>
    <w:rsid w:val="00E8468B"/>
    <w:rsid w:val="00E86CB7"/>
    <w:rsid w:val="00E928C6"/>
    <w:rsid w:val="00E973FF"/>
    <w:rsid w:val="00EA0513"/>
    <w:rsid w:val="00EB3FCD"/>
    <w:rsid w:val="00EC57A0"/>
    <w:rsid w:val="00ED6D11"/>
    <w:rsid w:val="00F00080"/>
    <w:rsid w:val="00F01837"/>
    <w:rsid w:val="00F01D21"/>
    <w:rsid w:val="00F03A68"/>
    <w:rsid w:val="00F04E6A"/>
    <w:rsid w:val="00F112C6"/>
    <w:rsid w:val="00F12008"/>
    <w:rsid w:val="00F1499F"/>
    <w:rsid w:val="00F210DC"/>
    <w:rsid w:val="00F2136A"/>
    <w:rsid w:val="00F256B7"/>
    <w:rsid w:val="00F309E8"/>
    <w:rsid w:val="00F313E2"/>
    <w:rsid w:val="00F33021"/>
    <w:rsid w:val="00F36975"/>
    <w:rsid w:val="00F467E3"/>
    <w:rsid w:val="00F47201"/>
    <w:rsid w:val="00F51D51"/>
    <w:rsid w:val="00F525B8"/>
    <w:rsid w:val="00F53D25"/>
    <w:rsid w:val="00F64816"/>
    <w:rsid w:val="00F73354"/>
    <w:rsid w:val="00F73E05"/>
    <w:rsid w:val="00F75D92"/>
    <w:rsid w:val="00FA092E"/>
    <w:rsid w:val="00FA63B5"/>
    <w:rsid w:val="00FA6D58"/>
    <w:rsid w:val="00FD52D3"/>
    <w:rsid w:val="00FE72DF"/>
    <w:rsid w:val="00FF24C8"/>
    <w:rsid w:val="00FF2F91"/>
    <w:rsid w:val="02B47C4D"/>
    <w:rsid w:val="03C77CA0"/>
    <w:rsid w:val="04450729"/>
    <w:rsid w:val="04D46768"/>
    <w:rsid w:val="04F90B5F"/>
    <w:rsid w:val="053A1CC8"/>
    <w:rsid w:val="0568668B"/>
    <w:rsid w:val="06856661"/>
    <w:rsid w:val="077B4608"/>
    <w:rsid w:val="07BB74B6"/>
    <w:rsid w:val="07D7576E"/>
    <w:rsid w:val="083E08E4"/>
    <w:rsid w:val="08493DEA"/>
    <w:rsid w:val="086E4EC9"/>
    <w:rsid w:val="0B734A64"/>
    <w:rsid w:val="0C4B693D"/>
    <w:rsid w:val="0CC37E81"/>
    <w:rsid w:val="0CDE01F2"/>
    <w:rsid w:val="0DD201F4"/>
    <w:rsid w:val="0F4526B6"/>
    <w:rsid w:val="10091618"/>
    <w:rsid w:val="124E5814"/>
    <w:rsid w:val="152B64B8"/>
    <w:rsid w:val="15740DA4"/>
    <w:rsid w:val="17A94F02"/>
    <w:rsid w:val="195A6BC0"/>
    <w:rsid w:val="1C5670DA"/>
    <w:rsid w:val="1D813BCE"/>
    <w:rsid w:val="1EF05687"/>
    <w:rsid w:val="1F7074E6"/>
    <w:rsid w:val="227A4EED"/>
    <w:rsid w:val="228D0750"/>
    <w:rsid w:val="24786106"/>
    <w:rsid w:val="24844675"/>
    <w:rsid w:val="25440688"/>
    <w:rsid w:val="25A5748F"/>
    <w:rsid w:val="25BE1EBF"/>
    <w:rsid w:val="25D85A3C"/>
    <w:rsid w:val="267E19B6"/>
    <w:rsid w:val="26E95967"/>
    <w:rsid w:val="293B1A81"/>
    <w:rsid w:val="2A1D36D7"/>
    <w:rsid w:val="2B6F2FCE"/>
    <w:rsid w:val="2B9E3425"/>
    <w:rsid w:val="2BD84FDD"/>
    <w:rsid w:val="2BFA4386"/>
    <w:rsid w:val="2CD73EA3"/>
    <w:rsid w:val="2D845ED0"/>
    <w:rsid w:val="2E233556"/>
    <w:rsid w:val="2EAB6E76"/>
    <w:rsid w:val="30381F4F"/>
    <w:rsid w:val="312C30D6"/>
    <w:rsid w:val="31FC7390"/>
    <w:rsid w:val="34727ED5"/>
    <w:rsid w:val="34A05B77"/>
    <w:rsid w:val="37097428"/>
    <w:rsid w:val="37187E08"/>
    <w:rsid w:val="373C2903"/>
    <w:rsid w:val="388F69F8"/>
    <w:rsid w:val="38AC36F6"/>
    <w:rsid w:val="394A3FAD"/>
    <w:rsid w:val="39650B36"/>
    <w:rsid w:val="39B40051"/>
    <w:rsid w:val="3AAD7F79"/>
    <w:rsid w:val="3B991A52"/>
    <w:rsid w:val="3BB26AC4"/>
    <w:rsid w:val="3C321F4D"/>
    <w:rsid w:val="3C35255B"/>
    <w:rsid w:val="3D3679ED"/>
    <w:rsid w:val="408D7227"/>
    <w:rsid w:val="41407E51"/>
    <w:rsid w:val="416718EC"/>
    <w:rsid w:val="435B618D"/>
    <w:rsid w:val="439D7A21"/>
    <w:rsid w:val="43D97719"/>
    <w:rsid w:val="447267E8"/>
    <w:rsid w:val="44E431E5"/>
    <w:rsid w:val="46564447"/>
    <w:rsid w:val="46B30DE6"/>
    <w:rsid w:val="492A4A83"/>
    <w:rsid w:val="495C1F5C"/>
    <w:rsid w:val="4AF77150"/>
    <w:rsid w:val="4B043F4E"/>
    <w:rsid w:val="4B8B03E4"/>
    <w:rsid w:val="4D9A3F67"/>
    <w:rsid w:val="4DDF67CC"/>
    <w:rsid w:val="4EE12BFB"/>
    <w:rsid w:val="4F39080F"/>
    <w:rsid w:val="4FF80240"/>
    <w:rsid w:val="50FA6A61"/>
    <w:rsid w:val="513E4D2F"/>
    <w:rsid w:val="51794BC1"/>
    <w:rsid w:val="53D25371"/>
    <w:rsid w:val="540F1FD2"/>
    <w:rsid w:val="55DC391A"/>
    <w:rsid w:val="561F6663"/>
    <w:rsid w:val="56DB5E5A"/>
    <w:rsid w:val="57315BF2"/>
    <w:rsid w:val="57594B93"/>
    <w:rsid w:val="57D76A28"/>
    <w:rsid w:val="594A6990"/>
    <w:rsid w:val="5A2E0F40"/>
    <w:rsid w:val="5E8307E5"/>
    <w:rsid w:val="5F456359"/>
    <w:rsid w:val="60475C3F"/>
    <w:rsid w:val="60785544"/>
    <w:rsid w:val="60A60070"/>
    <w:rsid w:val="61A26997"/>
    <w:rsid w:val="622C21AB"/>
    <w:rsid w:val="62D00ABF"/>
    <w:rsid w:val="640C25AF"/>
    <w:rsid w:val="6541126B"/>
    <w:rsid w:val="672146AE"/>
    <w:rsid w:val="683A303D"/>
    <w:rsid w:val="68E97B63"/>
    <w:rsid w:val="6A5B2F9C"/>
    <w:rsid w:val="6B1E605C"/>
    <w:rsid w:val="6C5E0507"/>
    <w:rsid w:val="6C6B5505"/>
    <w:rsid w:val="6C9846B8"/>
    <w:rsid w:val="6DF67C63"/>
    <w:rsid w:val="6E3F209B"/>
    <w:rsid w:val="6ED02117"/>
    <w:rsid w:val="725336E8"/>
    <w:rsid w:val="732C4B81"/>
    <w:rsid w:val="74783A1C"/>
    <w:rsid w:val="74AB354D"/>
    <w:rsid w:val="74B05132"/>
    <w:rsid w:val="74E41CD4"/>
    <w:rsid w:val="75984C7A"/>
    <w:rsid w:val="76C52AAF"/>
    <w:rsid w:val="76E063E5"/>
    <w:rsid w:val="772A35DE"/>
    <w:rsid w:val="781B5752"/>
    <w:rsid w:val="78CB12BA"/>
    <w:rsid w:val="7941257D"/>
    <w:rsid w:val="798425C1"/>
    <w:rsid w:val="7999518A"/>
    <w:rsid w:val="79A35F22"/>
    <w:rsid w:val="79BF662E"/>
    <w:rsid w:val="7A751935"/>
    <w:rsid w:val="7B2952F2"/>
    <w:rsid w:val="7CF46BD3"/>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4"/>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Balloon Text"/>
    <w:basedOn w:val="1"/>
    <w:link w:val="26"/>
    <w:semiHidden/>
    <w:unhideWhenUsed/>
    <w:qFormat/>
    <w:uiPriority w:val="99"/>
    <w:rPr>
      <w:sz w:val="18"/>
      <w:szCs w:val="18"/>
    </w:rPr>
  </w:style>
  <w:style w:type="paragraph" w:styleId="6">
    <w:name w:val="footer"/>
    <w:basedOn w:val="1"/>
    <w:link w:val="28"/>
    <w:unhideWhenUsed/>
    <w:qFormat/>
    <w:uiPriority w:val="0"/>
    <w:pPr>
      <w:tabs>
        <w:tab w:val="center" w:pos="4153"/>
        <w:tab w:val="right" w:pos="8306"/>
      </w:tabs>
      <w:snapToGrid w:val="0"/>
      <w:jc w:val="left"/>
    </w:pPr>
    <w:rPr>
      <w:sz w:val="18"/>
      <w:szCs w:val="18"/>
    </w:rPr>
  </w:style>
  <w:style w:type="paragraph" w:styleId="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footnote text"/>
    <w:basedOn w:val="1"/>
    <w:link w:val="33"/>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style>
  <w:style w:type="paragraph" w:styleId="11">
    <w:name w:val="Body Text 2"/>
    <w:basedOn w:val="1"/>
    <w:link w:val="32"/>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30"/>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styleId="20">
    <w:name w:val="footnote reference"/>
    <w:basedOn w:val="16"/>
    <w:semiHidden/>
    <w:unhideWhenUsed/>
    <w:qFormat/>
    <w:uiPriority w:val="99"/>
    <w:rPr>
      <w:vertAlign w:val="superscript"/>
    </w:rPr>
  </w:style>
  <w:style w:type="character" w:customStyle="1" w:styleId="21">
    <w:name w:val="列出段落 Char"/>
    <w:link w:val="22"/>
    <w:qFormat/>
    <w:uiPriority w:val="34"/>
    <w:rPr>
      <w:rFonts w:ascii="Times New Roman" w:hAnsi="Times New Roman"/>
      <w:szCs w:val="24"/>
    </w:rPr>
  </w:style>
  <w:style w:type="paragraph" w:styleId="22">
    <w:name w:val="List Paragraph"/>
    <w:basedOn w:val="1"/>
    <w:link w:val="21"/>
    <w:qFormat/>
    <w:uiPriority w:val="34"/>
    <w:pPr>
      <w:ind w:firstLine="420" w:firstLineChars="200"/>
    </w:pPr>
    <w:rPr>
      <w:rFonts w:eastAsiaTheme="minorEastAsia" w:cstheme="minorBidi"/>
    </w:rPr>
  </w:style>
  <w:style w:type="character" w:customStyle="1" w:styleId="23">
    <w:name w:val="批注文字 字符"/>
    <w:basedOn w:val="16"/>
    <w:semiHidden/>
    <w:qFormat/>
    <w:uiPriority w:val="99"/>
    <w:rPr>
      <w:rFonts w:ascii="Times New Roman" w:hAnsi="Times New Roman" w:eastAsia="宋体" w:cs="Times New Roman"/>
      <w:szCs w:val="24"/>
    </w:rPr>
  </w:style>
  <w:style w:type="character" w:customStyle="1" w:styleId="24">
    <w:name w:val="批注文字 Char"/>
    <w:link w:val="3"/>
    <w:qFormat/>
    <w:uiPriority w:val="99"/>
    <w:rPr>
      <w:rFonts w:ascii="Times New Roman" w:hAnsi="Times New Roman" w:eastAsia="宋体" w:cs="Times New Roman"/>
      <w:szCs w:val="24"/>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6">
    <w:name w:val="批注框文本 Char"/>
    <w:basedOn w:val="16"/>
    <w:link w:val="5"/>
    <w:semiHidden/>
    <w:qFormat/>
    <w:uiPriority w:val="99"/>
    <w:rPr>
      <w:rFonts w:ascii="Times New Roman" w:hAnsi="Times New Roman" w:eastAsia="宋体" w:cs="Times New Roman"/>
      <w:sz w:val="18"/>
      <w:szCs w:val="18"/>
    </w:rPr>
  </w:style>
  <w:style w:type="character" w:customStyle="1" w:styleId="27">
    <w:name w:val="页眉 Char"/>
    <w:basedOn w:val="16"/>
    <w:link w:val="7"/>
    <w:qFormat/>
    <w:uiPriority w:val="99"/>
    <w:rPr>
      <w:rFonts w:ascii="Times New Roman" w:hAnsi="Times New Roman" w:eastAsia="宋体" w:cs="Times New Roman"/>
      <w:sz w:val="18"/>
      <w:szCs w:val="18"/>
    </w:rPr>
  </w:style>
  <w:style w:type="character" w:customStyle="1" w:styleId="28">
    <w:name w:val="页脚 Char"/>
    <w:basedOn w:val="16"/>
    <w:link w:val="6"/>
    <w:qFormat/>
    <w:uiPriority w:val="0"/>
    <w:rPr>
      <w:rFonts w:ascii="Times New Roman" w:hAnsi="Times New Roman" w:eastAsia="宋体" w:cs="Times New Roman"/>
      <w:sz w:val="18"/>
      <w:szCs w:val="18"/>
    </w:rPr>
  </w:style>
  <w:style w:type="character" w:customStyle="1" w:styleId="29">
    <w:name w:val="标题1"/>
    <w:basedOn w:val="16"/>
    <w:qFormat/>
    <w:uiPriority w:val="0"/>
  </w:style>
  <w:style w:type="character" w:customStyle="1" w:styleId="30">
    <w:name w:val="批注主题 Char"/>
    <w:basedOn w:val="24"/>
    <w:link w:val="13"/>
    <w:semiHidden/>
    <w:qFormat/>
    <w:uiPriority w:val="99"/>
    <w:rPr>
      <w:rFonts w:ascii="Times New Roman" w:hAnsi="Times New Roman" w:eastAsia="宋体" w:cs="Times New Roman"/>
      <w:b/>
      <w:bCs/>
      <w:szCs w:val="24"/>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正文文本 2 Char"/>
    <w:basedOn w:val="16"/>
    <w:link w:val="11"/>
    <w:qFormat/>
    <w:uiPriority w:val="0"/>
    <w:rPr>
      <w:rFonts w:ascii="仿宋_GB2312" w:hAnsi="宋体" w:eastAsia="仿宋_GB2312"/>
      <w:kern w:val="2"/>
      <w:sz w:val="21"/>
      <w:szCs w:val="24"/>
    </w:rPr>
  </w:style>
  <w:style w:type="character" w:customStyle="1" w:styleId="33">
    <w:name w:val="脚注文本 Char"/>
    <w:basedOn w:val="16"/>
    <w:link w:val="9"/>
    <w:semiHidden/>
    <w:qFormat/>
    <w:uiPriority w:val="99"/>
    <w:rPr>
      <w:kern w:val="2"/>
      <w:sz w:val="18"/>
      <w:szCs w:val="18"/>
    </w:rPr>
  </w:style>
  <w:style w:type="paragraph" w:customStyle="1" w:styleId="34">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3073"/>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D875F3-72D7-40AF-AF6D-A0DFBB57A4F6}">
  <ds:schemaRefs/>
</ds:datastoreItem>
</file>

<file path=docProps/app.xml><?xml version="1.0" encoding="utf-8"?>
<Properties xmlns="http://schemas.openxmlformats.org/officeDocument/2006/extended-properties" xmlns:vt="http://schemas.openxmlformats.org/officeDocument/2006/docPropsVTypes">
  <Template>Normal.dotm</Template>
  <Company>中国微软</Company>
  <Pages>35</Pages>
  <Words>3267</Words>
  <Characters>18622</Characters>
  <Lines>155</Lines>
  <Paragraphs>43</Paragraphs>
  <TotalTime>16</TotalTime>
  <ScaleCrop>false</ScaleCrop>
  <LinksUpToDate>false</LinksUpToDate>
  <CharactersWithSpaces>21846</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宛</cp:lastModifiedBy>
  <cp:lastPrinted>2023-09-18T08:13:00Z</cp:lastPrinted>
  <dcterms:modified xsi:type="dcterms:W3CDTF">2023-09-22T01:29:28Z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53E30C03B2F54D8088865A9D428C485B</vt:lpwstr>
  </property>
</Properties>
</file>