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pStyle w:val="2"/>
        <w:ind w:left="0" w:leftChars="0" w:firstLine="0" w:firstLineChars="0"/>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color w:val="auto"/>
          <w:sz w:val="32"/>
          <w:szCs w:val="32"/>
          <w:highlight w:val="none"/>
        </w:rPr>
        <w:t>关于高交会英文网站、英文微信公众号、推特账号运维管理和专题宣传服务采购项目</w:t>
      </w:r>
      <w:bookmarkEnd w:id="0"/>
      <w:r>
        <w:rPr>
          <w:rFonts w:hint="eastAsia" w:ascii="方正小标宋简体" w:hAnsi="方正小标宋_GBK" w:eastAsia="方正小标宋简体" w:cs="方正小标宋_GBK"/>
          <w:b/>
          <w:color w:val="auto"/>
          <w:sz w:val="32"/>
          <w:szCs w:val="32"/>
          <w:highlight w:val="none"/>
          <w:lang w:eastAsia="zh-CN"/>
        </w:rPr>
        <w:t>（</w:t>
      </w:r>
      <w:r>
        <w:rPr>
          <w:rFonts w:hint="eastAsia" w:ascii="方正小标宋简体" w:hAnsi="方正小标宋_GBK" w:eastAsia="方正小标宋简体" w:cs="方正小标宋_GBK"/>
          <w:b/>
          <w:color w:val="auto"/>
          <w:sz w:val="32"/>
          <w:szCs w:val="32"/>
          <w:highlight w:val="none"/>
          <w:lang w:val="en-US" w:eastAsia="zh-CN"/>
        </w:rPr>
        <w:t>二次启动</w:t>
      </w:r>
      <w:r>
        <w:rPr>
          <w:rFonts w:hint="eastAsia" w:ascii="方正小标宋简体" w:hAnsi="方正小标宋_GBK" w:eastAsia="方正小标宋简体" w:cs="方正小标宋_GBK"/>
          <w:b/>
          <w:color w:val="auto"/>
          <w:sz w:val="32"/>
          <w:szCs w:val="32"/>
          <w:highlight w:val="none"/>
          <w:lang w:eastAsia="zh-CN"/>
        </w:rPr>
        <w:t>）</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leftChars="0" w:firstLine="0" w:firstLineChars="0"/>
        <w:rPr>
          <w:rFonts w:ascii="方正小标宋_GBK" w:hAnsi="方正小标宋_GBK" w:eastAsia="方正小标宋_GBK" w:cs="方正小标宋_GBK"/>
          <w:b/>
          <w:sz w:val="32"/>
          <w:szCs w:val="32"/>
        </w:rPr>
      </w:pPr>
    </w:p>
    <w:p>
      <w:pPr>
        <w:pStyle w:val="2"/>
        <w:ind w:left="0" w:leftChars="0" w:firstLine="0" w:firstLineChars="0"/>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_Toc24738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_Toc24738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_Toc14545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_Toc14545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_Toc6689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_Toc6689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_Toc3078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_Toc3078 \h </w:instrText>
      </w:r>
      <w:r>
        <w:fldChar w:fldCharType="separate"/>
      </w:r>
      <w:r>
        <w:t>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_Toc14982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_Toc14982 \h </w:instrText>
      </w:r>
      <w:r>
        <w:fldChar w:fldCharType="separate"/>
      </w:r>
      <w:r>
        <w:t>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_Toc4457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_Toc4457 \h </w:instrText>
      </w:r>
      <w:r>
        <w:fldChar w:fldCharType="separate"/>
      </w:r>
      <w:r>
        <w:t>7</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_Toc22729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_Toc22729 \h </w:instrText>
      </w:r>
      <w:r>
        <w:fldChar w:fldCharType="separate"/>
      </w:r>
      <w:r>
        <w:t>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_Toc1284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_Toc1284 \h </w:instrText>
      </w:r>
      <w:r>
        <w:fldChar w:fldCharType="separate"/>
      </w:r>
      <w:r>
        <w:t>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_Toc1521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_Toc1521 \h </w:instrText>
      </w:r>
      <w:r>
        <w:fldChar w:fldCharType="separate"/>
      </w:r>
      <w:r>
        <w:t>8</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_Toc3137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_Toc3137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_Toc20540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_Toc20540 \h </w:instrText>
      </w:r>
      <w:r>
        <w:fldChar w:fldCharType="separate"/>
      </w:r>
      <w:r>
        <w:t>9</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_Toc26872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_Toc26872 \h </w:instrText>
      </w:r>
      <w:r>
        <w:fldChar w:fldCharType="separate"/>
      </w:r>
      <w:r>
        <w:t>9</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_Toc29804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_Toc29804 \h </w:instrText>
      </w:r>
      <w:r>
        <w:fldChar w:fldCharType="separate"/>
      </w:r>
      <w:r>
        <w:t>9</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_Toc1541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_Toc1541 \h </w:instrText>
      </w:r>
      <w:r>
        <w:fldChar w:fldCharType="separate"/>
      </w:r>
      <w:r>
        <w:t>9</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_Toc22151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_Toc22151 \h </w:instrText>
      </w:r>
      <w:r>
        <w:fldChar w:fldCharType="separate"/>
      </w:r>
      <w:r>
        <w:t>12</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_Toc12684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_Toc12684 \h </w:instrText>
      </w:r>
      <w:r>
        <w:fldChar w:fldCharType="separate"/>
      </w:r>
      <w:r>
        <w:t>16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_Toc25996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_Toc25996 \h </w:instrText>
      </w:r>
      <w:r>
        <w:fldChar w:fldCharType="separate"/>
      </w:r>
      <w:r>
        <w:t>16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_Toc14927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_Toc14927 \h </w:instrText>
      </w:r>
      <w:r>
        <w:fldChar w:fldCharType="separate"/>
      </w:r>
      <w:r>
        <w:t>17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_Toc27120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_Toc27120 \h </w:instrText>
      </w:r>
      <w:r>
        <w:fldChar w:fldCharType="separate"/>
      </w:r>
      <w:r>
        <w:t>18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_Toc4290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_Toc4290 \h </w:instrText>
      </w:r>
      <w:r>
        <w:fldChar w:fldCharType="separate"/>
      </w:r>
      <w:r>
        <w:t>19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_Toc31964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_Toc31964 \h </w:instrText>
      </w:r>
      <w:r>
        <w:fldChar w:fldCharType="separate"/>
      </w:r>
      <w:r>
        <w:t>20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_Toc20936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_Toc20936 \h </w:instrText>
      </w:r>
      <w:r>
        <w:fldChar w:fldCharType="separate"/>
      </w:r>
      <w:r>
        <w:t>21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_Toc5766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_Toc5766 \h </w:instrText>
      </w:r>
      <w:r>
        <w:fldChar w:fldCharType="separate"/>
      </w:r>
      <w:r>
        <w:t>22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_Toc4150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_Toc4150 \h </w:instrText>
      </w:r>
      <w:r>
        <w:fldChar w:fldCharType="separate"/>
      </w:r>
      <w:r>
        <w:t>23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_Toc21528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_Toc21528 \h </w:instrText>
      </w:r>
      <w:r>
        <w:fldChar w:fldCharType="separate"/>
      </w:r>
      <w:r>
        <w:t>24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_Toc7057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_Toc7057 \h </w:instrText>
      </w:r>
      <w:r>
        <w:fldChar w:fldCharType="separate"/>
      </w:r>
      <w:r>
        <w:t>25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_Toc23037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_Toc23037 \h </w:instrText>
      </w:r>
      <w:r>
        <w:fldChar w:fldCharType="separate"/>
      </w:r>
      <w:r>
        <w:t>26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_Toc13732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_Toc13732 \h </w:instrText>
      </w:r>
      <w:r>
        <w:fldChar w:fldCharType="separate"/>
      </w:r>
      <w:r>
        <w:t>27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_Toc7580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_Toc7580 \h </w:instrText>
      </w:r>
      <w:r>
        <w:fldChar w:fldCharType="separate"/>
      </w:r>
      <w:r>
        <w:t>28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_Toc30177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_Toc30177 \h </w:instrText>
      </w:r>
      <w:r>
        <w:fldChar w:fldCharType="separate"/>
      </w:r>
      <w:r>
        <w:t>29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_Toc31161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_Toc31161 \h </w:instrText>
      </w:r>
      <w:r>
        <w:fldChar w:fldCharType="separate"/>
      </w:r>
      <w:r>
        <w:t>30</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24738"/>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45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val="en-US" w:eastAsia="zh-CN"/>
              </w:rPr>
              <w:t>刘徐华</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8826</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liuxh</w:t>
            </w:r>
            <w:r>
              <w:rPr>
                <w:rFonts w:hint="eastAsia" w:ascii="宋体" w:hAnsi="宋体"/>
                <w:szCs w:val="21"/>
              </w:rPr>
              <w:t>@</w:t>
            </w:r>
            <w:r>
              <w:rPr>
                <w:rFonts w:hint="eastAsia" w:ascii="宋体" w:hAnsi="宋体"/>
                <w:szCs w:val="21"/>
              </w:rPr>
              <w:fldChar w:fldCharType="end"/>
            </w:r>
            <w:r>
              <w:rPr>
                <w:rFonts w:hint="eastAsia" w:ascii="宋体" w:hAnsi="宋体"/>
                <w:szCs w:val="21"/>
                <w:lang w:val="en-US" w:eastAsia="zh-CN"/>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rPr>
              <w:t>高交会英文网站、英文微信公众号</w:t>
            </w:r>
            <w:r>
              <w:rPr>
                <w:rFonts w:hint="eastAsia" w:ascii="宋体" w:hAnsi="宋体"/>
                <w:szCs w:val="21"/>
                <w:lang w:eastAsia="zh-CN"/>
              </w:rPr>
              <w:t>、</w:t>
            </w:r>
            <w:r>
              <w:rPr>
                <w:rFonts w:hint="eastAsia" w:ascii="宋体" w:hAnsi="宋体"/>
                <w:szCs w:val="21"/>
                <w:lang w:val="en-US" w:eastAsia="zh-CN"/>
              </w:rPr>
              <w:t>推特账号</w:t>
            </w:r>
            <w:r>
              <w:rPr>
                <w:rFonts w:hint="eastAsia" w:ascii="宋体" w:hAnsi="宋体"/>
                <w:szCs w:val="21"/>
              </w:rPr>
              <w:t>运维管理和专题宣传服务采购</w:t>
            </w:r>
            <w:r>
              <w:rPr>
                <w:rFonts w:hint="eastAsia" w:ascii="宋体" w:hAnsi="宋体"/>
                <w:szCs w:val="21"/>
                <w:lang w:val="en-US" w:eastAsia="zh-CN"/>
              </w:rPr>
              <w:t>项目（二次启动）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hint="default" w:ascii="宋体" w:hAnsi="宋体" w:eastAsia="宋体"/>
                <w:i/>
                <w:color w:val="FF0000"/>
                <w:szCs w:val="21"/>
                <w:highlight w:val="yellow"/>
                <w:lang w:val="en-US" w:eastAsia="zh-CN"/>
              </w:rPr>
            </w:pPr>
            <w:r>
              <w:rPr>
                <w:rFonts w:hint="eastAsia" w:ascii="宋体" w:hAnsi="宋体" w:eastAsia="宋体" w:cs="宋体"/>
                <w:color w:val="auto"/>
                <w:sz w:val="21"/>
                <w:szCs w:val="21"/>
                <w:highlight w:val="none"/>
              </w:rPr>
              <w:t>本项目旨在通过</w:t>
            </w:r>
            <w:r>
              <w:rPr>
                <w:rFonts w:hint="eastAsia" w:ascii="宋体" w:hAnsi="宋体" w:cs="宋体"/>
                <w:color w:val="auto"/>
                <w:sz w:val="21"/>
                <w:szCs w:val="21"/>
                <w:highlight w:val="none"/>
                <w:lang w:val="en-US" w:eastAsia="zh-CN"/>
              </w:rPr>
              <w:t>优化建设</w:t>
            </w:r>
            <w:r>
              <w:rPr>
                <w:rFonts w:hint="eastAsia" w:ascii="宋体" w:hAnsi="宋体" w:eastAsia="宋体" w:cs="宋体"/>
                <w:color w:val="auto"/>
                <w:sz w:val="21"/>
                <w:szCs w:val="21"/>
                <w:highlight w:val="none"/>
              </w:rPr>
              <w:t>高交会英文官网、英文版微信公众号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及时更新</w:t>
            </w:r>
            <w:r>
              <w:rPr>
                <w:rFonts w:hint="eastAsia" w:ascii="宋体" w:hAnsi="宋体" w:eastAsia="宋体" w:cs="宋体"/>
                <w:color w:val="auto"/>
                <w:sz w:val="21"/>
                <w:szCs w:val="21"/>
                <w:highlight w:val="none"/>
                <w:lang w:val="en-US" w:eastAsia="zh-CN"/>
              </w:rPr>
              <w:t>推特账号</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专题宣传内容投放</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提升高交会对外传播效能，进一步打造高交会国际品牌形象。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eastAsia="宋体" w:cs="宋体"/>
                <w:color w:val="auto"/>
                <w:sz w:val="21"/>
                <w:szCs w:val="21"/>
                <w:highlight w:val="none"/>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eastAsia="宋体" w:cs="宋体"/>
                <w:color w:val="auto"/>
                <w:sz w:val="21"/>
                <w:szCs w:val="21"/>
                <w:highlight w:val="none"/>
                <w:lang w:val="en-US" w:eastAsia="zh-CN"/>
              </w:rPr>
              <w:t>合同签订之日起一年内有效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lang w:val="en-US" w:eastAsia="zh-CN"/>
              </w:rPr>
              <w:t>16</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bCs/>
                <w:szCs w:val="21"/>
                <w:highlight w:val="none"/>
              </w:rPr>
              <w:t>完整填写本项目报名回函（详见采购公告）并加盖公司公章后，按要求</w:t>
            </w:r>
            <w:r>
              <w:rPr>
                <w:rFonts w:hint="eastAsia" w:ascii="宋体" w:hAnsi="宋体"/>
                <w:bCs/>
                <w:highlight w:val="none"/>
              </w:rPr>
              <w:t>上传至</w:t>
            </w:r>
            <w:r>
              <w:rPr>
                <w:rFonts w:hint="eastAsia" w:ascii="宋体" w:hAnsi="宋体"/>
                <w:bCs/>
                <w:color w:val="FF0000"/>
                <w:highlight w:val="yellow"/>
              </w:rPr>
              <w:t>https://cg.szcec.com/sharing/1eOkvwUZ7</w:t>
            </w:r>
            <w:r>
              <w:rPr>
                <w:rFonts w:hint="eastAsia" w:ascii="宋体" w:hAnsi="宋体"/>
                <w:bCs/>
                <w:color w:val="FF0000"/>
                <w:highlight w:val="none"/>
              </w:rPr>
              <w:t>，</w:t>
            </w:r>
            <w:r>
              <w:rPr>
                <w:rFonts w:hint="eastAsia" w:ascii="宋体" w:hAnsi="宋体"/>
                <w:bCs/>
                <w:szCs w:val="21"/>
                <w:highlight w:val="none"/>
              </w:rPr>
              <w:t>并致电确认。</w:t>
            </w:r>
            <w:r>
              <w:rPr>
                <w:rFonts w:hint="eastAsia" w:ascii="宋体" w:hAnsi="宋体"/>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highlight w:val="none"/>
              </w:rPr>
            </w:pP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或WPS版）</w:t>
            </w:r>
            <w:r>
              <w:rPr>
                <w:rFonts w:ascii="宋体" w:hAnsi="宋体"/>
                <w:szCs w:val="21"/>
                <w:highlight w:val="none"/>
              </w:rPr>
              <w:t>文件</w:t>
            </w:r>
            <w:r>
              <w:rPr>
                <w:rFonts w:hint="eastAsia" w:ascii="宋体" w:hAnsi="宋体"/>
                <w:szCs w:val="21"/>
                <w:highlight w:val="none"/>
              </w:rPr>
              <w:t>加密形式上传至</w:t>
            </w:r>
            <w:r>
              <w:rPr>
                <w:rFonts w:hint="eastAsia" w:ascii="宋体" w:hAnsi="宋体"/>
                <w:bCs/>
                <w:color w:val="FF0000"/>
                <w:highlight w:val="yellow"/>
              </w:rPr>
              <w:t>https://cg.szcec.com/sharing/GpxaNO0fx</w:t>
            </w:r>
            <w:r>
              <w:rPr>
                <w:rFonts w:hint="eastAsia" w:ascii="宋体" w:hAnsi="宋体"/>
                <w:bCs/>
                <w:color w:val="FF0000"/>
                <w:highlight w:val="none"/>
              </w:rPr>
              <w:t>，</w:t>
            </w:r>
            <w:r>
              <w:rPr>
                <w:rFonts w:hint="eastAsia" w:ascii="宋体" w:hAnsi="宋体"/>
                <w:szCs w:val="21"/>
                <w:highlight w:val="none"/>
              </w:rPr>
              <w:t>并致电确认</w:t>
            </w:r>
            <w:bookmarkStart w:id="3" w:name="_Toc478392822"/>
            <w:bookmarkStart w:id="4" w:name="_Toc478110532"/>
            <w:bookmarkStart w:id="5" w:name="_Toc478393187"/>
            <w:r>
              <w:rPr>
                <w:rFonts w:hint="eastAsia" w:ascii="宋体" w:hAnsi="宋体"/>
                <w:szCs w:val="21"/>
                <w:highlight w:val="none"/>
              </w:rPr>
              <w:t>。</w:t>
            </w:r>
            <w:r>
              <w:rPr>
                <w:rFonts w:hint="eastAsia" w:ascii="宋体" w:hAnsi="宋体"/>
                <w:highlight w:val="none"/>
              </w:rPr>
              <w:t>注意事项如下：</w:t>
            </w:r>
          </w:p>
          <w:p>
            <w:pPr>
              <w:pStyle w:val="22"/>
              <w:numPr>
                <w:ilvl w:val="0"/>
                <w:numId w:val="3"/>
              </w:numPr>
              <w:ind w:left="0" w:firstLine="0" w:firstLineChars="0"/>
              <w:rPr>
                <w:rFonts w:ascii="宋体" w:hAnsi="宋体" w:eastAsia="宋体"/>
                <w:szCs w:val="21"/>
                <w:highlight w:val="none"/>
              </w:rPr>
            </w:pPr>
            <w:bookmarkStart w:id="6" w:name="_Hlk60498011"/>
            <w:r>
              <w:rPr>
                <w:rFonts w:hint="eastAsia" w:ascii="宋体" w:hAnsi="宋体" w:eastAsia="宋体"/>
                <w:szCs w:val="21"/>
                <w:highlight w:val="none"/>
              </w:rPr>
              <w:t>为便于开标时的解密操作，投标文件（</w:t>
            </w:r>
            <w:r>
              <w:rPr>
                <w:rFonts w:ascii="宋体" w:hAnsi="宋体" w:eastAsia="宋体"/>
                <w:szCs w:val="21"/>
                <w:highlight w:val="none"/>
              </w:rPr>
              <w:t>PDF</w:t>
            </w:r>
            <w:r>
              <w:rPr>
                <w:rFonts w:hint="eastAsia" w:ascii="宋体" w:hAnsi="宋体" w:eastAsia="宋体"/>
                <w:szCs w:val="21"/>
                <w:highlight w:val="none"/>
              </w:rPr>
              <w:t>版及Word/WPS版</w:t>
            </w:r>
            <w:r>
              <w:rPr>
                <w:rFonts w:ascii="宋体" w:hAnsi="宋体" w:eastAsia="宋体"/>
                <w:szCs w:val="21"/>
                <w:highlight w:val="none"/>
              </w:rPr>
              <w:t>）</w:t>
            </w:r>
            <w:r>
              <w:rPr>
                <w:rFonts w:hint="eastAsia" w:ascii="宋体" w:hAnsi="宋体" w:eastAsia="宋体"/>
                <w:szCs w:val="21"/>
                <w:highlight w:val="none"/>
              </w:rPr>
              <w:t>必须制作为一个压缩文件后再行加密，否则投标文件将被拒收。</w:t>
            </w:r>
            <w:r>
              <w:rPr>
                <w:rFonts w:ascii="宋体" w:hAnsi="宋体" w:eastAsia="宋体"/>
                <w:b/>
                <w:bCs/>
                <w:color w:val="FF0000"/>
                <w:szCs w:val="21"/>
                <w:highlight w:val="none"/>
              </w:rPr>
              <w:t>建议</w:t>
            </w:r>
            <w:r>
              <w:rPr>
                <w:rFonts w:hint="eastAsia" w:ascii="宋体" w:hAnsi="宋体" w:eastAsia="宋体"/>
                <w:b/>
                <w:bCs/>
                <w:color w:val="FF0000"/>
                <w:szCs w:val="21"/>
                <w:highlight w:val="none"/>
              </w:rPr>
              <w:t>编制文件目录</w:t>
            </w:r>
            <w:r>
              <w:rPr>
                <w:rFonts w:hint="eastAsia" w:ascii="宋体" w:hAnsi="宋体" w:eastAsia="宋体"/>
                <w:szCs w:val="21"/>
                <w:highlight w:val="none"/>
              </w:rPr>
              <w:t>并采用</w:t>
            </w:r>
            <w:r>
              <w:rPr>
                <w:rFonts w:ascii="宋体" w:hAnsi="宋体" w:eastAsia="宋体"/>
                <w:szCs w:val="21"/>
                <w:highlight w:val="none"/>
              </w:rPr>
              <w:t>WinRAR</w:t>
            </w:r>
            <w:r>
              <w:rPr>
                <w:rFonts w:hint="eastAsia" w:ascii="宋体" w:hAnsi="宋体" w:eastAsia="宋体"/>
                <w:szCs w:val="21"/>
                <w:highlight w:val="none"/>
              </w:rPr>
              <w:t>或</w:t>
            </w:r>
            <w:r>
              <w:rPr>
                <w:rFonts w:ascii="宋体" w:hAnsi="宋体" w:eastAsia="宋体"/>
                <w:szCs w:val="21"/>
                <w:highlight w:val="none"/>
              </w:rPr>
              <w:t>WinZip</w:t>
            </w:r>
            <w:r>
              <w:rPr>
                <w:rFonts w:hint="eastAsia" w:ascii="宋体" w:hAnsi="宋体" w:eastAsia="宋体"/>
                <w:szCs w:val="21"/>
                <w:highlight w:val="none"/>
              </w:rPr>
              <w:t>等常用</w:t>
            </w:r>
            <w:r>
              <w:rPr>
                <w:rFonts w:ascii="宋体" w:hAnsi="宋体" w:eastAsia="宋体"/>
                <w:szCs w:val="21"/>
                <w:highlight w:val="none"/>
              </w:rPr>
              <w:t>压缩</w:t>
            </w:r>
            <w:r>
              <w:rPr>
                <w:rFonts w:hint="eastAsia" w:ascii="宋体" w:hAnsi="宋体" w:eastAsia="宋体"/>
                <w:szCs w:val="21"/>
                <w:highlight w:val="none"/>
              </w:rPr>
              <w:t>软件进行压缩和</w:t>
            </w:r>
            <w:r>
              <w:rPr>
                <w:rFonts w:ascii="宋体" w:hAnsi="宋体" w:eastAsia="宋体"/>
                <w:szCs w:val="21"/>
                <w:highlight w:val="none"/>
              </w:rPr>
              <w:t>加密</w:t>
            </w:r>
            <w:bookmarkEnd w:id="6"/>
            <w:r>
              <w:rPr>
                <w:rFonts w:hint="eastAsia" w:ascii="宋体" w:hAnsi="宋体" w:eastAsia="宋体"/>
                <w:szCs w:val="21"/>
                <w:highlight w:val="none"/>
              </w:rPr>
              <w:t>。</w:t>
            </w:r>
          </w:p>
          <w:p>
            <w:pPr>
              <w:pStyle w:val="22"/>
              <w:numPr>
                <w:ilvl w:val="0"/>
                <w:numId w:val="3"/>
              </w:numPr>
              <w:ind w:left="0" w:firstLine="0" w:firstLineChars="0"/>
              <w:rPr>
                <w:rFonts w:ascii="宋体" w:hAnsi="宋体" w:eastAsia="宋体"/>
                <w:szCs w:val="21"/>
                <w:highlight w:val="none"/>
              </w:rPr>
            </w:pPr>
            <w:r>
              <w:rPr>
                <w:rFonts w:hint="eastAsia" w:ascii="宋体" w:hAnsi="宋体" w:eastAsia="宋体"/>
                <w:szCs w:val="21"/>
                <w:highlight w:val="none"/>
              </w:rPr>
              <w:t>投标人授权代表须熟记文件密码，并在开标前按时将</w:t>
            </w:r>
            <w:r>
              <w:rPr>
                <w:rFonts w:hint="eastAsia" w:ascii="宋体" w:hAnsi="宋体" w:eastAsia="宋体"/>
                <w:highlight w:val="none"/>
              </w:rPr>
              <w:t>投标文件解密密码（格式详见附件）上传至指定地址，</w:t>
            </w:r>
            <w:r>
              <w:rPr>
                <w:rFonts w:hint="eastAsia" w:ascii="宋体" w:hAnsi="宋体" w:eastAsia="宋体"/>
                <w:szCs w:val="21"/>
                <w:highlight w:val="none"/>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highlight w:val="none"/>
              </w:rPr>
            </w:pPr>
            <w:r>
              <w:rPr>
                <w:rFonts w:hint="eastAsia" w:ascii="宋体" w:hAnsi="宋体" w:eastAsia="宋体"/>
                <w:szCs w:val="21"/>
                <w:highlight w:val="none"/>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highlight w:val="none"/>
              </w:rPr>
            </w:pPr>
            <w:r>
              <w:rPr>
                <w:rFonts w:hint="eastAsia" w:ascii="宋体" w:hAnsi="宋体" w:eastAsia="宋体"/>
                <w:szCs w:val="21"/>
                <w:highlight w:val="none"/>
              </w:rPr>
              <w:t>本项目实质性响应内容以盖章扫描版（</w:t>
            </w:r>
            <w:r>
              <w:rPr>
                <w:rFonts w:ascii="宋体" w:hAnsi="宋体" w:eastAsia="宋体"/>
                <w:szCs w:val="21"/>
                <w:highlight w:val="none"/>
              </w:rPr>
              <w:t>PDF</w:t>
            </w:r>
            <w:r>
              <w:rPr>
                <w:rFonts w:hint="eastAsia" w:ascii="宋体" w:hAnsi="宋体" w:eastAsia="宋体"/>
                <w:szCs w:val="21"/>
                <w:highlight w:val="none"/>
              </w:rPr>
              <w:t>版）文件为准，可编辑版（W</w:t>
            </w:r>
            <w:r>
              <w:rPr>
                <w:rFonts w:ascii="宋体" w:hAnsi="宋体" w:eastAsia="宋体"/>
                <w:szCs w:val="21"/>
                <w:highlight w:val="none"/>
              </w:rPr>
              <w:t>ord</w:t>
            </w:r>
            <w:r>
              <w:rPr>
                <w:rFonts w:hint="eastAsia" w:ascii="宋体" w:hAnsi="宋体" w:eastAsia="宋体"/>
                <w:szCs w:val="21"/>
                <w:highlight w:val="none"/>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szCs w:val="21"/>
                <w:highlight w:val="none"/>
              </w:rPr>
              <w:t>腾讯会议号：</w:t>
            </w:r>
            <w:r>
              <w:rPr>
                <w:rFonts w:hint="eastAsia" w:ascii="宋体" w:hAnsi="宋体"/>
                <w:color w:val="FF0000"/>
                <w:szCs w:val="21"/>
                <w:highlight w:val="none"/>
                <w:lang w:val="en-US" w:eastAsia="zh-CN"/>
              </w:rPr>
              <w:t>238829579</w:t>
            </w:r>
            <w:r>
              <w:rPr>
                <w:rFonts w:hint="eastAsia" w:ascii="宋体" w:hAnsi="宋体"/>
                <w:szCs w:val="21"/>
                <w:highlight w:val="none"/>
              </w:rPr>
              <w:t>（免密，入会前必须改名为“</w:t>
            </w:r>
            <w:r>
              <w:rPr>
                <w:rFonts w:hint="eastAsia" w:ascii="宋体" w:hAnsi="宋体"/>
                <w:b/>
                <w:bCs/>
                <w:color w:val="FF0000"/>
                <w:szCs w:val="21"/>
                <w:highlight w:val="none"/>
              </w:rPr>
              <w:t>公司简称+姓名</w:t>
            </w:r>
            <w:r>
              <w:rPr>
                <w:rFonts w:hint="eastAsia" w:ascii="宋体" w:hAnsi="宋体"/>
                <w:szCs w:val="21"/>
                <w:highlight w:val="none"/>
              </w:rPr>
              <w:t>”,会议期间</w:t>
            </w:r>
            <w:r>
              <w:rPr>
                <w:rFonts w:hint="eastAsia" w:ascii="宋体" w:hAnsi="宋体"/>
                <w:b/>
                <w:color w:val="FF0000"/>
                <w:szCs w:val="21"/>
                <w:highlight w:val="none"/>
              </w:rPr>
              <w:t>禁止使用虚拟背景</w:t>
            </w:r>
            <w:r>
              <w:rPr>
                <w:rFonts w:hint="eastAsia" w:ascii="宋体" w:hAnsi="宋体"/>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szCs w:val="21"/>
                <w:highlight w:val="none"/>
              </w:rPr>
              <w:t>在开标时按照招标人现场指令</w:t>
            </w:r>
            <w:r>
              <w:rPr>
                <w:rFonts w:hint="eastAsia" w:ascii="宋体" w:hAnsi="宋体"/>
                <w:highlight w:val="none"/>
              </w:rPr>
              <w:t>将投标文件解密密码（详见附件）上传至</w:t>
            </w:r>
            <w:r>
              <w:rPr>
                <w:rFonts w:hint="eastAsia" w:ascii="宋体" w:hAnsi="宋体"/>
                <w:bCs/>
                <w:color w:val="FF0000"/>
                <w:highlight w:val="yellow"/>
              </w:rPr>
              <w:t>https://cg.szcec.com/sharing/2d0zEPtdP</w:t>
            </w:r>
            <w:r>
              <w:rPr>
                <w:rFonts w:hint="eastAsia" w:ascii="宋体" w:hAnsi="宋体"/>
                <w:bCs/>
                <w:color w:val="FF0000"/>
                <w:highlight w:val="none"/>
              </w:rPr>
              <w:t>。</w:t>
            </w:r>
            <w:r>
              <w:rPr>
                <w:rFonts w:hint="eastAsia" w:ascii="宋体" w:hAnsi="宋体"/>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kern w:val="0"/>
                <w:szCs w:val="21"/>
                <w:highlight w:val="none"/>
              </w:rPr>
            </w:pPr>
            <w:r>
              <w:rPr>
                <w:rFonts w:hint="eastAsia" w:ascii="宋体" w:hAnsi="宋体" w:cstheme="minorBidi"/>
                <w:color w:val="auto"/>
                <w:szCs w:val="21"/>
                <w:highlight w:val="none"/>
              </w:rPr>
              <w:t xml:space="preserve">□接受，应满足下列要求：  </w:t>
            </w:r>
            <w:r>
              <w:rPr>
                <w:rFonts w:hint="eastAsia" w:ascii="宋体" w:hAnsi="宋体" w:cstheme="minorBidi"/>
                <w:color w:val="FF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theme="minorBidi"/>
                <w:kern w:val="0"/>
                <w:szCs w:val="21"/>
                <w:highlight w:val="none"/>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4588"/>
      <w:bookmarkEnd w:id="7"/>
      <w:bookmarkStart w:id="8" w:name="_Toc82684703"/>
      <w:bookmarkEnd w:id="8"/>
      <w:bookmarkStart w:id="9" w:name="_Toc82684704"/>
      <w:bookmarkEnd w:id="9"/>
      <w:bookmarkStart w:id="10" w:name="_Toc82684591"/>
      <w:bookmarkEnd w:id="10"/>
      <w:bookmarkStart w:id="11" w:name="_Toc82684705"/>
      <w:bookmarkEnd w:id="11"/>
      <w:bookmarkStart w:id="12" w:name="_Toc82684706"/>
      <w:bookmarkEnd w:id="12"/>
      <w:bookmarkStart w:id="13" w:name="_Toc82591925"/>
      <w:bookmarkEnd w:id="13"/>
      <w:bookmarkStart w:id="14" w:name="_Toc82591928"/>
      <w:bookmarkEnd w:id="14"/>
      <w:bookmarkStart w:id="15" w:name="_Toc82684589"/>
      <w:bookmarkEnd w:id="15"/>
      <w:bookmarkStart w:id="16" w:name="_Toc82591926"/>
      <w:bookmarkEnd w:id="16"/>
      <w:bookmarkStart w:id="17" w:name="_Toc82591927"/>
      <w:bookmarkEnd w:id="17"/>
      <w:bookmarkStart w:id="18" w:name="_Toc82685540"/>
      <w:bookmarkEnd w:id="18"/>
      <w:bookmarkStart w:id="19" w:name="_Toc82685541"/>
      <w:bookmarkEnd w:id="19"/>
      <w:bookmarkStart w:id="20" w:name="_Toc82684590"/>
      <w:bookmarkEnd w:id="20"/>
      <w:bookmarkStart w:id="21" w:name="_Toc82685542"/>
      <w:bookmarkEnd w:id="21"/>
      <w:bookmarkStart w:id="22" w:name="_Toc82685543"/>
      <w:bookmarkEnd w:id="22"/>
      <w:bookmarkStart w:id="23" w:name="_Toc6689"/>
      <w:r>
        <w:rPr>
          <w:rFonts w:hint="eastAsia" w:ascii="宋体" w:hAnsi="宋体"/>
          <w:b/>
          <w:szCs w:val="21"/>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517278751"/>
      <w:bookmarkStart w:id="25" w:name="_Toc478387747"/>
      <w:bookmarkStart w:id="26"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6"/>
      <w:bookmarkEnd w:id="27"/>
      <w:bookmarkStart w:id="28" w:name="_Toc82591987"/>
      <w:bookmarkEnd w:id="28"/>
      <w:bookmarkStart w:id="29" w:name="_Toc82591930"/>
      <w:bookmarkEnd w:id="29"/>
      <w:bookmarkStart w:id="30" w:name="_Toc82684593"/>
      <w:bookmarkEnd w:id="30"/>
      <w:bookmarkStart w:id="31" w:name="_Toc82684708"/>
      <w:bookmarkEnd w:id="31"/>
      <w:bookmarkStart w:id="32" w:name="_Toc82685545"/>
      <w:bookmarkEnd w:id="32"/>
      <w:bookmarkStart w:id="33" w:name="_Toc82591985"/>
      <w:bookmarkEnd w:id="33"/>
      <w:bookmarkStart w:id="34" w:name="_Toc82591989"/>
      <w:bookmarkEnd w:id="34"/>
      <w:bookmarkStart w:id="35" w:name="_Toc82591988"/>
      <w:bookmarkEnd w:id="35"/>
      <w:bookmarkStart w:id="36" w:name="_Toc3078"/>
      <w:r>
        <w:rPr>
          <w:rFonts w:hint="eastAsia" w:ascii="宋体" w:hAnsi="宋体"/>
          <w:b/>
          <w:szCs w:val="21"/>
        </w:rPr>
        <w:t>投标文件编制</w:t>
      </w:r>
      <w:bookmarkEnd w:id="36"/>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Courier New"/>
                <w:kern w:val="0"/>
                <w:szCs w:val="21"/>
                <w:lang w:eastAsia="zh-CN"/>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国家企业信用信息公示系统（</w:t>
            </w:r>
            <w:r>
              <w:rPr>
                <w:rFonts w:hint="eastAsia" w:ascii="宋体" w:hAnsi="宋体" w:cs="仿宋_GB2312"/>
                <w:szCs w:val="21"/>
              </w:rPr>
              <w:t>www.creditchina.gov.cn</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A3"/>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hint="eastAsia"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hint="eastAsia"/>
              </w:rPr>
            </w:pPr>
            <w:r>
              <w:rPr>
                <w:rFonts w:hint="eastAsia" w:ascii="宋体" w:hAnsi="宋体" w:cs="Segoe UI Symbol"/>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hint="eastAsia" w:eastAsia="宋体"/>
                <w:lang w:eastAsia="zh-CN"/>
              </w:rPr>
            </w:pPr>
            <w:r>
              <w:rPr>
                <w:rFonts w:hint="eastAsia" w:ascii="宋体" w:hAnsi="宋体" w:cs="Segoe UI Symbol"/>
                <w:kern w:val="0"/>
                <w:szCs w:val="21"/>
              </w:rPr>
              <w:sym w:font="Wingdings 2" w:char="00A3"/>
            </w:r>
            <w:r>
              <w:rPr>
                <w:rFonts w:hint="eastAsia" w:ascii="宋体" w:hAnsi="宋体" w:cs="Courier New"/>
                <w:kern w:val="0"/>
                <w:szCs w:val="21"/>
                <w:lang w:val="en-US" w:eastAsia="zh-CN"/>
              </w:rPr>
              <w:t>业绩要求</w:t>
            </w:r>
          </w:p>
          <w:p>
            <w:pPr>
              <w:autoSpaceDE w:val="0"/>
              <w:autoSpaceDN w:val="0"/>
              <w:adjustRightInd w:val="0"/>
              <w:snapToGrid w:val="0"/>
              <w:jc w:val="left"/>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lang w:eastAsia="zh-CN"/>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hint="eastAsia"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项目团队成员简介、认证资格证书复印件、社保证明资料</w:t>
            </w:r>
          </w:p>
          <w:p>
            <w:pPr>
              <w:autoSpaceDE w:val="0"/>
              <w:autoSpaceDN w:val="0"/>
              <w:adjustRightInd w:val="0"/>
              <w:snapToGrid w:val="0"/>
              <w:textAlignment w:val="baseline"/>
              <w:rPr>
                <w:rFonts w:hint="eastAsia"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lang w:eastAsia="zh-CN"/>
              </w:rPr>
              <w:t>□</w:t>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报价一览表（服务）</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4982"/>
      <w:r>
        <w:rPr>
          <w:rFonts w:hint="eastAsia" w:ascii="宋体" w:hAnsi="宋体"/>
          <w:b/>
          <w:szCs w:val="21"/>
        </w:rPr>
        <w:t>项目要求</w:t>
      </w:r>
      <w:bookmarkEnd w:id="37"/>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Change w:id="0">
          <w:tblGrid>
            <w:gridCol w:w="709"/>
            <w:gridCol w:w="1341"/>
            <w:gridCol w:w="7438"/>
            <w:gridCol w:w="78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Qixue" w:date="2023-08-29T17:28: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36" w:hRule="atLeast"/>
          <w:jc w:val="center"/>
          <w:trPrChange w:id="1" w:author="Qixue" w:date="2023-08-29T17:28:34Z">
            <w:trPr>
              <w:trHeight w:val="90" w:hRule="atLeast"/>
              <w:jc w:val="center"/>
            </w:trPr>
          </w:trPrChange>
        </w:trPr>
        <w:tc>
          <w:tcPr>
            <w:tcW w:w="709" w:type="dxa"/>
            <w:tcBorders>
              <w:top w:val="single" w:color="auto" w:sz="4" w:space="0"/>
              <w:left w:val="single" w:color="auto" w:sz="4" w:space="0"/>
              <w:bottom w:val="single" w:color="auto" w:sz="4" w:space="0"/>
              <w:right w:val="single" w:color="auto" w:sz="4" w:space="0"/>
            </w:tcBorders>
            <w:vAlign w:val="center"/>
            <w:tcPrChange w:id="2" w:author="Qixue" w:date="2023-08-29T17:28:34Z">
              <w:tcPr>
                <w:tcW w:w="709" w:type="dxa"/>
                <w:tcBorders>
                  <w:top w:val="single" w:color="auto" w:sz="4" w:space="0"/>
                  <w:left w:val="single" w:color="auto" w:sz="4" w:space="0"/>
                  <w:bottom w:val="single" w:color="auto" w:sz="4" w:space="0"/>
                  <w:right w:val="single" w:color="auto" w:sz="4" w:space="0"/>
                </w:tcBorders>
                <w:vAlign w:val="center"/>
              </w:tcPr>
            </w:tcPrChange>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Change w:id="3" w:author="Qixue" w:date="2023-08-29T17:28:34Z">
              <w:tcPr>
                <w:tcW w:w="1341" w:type="dxa"/>
                <w:tcBorders>
                  <w:top w:val="single" w:color="auto" w:sz="4" w:space="0"/>
                  <w:left w:val="single" w:color="auto" w:sz="4" w:space="0"/>
                  <w:bottom w:val="single" w:color="auto" w:sz="4" w:space="0"/>
                  <w:right w:val="single" w:color="auto" w:sz="4" w:space="0"/>
                </w:tcBorders>
                <w:vAlign w:val="center"/>
              </w:tcPr>
            </w:tcPrChange>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Change w:id="4" w:author="Qixue" w:date="2023-08-29T17:28:34Z">
              <w:tcPr>
                <w:tcW w:w="7438" w:type="dxa"/>
                <w:tcBorders>
                  <w:top w:val="single" w:color="auto" w:sz="4" w:space="0"/>
                  <w:left w:val="single" w:color="auto" w:sz="4" w:space="0"/>
                  <w:bottom w:val="single" w:color="auto" w:sz="4" w:space="0"/>
                  <w:right w:val="single" w:color="auto" w:sz="4" w:space="0"/>
                </w:tcBorders>
                <w:vAlign w:val="center"/>
              </w:tcPr>
            </w:tcPrChange>
          </w:tcPr>
          <w:p>
            <w:pPr>
              <w:numPr>
                <w:ilvl w:val="0"/>
                <w:numId w:val="10"/>
              </w:numPr>
              <w:tabs>
                <w:tab w:val="left" w:pos="531"/>
              </w:tabs>
              <w:snapToGrid w:val="0"/>
              <w:ind w:left="-1" w:firstLine="0"/>
              <w:rPr>
                <w:rFonts w:hint="eastAsia"/>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1" w:firstLine="0"/>
              <w:rPr>
                <w:rFonts w:ascii="宋体" w:hAnsi="宋体" w:cs="宋体"/>
                <w:color w:val="FF0000"/>
                <w:highlight w:val="yellow"/>
              </w:rPr>
            </w:pPr>
            <w:r>
              <w:rPr>
                <w:rFonts w:hint="eastAsia" w:ascii="宋体" w:hAnsi="宋体" w:cs="仿宋_GB2312"/>
                <w:szCs w:val="21"/>
              </w:rPr>
              <w:t>投标人代表必须是投标单位的法定代表人或持有法定代表人亲自签署的法人授权委托证明书的人员。（提供法定代表人证明书、法人授权委托证明书</w:t>
            </w:r>
            <w:r>
              <w:rPr>
                <w:rFonts w:hint="eastAsia" w:ascii="宋体" w:hAnsi="宋体" w:eastAsia="宋体" w:cs="宋体"/>
                <w:color w:val="auto"/>
                <w:sz w:val="21"/>
                <w:szCs w:val="21"/>
                <w:highlight w:val="none"/>
              </w:rPr>
              <w:t>及法定代表人、被委托人身份证</w:t>
            </w:r>
            <w:r>
              <w:rPr>
                <w:rFonts w:hint="eastAsia" w:ascii="宋体" w:hAnsi="宋体" w:cs="仿宋_GB2312"/>
                <w:szCs w:val="21"/>
              </w:rPr>
              <w:t>复印件</w:t>
            </w:r>
            <w:r>
              <w:rPr>
                <w:rFonts w:hint="eastAsia" w:ascii="宋体" w:hAnsi="宋体" w:cs="仿宋_GB2312"/>
                <w:szCs w:val="21"/>
                <w:lang w:val="en-US" w:eastAsia="zh-CN"/>
              </w:rPr>
              <w:t>或</w:t>
            </w:r>
            <w:r>
              <w:rPr>
                <w:rFonts w:hint="eastAsia" w:ascii="宋体" w:hAnsi="宋体" w:eastAsia="宋体" w:cs="宋体"/>
                <w:color w:val="auto"/>
                <w:sz w:val="21"/>
                <w:szCs w:val="21"/>
                <w:highlight w:val="none"/>
              </w:rPr>
              <w:t>扫描件</w:t>
            </w:r>
            <w:r>
              <w:rPr>
                <w:rFonts w:hint="eastAsia" w:ascii="宋体" w:hAnsi="宋体" w:cs="仿宋_GB2312"/>
                <w:szCs w:val="21"/>
              </w:rPr>
              <w:t>，如单位法定代表人为本项目授权代表，则仅提供法定代表人证明书及身份证复印件</w:t>
            </w:r>
            <w:r>
              <w:rPr>
                <w:rFonts w:hint="eastAsia" w:ascii="宋体" w:hAnsi="宋体" w:cs="仿宋_GB2312"/>
                <w:szCs w:val="21"/>
                <w:lang w:val="en-US" w:eastAsia="zh-CN"/>
              </w:rPr>
              <w:t>或扫描件</w:t>
            </w:r>
            <w:r>
              <w:rPr>
                <w:rFonts w:hint="eastAsia" w:ascii="宋体" w:hAnsi="宋体" w:cs="仿宋_GB2312"/>
                <w:szCs w:val="21"/>
              </w:rPr>
              <w:t>，各证明书须加盖公章，身份证原件备查）</w:t>
            </w:r>
          </w:p>
          <w:p>
            <w:pPr>
              <w:numPr>
                <w:ilvl w:val="0"/>
                <w:numId w:val="10"/>
              </w:numPr>
              <w:tabs>
                <w:tab w:val="left" w:pos="531"/>
              </w:tabs>
              <w:snapToGrid w:val="0"/>
              <w:ind w:left="-1" w:firstLine="0"/>
              <w:rPr>
                <w:rFonts w:ascii="宋体" w:hAnsi="宋体" w:cs="宋体"/>
                <w:color w:val="FF0000"/>
                <w:highlight w:val="yellow"/>
              </w:rPr>
            </w:pPr>
            <w:r>
              <w:rPr>
                <w:rFonts w:hint="eastAsia" w:ascii="宋体" w:hAnsi="宋体" w:cs="仿宋_GB2312"/>
                <w:szCs w:val="21"/>
                <w:lang w:val="en-US" w:eastAsia="zh-CN"/>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Change w:id="5" w:author="Qixue" w:date="2023-08-29T17:28:34Z">
              <w:tcPr>
                <w:tcW w:w="784" w:type="dxa"/>
                <w:tcBorders>
                  <w:top w:val="single" w:color="auto" w:sz="4" w:space="0"/>
                  <w:left w:val="single" w:color="auto" w:sz="4" w:space="0"/>
                  <w:bottom w:val="single" w:color="auto" w:sz="4" w:space="0"/>
                  <w:right w:val="single" w:color="auto" w:sz="4" w:space="0"/>
                </w:tcBorders>
                <w:vAlign w:val="center"/>
              </w:tcPr>
            </w:tcPrChange>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Qixue" w:date="2023-08-29T15:3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94" w:hRule="atLeast"/>
          <w:jc w:val="center"/>
          <w:trPrChange w:id="6" w:author="Qixue" w:date="2023-08-29T15:39:55Z">
            <w:trPr>
              <w:trHeight w:val="1819" w:hRule="atLeast"/>
              <w:jc w:val="center"/>
            </w:trPr>
          </w:trPrChange>
        </w:trPr>
        <w:tc>
          <w:tcPr>
            <w:tcW w:w="709" w:type="dxa"/>
            <w:tcBorders>
              <w:top w:val="single" w:color="auto" w:sz="4" w:space="0"/>
              <w:left w:val="single" w:color="auto" w:sz="4" w:space="0"/>
              <w:bottom w:val="single" w:color="auto" w:sz="4" w:space="0"/>
              <w:right w:val="single" w:color="auto" w:sz="4" w:space="0"/>
            </w:tcBorders>
            <w:vAlign w:val="center"/>
            <w:tcPrChange w:id="7" w:author="Qixue" w:date="2023-08-29T15:39:55Z">
              <w:tcPr>
                <w:tcW w:w="709" w:type="dxa"/>
                <w:tcBorders>
                  <w:top w:val="single" w:color="auto" w:sz="4" w:space="0"/>
                  <w:left w:val="single" w:color="auto" w:sz="4" w:space="0"/>
                  <w:bottom w:val="single" w:color="auto" w:sz="4" w:space="0"/>
                  <w:right w:val="single" w:color="auto" w:sz="4" w:space="0"/>
                </w:tcBorders>
                <w:vAlign w:val="center"/>
              </w:tcPr>
            </w:tcPrChange>
          </w:tcPr>
          <w:p>
            <w:pPr>
              <w:pStyle w:val="25"/>
              <w:keepNext w:val="0"/>
              <w:adjustRightInd/>
              <w:spacing w:before="0" w:after="0" w:line="240" w:lineRule="auto"/>
              <w:rPr>
                <w:rFonts w:hint="default"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Change w:id="8" w:author="Qixue" w:date="2023-08-29T15:39:55Z">
              <w:tcPr>
                <w:tcW w:w="1341" w:type="dxa"/>
                <w:tcBorders>
                  <w:top w:val="single" w:color="auto" w:sz="4" w:space="0"/>
                  <w:left w:val="single" w:color="auto" w:sz="4" w:space="0"/>
                  <w:bottom w:val="single" w:color="auto" w:sz="4" w:space="0"/>
                  <w:right w:val="single" w:color="auto" w:sz="4" w:space="0"/>
                </w:tcBorders>
                <w:vAlign w:val="center"/>
              </w:tcPr>
            </w:tcPrChange>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Change w:id="9" w:author="Qixue" w:date="2023-08-29T15:39:55Z">
              <w:tcPr>
                <w:tcW w:w="7438" w:type="dxa"/>
                <w:tcBorders>
                  <w:top w:val="single" w:color="auto" w:sz="4" w:space="0"/>
                  <w:left w:val="single" w:color="auto" w:sz="4" w:space="0"/>
                  <w:bottom w:val="single" w:color="auto" w:sz="4" w:space="0"/>
                  <w:right w:val="single" w:color="auto" w:sz="4" w:space="0"/>
                </w:tcBorders>
                <w:vAlign w:val="center"/>
              </w:tcPr>
            </w:tcPrChange>
          </w:tcPr>
          <w:p>
            <w:pPr>
              <w:numPr>
                <w:ilvl w:val="0"/>
                <w:numId w:val="11"/>
              </w:numPr>
              <w:tabs>
                <w:tab w:val="left" w:pos="531"/>
              </w:tabs>
              <w:snapToGrid w:val="0"/>
              <w:ind w:left="0" w:firstLine="0"/>
              <w:rPr>
                <w:rFonts w:hint="eastAsia" w:ascii="宋体" w:hAnsi="宋体" w:cs="仿宋_GB2312"/>
                <w:szCs w:val="21"/>
              </w:rPr>
            </w:pPr>
            <w:r>
              <w:rPr>
                <w:rFonts w:hint="eastAsia" w:ascii="宋体" w:hAnsi="宋体" w:cs="仿宋_GB2312"/>
                <w:szCs w:val="21"/>
              </w:rPr>
              <w:t>报价以人民币为结算币种，《投标一览表》应包含税率、税额、税前及税后总金额。</w:t>
            </w:r>
          </w:p>
          <w:p>
            <w:pPr>
              <w:numPr>
                <w:ilvl w:val="0"/>
                <w:numId w:val="11"/>
              </w:numPr>
              <w:tabs>
                <w:tab w:val="left" w:pos="531"/>
              </w:tabs>
              <w:snapToGrid w:val="0"/>
              <w:ind w:left="0" w:firstLine="0"/>
              <w:rPr>
                <w:rFonts w:hint="eastAsia"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11"/>
              </w:numPr>
              <w:tabs>
                <w:tab w:val="left" w:pos="531"/>
              </w:tabs>
              <w:snapToGrid w:val="0"/>
              <w:ind w:left="0" w:firstLine="0"/>
              <w:rPr>
                <w:color w:val="FF0000"/>
                <w:highlight w:val="yellow"/>
              </w:rPr>
            </w:pPr>
            <w:r>
              <w:rPr>
                <w:rFonts w:hint="eastAsia" w:ascii="宋体" w:hAnsi="宋体" w:cs="仿宋_GB2312"/>
                <w:szCs w:val="21"/>
                <w:lang w:val="en-US" w:eastAsia="zh-CN"/>
              </w:rPr>
              <w:t>本项目应对高交会英文网站、英文微信公众号、推特账号运维管理及中国日报专题宣传服务内容进行报价，报价包函完成以上内容的全部费用，招标人不再另行支付其他任何费用。报价单格式可参考</w:t>
            </w:r>
            <w:r>
              <w:rPr>
                <w:rFonts w:hint="eastAsia" w:ascii="宋体" w:hAnsi="宋体" w:cs="仿宋_GB2312"/>
                <w:szCs w:val="21"/>
              </w:rPr>
              <w:t>附件8：报价一览表（服务）</w:t>
            </w:r>
            <w:r>
              <w:rPr>
                <w:rFonts w:hint="eastAsia" w:ascii="宋体" w:hAnsi="宋体" w:cs="仿宋_GB2312"/>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Change w:id="10" w:author="Qixue" w:date="2023-08-29T15:39:55Z">
              <w:tcPr>
                <w:tcW w:w="784" w:type="dxa"/>
                <w:tcBorders>
                  <w:top w:val="single" w:color="auto" w:sz="4" w:space="0"/>
                  <w:left w:val="single" w:color="auto" w:sz="4" w:space="0"/>
                  <w:bottom w:val="single" w:color="auto" w:sz="4" w:space="0"/>
                  <w:right w:val="single" w:color="auto" w:sz="4" w:space="0"/>
                </w:tcBorders>
                <w:vAlign w:val="center"/>
              </w:tcPr>
            </w:tcPrChange>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lang w:val="en-US" w:eastAsia="zh-CN"/>
              </w:rPr>
              <w:t>51.2</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00" w:lineRule="auto"/>
              <w:rPr>
                <w:rFonts w:hint="default" w:ascii="宋体" w:hAnsi="宋体" w:cs="宋体"/>
                <w:color w:val="auto"/>
                <w:spacing w:val="0"/>
                <w:kern w:val="2"/>
                <w:sz w:val="21"/>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spacing w:val="0"/>
                <w:kern w:val="2"/>
                <w:sz w:val="21"/>
                <w:highlight w:val="none"/>
                <w:lang w:val="en-US" w:eastAsia="zh-CN"/>
              </w:rPr>
              <w:t>投标人根据合同要求执行。招标人12月31日后对项目前期工作进行验收，验收通过后支付第一笔服务费用，占合同总金额的55%，第一笔费用包括</w:t>
            </w:r>
            <w:r>
              <w:rPr>
                <w:rFonts w:hint="eastAsia" w:ascii="宋体" w:hAnsi="宋体" w:eastAsia="宋体" w:cs="宋体"/>
                <w:b w:val="0"/>
                <w:bCs w:val="0"/>
                <w:color w:val="auto"/>
                <w:sz w:val="21"/>
                <w:szCs w:val="24"/>
                <w:highlight w:val="none"/>
              </w:rPr>
              <w:t>高交会</w:t>
            </w:r>
            <w:r>
              <w:rPr>
                <w:rFonts w:hint="eastAsia" w:ascii="宋体" w:hAnsi="宋体" w:cs="宋体"/>
                <w:b w:val="0"/>
                <w:bCs w:val="0"/>
                <w:color w:val="auto"/>
                <w:sz w:val="21"/>
                <w:szCs w:val="24"/>
                <w:highlight w:val="none"/>
                <w:lang w:val="en-US" w:eastAsia="zh-CN"/>
              </w:rPr>
              <w:t>专题宣传、广告定向投放费用、以及</w:t>
            </w:r>
            <w:r>
              <w:rPr>
                <w:rFonts w:hint="eastAsia" w:ascii="宋体" w:hAnsi="宋体" w:cs="宋体"/>
                <w:color w:val="auto"/>
                <w:spacing w:val="0"/>
                <w:kern w:val="2"/>
                <w:sz w:val="21"/>
                <w:highlight w:val="none"/>
                <w:lang w:val="en-US" w:eastAsia="zh-CN"/>
              </w:rPr>
              <w:t>高交会英文网站、高交会微信公众号和推特账号运维产生的实际费用。当年合同服务到期后，招标人支付当年合同总金额剩余45%的服务费用。</w:t>
            </w:r>
          </w:p>
          <w:p>
            <w:pPr>
              <w:numPr>
                <w:ilvl w:val="-1"/>
                <w:numId w:val="0"/>
              </w:numPr>
              <w:tabs>
                <w:tab w:val="left" w:pos="531"/>
              </w:tabs>
              <w:snapToGrid w:val="0"/>
              <w:spacing w:line="300" w:lineRule="auto"/>
              <w:rPr>
                <w:rFonts w:hint="eastAsia" w:ascii="宋体" w:hAnsi="宋体" w:cs="宋体"/>
                <w:color w:val="auto"/>
                <w:spacing w:val="0"/>
                <w:kern w:val="2"/>
                <w:sz w:val="21"/>
                <w:highlight w:val="none"/>
                <w:lang w:val="en-US" w:eastAsia="zh-CN"/>
              </w:rPr>
            </w:pPr>
            <w:r>
              <w:rPr>
                <w:rFonts w:hint="eastAsia" w:ascii="宋体" w:hAnsi="宋体" w:cs="宋体"/>
                <w:color w:val="auto"/>
                <w:spacing w:val="0"/>
                <w:kern w:val="2"/>
                <w:sz w:val="21"/>
                <w:highlight w:val="none"/>
                <w:lang w:val="en-US" w:eastAsia="zh-CN"/>
              </w:rPr>
              <w:t>（2）每年度两次付款均需要投标人</w:t>
            </w:r>
            <w:r>
              <w:rPr>
                <w:rFonts w:hint="eastAsia" w:ascii="宋体" w:hAnsi="宋体" w:cs="宋体"/>
                <w:color w:val="auto"/>
                <w:spacing w:val="0"/>
                <w:kern w:val="2"/>
                <w:sz w:val="21"/>
                <w:highlight w:val="none"/>
              </w:rPr>
              <w:t>提供的</w:t>
            </w:r>
            <w:r>
              <w:rPr>
                <w:rFonts w:hint="eastAsia" w:ascii="宋体" w:hAnsi="宋体" w:cs="宋体"/>
                <w:color w:val="auto"/>
                <w:spacing w:val="0"/>
                <w:kern w:val="2"/>
                <w:sz w:val="21"/>
                <w:highlight w:val="none"/>
                <w:lang w:val="en-US" w:eastAsia="zh-CN"/>
              </w:rPr>
              <w:t>验收报告与</w:t>
            </w:r>
            <w:r>
              <w:rPr>
                <w:rFonts w:hint="eastAsia" w:ascii="宋体" w:hAnsi="宋体" w:cs="宋体"/>
                <w:color w:val="auto"/>
                <w:spacing w:val="0"/>
                <w:kern w:val="2"/>
                <w:sz w:val="21"/>
                <w:highlight w:val="none"/>
              </w:rPr>
              <w:t>运维</w:t>
            </w:r>
            <w:r>
              <w:rPr>
                <w:rFonts w:hint="eastAsia" w:ascii="宋体" w:hAnsi="宋体" w:cs="宋体"/>
                <w:color w:val="auto"/>
                <w:spacing w:val="0"/>
                <w:kern w:val="2"/>
                <w:sz w:val="21"/>
                <w:highlight w:val="none"/>
                <w:lang w:val="en-US" w:eastAsia="zh-CN"/>
              </w:rPr>
              <w:t>总结</w:t>
            </w:r>
            <w:r>
              <w:rPr>
                <w:rFonts w:hint="eastAsia" w:ascii="宋体" w:hAnsi="宋体" w:cs="宋体"/>
                <w:color w:val="auto"/>
                <w:spacing w:val="0"/>
                <w:kern w:val="2"/>
                <w:sz w:val="21"/>
                <w:highlight w:val="none"/>
              </w:rPr>
              <w:t>，确认各项数据</w:t>
            </w:r>
            <w:r>
              <w:rPr>
                <w:rFonts w:hint="eastAsia" w:ascii="宋体" w:hAnsi="宋体" w:cs="宋体"/>
                <w:color w:val="auto"/>
                <w:spacing w:val="0"/>
                <w:kern w:val="2"/>
                <w:sz w:val="21"/>
                <w:highlight w:val="none"/>
                <w:lang w:val="en-US" w:eastAsia="zh-CN"/>
              </w:rPr>
              <w:t>效果</w:t>
            </w:r>
            <w:r>
              <w:rPr>
                <w:rFonts w:hint="eastAsia" w:ascii="宋体" w:hAnsi="宋体" w:cs="宋体"/>
                <w:color w:val="auto"/>
                <w:spacing w:val="0"/>
                <w:kern w:val="2"/>
                <w:sz w:val="21"/>
                <w:highlight w:val="none"/>
              </w:rPr>
              <w:t>均达到合同规定服务要求后，</w:t>
            </w:r>
            <w:r>
              <w:rPr>
                <w:rFonts w:hint="eastAsia" w:ascii="宋体" w:hAnsi="宋体" w:cs="宋体"/>
                <w:color w:val="auto"/>
                <w:spacing w:val="0"/>
                <w:kern w:val="2"/>
                <w:sz w:val="21"/>
                <w:highlight w:val="none"/>
                <w:lang w:val="en-US" w:eastAsia="zh-CN"/>
              </w:rPr>
              <w:t>才可进行付款申请。</w:t>
            </w:r>
            <w:r>
              <w:rPr>
                <w:rFonts w:hint="eastAsia" w:ascii="宋体" w:hAnsi="宋体" w:cs="宋体"/>
                <w:color w:val="auto"/>
                <w:spacing w:val="0"/>
                <w:kern w:val="2"/>
                <w:sz w:val="21"/>
                <w:highlight w:val="none"/>
              </w:rPr>
              <w:t>如验收不达标，</w:t>
            </w:r>
            <w:r>
              <w:rPr>
                <w:rFonts w:hint="eastAsia" w:ascii="宋体" w:hAnsi="宋体" w:cs="宋体"/>
                <w:color w:val="auto"/>
                <w:spacing w:val="0"/>
                <w:kern w:val="2"/>
                <w:sz w:val="21"/>
                <w:highlight w:val="none"/>
                <w:lang w:eastAsia="zh-CN"/>
              </w:rPr>
              <w:t>招标人</w:t>
            </w:r>
            <w:r>
              <w:rPr>
                <w:rFonts w:hint="eastAsia" w:ascii="宋体" w:hAnsi="宋体" w:cs="宋体"/>
                <w:color w:val="auto"/>
                <w:spacing w:val="0"/>
                <w:kern w:val="2"/>
                <w:sz w:val="21"/>
                <w:highlight w:val="none"/>
              </w:rPr>
              <w:t>有权要求</w:t>
            </w:r>
            <w:r>
              <w:rPr>
                <w:rFonts w:hint="eastAsia" w:ascii="宋体" w:hAnsi="宋体" w:cs="宋体"/>
                <w:color w:val="auto"/>
                <w:spacing w:val="0"/>
                <w:kern w:val="2"/>
                <w:sz w:val="21"/>
                <w:highlight w:val="none"/>
                <w:lang w:val="en-US" w:eastAsia="zh-CN"/>
              </w:rPr>
              <w:t>投标人</w:t>
            </w:r>
            <w:r>
              <w:rPr>
                <w:rFonts w:hint="eastAsia" w:ascii="宋体" w:hAnsi="宋体" w:cs="宋体"/>
                <w:color w:val="auto"/>
                <w:spacing w:val="0"/>
                <w:kern w:val="2"/>
                <w:sz w:val="21"/>
                <w:highlight w:val="none"/>
              </w:rPr>
              <w:t>就相应服务进行整改，</w:t>
            </w:r>
            <w:r>
              <w:rPr>
                <w:rFonts w:hint="eastAsia" w:ascii="宋体" w:hAnsi="宋体" w:cs="宋体"/>
                <w:color w:val="auto"/>
                <w:spacing w:val="0"/>
                <w:kern w:val="2"/>
                <w:sz w:val="21"/>
                <w:highlight w:val="none"/>
                <w:lang w:val="en-US" w:eastAsia="zh-CN"/>
              </w:rPr>
              <w:t>直至完全通过验收，如整改后仍无法达到合同约定要求的，应扣除对应未达验收标准部分后支付剩余合同款</w:t>
            </w:r>
            <w:r>
              <w:rPr>
                <w:rFonts w:hint="eastAsia" w:ascii="宋体" w:hAnsi="宋体" w:cs="宋体"/>
                <w:color w:val="auto"/>
                <w:spacing w:val="0"/>
                <w:kern w:val="2"/>
                <w:sz w:val="21"/>
                <w:highlight w:val="none"/>
              </w:rPr>
              <w:t>。</w:t>
            </w:r>
          </w:p>
          <w:p>
            <w:pPr>
              <w:numPr>
                <w:ilvl w:val="-1"/>
                <w:numId w:val="0"/>
              </w:numPr>
              <w:tabs>
                <w:tab w:val="left" w:pos="531"/>
              </w:tabs>
              <w:snapToGrid w:val="0"/>
              <w:spacing w:line="300" w:lineRule="auto"/>
              <w:ind w:left="0" w:firstLine="0"/>
              <w:rPr>
                <w:rFonts w:hint="eastAsia" w:ascii="宋体" w:hAnsi="宋体" w:cs="宋体"/>
                <w:color w:val="auto"/>
                <w:sz w:val="21"/>
                <w:szCs w:val="21"/>
                <w:highlight w:val="none"/>
                <w:lang w:val="en-US" w:eastAsia="zh-CN"/>
              </w:rPr>
            </w:pPr>
            <w:r>
              <w:rPr>
                <w:rFonts w:hint="eastAsia" w:ascii="宋体" w:hAnsi="宋体" w:cs="宋体"/>
                <w:color w:val="auto"/>
                <w:kern w:val="2"/>
                <w:sz w:val="21"/>
                <w:szCs w:val="24"/>
                <w:highlight w:val="none"/>
                <w:lang w:val="en-US" w:eastAsia="zh-CN" w:bidi="ar-SA"/>
              </w:rPr>
              <w:t>（3）</w:t>
            </w:r>
            <w:r>
              <w:rPr>
                <w:rFonts w:hint="eastAsia" w:ascii="宋体" w:hAnsi="宋体" w:cs="宋体"/>
                <w:color w:val="auto"/>
                <w:sz w:val="21"/>
                <w:szCs w:val="21"/>
                <w:highlight w:val="none"/>
                <w:lang w:val="en-US" w:eastAsia="zh-CN"/>
              </w:rPr>
              <w:t>招标人支付款项前，投标人应提供等额的合法真实有效的增值税发票。</w:t>
            </w:r>
          </w:p>
          <w:p>
            <w:pPr>
              <w:numPr>
                <w:ilvl w:val="-1"/>
                <w:numId w:val="0"/>
              </w:numPr>
              <w:tabs>
                <w:tab w:val="left" w:pos="531"/>
              </w:tabs>
              <w:snapToGrid w:val="0"/>
              <w:spacing w:line="360" w:lineRule="auto"/>
              <w:ind w:left="0" w:firstLine="0"/>
              <w:rPr>
                <w:color w:val="FF0000"/>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eastAsia="宋体" w:cs="宋体"/>
                <w:color w:val="auto"/>
                <w:sz w:val="21"/>
                <w:szCs w:val="21"/>
                <w:highlight w:val="none"/>
                <w:lang w:val="en-US" w:eastAsia="zh-CN"/>
              </w:rPr>
              <w:t>服务期限</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ascii="宋体" w:eastAsia="宋体" w:cs="宋体"/>
                <w:color w:val="auto"/>
                <w:highlight w:val="yellow"/>
              </w:rPr>
            </w:pPr>
            <w:r>
              <w:rPr>
                <w:rFonts w:hint="eastAsia" w:ascii="宋体" w:eastAsia="宋体" w:cs="宋体"/>
                <w:color w:val="auto"/>
                <w:sz w:val="21"/>
                <w:szCs w:val="21"/>
                <w:highlight w:val="none"/>
                <w:lang w:val="en-US" w:eastAsia="zh-CN"/>
              </w:rPr>
              <w:t>合同签订之日起一年内有效。</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知识产权保护</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本项目成果所有权归招标人所有。</w:t>
            </w:r>
          </w:p>
          <w:p>
            <w:pPr>
              <w:numPr>
                <w:ilvl w:val="0"/>
                <w:numId w:val="12"/>
              </w:num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必须对编写成果拥有著作版权，在整个项目的实施过程中，投标人不得有模仿、抄袭等侵犯第三方知识产权的情节或行为。若因投标人侵权带来的经济和法律责任，均由投标人自行承担；若给招标人造成损失的，投标人应承担相关损失，招标人保留进一步追偿的权利。</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cs="宋体"/>
                <w:snapToGrid/>
                <w:spacing w:val="0"/>
                <w:kern w:val="2"/>
                <w:sz w:val="21"/>
                <w:szCs w:val="21"/>
                <w:lang w:val="en-US" w:eastAsia="zh-CN"/>
              </w:rPr>
            </w:pPr>
            <w:r>
              <w:rPr>
                <w:rFonts w:hint="eastAsia" w:ascii="宋体" w:hAnsi="宋体" w:cs="宋体"/>
                <w:snapToGrid/>
                <w:color w:val="auto"/>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保密承诺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投标人承诺绝不私自截留或外泄项目运行过程中产生或接触到的信息及数据等机密资料。</w:t>
            </w:r>
          </w:p>
          <w:p>
            <w:pPr>
              <w:numPr>
                <w:ilvl w:val="0"/>
                <w:numId w:val="13"/>
              </w:num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投标人必须保证在运行、管理等过程中严格遵守国家和地方相关（特别是信息安全方面）的法律法规，确保招标人使用权以及公民个人信息不受侵犯。</w:t>
            </w:r>
          </w:p>
          <w:p>
            <w:pPr>
              <w:numPr>
                <w:ilvl w:val="0"/>
                <w:numId w:val="13"/>
              </w:num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如投标人存在违规、侵权或泄密等行为的，投标人须赔偿因此造成的全部各方经济损失，并承担相应的法律责任。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color w:val="auto"/>
                <w:spacing w:val="0"/>
                <w:kern w:val="2"/>
                <w:sz w:val="21"/>
                <w:szCs w:val="21"/>
                <w:lang w:val="en-US" w:eastAsia="zh-CN"/>
              </w:rPr>
            </w:pPr>
            <w:r>
              <w:rPr>
                <w:rFonts w:hint="eastAsia" w:ascii="宋体" w:hAnsi="宋体" w:cs="宋体"/>
                <w:snapToGrid/>
                <w:color w:val="auto"/>
                <w:spacing w:val="0"/>
                <w:kern w:val="2"/>
                <w:sz w:val="21"/>
                <w:szCs w:val="21"/>
                <w:lang w:val="en-US" w:eastAsia="zh-CN"/>
              </w:rPr>
              <w:t>9</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特别要求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如因不可抗力导致本届高交会会期或其它相关事项发生变动的，投标人须无条件配合调整相关服务</w:t>
            </w:r>
            <w:r>
              <w:rPr>
                <w:rFonts w:hint="eastAsia" w:ascii="宋体" w:hAnsi="宋体" w:cs="宋体"/>
                <w:color w:val="auto"/>
                <w:szCs w:val="21"/>
                <w:highlight w:val="none"/>
                <w:lang w:val="en-US" w:eastAsia="zh-CN"/>
              </w:rPr>
              <w:t>与时间节点</w:t>
            </w:r>
            <w:r>
              <w:rPr>
                <w:rFonts w:hint="eastAsia" w:ascii="宋体" w:hAnsi="宋体" w:eastAsia="宋体" w:cs="宋体"/>
                <w:color w:val="auto"/>
                <w:szCs w:val="21"/>
                <w:highlight w:val="none"/>
              </w:rPr>
              <w:t>（如增减服务内容、延期等），同时签订相应的补充协议。</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40" w:lineRule="auto"/>
              <w:ind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实施</w:t>
            </w:r>
          </w:p>
          <w:p>
            <w:pPr>
              <w:numPr>
                <w:ilvl w:val="0"/>
                <w:numId w:val="0"/>
              </w:numPr>
              <w:adjustRightInd w:val="0"/>
              <w:snapToGrid w:val="0"/>
              <w:spacing w:line="240" w:lineRule="auto"/>
              <w:ind w:left="0" w:leftChars="0" w:firstLine="0" w:firstLineChars="0"/>
              <w:jc w:val="center"/>
              <w:rPr>
                <w:rFonts w:ascii="宋体" w:hAnsi="宋体" w:cs="宋体"/>
                <w:color w:val="FF0000"/>
                <w:szCs w:val="21"/>
              </w:rPr>
            </w:pPr>
            <w:r>
              <w:rPr>
                <w:rFonts w:hint="eastAsia" w:ascii="宋体" w:hAnsi="宋体" w:eastAsia="宋体" w:cs="宋体"/>
                <w:color w:val="auto"/>
                <w:sz w:val="21"/>
                <w:szCs w:val="21"/>
                <w:highlight w:val="none"/>
              </w:rPr>
              <w:t>方案</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40" w:lineRule="auto"/>
              <w:ind w:left="0" w:leftChars="0" w:firstLine="0" w:firstLineChars="0"/>
              <w:jc w:val="left"/>
              <w:rPr>
                <w:rFonts w:ascii="宋体" w:hAnsi="宋体"/>
                <w:color w:val="FF0000"/>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提交整体实施方案，包括但不限于</w:t>
            </w:r>
            <w:r>
              <w:rPr>
                <w:rFonts w:hint="eastAsia" w:ascii="宋体" w:hAnsi="宋体" w:cs="宋体"/>
                <w:color w:val="auto"/>
                <w:sz w:val="21"/>
                <w:szCs w:val="21"/>
                <w:highlight w:val="none"/>
                <w:lang w:val="en-US" w:eastAsia="zh-CN"/>
              </w:rPr>
              <w:t>内容策划与采编</w:t>
            </w:r>
            <w:r>
              <w:rPr>
                <w:rFonts w:hint="eastAsia" w:ascii="宋体" w:hAnsi="宋体" w:eastAsia="宋体" w:cs="宋体"/>
                <w:color w:val="auto"/>
                <w:sz w:val="21"/>
                <w:szCs w:val="21"/>
                <w:highlight w:val="none"/>
              </w:rPr>
              <w:t>、质量控制保障措施、沟通及响应机制、时间进度表等</w:t>
            </w:r>
            <w:r>
              <w:rPr>
                <w:rFonts w:hint="eastAsia" w:ascii="宋体" w:hAnsi="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highlight w:val="none"/>
                <w:lang w:val="en-US" w:eastAsia="zh-CN"/>
              </w:rPr>
            </w:pPr>
            <w:r>
              <w:rPr>
                <w:rFonts w:hint="eastAsia"/>
                <w:color w:val="auto"/>
                <w:highlight w:val="none"/>
                <w:lang w:val="en-US" w:eastAsia="zh-CN"/>
              </w:rPr>
              <w:t>项目实施</w:t>
            </w:r>
          </w:p>
          <w:p>
            <w:pPr>
              <w:spacing w:line="240" w:lineRule="auto"/>
              <w:jc w:val="center"/>
              <w:rPr>
                <w:rFonts w:ascii="宋体" w:hAnsi="宋体" w:cs="宋体"/>
                <w:color w:val="FF0000"/>
                <w:szCs w:val="21"/>
              </w:rPr>
            </w:pPr>
            <w:r>
              <w:rPr>
                <w:rFonts w:hint="eastAsia"/>
                <w:color w:val="auto"/>
                <w:highlight w:val="none"/>
                <w:lang w:val="en-US"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widowControl w:val="0"/>
              <w:numPr>
                <w:ilvl w:val="0"/>
                <w:numId w:val="14"/>
              </w:numPr>
              <w:kinsoku/>
              <w:wordWrap/>
              <w:overflowPunct/>
              <w:topLinePunct w:val="0"/>
              <w:autoSpaceDE/>
              <w:autoSpaceDN/>
              <w:bidi w:val="0"/>
              <w:adjustRightInd/>
              <w:snapToGrid w:val="0"/>
              <w:spacing w:line="30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高交会英文网站的内容编译、维护及推广</w:t>
            </w:r>
            <w:r>
              <w:rPr>
                <w:rFonts w:hint="eastAsia" w:ascii="宋体" w:hAnsi="宋体" w:eastAsia="宋体" w:cs="宋体"/>
                <w:color w:val="auto"/>
                <w:sz w:val="21"/>
                <w:szCs w:val="21"/>
                <w:highlight w:val="none"/>
              </w:rPr>
              <w:t>：</w:t>
            </w:r>
          </w:p>
          <w:p>
            <w:pPr>
              <w:pStyle w:val="35"/>
              <w:keepNext w:val="0"/>
              <w:keepLines w:val="0"/>
              <w:pageBreakBefore w:val="0"/>
              <w:widowControl w:val="0"/>
              <w:numPr>
                <w:ilvl w:val="0"/>
                <w:numId w:val="15"/>
              </w:numPr>
              <w:kinsoku/>
              <w:wordWrap/>
              <w:overflowPunct/>
              <w:topLinePunct w:val="0"/>
              <w:autoSpaceDE/>
              <w:autoSpaceDN/>
              <w:bidi w:val="0"/>
              <w:adjustRightInd/>
              <w:snapToGrid w:val="0"/>
              <w:spacing w:line="300" w:lineRule="auto"/>
              <w:ind w:left="425" w:leftChars="0" w:hanging="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全年编译量约为10万字（中文），内容由高交会中文网站提供；</w:t>
            </w:r>
          </w:p>
          <w:p>
            <w:pPr>
              <w:pStyle w:val="35"/>
              <w:keepNext w:val="0"/>
              <w:keepLines w:val="0"/>
              <w:pageBreakBefore w:val="0"/>
              <w:widowControl w:val="0"/>
              <w:numPr>
                <w:ilvl w:val="0"/>
                <w:numId w:val="15"/>
              </w:numPr>
              <w:kinsoku/>
              <w:wordWrap/>
              <w:overflowPunct/>
              <w:topLinePunct w:val="0"/>
              <w:autoSpaceDE/>
              <w:autoSpaceDN/>
              <w:bidi w:val="0"/>
              <w:adjustRightInd/>
              <w:snapToGrid w:val="0"/>
              <w:spacing w:line="300" w:lineRule="auto"/>
              <w:ind w:left="425" w:leftChars="0" w:hanging="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上传宣传视频不少于2个，上传图片40-50张（</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提供有版权或使用权的视频和图片）；</w:t>
            </w:r>
          </w:p>
          <w:p>
            <w:pPr>
              <w:pStyle w:val="35"/>
              <w:keepNext w:val="0"/>
              <w:keepLines w:val="0"/>
              <w:pageBreakBefore w:val="0"/>
              <w:widowControl w:val="0"/>
              <w:numPr>
                <w:ilvl w:val="0"/>
                <w:numId w:val="15"/>
              </w:numPr>
              <w:kinsoku/>
              <w:wordWrap/>
              <w:overflowPunct/>
              <w:topLinePunct w:val="0"/>
              <w:autoSpaceDE/>
              <w:autoSpaceDN/>
              <w:bidi w:val="0"/>
              <w:adjustRightInd/>
              <w:snapToGrid w:val="0"/>
              <w:spacing w:line="300" w:lineRule="auto"/>
              <w:ind w:left="425" w:leftChars="0" w:hanging="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根据高交会中文网站的内容对英文网站页面内容进行调整与更新，同时对</w:t>
            </w:r>
            <w:r>
              <w:rPr>
                <w:rFonts w:hint="eastAsia" w:ascii="宋体" w:hAnsi="宋体" w:cs="宋体"/>
                <w:color w:val="auto"/>
                <w:sz w:val="21"/>
                <w:szCs w:val="21"/>
                <w:highlight w:val="none"/>
                <w:lang w:val="en-US" w:eastAsia="zh-CN"/>
              </w:rPr>
              <w:t>资讯</w:t>
            </w:r>
            <w:r>
              <w:rPr>
                <w:rFonts w:hint="eastAsia" w:ascii="宋体" w:hAnsi="宋体" w:eastAsia="宋体" w:cs="宋体"/>
                <w:color w:val="auto"/>
                <w:sz w:val="21"/>
                <w:szCs w:val="21"/>
                <w:highlight w:val="none"/>
              </w:rPr>
              <w:t>板块进行内容更新；</w:t>
            </w:r>
          </w:p>
          <w:p>
            <w:pPr>
              <w:pStyle w:val="35"/>
              <w:keepNext w:val="0"/>
              <w:keepLines w:val="0"/>
              <w:pageBreakBefore w:val="0"/>
              <w:widowControl w:val="0"/>
              <w:numPr>
                <w:ilvl w:val="0"/>
                <w:numId w:val="15"/>
              </w:numPr>
              <w:kinsoku/>
              <w:wordWrap/>
              <w:overflowPunct/>
              <w:topLinePunct w:val="0"/>
              <w:autoSpaceDE/>
              <w:autoSpaceDN/>
              <w:bidi w:val="0"/>
              <w:adjustRightInd/>
              <w:snapToGrid w:val="0"/>
              <w:spacing w:line="300" w:lineRule="auto"/>
              <w:ind w:left="425" w:leftChars="0" w:hanging="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按照平均每篇</w:t>
            </w:r>
            <w:r>
              <w:rPr>
                <w:rFonts w:hint="eastAsia" w:ascii="宋体" w:hAnsi="宋体" w:cs="宋体"/>
                <w:color w:val="auto"/>
                <w:sz w:val="21"/>
                <w:szCs w:val="21"/>
                <w:highlight w:val="none"/>
                <w:lang w:val="en-US" w:eastAsia="zh-CN"/>
              </w:rPr>
              <w:t>资讯</w:t>
            </w:r>
            <w:r>
              <w:rPr>
                <w:rFonts w:hint="eastAsia" w:ascii="宋体" w:hAnsi="宋体" w:eastAsia="宋体" w:cs="宋体"/>
                <w:color w:val="auto"/>
                <w:sz w:val="21"/>
                <w:szCs w:val="21"/>
                <w:highlight w:val="none"/>
              </w:rPr>
              <w:t>1,000中文字的标准，编译篇数</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rPr>
              <w:t>为90篇，10篇发布</w:t>
            </w:r>
            <w:r>
              <w:rPr>
                <w:rFonts w:hint="eastAsia" w:ascii="宋体" w:hAnsi="宋体" w:cs="宋体"/>
                <w:color w:val="auto"/>
                <w:sz w:val="21"/>
                <w:szCs w:val="21"/>
                <w:highlight w:val="none"/>
                <w:lang w:val="en-US" w:eastAsia="zh-CN"/>
              </w:rPr>
              <w:t>高交会英文网站</w:t>
            </w:r>
            <w:r>
              <w:rPr>
                <w:rFonts w:hint="eastAsia" w:ascii="宋体" w:hAnsi="宋体" w:eastAsia="宋体" w:cs="宋体"/>
                <w:color w:val="auto"/>
                <w:sz w:val="21"/>
                <w:szCs w:val="21"/>
                <w:highlight w:val="none"/>
              </w:rPr>
              <w:t>非</w:t>
            </w:r>
            <w:r>
              <w:rPr>
                <w:rFonts w:hint="eastAsia" w:ascii="宋体" w:hAnsi="宋体" w:cs="宋体"/>
                <w:color w:val="auto"/>
                <w:sz w:val="21"/>
                <w:szCs w:val="21"/>
                <w:highlight w:val="none"/>
                <w:lang w:val="en-US" w:eastAsia="zh-CN"/>
              </w:rPr>
              <w:t>资讯</w:t>
            </w:r>
            <w:r>
              <w:rPr>
                <w:rFonts w:hint="eastAsia" w:ascii="宋体" w:hAnsi="宋体" w:eastAsia="宋体" w:cs="宋体"/>
                <w:color w:val="auto"/>
                <w:sz w:val="21"/>
                <w:szCs w:val="21"/>
                <w:highlight w:val="none"/>
              </w:rPr>
              <w:t>栏目</w:t>
            </w:r>
            <w:r>
              <w:rPr>
                <w:rFonts w:hint="eastAsia" w:ascii="宋体" w:hAnsi="宋体" w:cs="宋体"/>
                <w:color w:val="auto"/>
                <w:sz w:val="21"/>
                <w:szCs w:val="21"/>
                <w:highlight w:val="none"/>
                <w:lang w:eastAsia="zh-CN"/>
              </w:rPr>
              <w:t>。</w:t>
            </w:r>
          </w:p>
          <w:p>
            <w:pPr>
              <w:pStyle w:val="35"/>
              <w:keepNext w:val="0"/>
              <w:keepLines w:val="0"/>
              <w:pageBreakBefore w:val="0"/>
              <w:widowControl w:val="0"/>
              <w:numPr>
                <w:ilvl w:val="0"/>
                <w:numId w:val="14"/>
              </w:numPr>
              <w:kinsoku/>
              <w:wordWrap/>
              <w:overflowPunct/>
              <w:topLinePunct w:val="0"/>
              <w:autoSpaceDE/>
              <w:autoSpaceDN/>
              <w:bidi w:val="0"/>
              <w:adjustRightInd/>
              <w:snapToGrid w:val="0"/>
              <w:spacing w:line="30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英文微信公众号运维</w:t>
            </w:r>
            <w:r>
              <w:rPr>
                <w:rFonts w:hint="eastAsia" w:ascii="宋体" w:hAnsi="宋体" w:eastAsia="宋体" w:cs="宋体"/>
                <w:color w:val="auto"/>
                <w:sz w:val="21"/>
                <w:szCs w:val="21"/>
                <w:highlight w:val="none"/>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高交会英文微信公众号内容来源以英文网站内容为主，不定期更新。更新频率大致为上半年每两周更新一次，下半年每周更新一次，高交会期间每周两次，每次更新稿件数量为两篇左右，更新篇</w:t>
            </w:r>
            <w:r>
              <w:rPr>
                <w:rFonts w:hint="eastAsia" w:ascii="宋体" w:hAnsi="宋体" w:cs="宋体"/>
                <w:color w:val="auto"/>
                <w:sz w:val="21"/>
                <w:szCs w:val="21"/>
                <w:highlight w:val="none"/>
                <w:lang w:val="en-US" w:eastAsia="zh-CN"/>
              </w:rPr>
              <w:t>数</w:t>
            </w:r>
            <w:r>
              <w:rPr>
                <w:rFonts w:hint="eastAsia" w:ascii="宋体" w:hAnsi="宋体" w:eastAsia="宋体" w:cs="宋体"/>
                <w:color w:val="auto"/>
                <w:sz w:val="21"/>
                <w:szCs w:val="21"/>
                <w:highlight w:val="none"/>
              </w:rPr>
              <w:t>合计</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rPr>
              <w:t>80篇</w:t>
            </w:r>
            <w:r>
              <w:rPr>
                <w:rFonts w:hint="eastAsia" w:ascii="宋体" w:hAnsi="宋体" w:cs="宋体"/>
                <w:color w:val="auto"/>
                <w:sz w:val="21"/>
                <w:szCs w:val="21"/>
                <w:highlight w:val="none"/>
                <w:lang w:eastAsia="zh-CN"/>
              </w:rPr>
              <w:t>。</w:t>
            </w:r>
          </w:p>
          <w:p>
            <w:pPr>
              <w:pStyle w:val="35"/>
              <w:keepNext w:val="0"/>
              <w:keepLines w:val="0"/>
              <w:pageBreakBefore w:val="0"/>
              <w:widowControl w:val="0"/>
              <w:numPr>
                <w:ilvl w:val="0"/>
                <w:numId w:val="14"/>
              </w:numPr>
              <w:kinsoku/>
              <w:wordWrap/>
              <w:overflowPunct/>
              <w:topLinePunct w:val="0"/>
              <w:autoSpaceDE/>
              <w:autoSpaceDN/>
              <w:bidi w:val="0"/>
              <w:adjustRightInd/>
              <w:snapToGrid w:val="0"/>
              <w:spacing w:line="300" w:lineRule="auto"/>
              <w:ind w:left="0" w:leftChars="0" w:firstLine="0" w:firstLineChars="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高交会推特账号运维：</w:t>
            </w:r>
          </w:p>
          <w:p>
            <w:pPr>
              <w:pStyle w:val="3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高交会</w:t>
            </w:r>
            <w:r>
              <w:rPr>
                <w:rFonts w:hint="eastAsia" w:ascii="宋体" w:hAnsi="宋体" w:eastAsia="宋体" w:cs="宋体"/>
                <w:color w:val="auto"/>
                <w:sz w:val="21"/>
                <w:szCs w:val="21"/>
                <w:highlight w:val="none"/>
                <w:lang w:val="en-US" w:eastAsia="zh-CN"/>
              </w:rPr>
              <w:t>推特账</w:t>
            </w:r>
            <w:r>
              <w:rPr>
                <w:rFonts w:hint="eastAsia" w:ascii="宋体" w:hAnsi="宋体" w:eastAsia="宋体" w:cs="宋体"/>
                <w:color w:val="auto"/>
                <w:sz w:val="21"/>
                <w:szCs w:val="21"/>
                <w:highlight w:val="none"/>
              </w:rPr>
              <w:t>号内容来源以</w:t>
            </w:r>
            <w:r>
              <w:rPr>
                <w:rFonts w:hint="eastAsia" w:ascii="宋体" w:hAnsi="宋体" w:eastAsia="宋体" w:cs="宋体"/>
                <w:color w:val="auto"/>
                <w:sz w:val="21"/>
                <w:szCs w:val="21"/>
                <w:highlight w:val="none"/>
                <w:lang w:val="en-US" w:eastAsia="zh-CN"/>
              </w:rPr>
              <w:t>高交会官方各媒体平台</w:t>
            </w:r>
            <w:r>
              <w:rPr>
                <w:rFonts w:hint="eastAsia" w:ascii="宋体" w:hAnsi="宋体" w:eastAsia="宋体" w:cs="宋体"/>
                <w:color w:val="auto"/>
                <w:sz w:val="21"/>
                <w:szCs w:val="21"/>
                <w:highlight w:val="none"/>
              </w:rPr>
              <w:t>内容为主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并根据</w:t>
            </w:r>
            <w:r>
              <w:rPr>
                <w:rFonts w:hint="eastAsia" w:ascii="宋体" w:hAnsi="宋体" w:eastAsia="宋体" w:cs="宋体"/>
                <w:color w:val="auto"/>
                <w:sz w:val="21"/>
                <w:szCs w:val="21"/>
                <w:highlight w:val="none"/>
              </w:rPr>
              <w:t>高交会推进的重要节点</w:t>
            </w:r>
            <w:r>
              <w:rPr>
                <w:rFonts w:hint="eastAsia" w:ascii="宋体" w:hAnsi="宋体" w:eastAsia="宋体" w:cs="宋体"/>
                <w:color w:val="auto"/>
                <w:sz w:val="21"/>
                <w:szCs w:val="21"/>
                <w:highlight w:val="none"/>
                <w:lang w:val="en-US" w:eastAsia="zh-CN"/>
              </w:rPr>
              <w:t>进行发布发文排期，</w:t>
            </w:r>
            <w:r>
              <w:rPr>
                <w:rFonts w:hint="eastAsia" w:ascii="宋体" w:hAnsi="宋体" w:eastAsia="宋体" w:cs="宋体"/>
                <w:color w:val="auto"/>
                <w:sz w:val="21"/>
                <w:szCs w:val="21"/>
                <w:highlight w:val="none"/>
              </w:rPr>
              <w:t>全年大致编译篇数为100-120篇</w:t>
            </w:r>
            <w:r>
              <w:rPr>
                <w:rFonts w:hint="eastAsia" w:ascii="宋体" w:hAnsi="宋体" w:cs="宋体"/>
                <w:color w:val="auto"/>
                <w:sz w:val="21"/>
                <w:szCs w:val="21"/>
                <w:highlight w:val="none"/>
                <w:lang w:eastAsia="zh-CN"/>
              </w:rPr>
              <w:t>。</w:t>
            </w:r>
          </w:p>
          <w:p>
            <w:pPr>
              <w:pStyle w:val="35"/>
              <w:keepNext w:val="0"/>
              <w:keepLines w:val="0"/>
              <w:pageBreakBefore w:val="0"/>
              <w:widowControl w:val="0"/>
              <w:numPr>
                <w:ilvl w:val="0"/>
                <w:numId w:val="14"/>
              </w:numPr>
              <w:kinsoku/>
              <w:wordWrap/>
              <w:overflowPunct/>
              <w:topLinePunct w:val="0"/>
              <w:autoSpaceDE/>
              <w:autoSpaceDN/>
              <w:bidi w:val="0"/>
              <w:adjustRightInd/>
              <w:snapToGrid w:val="0"/>
              <w:spacing w:line="30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高交会</w:t>
            </w:r>
            <w:r>
              <w:rPr>
                <w:rFonts w:hint="eastAsia" w:ascii="宋体" w:hAnsi="宋体" w:cs="宋体"/>
                <w:b/>
                <w:bCs/>
                <w:color w:val="auto"/>
                <w:sz w:val="21"/>
                <w:szCs w:val="21"/>
                <w:highlight w:val="none"/>
                <w:lang w:val="en-US" w:eastAsia="zh-CN"/>
              </w:rPr>
              <w:t>专题宣传、广告定向投放（推广内容由招标人提供）</w:t>
            </w:r>
            <w:r>
              <w:rPr>
                <w:rFonts w:hint="eastAsia" w:ascii="宋体" w:hAnsi="宋体" w:eastAsia="宋体" w:cs="宋体"/>
                <w:color w:val="auto"/>
                <w:sz w:val="21"/>
                <w:szCs w:val="21"/>
                <w:highlight w:val="none"/>
              </w:rPr>
              <w:t>：</w:t>
            </w:r>
          </w:p>
          <w:p>
            <w:pPr>
              <w:pStyle w:val="35"/>
              <w:keepNext w:val="0"/>
              <w:keepLines w:val="0"/>
              <w:pageBreakBefore w:val="0"/>
              <w:widowControl w:val="0"/>
              <w:numPr>
                <w:ilvl w:val="0"/>
                <w:numId w:val="16"/>
              </w:numPr>
              <w:kinsoku/>
              <w:wordWrap/>
              <w:overflowPunct/>
              <w:topLinePunct w:val="0"/>
              <w:autoSpaceDE/>
              <w:autoSpaceDN/>
              <w:bidi w:val="0"/>
              <w:adjustRightInd/>
              <w:snapToGrid w:val="0"/>
              <w:spacing w:line="300" w:lineRule="auto"/>
              <w:ind w:left="425" w:leftChars="0" w:hanging="5"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中国日报中国版1/4版面彩色硬广投放，广告规格：15.2cm*25cm；</w:t>
            </w:r>
          </w:p>
          <w:p>
            <w:pPr>
              <w:pStyle w:val="35"/>
              <w:keepNext w:val="0"/>
              <w:keepLines w:val="0"/>
              <w:pageBreakBefore w:val="0"/>
              <w:widowControl w:val="0"/>
              <w:numPr>
                <w:ilvl w:val="0"/>
                <w:numId w:val="16"/>
              </w:numPr>
              <w:kinsoku/>
              <w:wordWrap/>
              <w:overflowPunct/>
              <w:topLinePunct w:val="0"/>
              <w:autoSpaceDE/>
              <w:autoSpaceDN/>
              <w:bidi w:val="0"/>
              <w:adjustRightInd/>
              <w:snapToGrid w:val="0"/>
              <w:spacing w:line="300" w:lineRule="auto"/>
              <w:ind w:left="425" w:leftChars="0" w:hanging="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中国日报国际版1/2</w:t>
            </w:r>
            <w:r>
              <w:rPr>
                <w:rFonts w:hint="eastAsia" w:ascii="宋体" w:hAnsi="宋体" w:eastAsia="宋体" w:cs="宋体"/>
                <w:bCs/>
                <w:color w:val="auto"/>
                <w:kern w:val="0"/>
                <w:sz w:val="21"/>
                <w:szCs w:val="21"/>
                <w:highlight w:val="none"/>
              </w:rPr>
              <w:t>版</w:t>
            </w:r>
            <w:r>
              <w:rPr>
                <w:rFonts w:hint="eastAsia" w:ascii="宋体" w:hAnsi="宋体" w:eastAsia="宋体" w:cs="宋体"/>
                <w:bCs/>
                <w:color w:val="auto"/>
                <w:kern w:val="0"/>
                <w:sz w:val="21"/>
                <w:szCs w:val="21"/>
                <w:highlight w:val="none"/>
                <w:lang w:val="en-US" w:eastAsia="zh-CN"/>
              </w:rPr>
              <w:t>面</w:t>
            </w:r>
            <w:r>
              <w:rPr>
                <w:rFonts w:hint="eastAsia" w:ascii="宋体" w:hAnsi="宋体" w:eastAsia="宋体" w:cs="宋体"/>
                <w:bCs/>
                <w:color w:val="auto"/>
                <w:kern w:val="0"/>
                <w:sz w:val="21"/>
                <w:szCs w:val="21"/>
                <w:highlight w:val="none"/>
              </w:rPr>
              <w:t>彩色特刊</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硬广投放，广告规格：含</w:t>
            </w:r>
            <w:r>
              <w:rPr>
                <w:rFonts w:hint="eastAsia" w:ascii="宋体" w:hAnsi="宋体" w:eastAsia="宋体" w:cs="宋体"/>
                <w:bCs/>
                <w:color w:val="auto"/>
                <w:kern w:val="0"/>
                <w:sz w:val="21"/>
                <w:szCs w:val="21"/>
                <w:highlight w:val="none"/>
              </w:rPr>
              <w:t>15.2cm*25cm文字特刊</w:t>
            </w:r>
            <w:r>
              <w:rPr>
                <w:rFonts w:hint="eastAsia" w:ascii="宋体" w:hAnsi="宋体" w:eastAsia="宋体" w:cs="宋体"/>
                <w:bCs/>
                <w:color w:val="auto"/>
                <w:kern w:val="0"/>
                <w:sz w:val="21"/>
                <w:szCs w:val="21"/>
                <w:highlight w:val="none"/>
                <w:lang w:val="en-US" w:eastAsia="zh-CN"/>
              </w:rPr>
              <w:t>和</w:t>
            </w:r>
            <w:r>
              <w:rPr>
                <w:rFonts w:hint="eastAsia" w:ascii="宋体" w:hAnsi="宋体" w:eastAsia="宋体" w:cs="宋体"/>
                <w:bCs/>
                <w:color w:val="auto"/>
                <w:kern w:val="0"/>
                <w:sz w:val="21"/>
                <w:szCs w:val="21"/>
                <w:highlight w:val="none"/>
              </w:rPr>
              <w:t>15.2</w:t>
            </w:r>
            <w:r>
              <w:rPr>
                <w:rFonts w:hint="eastAsia" w:ascii="宋体" w:hAnsi="宋体" w:cs="宋体"/>
                <w:bCs/>
                <w:color w:val="auto"/>
                <w:kern w:val="0"/>
                <w:sz w:val="21"/>
                <w:szCs w:val="21"/>
                <w:highlight w:val="none"/>
                <w:lang w:val="en-US" w:eastAsia="zh-CN"/>
              </w:rPr>
              <w:t>cm</w:t>
            </w:r>
            <w:r>
              <w:rPr>
                <w:rFonts w:hint="eastAsia" w:ascii="宋体" w:hAnsi="宋体" w:eastAsia="宋体" w:cs="宋体"/>
                <w:bCs/>
                <w:color w:val="auto"/>
                <w:kern w:val="0"/>
                <w:sz w:val="21"/>
                <w:szCs w:val="21"/>
                <w:highlight w:val="none"/>
              </w:rPr>
              <w:t>*25cm</w:t>
            </w:r>
            <w:r>
              <w:rPr>
                <w:rFonts w:hint="eastAsia" w:ascii="宋体" w:hAnsi="宋体" w:eastAsia="宋体" w:cs="宋体"/>
                <w:bCs/>
                <w:color w:val="auto"/>
                <w:kern w:val="0"/>
                <w:sz w:val="21"/>
                <w:szCs w:val="21"/>
                <w:highlight w:val="none"/>
                <w:lang w:val="en-US" w:eastAsia="zh-CN"/>
              </w:rPr>
              <w:t>彩色</w:t>
            </w:r>
            <w:r>
              <w:rPr>
                <w:rFonts w:hint="eastAsia" w:ascii="宋体" w:hAnsi="宋体" w:eastAsia="宋体" w:cs="宋体"/>
                <w:bCs/>
                <w:color w:val="auto"/>
                <w:kern w:val="0"/>
                <w:sz w:val="21"/>
                <w:szCs w:val="21"/>
                <w:highlight w:val="none"/>
              </w:rPr>
              <w:t>硬广</w:t>
            </w:r>
            <w:r>
              <w:rPr>
                <w:rFonts w:hint="eastAsia" w:ascii="宋体" w:hAnsi="宋体" w:cs="宋体"/>
                <w:bCs/>
                <w:color w:val="auto"/>
                <w:kern w:val="0"/>
                <w:sz w:val="21"/>
                <w:szCs w:val="21"/>
                <w:highlight w:val="none"/>
                <w:lang w:eastAsia="zh-CN"/>
              </w:rPr>
              <w:t>；</w:t>
            </w:r>
          </w:p>
          <w:p>
            <w:pPr>
              <w:pStyle w:val="35"/>
              <w:keepNext w:val="0"/>
              <w:keepLines w:val="0"/>
              <w:pageBreakBefore w:val="0"/>
              <w:widowControl w:val="0"/>
              <w:numPr>
                <w:ilvl w:val="0"/>
                <w:numId w:val="16"/>
              </w:numPr>
              <w:kinsoku/>
              <w:wordWrap/>
              <w:overflowPunct/>
              <w:topLinePunct w:val="0"/>
              <w:autoSpaceDE/>
              <w:autoSpaceDN/>
              <w:bidi w:val="0"/>
              <w:adjustRightInd/>
              <w:snapToGrid w:val="0"/>
              <w:spacing w:line="300" w:lineRule="auto"/>
              <w:ind w:left="425" w:leftChars="0" w:hanging="5"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中国日报英文网（</w:t>
            </w:r>
            <w:r>
              <w:rPr>
                <w:rFonts w:hint="eastAsia" w:ascii="宋体" w:hAnsi="宋体" w:eastAsia="宋体" w:cs="宋体"/>
                <w:bCs/>
                <w:color w:val="auto"/>
                <w:kern w:val="0"/>
                <w:sz w:val="21"/>
                <w:szCs w:val="21"/>
                <w:highlight w:val="none"/>
              </w:rPr>
              <w:t>www.chinadaily.com.cn）</w:t>
            </w:r>
            <w:r>
              <w:rPr>
                <w:rFonts w:hint="eastAsia" w:ascii="宋体" w:hAnsi="宋体" w:eastAsia="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发布当届高交会英文网络特刊一个，高交会期间每个工作日至少转发高交会推广信息一条，图片总量不少于10张，且在中国日报英文网站首页推广7天</w:t>
            </w:r>
            <w:r>
              <w:rPr>
                <w:rFonts w:hint="eastAsia" w:ascii="宋体" w:hAnsi="宋体" w:cs="宋体"/>
                <w:bCs/>
                <w:color w:val="auto"/>
                <w:kern w:val="0"/>
                <w:sz w:val="21"/>
                <w:szCs w:val="21"/>
                <w:highlight w:val="none"/>
                <w:lang w:eastAsia="zh-CN"/>
              </w:rPr>
              <w:t>；</w:t>
            </w:r>
          </w:p>
          <w:p>
            <w:pPr>
              <w:pStyle w:val="35"/>
              <w:keepNext w:val="0"/>
              <w:keepLines w:val="0"/>
              <w:pageBreakBefore w:val="0"/>
              <w:widowControl w:val="0"/>
              <w:numPr>
                <w:ilvl w:val="0"/>
                <w:numId w:val="16"/>
              </w:numPr>
              <w:kinsoku/>
              <w:wordWrap/>
              <w:overflowPunct/>
              <w:topLinePunct w:val="0"/>
              <w:autoSpaceDE/>
              <w:autoSpaceDN/>
              <w:bidi w:val="0"/>
              <w:adjustRightInd/>
              <w:snapToGrid w:val="0"/>
              <w:spacing w:line="300" w:lineRule="auto"/>
              <w:ind w:left="425" w:leftChars="0" w:hanging="5" w:firstLineChars="0"/>
              <w:jc w:val="left"/>
              <w:textAlignment w:val="auto"/>
              <w:rPr>
                <w:rFonts w:hint="default" w:eastAsia="宋体"/>
                <w:color w:val="FF0000"/>
                <w:lang w:val="en-US" w:eastAsia="zh-CN"/>
              </w:rPr>
            </w:pPr>
            <w:r>
              <w:rPr>
                <w:rFonts w:hint="eastAsia" w:ascii="宋体" w:hAnsi="宋体" w:eastAsia="宋体" w:cs="宋体"/>
                <w:bCs/>
                <w:color w:val="auto"/>
                <w:kern w:val="0"/>
                <w:sz w:val="21"/>
                <w:szCs w:val="21"/>
                <w:highlight w:val="none"/>
                <w:lang w:val="en-US" w:eastAsia="zh-CN"/>
              </w:rPr>
              <w:t>中国日报官方Facebook账号发文推广，内容为</w:t>
            </w:r>
            <w:r>
              <w:rPr>
                <w:rFonts w:hint="eastAsia" w:ascii="宋体" w:hAnsi="宋体" w:eastAsia="宋体" w:cs="宋体"/>
                <w:bCs/>
                <w:color w:val="auto"/>
                <w:kern w:val="0"/>
                <w:sz w:val="21"/>
                <w:szCs w:val="21"/>
                <w:highlight w:val="none"/>
              </w:rPr>
              <w:t>高交会宣传视频（</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提供有版权或使用权的视频和图片</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和</w:t>
            </w:r>
            <w:r>
              <w:rPr>
                <w:rFonts w:hint="eastAsia" w:ascii="宋体" w:hAnsi="宋体" w:eastAsia="宋体" w:cs="宋体"/>
                <w:bCs/>
                <w:color w:val="auto"/>
                <w:kern w:val="0"/>
                <w:sz w:val="21"/>
                <w:szCs w:val="21"/>
                <w:highlight w:val="none"/>
              </w:rPr>
              <w:t>文字内容推广</w:t>
            </w:r>
            <w:r>
              <w:rPr>
                <w:rFonts w:hint="eastAsia" w:ascii="宋体" w:hAnsi="宋体" w:cs="宋体"/>
                <w:bCs/>
                <w:color w:val="auto"/>
                <w:kern w:val="0"/>
                <w:sz w:val="21"/>
                <w:szCs w:val="21"/>
                <w:highlight w:val="none"/>
                <w:lang w:eastAsia="zh-CN"/>
              </w:rPr>
              <w:t>。</w:t>
            </w:r>
          </w:p>
          <w:p>
            <w:pPr>
              <w:pStyle w:val="35"/>
              <w:keepNext w:val="0"/>
              <w:keepLines w:val="0"/>
              <w:pageBreakBefore w:val="0"/>
              <w:widowControl w:val="0"/>
              <w:numPr>
                <w:ilvl w:val="0"/>
                <w:numId w:val="14"/>
              </w:numPr>
              <w:kinsoku/>
              <w:wordWrap/>
              <w:overflowPunct/>
              <w:topLinePunct w:val="0"/>
              <w:autoSpaceDE/>
              <w:autoSpaceDN/>
              <w:bidi w:val="0"/>
              <w:adjustRightInd/>
              <w:snapToGrid w:val="0"/>
              <w:spacing w:line="300" w:lineRule="auto"/>
              <w:ind w:left="0" w:leftChars="0" w:firstLine="0" w:firstLineChars="0"/>
              <w:jc w:val="left"/>
              <w:textAlignment w:val="auto"/>
              <w:rPr>
                <w:rFonts w:hint="default" w:eastAsia="宋体"/>
                <w:color w:val="FF0000"/>
                <w:lang w:val="en-US" w:eastAsia="zh-CN"/>
              </w:rPr>
            </w:pPr>
            <w:r>
              <w:rPr>
                <w:rFonts w:hint="eastAsia" w:ascii="宋体" w:hAnsi="宋体" w:cs="宋体"/>
                <w:b/>
                <w:bCs w:val="0"/>
                <w:color w:val="auto"/>
                <w:kern w:val="0"/>
                <w:sz w:val="21"/>
                <w:szCs w:val="21"/>
                <w:highlight w:val="none"/>
                <w:lang w:val="en-US" w:eastAsia="zh-CN"/>
              </w:rPr>
              <w:t>项目实施报告：</w:t>
            </w:r>
          </w:p>
          <w:p>
            <w:pPr>
              <w:pStyle w:val="3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Chars="0" w:firstLine="420" w:firstLineChars="200"/>
              <w:jc w:val="left"/>
              <w:textAlignment w:val="auto"/>
              <w:rPr>
                <w:rFonts w:hint="eastAsia" w:eastAsia="宋体"/>
                <w:color w:val="FF0000"/>
                <w:lang w:val="en-US" w:eastAsia="zh-CN"/>
              </w:rPr>
            </w:pPr>
            <w:r>
              <w:rPr>
                <w:rFonts w:hint="eastAsia" w:ascii="宋体" w:hAnsi="宋体" w:eastAsia="宋体" w:cs="宋体"/>
                <w:color w:val="auto"/>
                <w:sz w:val="21"/>
                <w:szCs w:val="21"/>
                <w:highlight w:val="none"/>
              </w:rPr>
              <w:t>中标人须</w:t>
            </w:r>
            <w:r>
              <w:rPr>
                <w:rFonts w:hint="eastAsia" w:ascii="宋体" w:hAnsi="宋体" w:cs="宋体"/>
                <w:color w:val="auto"/>
                <w:sz w:val="21"/>
                <w:szCs w:val="21"/>
                <w:highlight w:val="none"/>
                <w:lang w:val="en-US" w:eastAsia="zh-CN"/>
              </w:rPr>
              <w:t>每季度提交社媒运维报告、上半年总结报告和年度运维总结报告</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并定期进行线上沟通会议，</w:t>
            </w:r>
            <w:r>
              <w:rPr>
                <w:rFonts w:hint="eastAsia" w:ascii="宋体" w:hAnsi="宋体" w:eastAsia="宋体" w:cs="宋体"/>
                <w:color w:val="auto"/>
                <w:sz w:val="21"/>
                <w:szCs w:val="21"/>
                <w:highlight w:val="none"/>
              </w:rPr>
              <w:t>反馈运维效果</w:t>
            </w:r>
            <w:r>
              <w:rPr>
                <w:rFonts w:hint="eastAsia" w:ascii="宋体" w:hAnsi="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color w:val="auto"/>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5"/>
              <w:numPr>
                <w:ilvl w:val="-1"/>
                <w:numId w:val="0"/>
              </w:numPr>
              <w:snapToGrid w:val="0"/>
              <w:spacing w:line="240" w:lineRule="auto"/>
              <w:ind w:left="0" w:leftChars="0" w:firstLine="0" w:firstLineChars="0"/>
              <w:jc w:val="left"/>
              <w:rPr>
                <w:color w:val="FF0000"/>
                <w:highlight w:val="yellow"/>
              </w:rPr>
            </w:pPr>
            <w:r>
              <w:rPr>
                <w:rFonts w:hint="eastAsia" w:ascii="宋体" w:hAnsi="宋体" w:cs="宋体"/>
                <w:color w:val="auto"/>
                <w:sz w:val="21"/>
                <w:szCs w:val="21"/>
                <w:highlight w:val="none"/>
                <w:lang w:val="en-US" w:eastAsia="zh-CN"/>
              </w:rPr>
              <w:t>在本年度12月31日后，进行第一次项目验收。当年合同到期后，进行第二次项目验收。投标人需按合同各项目要求完成验收报告，</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包括但不限于</w:t>
            </w:r>
            <w:r>
              <w:rPr>
                <w:rFonts w:hint="eastAsia" w:ascii="宋体" w:hAnsi="宋体" w:cs="宋体"/>
                <w:color w:val="auto"/>
                <w:sz w:val="21"/>
                <w:szCs w:val="21"/>
                <w:highlight w:val="none"/>
                <w:lang w:val="en-US" w:eastAsia="zh-CN"/>
              </w:rPr>
              <w:t>关于</w:t>
            </w:r>
            <w:r>
              <w:rPr>
                <w:rFonts w:hint="eastAsia" w:ascii="宋体" w:hAnsi="宋体" w:cs="宋体"/>
                <w:color w:val="auto"/>
                <w:spacing w:val="0"/>
                <w:kern w:val="2"/>
                <w:sz w:val="21"/>
                <w:highlight w:val="none"/>
                <w:lang w:val="en-US" w:eastAsia="zh-CN"/>
              </w:rPr>
              <w:t>高交会英文网站、高交会微信公众号、推特账号内容的</w:t>
            </w:r>
            <w:r>
              <w:rPr>
                <w:rFonts w:hint="eastAsia" w:ascii="宋体" w:hAnsi="宋体" w:eastAsia="宋体" w:cs="宋体"/>
                <w:color w:val="auto"/>
                <w:sz w:val="21"/>
                <w:szCs w:val="21"/>
                <w:highlight w:val="none"/>
              </w:rPr>
              <w:t>编译发布稿件数量、图片</w:t>
            </w:r>
            <w:r>
              <w:rPr>
                <w:rFonts w:hint="eastAsia" w:ascii="宋体" w:hAnsi="宋体" w:eastAsia="宋体" w:cs="宋体"/>
                <w:color w:val="auto"/>
                <w:sz w:val="21"/>
                <w:szCs w:val="21"/>
                <w:highlight w:val="none"/>
                <w:lang w:val="en-US" w:eastAsia="zh-CN"/>
              </w:rPr>
              <w:t>视频制作及上传数量、</w:t>
            </w:r>
            <w:r>
              <w:rPr>
                <w:rFonts w:hint="eastAsia" w:ascii="宋体" w:hAnsi="宋体" w:eastAsia="宋体" w:cs="宋体"/>
                <w:color w:val="auto"/>
                <w:sz w:val="21"/>
                <w:szCs w:val="21"/>
                <w:highlight w:val="none"/>
              </w:rPr>
              <w:t>传播成效情况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账号运维情况说明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和高交会专题宣传、广告投放的</w:t>
            </w:r>
            <w:r>
              <w:rPr>
                <w:rFonts w:hint="eastAsia" w:ascii="宋体" w:hAnsi="宋体" w:eastAsia="宋体" w:cs="宋体"/>
                <w:color w:val="auto"/>
                <w:sz w:val="21"/>
                <w:szCs w:val="21"/>
                <w:highlight w:val="none"/>
                <w:lang w:val="en-US" w:eastAsia="zh-CN"/>
              </w:rPr>
              <w:t>宣传效果总结、数据、关键内容等，</w:t>
            </w:r>
            <w:r>
              <w:rPr>
                <w:rFonts w:hint="eastAsia" w:ascii="宋体" w:hAnsi="宋体" w:eastAsia="宋体" w:cs="宋体"/>
                <w:color w:val="auto"/>
                <w:sz w:val="21"/>
                <w:szCs w:val="21"/>
                <w:highlight w:val="none"/>
              </w:rPr>
              <w:t>如有特别显著的效果也须在报告中体现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验收报告需签字并加盖公章</w:t>
            </w:r>
            <w:r>
              <w:rPr>
                <w:rFonts w:hint="eastAsia" w:ascii="宋体" w:hAnsi="宋体" w:cs="宋体"/>
                <w:color w:val="auto"/>
                <w:sz w:val="21"/>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ascii="宋体" w:hAnsi="宋体" w:eastAsia="宋体" w:cs="宋体"/>
                <w:color w:val="auto"/>
                <w:sz w:val="21"/>
                <w:szCs w:val="21"/>
                <w:highlight w:val="none"/>
              </w:rPr>
              <w:t>项目负责人及</w:t>
            </w:r>
            <w:r>
              <w:rPr>
                <w:rFonts w:hint="eastAsia" w:ascii="宋体" w:hAnsi="宋体" w:cs="宋体"/>
                <w:color w:val="auto"/>
                <w:sz w:val="21"/>
                <w:szCs w:val="21"/>
                <w:highlight w:val="none"/>
                <w:lang w:val="en-US" w:eastAsia="zh-CN"/>
              </w:rPr>
              <w:t>团队</w:t>
            </w:r>
            <w:r>
              <w:rPr>
                <w:rFonts w:hint="eastAsia" w:ascii="宋体" w:hAnsi="宋体" w:eastAsia="宋体" w:cs="宋体"/>
                <w:color w:val="auto"/>
                <w:sz w:val="21"/>
                <w:szCs w:val="21"/>
                <w:highlight w:val="none"/>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5"/>
              <w:numPr>
                <w:ilvl w:val="0"/>
                <w:numId w:val="17"/>
              </w:numPr>
              <w:snapToGrid w:val="0"/>
              <w:spacing w:line="24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项目团队成员人数不得少于</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人（含项目负责人）</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负责人应具备英文网站及英文社交账号运维管理</w:t>
            </w:r>
            <w:r>
              <w:rPr>
                <w:rFonts w:hint="eastAsia" w:ascii="宋体" w:hAnsi="宋体" w:cs="宋体"/>
                <w:color w:val="auto"/>
                <w:sz w:val="21"/>
                <w:szCs w:val="21"/>
                <w:highlight w:val="none"/>
                <w:lang w:val="en-US" w:eastAsia="zh-CN"/>
              </w:rPr>
              <w:t>经验。</w:t>
            </w:r>
          </w:p>
          <w:p>
            <w:pPr>
              <w:pStyle w:val="35"/>
              <w:numPr>
                <w:ilvl w:val="0"/>
                <w:numId w:val="17"/>
              </w:numPr>
              <w:snapToGrid w:val="0"/>
              <w:spacing w:line="240" w:lineRule="auto"/>
              <w:ind w:left="425" w:leftChars="0" w:hanging="425" w:firstLineChars="0"/>
              <w:jc w:val="left"/>
              <w:rPr>
                <w:color w:val="auto"/>
                <w:highlight w:val="yellow"/>
              </w:rPr>
            </w:pPr>
            <w:r>
              <w:rPr>
                <w:rFonts w:hint="eastAsia" w:ascii="宋体" w:hAnsi="宋体" w:cs="宋体"/>
                <w:color w:val="auto"/>
                <w:sz w:val="21"/>
                <w:szCs w:val="21"/>
                <w:highlight w:val="none"/>
                <w:lang w:val="en-US" w:eastAsia="zh-CN"/>
              </w:rPr>
              <w:t>须提交</w:t>
            </w:r>
            <w:r>
              <w:rPr>
                <w:rFonts w:hint="eastAsia" w:ascii="宋体" w:hAnsi="宋体" w:eastAsia="宋体" w:cs="宋体"/>
                <w:color w:val="auto"/>
                <w:sz w:val="21"/>
                <w:szCs w:val="21"/>
                <w:highlight w:val="none"/>
                <w:lang w:val="en-US" w:eastAsia="zh-CN"/>
              </w:rPr>
              <w:t>项目团队成员</w:t>
            </w:r>
            <w:r>
              <w:rPr>
                <w:rFonts w:hint="eastAsia" w:ascii="宋体" w:hAnsi="宋体" w:cs="宋体"/>
                <w:color w:val="auto"/>
                <w:sz w:val="21"/>
                <w:szCs w:val="21"/>
                <w:highlight w:val="none"/>
                <w:lang w:val="en-US" w:eastAsia="zh-CN"/>
              </w:rPr>
              <w:t>简历，包括姓名、职务、学历、同类项目工作经验等，</w:t>
            </w:r>
            <w:r>
              <w:rPr>
                <w:rFonts w:hint="eastAsia" w:ascii="宋体" w:hAnsi="宋体" w:eastAsia="宋体" w:cs="宋体"/>
                <w:color w:val="auto"/>
                <w:sz w:val="21"/>
                <w:szCs w:val="21"/>
                <w:highlight w:val="none"/>
                <w:lang w:val="en-US" w:eastAsia="zh-CN"/>
              </w:rPr>
              <w:t>所有文件均需加盖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公章</w:t>
            </w:r>
            <w:r>
              <w:rPr>
                <w:rFonts w:hint="eastAsia" w:ascii="宋体" w:hAnsi="宋体" w:cs="宋体"/>
                <w:color w:val="auto"/>
                <w:sz w:val="21"/>
                <w:szCs w:val="21"/>
                <w:highlight w:val="none"/>
                <w:lang w:val="en-US" w:eastAsia="zh-CN"/>
              </w:rPr>
              <w:t>。</w:t>
            </w:r>
          </w:p>
          <w:p>
            <w:pPr>
              <w:pStyle w:val="35"/>
              <w:numPr>
                <w:ilvl w:val="0"/>
                <w:numId w:val="17"/>
              </w:numPr>
              <w:snapToGrid w:val="0"/>
              <w:spacing w:line="240" w:lineRule="auto"/>
              <w:ind w:left="425" w:leftChars="0" w:hanging="425" w:firstLineChars="0"/>
              <w:jc w:val="left"/>
              <w:rPr>
                <w:color w:val="FF0000"/>
                <w:highlight w:val="yellow"/>
              </w:rPr>
            </w:pPr>
            <w:r>
              <w:rPr>
                <w:rFonts w:hint="eastAsia" w:ascii="宋体" w:hAnsi="宋体" w:cs="宋体"/>
                <w:color w:val="auto"/>
                <w:sz w:val="21"/>
                <w:szCs w:val="21"/>
                <w:highlight w:val="none"/>
                <w:lang w:val="en-US" w:eastAsia="zh-CN"/>
              </w:rPr>
              <w:t>项目负责人需提供由投标单位为其缴纳的近三个月社保缴纳证明，加盖投标人公章。</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ascii="宋体" w:hAnsi="宋体" w:eastAsia="宋体" w:cs="宋体"/>
                <w:color w:val="auto"/>
                <w:sz w:val="21"/>
                <w:szCs w:val="21"/>
                <w:highlight w:val="none"/>
              </w:rPr>
              <w:t>项目服务承诺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35"/>
              <w:numPr>
                <w:ilvl w:val="0"/>
                <w:numId w:val="18"/>
              </w:numPr>
              <w:snapToGrid w:val="0"/>
              <w:spacing w:line="24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合同约定期间内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en-US" w:eastAsia="zh-CN"/>
              </w:rPr>
              <w:t>在各级</w:t>
            </w:r>
            <w:r>
              <w:rPr>
                <w:rFonts w:hint="eastAsia" w:ascii="宋体" w:hAnsi="宋体" w:eastAsia="宋体" w:cs="宋体"/>
                <w:color w:val="auto"/>
                <w:sz w:val="21"/>
                <w:szCs w:val="21"/>
                <w:highlight w:val="none"/>
              </w:rPr>
              <w:t>媒体账户上发布</w:t>
            </w:r>
            <w:r>
              <w:rPr>
                <w:rFonts w:hint="eastAsia" w:ascii="宋体" w:hAnsi="宋体" w:eastAsia="宋体" w:cs="宋体"/>
                <w:color w:val="auto"/>
                <w:sz w:val="21"/>
                <w:szCs w:val="21"/>
                <w:highlight w:val="none"/>
                <w:lang w:val="en-US" w:eastAsia="zh-CN"/>
              </w:rPr>
              <w:t>的与</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相关的</w:t>
            </w:r>
            <w:r>
              <w:rPr>
                <w:rFonts w:hint="eastAsia" w:ascii="宋体" w:hAnsi="宋体" w:eastAsia="宋体" w:cs="宋体"/>
                <w:color w:val="auto"/>
                <w:sz w:val="21"/>
                <w:szCs w:val="21"/>
                <w:highlight w:val="none"/>
              </w:rPr>
              <w:t>内容符合国家外宣政策</w:t>
            </w:r>
            <w:r>
              <w:rPr>
                <w:rFonts w:hint="eastAsia" w:ascii="宋体" w:hAnsi="宋体" w:cs="宋体"/>
                <w:color w:val="auto"/>
                <w:sz w:val="21"/>
                <w:szCs w:val="21"/>
                <w:highlight w:val="none"/>
                <w:lang w:eastAsia="zh-CN"/>
              </w:rPr>
              <w:t>。</w:t>
            </w:r>
          </w:p>
          <w:p>
            <w:pPr>
              <w:pStyle w:val="35"/>
              <w:numPr>
                <w:ilvl w:val="0"/>
                <w:numId w:val="18"/>
              </w:numPr>
              <w:snapToGrid w:val="0"/>
              <w:spacing w:line="240" w:lineRule="auto"/>
              <w:ind w:left="425" w:leftChars="0" w:hanging="425" w:firstLineChars="0"/>
              <w:jc w:val="left"/>
              <w:rPr>
                <w:color w:val="FF0000"/>
                <w:highlight w:val="yellow"/>
              </w:rPr>
            </w:pP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严格遵照国家有关广告、互联网媒体、新媒体投放要求和规定，对</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反映需要调整的问题须在4小时之内做出反应。</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olor w:val="auto"/>
                <w:szCs w:val="21"/>
                <w:highlight w:val="none"/>
                <w:lang w:val="en-US" w:eastAsia="zh-CN"/>
              </w:rPr>
              <w:t>不可偏离</w:t>
            </w:r>
          </w:p>
        </w:tc>
      </w:tr>
    </w:tbl>
    <w:p>
      <w:pPr>
        <w:numPr>
          <w:ilvl w:val="0"/>
          <w:numId w:val="1"/>
        </w:numPr>
        <w:jc w:val="left"/>
        <w:outlineLvl w:val="1"/>
        <w:rPr>
          <w:rFonts w:ascii="宋体" w:hAnsi="宋体"/>
          <w:b/>
          <w:szCs w:val="21"/>
        </w:rPr>
      </w:pPr>
      <w:bookmarkStart w:id="38" w:name="_Toc82685552"/>
      <w:bookmarkEnd w:id="38"/>
      <w:bookmarkStart w:id="39" w:name="_Toc82684600"/>
      <w:bookmarkEnd w:id="39"/>
      <w:bookmarkStart w:id="40" w:name="_Toc82591996"/>
      <w:bookmarkEnd w:id="40"/>
      <w:bookmarkStart w:id="41" w:name="_Toc82684715"/>
      <w:bookmarkEnd w:id="41"/>
      <w:bookmarkStart w:id="42" w:name="_Toc4457"/>
      <w:r>
        <w:rPr>
          <w:rFonts w:hint="eastAsia" w:ascii="宋体" w:hAnsi="宋体"/>
          <w:b/>
          <w:szCs w:val="21"/>
        </w:rPr>
        <w:t>其他项目说明资料</w:t>
      </w:r>
      <w:bookmarkEnd w:id="42"/>
    </w:p>
    <w:p>
      <w:pPr>
        <w:widowControl/>
        <w:jc w:val="left"/>
        <w:rPr>
          <w:color w:val="FF0000"/>
          <w:highlight w:val="yellow"/>
        </w:rPr>
      </w:pPr>
      <w:r>
        <w:rPr>
          <w:rFonts w:hint="eastAsia"/>
          <w:color w:val="auto"/>
          <w:highlight w:val="none"/>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3" w:name="_Toc22729"/>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284"/>
      <w:bookmarkStart w:id="45" w:name="_Toc104994641"/>
      <w:bookmarkStart w:id="46" w:name="_Hlk104908581"/>
      <w:bookmarkStart w:id="47" w:name="_Hlk104908397"/>
      <w:r>
        <w:rPr>
          <w:rFonts w:hint="eastAsia"/>
          <w:b/>
        </w:rPr>
        <w:t>开标阶段</w:t>
      </w:r>
      <w:bookmarkEnd w:id="44"/>
      <w:bookmarkEnd w:id="45"/>
    </w:p>
    <w:bookmarkEnd w:id="46"/>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521"/>
      <w:r>
        <w:rPr>
          <w:rFonts w:hint="eastAsia"/>
          <w:b/>
        </w:rPr>
        <w:t>评标阶段</w:t>
      </w:r>
      <w:bookmarkEnd w:id="48"/>
      <w:bookmarkEnd w:id="49"/>
    </w:p>
    <w:p>
      <w:pPr>
        <w:pStyle w:val="22"/>
        <w:numPr>
          <w:ilvl w:val="0"/>
          <w:numId w:val="20"/>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0" w:name="_Toc3137"/>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20540"/>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w:t>
      </w:r>
      <w:r>
        <w:rPr>
          <w:rFonts w:hint="eastAsia" w:ascii="宋体" w:hAnsi="宋体"/>
          <w:szCs w:val="21"/>
          <w:highlight w:val="none"/>
        </w:rPr>
        <w:t>采用</w:t>
      </w:r>
      <w:r>
        <w:rPr>
          <w:rFonts w:hint="eastAsia" w:ascii="宋体" w:hAnsi="宋体"/>
          <w:b/>
          <w:szCs w:val="21"/>
          <w:highlight w:val="none"/>
        </w:rPr>
        <w:t>100分制综合评分法</w:t>
      </w:r>
      <w:r>
        <w:rPr>
          <w:rFonts w:hint="eastAsia" w:ascii="宋体" w:hAnsi="宋体"/>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widowControl w:val="0"/>
              <w:autoSpaceDE w:val="0"/>
              <w:autoSpaceDN w:val="0"/>
              <w:adjustRightInd w:val="0"/>
              <w:snapToGrid w:val="0"/>
              <w:ind w:firstLine="0" w:firstLineChars="0"/>
              <w:jc w:val="center"/>
              <w:rPr>
                <w:rFonts w:ascii="宋体" w:hAnsi="宋体"/>
                <w:szCs w:val="21"/>
              </w:rPr>
            </w:pPr>
            <w:r>
              <w:rPr>
                <w:rFonts w:hint="eastAsia" w:ascii="宋体" w:hAnsi="宋体"/>
                <w:color w:val="auto"/>
                <w:highlight w:val="none"/>
                <w:lang w:val="en-US" w:eastAsia="zh-CN"/>
              </w:rPr>
              <w:t>30</w:t>
            </w:r>
            <w:r>
              <w:rPr>
                <w:rFonts w:hint="eastAsia" w:ascii="宋体" w:hAnsi="宋体"/>
                <w:color w:val="auto"/>
                <w:highlight w:val="none"/>
              </w:rPr>
              <w:t>%</w:t>
            </w:r>
          </w:p>
        </w:tc>
        <w:tc>
          <w:tcPr>
            <w:tcW w:w="2131" w:type="dxa"/>
            <w:vAlign w:val="center"/>
          </w:tcPr>
          <w:p>
            <w:pPr>
              <w:widowControl w:val="0"/>
              <w:autoSpaceDE w:val="0"/>
              <w:autoSpaceDN w:val="0"/>
              <w:adjustRightInd w:val="0"/>
              <w:snapToGrid w:val="0"/>
              <w:ind w:firstLine="0" w:firstLineChars="0"/>
              <w:jc w:val="center"/>
              <w:rPr>
                <w:rFonts w:ascii="宋体" w:hAnsi="宋体"/>
                <w:szCs w:val="21"/>
              </w:rPr>
            </w:pPr>
            <w:r>
              <w:rPr>
                <w:rFonts w:hint="eastAsia" w:ascii="宋体" w:hAnsi="宋体"/>
                <w:color w:val="auto"/>
                <w:szCs w:val="21"/>
                <w:highlight w:val="none"/>
                <w:lang w:val="en-US" w:eastAsia="zh-CN"/>
              </w:rPr>
              <w:t>40</w:t>
            </w:r>
            <w:r>
              <w:rPr>
                <w:rFonts w:hint="eastAsia" w:ascii="宋体" w:hAnsi="宋体"/>
                <w:color w:val="auto"/>
                <w:highlight w:val="none"/>
              </w:rPr>
              <w:t>%</w:t>
            </w:r>
          </w:p>
        </w:tc>
        <w:tc>
          <w:tcPr>
            <w:tcW w:w="2585" w:type="dxa"/>
            <w:vAlign w:val="center"/>
          </w:tcPr>
          <w:p>
            <w:pPr>
              <w:widowControl w:val="0"/>
              <w:autoSpaceDE w:val="0"/>
              <w:autoSpaceDN w:val="0"/>
              <w:adjustRightInd w:val="0"/>
              <w:snapToGrid w:val="0"/>
              <w:ind w:firstLine="0" w:firstLineChars="0"/>
              <w:jc w:val="center"/>
              <w:rPr>
                <w:rFonts w:ascii="宋体" w:hAnsi="宋体"/>
                <w:szCs w:val="21"/>
              </w:rPr>
            </w:pPr>
            <w:r>
              <w:rPr>
                <w:rFonts w:hint="eastAsia" w:ascii="宋体" w:hAnsi="宋体"/>
                <w:color w:val="auto"/>
                <w:szCs w:val="21"/>
                <w:highlight w:val="none"/>
                <w:lang w:val="en-US" w:eastAsia="zh-CN"/>
              </w:rPr>
              <w:t>30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1"/>
        </w:numPr>
        <w:spacing w:before="156" w:beforeLines="50"/>
        <w:jc w:val="left"/>
        <w:outlineLvl w:val="2"/>
        <w:rPr>
          <w:rStyle w:val="29"/>
          <w:rFonts w:ascii="宋体" w:hAnsi="宋体"/>
          <w:b/>
          <w:szCs w:val="21"/>
        </w:rPr>
      </w:pPr>
      <w:bookmarkStart w:id="52" w:name="_Toc26872"/>
      <w:r>
        <w:rPr>
          <w:rStyle w:val="29"/>
          <w:rFonts w:hint="eastAsia" w:ascii="宋体" w:hAnsi="宋体"/>
          <w:b/>
          <w:bCs/>
          <w:szCs w:val="21"/>
        </w:rPr>
        <w:t>符合性检查</w:t>
      </w:r>
      <w:bookmarkEnd w:id="52"/>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61"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479"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eastAsia="宋体" w:cs="宋体"/>
                <w:color w:val="auto"/>
                <w:sz w:val="21"/>
                <w:szCs w:val="21"/>
                <w:highlight w:val="none"/>
              </w:rPr>
              <w:t>及法定代表人、被委托人身份证</w:t>
            </w:r>
            <w:r>
              <w:rPr>
                <w:rFonts w:hint="eastAsia" w:ascii="宋体" w:hAnsi="宋体" w:cs="仿宋"/>
                <w:szCs w:val="21"/>
              </w:rPr>
              <w:t>复印件</w:t>
            </w:r>
            <w:r>
              <w:rPr>
                <w:rFonts w:hint="eastAsia" w:ascii="宋体" w:hAnsi="宋体" w:cs="仿宋"/>
                <w:szCs w:val="21"/>
                <w:lang w:val="en-US" w:eastAsia="zh-CN"/>
              </w:rPr>
              <w:t>或</w:t>
            </w:r>
            <w:r>
              <w:rPr>
                <w:rFonts w:hint="eastAsia" w:ascii="宋体" w:hAnsi="宋体" w:eastAsia="宋体" w:cs="宋体"/>
                <w:color w:val="auto"/>
                <w:sz w:val="21"/>
                <w:szCs w:val="21"/>
                <w:highlight w:val="none"/>
              </w:rPr>
              <w:t>扫描件</w:t>
            </w:r>
            <w:r>
              <w:rPr>
                <w:rFonts w:hint="eastAsia" w:ascii="宋体" w:hAnsi="宋体" w:cs="仿宋"/>
                <w:szCs w:val="21"/>
              </w:rPr>
              <w:t>，如单位法定代表人为本项目授权代表，则仅提供法定代表人证明书及身份证复印件</w:t>
            </w:r>
            <w:r>
              <w:rPr>
                <w:rFonts w:hint="eastAsia" w:ascii="宋体" w:hAnsi="宋体" w:cs="仿宋"/>
                <w:szCs w:val="21"/>
                <w:lang w:val="en-US" w:eastAsia="zh-CN"/>
              </w:rPr>
              <w:t>或</w:t>
            </w:r>
            <w:r>
              <w:rPr>
                <w:rFonts w:hint="eastAsia" w:ascii="宋体" w:hAnsi="宋体" w:eastAsia="宋体" w:cs="宋体"/>
                <w:color w:val="auto"/>
                <w:sz w:val="21"/>
                <w:szCs w:val="21"/>
                <w:highlight w:val="none"/>
              </w:rPr>
              <w:t>扫描件</w:t>
            </w:r>
            <w:r>
              <w:rPr>
                <w:rFonts w:hint="eastAsia" w:ascii="宋体" w:hAnsi="宋体" w:cs="仿宋"/>
                <w:szCs w:val="21"/>
              </w:rPr>
              <w:t>（身份证原件备查，各类证明书需加盖公章）。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830"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numPr>
                <w:ilvl w:val="0"/>
                <w:numId w:val="22"/>
              </w:numPr>
              <w:tabs>
                <w:tab w:val="left" w:pos="531"/>
              </w:tabs>
              <w:snapToGrid w:val="0"/>
              <w:ind w:left="-1" w:firstLine="0"/>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22"/>
              </w:numPr>
              <w:tabs>
                <w:tab w:val="left" w:pos="531"/>
              </w:tabs>
              <w:snapToGrid w:val="0"/>
              <w:ind w:left="-1" w:firstLine="0"/>
            </w:pPr>
            <w:r>
              <w:rPr>
                <w:rFonts w:hint="eastAsia" w:ascii="宋体" w:hAnsi="宋体" w:cs="仿宋_GB2312"/>
                <w:szCs w:val="21"/>
                <w:lang w:val="en-US" w:eastAsia="zh-CN"/>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highlight w:val="none"/>
              </w:rPr>
              <w:t>于</w:t>
            </w:r>
            <w:r>
              <w:rPr>
                <w:rFonts w:hint="eastAsia" w:ascii="宋体" w:hAnsi="宋体"/>
                <w:color w:val="auto"/>
                <w:szCs w:val="21"/>
                <w:highlight w:val="none"/>
                <w:lang w:val="en-US" w:eastAsia="zh-CN"/>
              </w:rPr>
              <w:t>51.2</w:t>
            </w:r>
            <w:r>
              <w:rPr>
                <w:rFonts w:ascii="宋体" w:hAnsi="宋体" w:cs="仿宋"/>
                <w:color w:val="auto"/>
                <w:szCs w:val="21"/>
                <w:highlight w:val="none"/>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21"/>
        </w:numPr>
        <w:spacing w:before="156" w:beforeLines="50"/>
        <w:jc w:val="left"/>
        <w:outlineLvl w:val="2"/>
        <w:rPr>
          <w:rStyle w:val="29"/>
          <w:rFonts w:ascii="宋体" w:hAnsi="宋体"/>
          <w:b/>
          <w:bCs/>
          <w:szCs w:val="21"/>
        </w:rPr>
      </w:pPr>
      <w:bookmarkStart w:id="53" w:name="_Toc29804"/>
      <w:bookmarkStart w:id="54" w:name="_Toc114675512"/>
      <w:r>
        <w:rPr>
          <w:rStyle w:val="29"/>
          <w:rFonts w:hint="eastAsia" w:ascii="宋体" w:hAnsi="宋体"/>
          <w:b/>
          <w:bCs/>
          <w:szCs w:val="21"/>
        </w:rPr>
        <w:t>不可偏离项检查</w:t>
      </w:r>
      <w:bookmarkEnd w:id="53"/>
      <w:bookmarkEnd w:id="54"/>
    </w:p>
    <w:p>
      <w:pPr>
        <w:pStyle w:val="2"/>
        <w:rPr>
          <w:rFonts w:hint="eastAsia" w:ascii="宋体" w:hAnsi="宋体"/>
          <w:sz w:val="21"/>
          <w:szCs w:val="21"/>
        </w:rPr>
      </w:pPr>
      <w:r>
        <w:rPr>
          <w:rFonts w:hint="eastAsia" w:ascii="宋体" w:hAnsi="宋体"/>
          <w:sz w:val="21"/>
          <w:szCs w:val="21"/>
        </w:rPr>
        <w:t>检查内容详见第四条《项目要求》之（一）《商务需求》、（二）技术/服务需求。</w:t>
      </w:r>
    </w:p>
    <w:p>
      <w:pPr>
        <w:numPr>
          <w:ilvl w:val="0"/>
          <w:numId w:val="21"/>
        </w:numPr>
        <w:spacing w:before="156" w:beforeLines="50"/>
        <w:jc w:val="left"/>
        <w:outlineLvl w:val="2"/>
        <w:rPr>
          <w:rFonts w:ascii="宋体" w:hAnsi="宋体"/>
          <w:b/>
          <w:bCs/>
          <w:szCs w:val="21"/>
        </w:rPr>
      </w:pPr>
      <w:bookmarkStart w:id="55" w:name="_Toc114675513"/>
      <w:bookmarkStart w:id="56" w:name="_Toc1541"/>
      <w:r>
        <w:rPr>
          <w:rStyle w:val="29"/>
          <w:rFonts w:hint="eastAsia" w:ascii="宋体" w:hAnsi="宋体"/>
          <w:b/>
          <w:bCs/>
          <w:szCs w:val="21"/>
        </w:rPr>
        <w:t>综合评议指标表</w:t>
      </w:r>
      <w:bookmarkEnd w:id="55"/>
      <w:bookmarkEnd w:id="56"/>
    </w:p>
    <w:tbl>
      <w:tblPr>
        <w:tblStyle w:val="14"/>
        <w:tblpPr w:leftFromText="180" w:rightFromText="180" w:vertAnchor="text" w:horzAnchor="page" w:tblpX="1347" w:tblpY="1497"/>
        <w:tblOverlap w:val="never"/>
        <w:tblW w:w="9727"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63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7180"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727"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color w:val="auto"/>
                <w:szCs w:val="21"/>
                <w:highlight w:val="none"/>
              </w:rPr>
              <w:t>（</w:t>
            </w:r>
            <w:r>
              <w:rPr>
                <w:rFonts w:hint="eastAsia" w:ascii="宋体" w:hAnsi="宋体"/>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7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default" w:ascii="宋体" w:hAnsi="宋体" w:eastAsia="宋体"/>
                <w:color w:val="FF0000"/>
                <w:szCs w:val="21"/>
                <w:lang w:val="en-US" w:eastAsia="zh-CN"/>
              </w:rPr>
            </w:pPr>
            <w:r>
              <w:rPr>
                <w:rFonts w:hint="eastAsia"/>
                <w:color w:val="auto"/>
                <w:lang w:val="en-US" w:eastAsia="zh-CN"/>
              </w:rPr>
              <w:t>企业规模</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ascii="宋体" w:hAnsi="宋体"/>
                <w:color w:val="auto"/>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180" w:type="dxa"/>
            <w:gridSpan w:val="2"/>
            <w:tcBorders>
              <w:tl2br w:val="nil"/>
              <w:tr2bl w:val="nil"/>
            </w:tcBorders>
            <w:tcMar>
              <w:top w:w="15" w:type="dxa"/>
              <w:left w:w="15" w:type="dxa"/>
              <w:bottom w:w="15" w:type="dxa"/>
              <w:right w:w="15" w:type="dxa"/>
            </w:tcMar>
            <w:vAlign w:val="center"/>
          </w:tcPr>
          <w:p>
            <w:pPr>
              <w:pStyle w:val="35"/>
              <w:numPr>
                <w:ilvl w:val="-1"/>
                <w:numId w:val="0"/>
              </w:numPr>
              <w:snapToGrid w:val="0"/>
              <w:spacing w:line="240" w:lineRule="auto"/>
              <w:ind w:left="0" w:leftChars="0" w:firstLine="420" w:firstLineChars="200"/>
              <w:jc w:val="left"/>
              <w:rPr>
                <w:rFonts w:hint="default"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根据投标人的</w:t>
            </w:r>
            <w:r>
              <w:rPr>
                <w:rFonts w:hint="eastAsia" w:ascii="宋体" w:hAnsi="宋体" w:eastAsia="宋体" w:cs="宋体"/>
                <w:color w:val="auto"/>
                <w:kern w:val="2"/>
                <w:sz w:val="21"/>
                <w:szCs w:val="21"/>
                <w:highlight w:val="none"/>
                <w:lang w:val="en-US" w:eastAsia="zh-CN"/>
              </w:rPr>
              <w:t>企业自有</w:t>
            </w:r>
            <w:r>
              <w:rPr>
                <w:rFonts w:hint="eastAsia" w:ascii="宋体" w:hAnsi="宋体" w:eastAsia="宋体" w:cs="宋体"/>
                <w:color w:val="auto"/>
                <w:kern w:val="2"/>
                <w:sz w:val="21"/>
                <w:szCs w:val="21"/>
                <w:highlight w:val="none"/>
              </w:rPr>
              <w:t>人员规模进行比较</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人员数量第一得5分，人员数量第二得4分，人员数量第三得3分，人员数量第四得2分，其他名次不得分。</w:t>
            </w:r>
          </w:p>
          <w:p>
            <w:pPr>
              <w:pStyle w:val="35"/>
              <w:numPr>
                <w:ilvl w:val="-1"/>
                <w:numId w:val="0"/>
              </w:numPr>
              <w:snapToGrid w:val="0"/>
              <w:spacing w:line="240" w:lineRule="auto"/>
              <w:ind w:left="0" w:leftChars="0" w:firstLine="420" w:firstLineChars="200"/>
              <w:jc w:val="left"/>
              <w:rPr>
                <w:rFonts w:ascii="宋体" w:hAnsi="宋体"/>
                <w:color w:val="auto"/>
                <w:szCs w:val="21"/>
              </w:rPr>
            </w:pP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lang w:val="en-US" w:eastAsia="zh-CN"/>
              </w:rPr>
              <w:t>需提供投标人在招标公告发布前3个月可体现社保缴纳总人数的</w:t>
            </w:r>
            <w:r>
              <w:rPr>
                <w:rFonts w:hint="eastAsia" w:ascii="宋体" w:hAnsi="宋体" w:eastAsia="宋体" w:cs="宋体"/>
                <w:color w:val="auto"/>
                <w:sz w:val="21"/>
                <w:szCs w:val="21"/>
                <w:highlight w:val="none"/>
              </w:rPr>
              <w:t>社保证明（如在招标公告日上一个月的社保材料因社保部门原因暂时无法取得，则可以往前顺推一个月）</w:t>
            </w:r>
            <w:r>
              <w:rPr>
                <w:rFonts w:hint="eastAsia" w:ascii="宋体" w:hAnsi="宋体" w:eastAsia="宋体" w:cs="宋体"/>
                <w:color w:val="auto"/>
                <w:kern w:val="2"/>
                <w:sz w:val="21"/>
                <w:szCs w:val="21"/>
                <w:highlight w:val="none"/>
              </w:rPr>
              <w:t>（以上证明资料均需加盖投标人公章）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38"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default"/>
                <w:color w:val="FF0000"/>
                <w:highlight w:val="yellow"/>
                <w:lang w:val="en-US"/>
              </w:rPr>
            </w:pPr>
            <w:r>
              <w:rPr>
                <w:rFonts w:hint="eastAsia"/>
                <w:color w:val="auto"/>
                <w:highlight w:val="none"/>
                <w:lang w:val="en-US" w:eastAsia="zh-CN"/>
              </w:rPr>
              <w:t>投标人资质水平</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ascii="宋体" w:hAnsi="宋体"/>
                <w:color w:val="FF0000"/>
                <w:szCs w:val="21"/>
                <w:highlight w:val="yellow"/>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7180" w:type="dxa"/>
            <w:gridSpan w:val="2"/>
            <w:tcBorders>
              <w:tl2br w:val="nil"/>
              <w:tr2bl w:val="nil"/>
            </w:tcBorders>
            <w:tcMar>
              <w:top w:w="15" w:type="dxa"/>
              <w:left w:w="15" w:type="dxa"/>
              <w:bottom w:w="15" w:type="dxa"/>
              <w:right w:w="15" w:type="dxa"/>
            </w:tcMar>
            <w:vAlign w:val="center"/>
          </w:tcPr>
          <w:p>
            <w:pPr>
              <w:pStyle w:val="35"/>
              <w:numPr>
                <w:ilvl w:val="0"/>
                <w:numId w:val="24"/>
              </w:numPr>
              <w:snapToGrid w:val="0"/>
              <w:spacing w:line="240" w:lineRule="auto"/>
              <w:ind w:left="0" w:leftChars="0"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w:t>
            </w:r>
            <w:r>
              <w:rPr>
                <w:rFonts w:hint="eastAsia" w:ascii="宋体" w:hAnsi="宋体" w:eastAsia="宋体" w:cs="宋体"/>
                <w:color w:val="auto"/>
                <w:sz w:val="21"/>
                <w:szCs w:val="21"/>
                <w:highlight w:val="none"/>
                <w:lang w:val="en-US" w:eastAsia="zh-CN"/>
              </w:rPr>
              <w:t>据投标人所提供的资质</w:t>
            </w:r>
            <w:r>
              <w:rPr>
                <w:rFonts w:hint="eastAsia" w:ascii="宋体" w:hAnsi="宋体" w:cs="宋体"/>
                <w:color w:val="auto"/>
                <w:sz w:val="21"/>
                <w:szCs w:val="21"/>
                <w:highlight w:val="none"/>
                <w:lang w:val="en-US" w:eastAsia="zh-CN"/>
              </w:rPr>
              <w:t>情况评分，具有</w:t>
            </w:r>
            <w:r>
              <w:rPr>
                <w:rFonts w:hint="eastAsia" w:ascii="宋体" w:hAnsi="宋体" w:eastAsia="宋体" w:cs="宋体"/>
                <w:i w:val="0"/>
                <w:caps w:val="0"/>
                <w:color w:val="auto"/>
                <w:spacing w:val="0"/>
                <w:sz w:val="21"/>
                <w:szCs w:val="21"/>
                <w:highlight w:val="none"/>
                <w:shd w:val="clear" w:fill="auto"/>
              </w:rPr>
              <w:t>国家</w:t>
            </w:r>
            <w:r>
              <w:rPr>
                <w:rFonts w:hint="eastAsia" w:ascii="宋体" w:hAnsi="宋体" w:cs="宋体"/>
                <w:i w:val="0"/>
                <w:caps w:val="0"/>
                <w:color w:val="auto"/>
                <w:spacing w:val="0"/>
                <w:sz w:val="21"/>
                <w:szCs w:val="21"/>
                <w:highlight w:val="none"/>
                <w:shd w:val="clear"/>
                <w:lang w:val="en-US" w:eastAsia="zh-CN"/>
              </w:rPr>
              <w:t>新闻出版署</w:t>
            </w:r>
            <w:r>
              <w:rPr>
                <w:rFonts w:hint="eastAsia" w:ascii="宋体" w:hAnsi="宋体" w:cs="宋体"/>
                <w:color w:val="auto"/>
                <w:sz w:val="21"/>
                <w:szCs w:val="21"/>
                <w:highlight w:val="none"/>
                <w:lang w:val="en-US" w:eastAsia="zh-CN"/>
              </w:rPr>
              <w:t>颁发的报纸出版</w:t>
            </w:r>
            <w:r>
              <w:rPr>
                <w:rFonts w:hint="eastAsia" w:ascii="宋体" w:hAnsi="宋体" w:eastAsia="宋体" w:cs="宋体"/>
                <w:color w:val="auto"/>
                <w:sz w:val="21"/>
                <w:szCs w:val="21"/>
                <w:highlight w:val="none"/>
              </w:rPr>
              <w:t>许可证者得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分，其他</w:t>
            </w:r>
            <w:r>
              <w:rPr>
                <w:rFonts w:hint="eastAsia" w:ascii="宋体" w:hAnsi="宋体" w:cs="宋体"/>
                <w:color w:val="auto"/>
                <w:sz w:val="21"/>
                <w:szCs w:val="21"/>
                <w:highlight w:val="none"/>
                <w:lang w:val="en-US" w:eastAsia="zh-CN"/>
              </w:rPr>
              <w:t>情况及未提供者不得分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需提供证书复印件并加盖公章。</w:t>
            </w:r>
          </w:p>
          <w:p>
            <w:pPr>
              <w:pStyle w:val="35"/>
              <w:numPr>
                <w:ilvl w:val="0"/>
                <w:numId w:val="24"/>
              </w:numPr>
              <w:snapToGrid w:val="0"/>
              <w:spacing w:line="240" w:lineRule="auto"/>
              <w:ind w:left="0" w:leftChars="0" w:firstLine="420" w:firstLineChars="200"/>
              <w:jc w:val="left"/>
              <w:rPr>
                <w:rFonts w:ascii="宋体" w:hAnsi="宋体"/>
                <w:color w:val="auto"/>
                <w:szCs w:val="21"/>
                <w:highlight w:val="none"/>
              </w:rPr>
            </w:pPr>
            <w:r>
              <w:rPr>
                <w:rFonts w:hint="eastAsia" w:ascii="宋体" w:hAnsi="宋体" w:cs="宋体"/>
                <w:color w:val="auto"/>
                <w:sz w:val="21"/>
                <w:szCs w:val="21"/>
                <w:highlight w:val="none"/>
                <w:lang w:val="en-US" w:eastAsia="zh-CN"/>
              </w:rPr>
              <w:t>根据投标人运营情况进行评分：</w:t>
            </w:r>
          </w:p>
          <w:p>
            <w:pPr>
              <w:pStyle w:val="35"/>
              <w:numPr>
                <w:ilvl w:val="-1"/>
                <w:numId w:val="0"/>
              </w:numPr>
              <w:snapToGrid w:val="0"/>
              <w:spacing w:line="240" w:lineRule="auto"/>
              <w:ind w:left="0" w:leftChars="0"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投标人承办英文网站运营数量比较，</w:t>
            </w:r>
            <w:r>
              <w:rPr>
                <w:rFonts w:hint="eastAsia" w:ascii="宋体" w:hAnsi="宋体" w:eastAsia="宋体" w:cs="宋体"/>
                <w:color w:val="auto"/>
                <w:kern w:val="2"/>
                <w:sz w:val="21"/>
                <w:szCs w:val="21"/>
                <w:highlight w:val="none"/>
                <w:lang w:val="en-US" w:eastAsia="zh-CN"/>
              </w:rPr>
              <w:t>数量越多得分越高</w:t>
            </w:r>
            <w:r>
              <w:rPr>
                <w:rFonts w:hint="eastAsia" w:ascii="宋体" w:hAnsi="宋体" w:cs="宋体"/>
                <w:color w:val="auto"/>
                <w:kern w:val="2"/>
                <w:sz w:val="21"/>
                <w:szCs w:val="21"/>
                <w:highlight w:val="none"/>
                <w:lang w:val="en-US" w:eastAsia="zh-CN"/>
              </w:rPr>
              <w:t>。排名</w:t>
            </w:r>
            <w:r>
              <w:rPr>
                <w:rFonts w:hint="eastAsia" w:ascii="宋体" w:hAnsi="宋体" w:cs="宋体"/>
                <w:color w:val="auto"/>
                <w:sz w:val="21"/>
                <w:szCs w:val="21"/>
                <w:highlight w:val="none"/>
                <w:lang w:val="en-US" w:eastAsia="zh-CN"/>
              </w:rPr>
              <w:t>第一得3分，排名第二得2分，排名第三得1分，其他名次不得分。</w:t>
            </w:r>
          </w:p>
          <w:p>
            <w:pPr>
              <w:pStyle w:val="35"/>
              <w:numPr>
                <w:ilvl w:val="-1"/>
                <w:numId w:val="0"/>
              </w:numPr>
              <w:snapToGrid w:val="0"/>
              <w:spacing w:line="240" w:lineRule="auto"/>
              <w:ind w:left="0" w:leftChars="0"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投标人承办海外社交媒体账号数量比较，数量越多得分越高。排名第一得3分，排名第二得2分，排名第三得1分，其他名次不得分。</w:t>
            </w:r>
          </w:p>
          <w:p>
            <w:pPr>
              <w:pStyle w:val="35"/>
              <w:numPr>
                <w:ilvl w:val="-1"/>
                <w:numId w:val="0"/>
              </w:numPr>
              <w:snapToGrid w:val="0"/>
              <w:spacing w:line="240" w:lineRule="auto"/>
              <w:ind w:left="0" w:leftChars="0" w:firstLine="420" w:firstLineChars="200"/>
              <w:jc w:val="left"/>
              <w:rPr>
                <w:rFonts w:ascii="宋体" w:hAnsi="宋体"/>
                <w:color w:val="FF0000"/>
                <w:szCs w:val="21"/>
              </w:rPr>
            </w:pPr>
            <w:r>
              <w:rPr>
                <w:rFonts w:hint="eastAsia" w:ascii="宋体" w:hAnsi="宋体" w:cs="宋体"/>
                <w:color w:val="auto"/>
                <w:sz w:val="21"/>
                <w:szCs w:val="21"/>
                <w:highlight w:val="none"/>
                <w:lang w:val="en-US" w:eastAsia="zh-CN"/>
              </w:rPr>
              <w:t>投标人需</w:t>
            </w:r>
            <w:r>
              <w:rPr>
                <w:rFonts w:hint="default" w:ascii="宋体" w:hAnsi="宋体" w:cs="宋体"/>
                <w:color w:val="auto"/>
                <w:sz w:val="21"/>
                <w:szCs w:val="21"/>
                <w:highlight w:val="none"/>
              </w:rPr>
              <w:t>提供能体现上述评议所需信息</w:t>
            </w:r>
            <w:r>
              <w:rPr>
                <w:rFonts w:hint="eastAsia" w:ascii="宋体" w:hAnsi="宋体" w:cs="宋体"/>
                <w:color w:val="auto"/>
                <w:sz w:val="21"/>
                <w:szCs w:val="21"/>
                <w:highlight w:val="none"/>
                <w:lang w:val="en-US" w:eastAsia="zh-CN"/>
              </w:rPr>
              <w:t>的证明材料，如承诺函等并加盖公章，证明材料无法判定者不得分。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3"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color w:val="FF0000"/>
                <w:highlight w:val="yellow"/>
              </w:rPr>
            </w:pPr>
            <w:r>
              <w:rPr>
                <w:rFonts w:hint="eastAsia"/>
                <w:color w:val="auto"/>
                <w:highlight w:val="none"/>
                <w:lang w:val="en-US" w:eastAsia="zh-CN"/>
              </w:rPr>
              <w:t>投标人业绩和经验</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ascii="宋体" w:hAnsi="宋体"/>
                <w:color w:val="FF0000"/>
                <w:szCs w:val="21"/>
                <w:highlight w:val="yellow"/>
              </w:rPr>
            </w:pP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7180" w:type="dxa"/>
            <w:gridSpan w:val="2"/>
            <w:tcBorders>
              <w:tl2br w:val="nil"/>
              <w:tr2bl w:val="nil"/>
            </w:tcBorders>
            <w:tcMar>
              <w:top w:w="15" w:type="dxa"/>
              <w:left w:w="15" w:type="dxa"/>
              <w:bottom w:w="15" w:type="dxa"/>
              <w:right w:w="15" w:type="dxa"/>
            </w:tcMar>
            <w:vAlign w:val="center"/>
          </w:tcPr>
          <w:p>
            <w:pPr>
              <w:pStyle w:val="35"/>
              <w:numPr>
                <w:ilvl w:val="0"/>
                <w:numId w:val="25"/>
              </w:numPr>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投标人提供</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自</w:t>
            </w:r>
            <w:r>
              <w:rPr>
                <w:rFonts w:hint="eastAsia" w:ascii="宋体" w:hAnsi="宋体" w:cs="宋体"/>
                <w:color w:val="auto"/>
                <w:sz w:val="21"/>
                <w:szCs w:val="21"/>
                <w:highlight w:val="none"/>
                <w:lang w:val="en-US" w:eastAsia="zh-CN"/>
              </w:rPr>
              <w:t>2020</w:t>
            </w:r>
            <w:r>
              <w:rPr>
                <w:rFonts w:hint="eastAsia" w:ascii="宋体" w:hAnsi="宋体" w:eastAsia="宋体" w:cs="宋体"/>
                <w:color w:val="auto"/>
                <w:sz w:val="21"/>
                <w:szCs w:val="21"/>
                <w:highlight w:val="none"/>
                <w:lang w:val="en-US" w:eastAsia="zh-CN"/>
              </w:rPr>
              <w:t>年1月1日以来</w:t>
            </w:r>
            <w:r>
              <w:rPr>
                <w:rFonts w:hint="eastAsia" w:ascii="宋体" w:hAnsi="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关于</w:t>
            </w:r>
            <w:r>
              <w:rPr>
                <w:rFonts w:hint="eastAsia" w:ascii="宋体" w:hAnsi="宋体" w:eastAsia="宋体" w:cs="宋体"/>
                <w:color w:val="auto"/>
                <w:sz w:val="21"/>
                <w:szCs w:val="21"/>
                <w:highlight w:val="none"/>
                <w:lang w:val="en-US" w:eastAsia="zh-CN"/>
              </w:rPr>
              <w:t>政府</w:t>
            </w:r>
            <w:r>
              <w:rPr>
                <w:rFonts w:hint="eastAsia" w:ascii="宋体" w:hAnsi="宋体" w:cs="宋体"/>
                <w:color w:val="auto"/>
                <w:sz w:val="21"/>
                <w:szCs w:val="21"/>
                <w:highlight w:val="none"/>
                <w:lang w:val="en-US" w:eastAsia="zh-CN"/>
              </w:rPr>
              <w:t>部门</w:t>
            </w:r>
            <w:r>
              <w:rPr>
                <w:rFonts w:hint="eastAsia" w:ascii="宋体" w:hAnsi="宋体" w:eastAsia="宋体" w:cs="宋体"/>
                <w:color w:val="auto"/>
                <w:sz w:val="21"/>
                <w:szCs w:val="21"/>
                <w:highlight w:val="none"/>
                <w:lang w:val="en-US" w:eastAsia="zh-CN"/>
              </w:rPr>
              <w:t>英文网站</w:t>
            </w:r>
            <w:r>
              <w:rPr>
                <w:rFonts w:hint="eastAsia" w:ascii="宋体" w:hAnsi="宋体" w:cs="宋体"/>
                <w:color w:val="auto"/>
                <w:sz w:val="21"/>
                <w:szCs w:val="21"/>
                <w:highlight w:val="none"/>
                <w:lang w:val="en-US" w:eastAsia="zh-CN"/>
              </w:rPr>
              <w:t>运维</w:t>
            </w:r>
            <w:r>
              <w:rPr>
                <w:rFonts w:hint="eastAsia" w:ascii="宋体" w:hAnsi="宋体" w:eastAsia="宋体" w:cs="宋体"/>
                <w:color w:val="auto"/>
                <w:sz w:val="21"/>
                <w:szCs w:val="21"/>
                <w:highlight w:val="none"/>
                <w:lang w:val="en-US" w:eastAsia="zh-CN"/>
              </w:rPr>
              <w:t>案例</w:t>
            </w:r>
            <w:r>
              <w:rPr>
                <w:rFonts w:hint="eastAsia" w:ascii="宋体" w:hAnsi="宋体" w:cs="宋体"/>
                <w:color w:val="auto"/>
                <w:sz w:val="21"/>
                <w:szCs w:val="21"/>
                <w:highlight w:val="none"/>
                <w:lang w:val="en-US" w:eastAsia="zh-CN"/>
              </w:rPr>
              <w:t>进行评议</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国家级</w:t>
            </w:r>
            <w:r>
              <w:rPr>
                <w:rFonts w:hint="eastAsia" w:ascii="宋体" w:hAnsi="宋体" w:cs="宋体"/>
                <w:color w:val="auto"/>
                <w:sz w:val="21"/>
                <w:szCs w:val="21"/>
                <w:highlight w:val="none"/>
                <w:lang w:val="en-US" w:eastAsia="zh-CN"/>
              </w:rPr>
              <w:t>政府部门网站运维案例</w:t>
            </w:r>
            <w:r>
              <w:rPr>
                <w:rFonts w:hint="eastAsia" w:ascii="宋体" w:hAnsi="宋体" w:eastAsia="宋体" w:cs="宋体"/>
                <w:color w:val="auto"/>
                <w:sz w:val="21"/>
                <w:szCs w:val="21"/>
                <w:highlight w:val="none"/>
                <w:lang w:val="en-US" w:eastAsia="zh-CN"/>
              </w:rPr>
              <w:t>得5分，省级</w:t>
            </w:r>
            <w:r>
              <w:rPr>
                <w:rFonts w:hint="eastAsia" w:ascii="宋体" w:hAnsi="宋体" w:cs="宋体"/>
                <w:color w:val="auto"/>
                <w:sz w:val="21"/>
                <w:szCs w:val="21"/>
                <w:highlight w:val="none"/>
                <w:lang w:val="en-US" w:eastAsia="zh-CN"/>
              </w:rPr>
              <w:t>政府部门网站</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地市级政府部门网站</w:t>
            </w:r>
            <w:r>
              <w:rPr>
                <w:rFonts w:hint="eastAsia" w:ascii="宋体" w:hAnsi="宋体" w:eastAsia="宋体" w:cs="宋体"/>
                <w:color w:val="auto"/>
                <w:sz w:val="21"/>
                <w:szCs w:val="21"/>
                <w:highlight w:val="none"/>
                <w:lang w:val="en-US" w:eastAsia="zh-CN"/>
              </w:rPr>
              <w:t>得1分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须提</w:t>
            </w:r>
            <w:r>
              <w:rPr>
                <w:rFonts w:hint="eastAsia" w:ascii="宋体" w:hAnsi="宋体" w:cs="宋体"/>
                <w:color w:val="auto"/>
                <w:sz w:val="21"/>
                <w:szCs w:val="21"/>
                <w:highlight w:val="none"/>
                <w:lang w:val="en-US" w:eastAsia="zh-CN"/>
              </w:rPr>
              <w:t>供</w:t>
            </w:r>
            <w:r>
              <w:rPr>
                <w:rFonts w:hint="eastAsia" w:ascii="宋体" w:hAnsi="宋体" w:eastAsia="宋体" w:cs="宋体"/>
                <w:color w:val="auto"/>
                <w:sz w:val="21"/>
                <w:szCs w:val="21"/>
                <w:highlight w:val="none"/>
                <w:lang w:val="en-US" w:eastAsia="zh-CN"/>
              </w:rPr>
              <w:t>合同关键页加盖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公章</w:t>
            </w:r>
            <w:r>
              <w:rPr>
                <w:rFonts w:hint="eastAsia" w:ascii="宋体" w:hAnsi="宋体" w:cs="宋体"/>
                <w:color w:val="auto"/>
                <w:sz w:val="21"/>
                <w:szCs w:val="21"/>
                <w:highlight w:val="none"/>
                <w:lang w:val="en-US" w:eastAsia="zh-CN"/>
              </w:rPr>
              <w:t>）；</w:t>
            </w:r>
          </w:p>
          <w:p>
            <w:pPr>
              <w:pStyle w:val="35"/>
              <w:numPr>
                <w:ilvl w:val="0"/>
                <w:numId w:val="25"/>
              </w:numPr>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投标人提供</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自</w:t>
            </w:r>
            <w:r>
              <w:rPr>
                <w:rFonts w:hint="eastAsia" w:ascii="宋体" w:hAnsi="宋体" w:cs="宋体"/>
                <w:color w:val="auto"/>
                <w:sz w:val="21"/>
                <w:szCs w:val="21"/>
                <w:highlight w:val="none"/>
                <w:lang w:val="en-US" w:eastAsia="zh-CN"/>
              </w:rPr>
              <w:t>2020</w:t>
            </w:r>
            <w:r>
              <w:rPr>
                <w:rFonts w:hint="eastAsia" w:ascii="宋体" w:hAnsi="宋体" w:eastAsia="宋体" w:cs="宋体"/>
                <w:color w:val="auto"/>
                <w:sz w:val="21"/>
                <w:szCs w:val="21"/>
                <w:highlight w:val="none"/>
                <w:lang w:val="en-US" w:eastAsia="zh-CN"/>
              </w:rPr>
              <w:t>年1月1日以来</w:t>
            </w:r>
            <w:r>
              <w:rPr>
                <w:rFonts w:hint="eastAsia" w:ascii="宋体" w:hAnsi="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lang w:val="en-US" w:eastAsia="zh-CN"/>
              </w:rPr>
              <w:t>，大型展会英文网站</w:t>
            </w:r>
            <w:r>
              <w:rPr>
                <w:rFonts w:hint="eastAsia" w:ascii="宋体" w:hAnsi="宋体" w:cs="宋体"/>
                <w:color w:val="auto"/>
                <w:sz w:val="21"/>
                <w:szCs w:val="21"/>
                <w:highlight w:val="none"/>
                <w:lang w:val="en-US" w:eastAsia="zh-CN"/>
              </w:rPr>
              <w:t>运维</w:t>
            </w:r>
            <w:r>
              <w:rPr>
                <w:rFonts w:hint="eastAsia" w:ascii="宋体" w:hAnsi="宋体" w:eastAsia="宋体" w:cs="宋体"/>
                <w:color w:val="auto"/>
                <w:sz w:val="21"/>
                <w:szCs w:val="21"/>
                <w:highlight w:val="none"/>
                <w:lang w:val="en-US" w:eastAsia="zh-CN"/>
              </w:rPr>
              <w:t>案</w:t>
            </w:r>
            <w:r>
              <w:rPr>
                <w:rFonts w:hint="eastAsia" w:ascii="宋体" w:hAnsi="宋体" w:cs="宋体"/>
                <w:color w:val="auto"/>
                <w:sz w:val="21"/>
                <w:szCs w:val="21"/>
                <w:highlight w:val="none"/>
                <w:lang w:val="en-US" w:eastAsia="zh-CN"/>
              </w:rPr>
              <w:t>进行评议</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展会</w:t>
            </w:r>
            <w:r>
              <w:rPr>
                <w:rFonts w:hint="eastAsia" w:ascii="宋体" w:hAnsi="宋体" w:eastAsia="宋体" w:cs="宋体"/>
                <w:color w:val="auto"/>
                <w:sz w:val="21"/>
                <w:szCs w:val="21"/>
                <w:highlight w:val="none"/>
                <w:lang w:val="en-US" w:eastAsia="zh-CN"/>
              </w:rPr>
              <w:t>实体展览面积达15万平方米得5分，</w:t>
            </w:r>
            <w:r>
              <w:rPr>
                <w:rFonts w:hint="eastAsia" w:ascii="宋体" w:hAnsi="宋体" w:cs="宋体"/>
                <w:color w:val="auto"/>
                <w:sz w:val="21"/>
                <w:szCs w:val="21"/>
                <w:highlight w:val="none"/>
                <w:lang w:val="en-US" w:eastAsia="zh-CN"/>
              </w:rPr>
              <w:t>达</w:t>
            </w:r>
            <w:r>
              <w:rPr>
                <w:rFonts w:hint="eastAsia" w:ascii="宋体" w:hAnsi="宋体" w:eastAsia="宋体" w:cs="宋体"/>
                <w:color w:val="auto"/>
                <w:sz w:val="21"/>
                <w:szCs w:val="21"/>
                <w:highlight w:val="none"/>
                <w:lang w:val="en-US" w:eastAsia="zh-CN"/>
              </w:rPr>
              <w:t>10万平方米得3分，</w:t>
            </w:r>
            <w:r>
              <w:rPr>
                <w:rFonts w:hint="eastAsia" w:ascii="宋体" w:hAnsi="宋体" w:cs="宋体"/>
                <w:color w:val="auto"/>
                <w:sz w:val="21"/>
                <w:szCs w:val="21"/>
                <w:highlight w:val="none"/>
                <w:lang w:val="en-US" w:eastAsia="zh-CN"/>
              </w:rPr>
              <w:t>达</w:t>
            </w:r>
            <w:r>
              <w:rPr>
                <w:rFonts w:hint="eastAsia" w:ascii="宋体" w:hAnsi="宋体" w:eastAsia="宋体" w:cs="宋体"/>
                <w:color w:val="auto"/>
                <w:sz w:val="21"/>
                <w:szCs w:val="21"/>
                <w:highlight w:val="none"/>
                <w:lang w:val="en-US" w:eastAsia="zh-CN"/>
              </w:rPr>
              <w:t>5万平方米得1分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须提</w:t>
            </w:r>
            <w:r>
              <w:rPr>
                <w:rFonts w:hint="eastAsia" w:ascii="宋体" w:hAnsi="宋体" w:cs="宋体"/>
                <w:color w:val="auto"/>
                <w:sz w:val="21"/>
                <w:szCs w:val="21"/>
                <w:highlight w:val="none"/>
                <w:lang w:val="en-US" w:eastAsia="zh-CN"/>
              </w:rPr>
              <w:t>供</w:t>
            </w:r>
            <w:r>
              <w:rPr>
                <w:rFonts w:hint="eastAsia" w:ascii="宋体" w:hAnsi="宋体" w:eastAsia="宋体" w:cs="宋体"/>
                <w:color w:val="auto"/>
                <w:sz w:val="21"/>
                <w:szCs w:val="21"/>
                <w:highlight w:val="none"/>
                <w:lang w:val="en-US" w:eastAsia="zh-CN"/>
              </w:rPr>
              <w:t>合同关键页</w:t>
            </w:r>
            <w:r>
              <w:rPr>
                <w:rFonts w:hint="eastAsia" w:ascii="宋体" w:hAnsi="宋体" w:cs="宋体"/>
                <w:color w:val="auto"/>
                <w:sz w:val="21"/>
                <w:szCs w:val="21"/>
                <w:highlight w:val="none"/>
                <w:lang w:val="en-US" w:eastAsia="zh-CN"/>
              </w:rPr>
              <w:t>，如合同关键页不能体现出展会展览面积的，还需同时提供能体现展会展览面积的有效证明，以上资料</w:t>
            </w:r>
            <w:r>
              <w:rPr>
                <w:rFonts w:hint="eastAsia" w:ascii="宋体" w:hAnsi="宋体" w:eastAsia="宋体" w:cs="宋体"/>
                <w:color w:val="auto"/>
                <w:sz w:val="21"/>
                <w:szCs w:val="21"/>
                <w:highlight w:val="none"/>
                <w:lang w:val="en-US" w:eastAsia="zh-CN"/>
              </w:rPr>
              <w:t>加盖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公章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pPr>
              <w:pStyle w:val="35"/>
              <w:numPr>
                <w:ilvl w:val="0"/>
                <w:numId w:val="25"/>
              </w:numPr>
              <w:snapToGrid w:val="0"/>
              <w:spacing w:line="240" w:lineRule="auto"/>
              <w:ind w:left="0" w:leftChars="0" w:firstLine="420" w:firstLineChars="200"/>
              <w:jc w:val="left"/>
              <w:rPr>
                <w:rFonts w:hint="eastAsia" w:ascii="宋体" w:hAnsi="宋体"/>
                <w:color w:val="auto"/>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投标人提供</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自</w:t>
            </w:r>
            <w:r>
              <w:rPr>
                <w:rFonts w:hint="eastAsia" w:ascii="宋体" w:hAnsi="宋体" w:cs="宋体"/>
                <w:color w:val="auto"/>
                <w:sz w:val="21"/>
                <w:szCs w:val="21"/>
                <w:highlight w:val="none"/>
                <w:lang w:val="en-US" w:eastAsia="zh-CN"/>
              </w:rPr>
              <w:t>2020</w:t>
            </w:r>
            <w:r>
              <w:rPr>
                <w:rFonts w:hint="eastAsia" w:ascii="宋体" w:hAnsi="宋体" w:eastAsia="宋体" w:cs="宋体"/>
                <w:color w:val="auto"/>
                <w:sz w:val="21"/>
                <w:szCs w:val="21"/>
                <w:highlight w:val="none"/>
                <w:lang w:val="en-US" w:eastAsia="zh-CN"/>
              </w:rPr>
              <w:t>年1月1日以来</w:t>
            </w:r>
            <w:r>
              <w:rPr>
                <w:rFonts w:hint="eastAsia" w:ascii="宋体" w:hAnsi="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lang w:val="en-US" w:eastAsia="zh-CN"/>
              </w:rPr>
              <w:t>，英文社交账号运营案例</w:t>
            </w:r>
            <w:r>
              <w:rPr>
                <w:rFonts w:hint="eastAsia" w:ascii="宋体" w:hAnsi="宋体" w:cs="宋体"/>
                <w:color w:val="auto"/>
                <w:sz w:val="21"/>
                <w:szCs w:val="21"/>
                <w:highlight w:val="none"/>
                <w:lang w:val="en-US" w:eastAsia="zh-CN"/>
              </w:rPr>
              <w:t>进行评议</w:t>
            </w:r>
            <w:r>
              <w:rPr>
                <w:rFonts w:hint="eastAsia" w:ascii="宋体" w:hAnsi="宋体" w:eastAsia="宋体" w:cs="宋体"/>
                <w:color w:val="auto"/>
                <w:sz w:val="21"/>
                <w:szCs w:val="21"/>
                <w:highlight w:val="none"/>
                <w:lang w:val="en-US" w:eastAsia="zh-CN"/>
              </w:rPr>
              <w:t>，账号粉丝</w:t>
            </w:r>
            <w:r>
              <w:rPr>
                <w:rFonts w:hint="eastAsia" w:ascii="宋体" w:hAnsi="宋体" w:cs="宋体"/>
                <w:color w:val="auto"/>
                <w:sz w:val="21"/>
                <w:szCs w:val="21"/>
                <w:highlight w:val="none"/>
                <w:lang w:val="en-US" w:eastAsia="zh-CN"/>
              </w:rPr>
              <w:t>量</w:t>
            </w:r>
            <w:r>
              <w:rPr>
                <w:rFonts w:hint="eastAsia" w:ascii="宋体" w:hAnsi="宋体" w:eastAsia="宋体" w:cs="宋体"/>
                <w:color w:val="auto"/>
                <w:sz w:val="21"/>
                <w:szCs w:val="21"/>
                <w:highlight w:val="none"/>
                <w:lang w:val="en-US" w:eastAsia="zh-CN"/>
              </w:rPr>
              <w:t>10万以上</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粉丝量</w:t>
            </w:r>
            <w:r>
              <w:rPr>
                <w:rFonts w:hint="eastAsia" w:ascii="宋体" w:hAnsi="宋体" w:eastAsia="宋体" w:cs="宋体"/>
                <w:color w:val="auto"/>
                <w:sz w:val="21"/>
                <w:szCs w:val="21"/>
                <w:highlight w:val="none"/>
                <w:lang w:val="en-US" w:eastAsia="zh-CN"/>
              </w:rPr>
              <w:t>7万</w:t>
            </w:r>
            <w:r>
              <w:rPr>
                <w:rFonts w:hint="eastAsia" w:ascii="宋体" w:hAnsi="宋体" w:cs="宋体"/>
                <w:color w:val="auto"/>
                <w:sz w:val="21"/>
                <w:szCs w:val="21"/>
                <w:highlight w:val="none"/>
                <w:lang w:val="en-US" w:eastAsia="zh-CN"/>
              </w:rPr>
              <w:t>以上得</w:t>
            </w:r>
            <w:r>
              <w:rPr>
                <w:rFonts w:hint="eastAsia" w:ascii="宋体" w:hAnsi="宋体" w:eastAsia="宋体" w:cs="宋体"/>
                <w:color w:val="auto"/>
                <w:sz w:val="21"/>
                <w:szCs w:val="21"/>
                <w:highlight w:val="none"/>
                <w:lang w:val="en-US" w:eastAsia="zh-CN"/>
              </w:rPr>
              <w:t>3分，</w:t>
            </w:r>
            <w:r>
              <w:rPr>
                <w:rFonts w:hint="eastAsia" w:ascii="宋体" w:hAnsi="宋体" w:cs="宋体"/>
                <w:color w:val="auto"/>
                <w:sz w:val="21"/>
                <w:szCs w:val="21"/>
                <w:highlight w:val="none"/>
                <w:lang w:val="en-US" w:eastAsia="zh-CN"/>
              </w:rPr>
              <w:t>粉丝量</w:t>
            </w:r>
            <w:r>
              <w:rPr>
                <w:rFonts w:hint="eastAsia" w:ascii="宋体" w:hAnsi="宋体" w:eastAsia="宋体" w:cs="宋体"/>
                <w:color w:val="auto"/>
                <w:sz w:val="21"/>
                <w:szCs w:val="21"/>
                <w:highlight w:val="none"/>
                <w:lang w:val="en-US" w:eastAsia="zh-CN"/>
              </w:rPr>
              <w:t>5万</w:t>
            </w:r>
            <w:r>
              <w:rPr>
                <w:rFonts w:hint="eastAsia" w:ascii="宋体" w:hAnsi="宋体" w:cs="宋体"/>
                <w:color w:val="auto"/>
                <w:sz w:val="21"/>
                <w:szCs w:val="21"/>
                <w:highlight w:val="none"/>
                <w:lang w:val="en-US" w:eastAsia="zh-CN"/>
              </w:rPr>
              <w:t>以上得</w:t>
            </w:r>
            <w:r>
              <w:rPr>
                <w:rFonts w:hint="eastAsia" w:ascii="宋体" w:hAnsi="宋体" w:eastAsia="宋体" w:cs="宋体"/>
                <w:color w:val="auto"/>
                <w:sz w:val="21"/>
                <w:szCs w:val="21"/>
                <w:highlight w:val="none"/>
                <w:lang w:val="en-US" w:eastAsia="zh-CN"/>
              </w:rPr>
              <w:t>1分。</w:t>
            </w:r>
          </w:p>
          <w:p>
            <w:pPr>
              <w:pStyle w:val="35"/>
              <w:numPr>
                <w:ilvl w:val="-1"/>
                <w:numId w:val="0"/>
              </w:numPr>
              <w:snapToGrid w:val="0"/>
              <w:spacing w:line="240" w:lineRule="auto"/>
              <w:ind w:left="0" w:leftChars="0" w:firstLine="420" w:firstLineChars="200"/>
              <w:jc w:val="left"/>
              <w:rPr>
                <w:rFonts w:ascii="宋体" w:hAnsi="宋体"/>
                <w:color w:val="FF0000"/>
                <w:szCs w:val="21"/>
                <w:highlight w:val="yellow"/>
              </w:rPr>
            </w:pPr>
            <w:r>
              <w:rPr>
                <w:rFonts w:hint="eastAsia" w:ascii="宋体" w:hAnsi="宋体" w:cs="宋体"/>
                <w:color w:val="auto"/>
                <w:sz w:val="21"/>
                <w:szCs w:val="21"/>
                <w:highlight w:val="none"/>
              </w:rPr>
              <w:t>说明：</w:t>
            </w:r>
            <w:r>
              <w:rPr>
                <w:rFonts w:hint="eastAsia" w:ascii="宋体" w:hAnsi="宋体" w:cs="宋体"/>
                <w:color w:val="auto"/>
                <w:sz w:val="21"/>
                <w:szCs w:val="21"/>
                <w:highlight w:val="none"/>
                <w:lang w:val="en-US" w:eastAsia="zh-CN"/>
              </w:rPr>
              <w:t>按以上三项评分要求分别提供相应合同，若同一合同中具有两项评分要求，可重复打分。以</w:t>
            </w: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val="en-US" w:eastAsia="zh-CN"/>
              </w:rPr>
              <w:t>所</w:t>
            </w:r>
            <w:r>
              <w:rPr>
                <w:rFonts w:hint="eastAsia" w:ascii="宋体" w:hAnsi="宋体" w:cs="宋体"/>
                <w:color w:val="auto"/>
                <w:sz w:val="21"/>
                <w:szCs w:val="21"/>
                <w:highlight w:val="none"/>
              </w:rPr>
              <w:t>提供</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合同关键页复印件（合同关键页包含但不限于项目名称、业主方名称、签订时间、甲乙双方盖章等信息）</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案例情况陈述（可包括策划方案、</w:t>
            </w:r>
            <w:r>
              <w:rPr>
                <w:rFonts w:hint="eastAsia" w:ascii="宋体" w:hAnsi="宋体" w:eastAsia="宋体" w:cs="宋体"/>
                <w:color w:val="auto"/>
                <w:sz w:val="21"/>
                <w:szCs w:val="21"/>
                <w:highlight w:val="none"/>
                <w:lang w:val="en-US" w:eastAsia="zh-CN"/>
              </w:rPr>
              <w:t>网站公众号效果</w:t>
            </w:r>
            <w:r>
              <w:rPr>
                <w:rFonts w:hint="eastAsia" w:ascii="宋体" w:hAnsi="宋体" w:eastAsia="宋体" w:cs="宋体"/>
                <w:color w:val="auto"/>
                <w:sz w:val="21"/>
                <w:szCs w:val="21"/>
                <w:highlight w:val="none"/>
              </w:rPr>
              <w:t>展示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展会面积、社交账号粉丝量）等相关材料作为评审依据（</w:t>
            </w:r>
            <w:r>
              <w:rPr>
                <w:rFonts w:hint="eastAsia" w:ascii="宋体" w:eastAsia="宋体" w:cs="宋体"/>
                <w:color w:val="auto"/>
                <w:kern w:val="0"/>
                <w:sz w:val="21"/>
                <w:szCs w:val="21"/>
                <w:highlight w:val="none"/>
              </w:rPr>
              <w:t>以上证明资料均需加盖投标人公章</w:t>
            </w:r>
            <w:r>
              <w:rPr>
                <w:rFonts w:hint="eastAsia" w:ascii="宋体" w:hAnsi="宋体" w:cs="宋体"/>
                <w:color w:val="auto"/>
                <w:sz w:val="21"/>
                <w:szCs w:val="21"/>
                <w:highlight w:val="none"/>
                <w:lang w:eastAsia="zh-CN"/>
              </w:rPr>
              <w:t>），</w:t>
            </w:r>
            <w:r>
              <w:rPr>
                <w:rFonts w:hint="eastAsia" w:ascii="宋体" w:hAnsi="宋体"/>
                <w:color w:val="auto"/>
                <w:sz w:val="21"/>
                <w:szCs w:val="21"/>
                <w:highlight w:val="none"/>
              </w:rPr>
              <w:t>未提供相应资料或</w:t>
            </w:r>
            <w:r>
              <w:rPr>
                <w:rFonts w:hint="eastAsia" w:ascii="宋体" w:hAnsi="宋体"/>
                <w:color w:val="auto"/>
                <w:sz w:val="21"/>
                <w:szCs w:val="21"/>
                <w:highlight w:val="none"/>
                <w:lang w:val="en-US" w:eastAsia="zh-CN"/>
              </w:rPr>
              <w:t>资料</w:t>
            </w:r>
            <w:r>
              <w:rPr>
                <w:rFonts w:hint="eastAsia" w:ascii="宋体" w:hAnsi="宋体"/>
                <w:color w:val="auto"/>
                <w:sz w:val="21"/>
                <w:szCs w:val="21"/>
                <w:highlight w:val="none"/>
              </w:rPr>
              <w:t>不清晰者不得分</w:t>
            </w:r>
            <w:r>
              <w:rPr>
                <w:rFonts w:hint="eastAsia" w:ascii="宋体" w:hAnsi="宋体" w:cs="宋体"/>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9023"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w:t>
            </w:r>
            <w:r>
              <w:rPr>
                <w:rFonts w:hint="eastAsia" w:ascii="宋体" w:hAnsi="宋体"/>
                <w:b/>
                <w:color w:val="auto"/>
                <w:szCs w:val="21"/>
                <w:highlight w:val="none"/>
              </w:rPr>
              <w:t>项（</w:t>
            </w:r>
            <w:r>
              <w:rPr>
                <w:rFonts w:hint="eastAsia" w:ascii="宋体" w:hAnsi="宋体"/>
                <w:color w:val="auto"/>
                <w:szCs w:val="21"/>
                <w:highlight w:val="none"/>
                <w:lang w:val="en-US" w:eastAsia="zh-CN"/>
              </w:rPr>
              <w:t>40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9" w:hRule="atLeast"/>
          <w:tblCellSpacing w:w="0" w:type="dxa"/>
        </w:trPr>
        <w:tc>
          <w:tcPr>
            <w:tcW w:w="704" w:type="dxa"/>
            <w:tcBorders>
              <w:tl2br w:val="nil"/>
              <w:tr2bl w:val="nil"/>
            </w:tcBorders>
            <w:vAlign w:val="center"/>
          </w:tcPr>
          <w:p>
            <w:pPr>
              <w:pStyle w:val="22"/>
              <w:numPr>
                <w:ilvl w:val="0"/>
                <w:numId w:val="2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b w:val="0"/>
                <w:bCs w:val="0"/>
                <w:color w:val="auto"/>
                <w:highlight w:val="none"/>
                <w:lang w:val="en-US" w:eastAsia="zh-CN"/>
              </w:rPr>
            </w:pPr>
            <w:r>
              <w:rPr>
                <w:rFonts w:hint="eastAsia"/>
                <w:b w:val="0"/>
                <w:bCs w:val="0"/>
                <w:color w:val="auto"/>
                <w:highlight w:val="none"/>
                <w:lang w:val="en-US" w:eastAsia="zh-CN"/>
              </w:rPr>
              <w:t>项目实施</w:t>
            </w:r>
          </w:p>
          <w:p>
            <w:pPr>
              <w:spacing w:line="240" w:lineRule="auto"/>
              <w:jc w:val="center"/>
              <w:rPr>
                <w:color w:val="FF0000"/>
                <w:highlight w:val="yellow"/>
              </w:rPr>
            </w:pPr>
            <w:r>
              <w:rPr>
                <w:rFonts w:hint="eastAsia"/>
                <w:b w:val="0"/>
                <w:bCs w:val="0"/>
                <w:color w:val="auto"/>
                <w:highlight w:val="none"/>
                <w:lang w:val="en-US" w:eastAsia="zh-CN"/>
              </w:rPr>
              <w:t>方案</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hint="default" w:ascii="宋体" w:hAnsi="宋体"/>
                <w:color w:val="FF0000"/>
                <w:szCs w:val="21"/>
                <w:lang w:val="en-US"/>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0分</w:t>
            </w:r>
          </w:p>
        </w:tc>
        <w:tc>
          <w:tcPr>
            <w:tcW w:w="7180" w:type="dxa"/>
            <w:gridSpan w:val="2"/>
            <w:tcBorders>
              <w:tl2br w:val="nil"/>
              <w:tr2bl w:val="nil"/>
            </w:tcBorders>
            <w:tcMar>
              <w:top w:w="15" w:type="dxa"/>
              <w:left w:w="15" w:type="dxa"/>
              <w:bottom w:w="15" w:type="dxa"/>
              <w:right w:w="15" w:type="dxa"/>
            </w:tcMar>
            <w:vAlign w:val="center"/>
          </w:tcPr>
          <w:p>
            <w:pPr>
              <w:pStyle w:val="35"/>
              <w:numPr>
                <w:ilvl w:val="0"/>
                <w:numId w:val="0"/>
              </w:numPr>
              <w:snapToGrid w:val="0"/>
              <w:spacing w:line="240" w:lineRule="auto"/>
              <w:ind w:left="0" w:leftChars="0" w:firstLine="420" w:firstLineChars="200"/>
              <w:jc w:val="left"/>
              <w:rPr>
                <w:rFonts w:ascii="宋体" w:hAnsi="宋体" w:cs="宋体"/>
                <w:color w:val="FF0000"/>
                <w:kern w:val="0"/>
                <w:szCs w:val="21"/>
              </w:rPr>
            </w:pPr>
            <w:r>
              <w:rPr>
                <w:rFonts w:hint="eastAsia" w:ascii="宋体" w:hAnsi="宋体" w:cs="宋体"/>
                <w:color w:val="auto"/>
                <w:sz w:val="21"/>
                <w:szCs w:val="21"/>
                <w:highlight w:val="none"/>
                <w:lang w:val="en-US" w:eastAsia="zh-CN"/>
              </w:rPr>
              <w:t>根据投标人</w:t>
            </w:r>
            <w:r>
              <w:rPr>
                <w:rFonts w:hint="eastAsia" w:ascii="宋体" w:hAnsi="宋体" w:eastAsia="宋体" w:cs="宋体"/>
                <w:color w:val="auto"/>
                <w:sz w:val="21"/>
                <w:szCs w:val="21"/>
                <w:highlight w:val="none"/>
                <w:lang w:val="en-US" w:eastAsia="zh-CN"/>
              </w:rPr>
              <w:t>针对本项目提供的实施方案包括但不限于内容策划与采编、质量控制保障措施、沟通及响应机制、时间进度表</w:t>
            </w:r>
            <w:r>
              <w:rPr>
                <w:rFonts w:hint="eastAsia" w:ascii="宋体" w:hAnsi="宋体" w:cs="宋体"/>
                <w:color w:val="auto"/>
                <w:sz w:val="21"/>
                <w:szCs w:val="21"/>
                <w:highlight w:val="none"/>
                <w:lang w:val="en-US" w:eastAsia="zh-CN"/>
              </w:rPr>
              <w:t>、服务承诺</w:t>
            </w:r>
            <w:r>
              <w:rPr>
                <w:rFonts w:hint="eastAsia" w:ascii="宋体" w:hAnsi="宋体" w:eastAsia="宋体" w:cs="宋体"/>
                <w:color w:val="auto"/>
                <w:sz w:val="21"/>
                <w:szCs w:val="21"/>
                <w:highlight w:val="none"/>
                <w:lang w:val="en-US" w:eastAsia="zh-CN"/>
              </w:rPr>
              <w:t>等</w:t>
            </w:r>
            <w:r>
              <w:rPr>
                <w:rFonts w:hint="eastAsia" w:ascii="宋体" w:hAnsi="宋体" w:cs="宋体"/>
                <w:color w:val="auto"/>
                <w:sz w:val="21"/>
                <w:szCs w:val="21"/>
                <w:highlight w:val="none"/>
                <w:lang w:val="en-US" w:eastAsia="zh-CN"/>
              </w:rPr>
              <w:t>进行综合比较</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lang w:val="en-US" w:eastAsia="zh-CN"/>
              </w:rPr>
              <w:t>内容</w:t>
            </w:r>
            <w:r>
              <w:rPr>
                <w:rFonts w:hint="eastAsia" w:ascii="宋体" w:hAnsi="宋体" w:cs="宋体"/>
                <w:color w:val="auto"/>
                <w:sz w:val="21"/>
                <w:szCs w:val="21"/>
                <w:highlight w:val="none"/>
                <w:lang w:val="en-US" w:eastAsia="zh-CN"/>
              </w:rPr>
              <w:t>越</w:t>
            </w:r>
            <w:r>
              <w:rPr>
                <w:rFonts w:hint="eastAsia" w:ascii="宋体" w:hAnsi="宋体" w:eastAsia="宋体" w:cs="宋体"/>
                <w:color w:val="auto"/>
                <w:sz w:val="21"/>
                <w:szCs w:val="21"/>
                <w:highlight w:val="none"/>
                <w:lang w:val="en-US" w:eastAsia="zh-CN"/>
              </w:rPr>
              <w:t>完整、</w:t>
            </w:r>
            <w:r>
              <w:rPr>
                <w:rFonts w:hint="eastAsia" w:ascii="宋体" w:hAnsi="宋体" w:cs="宋体"/>
                <w:color w:val="auto"/>
                <w:sz w:val="21"/>
                <w:szCs w:val="21"/>
                <w:highlight w:val="none"/>
                <w:lang w:val="en-US" w:eastAsia="zh-CN"/>
              </w:rPr>
              <w:t>越</w:t>
            </w:r>
            <w:r>
              <w:rPr>
                <w:rFonts w:hint="eastAsia" w:ascii="宋体" w:hAnsi="宋体" w:eastAsia="宋体" w:cs="宋体"/>
                <w:color w:val="auto"/>
                <w:sz w:val="21"/>
                <w:szCs w:val="21"/>
                <w:highlight w:val="none"/>
                <w:lang w:val="en-US" w:eastAsia="zh-CN"/>
              </w:rPr>
              <w:t>详细，表述</w:t>
            </w:r>
            <w:r>
              <w:rPr>
                <w:rFonts w:hint="eastAsia" w:ascii="宋体" w:hAnsi="宋体" w:cs="宋体"/>
                <w:color w:val="auto"/>
                <w:sz w:val="21"/>
                <w:szCs w:val="21"/>
                <w:highlight w:val="none"/>
                <w:lang w:val="en-US" w:eastAsia="zh-CN"/>
              </w:rPr>
              <w:t>越</w:t>
            </w:r>
            <w:r>
              <w:rPr>
                <w:rFonts w:hint="eastAsia" w:ascii="宋体" w:hAnsi="宋体" w:eastAsia="宋体" w:cs="宋体"/>
                <w:color w:val="auto"/>
                <w:sz w:val="21"/>
                <w:szCs w:val="21"/>
                <w:highlight w:val="none"/>
                <w:lang w:val="en-US" w:eastAsia="zh-CN"/>
              </w:rPr>
              <w:t>清晰，</w:t>
            </w:r>
            <w:r>
              <w:rPr>
                <w:rFonts w:hint="eastAsia" w:ascii="宋体" w:hAnsi="宋体" w:cs="宋体"/>
                <w:color w:val="auto"/>
                <w:sz w:val="21"/>
                <w:szCs w:val="21"/>
                <w:highlight w:val="none"/>
                <w:lang w:val="en-US" w:eastAsia="zh-CN"/>
              </w:rPr>
              <w:t>越</w:t>
            </w:r>
            <w:r>
              <w:rPr>
                <w:rFonts w:hint="eastAsia" w:ascii="宋体" w:hAnsi="宋体" w:eastAsia="宋体" w:cs="宋体"/>
                <w:color w:val="auto"/>
                <w:sz w:val="21"/>
                <w:szCs w:val="21"/>
                <w:highlight w:val="none"/>
                <w:lang w:val="en-US" w:eastAsia="zh-CN"/>
              </w:rPr>
              <w:t>科学合理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切实可行</w:t>
            </w:r>
            <w:r>
              <w:rPr>
                <w:rFonts w:hint="eastAsia" w:ascii="宋体" w:hAnsi="宋体" w:cs="宋体"/>
                <w:color w:val="auto"/>
                <w:sz w:val="21"/>
                <w:szCs w:val="21"/>
                <w:highlight w:val="none"/>
                <w:lang w:val="en-US" w:eastAsia="zh-CN"/>
              </w:rPr>
              <w:t>者得分越高，优秀</w:t>
            </w:r>
            <w:r>
              <w:rPr>
                <w:rFonts w:hint="eastAsia" w:ascii="宋体" w:hAnsi="宋体" w:eastAsia="宋体" w:cs="宋体"/>
                <w:color w:val="auto"/>
                <w:sz w:val="21"/>
                <w:szCs w:val="21"/>
                <w:highlight w:val="none"/>
                <w:lang w:val="en-US" w:eastAsia="zh-CN"/>
              </w:rPr>
              <w:t>得2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良好得15分，一般</w:t>
            </w:r>
            <w:r>
              <w:rPr>
                <w:rFonts w:hint="eastAsia" w:ascii="宋体" w:hAnsi="宋体" w:eastAsia="宋体" w:cs="宋体"/>
                <w:color w:val="auto"/>
                <w:sz w:val="21"/>
                <w:szCs w:val="21"/>
                <w:highlight w:val="none"/>
                <w:lang w:val="en-US" w:eastAsia="zh-CN"/>
              </w:rPr>
              <w:t>得1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74" w:hRule="atLeast"/>
          <w:tblCellSpacing w:w="0" w:type="dxa"/>
        </w:trPr>
        <w:tc>
          <w:tcPr>
            <w:tcW w:w="704" w:type="dxa"/>
            <w:tcBorders>
              <w:tl2br w:val="nil"/>
              <w:tr2bl w:val="nil"/>
            </w:tcBorders>
            <w:vAlign w:val="center"/>
          </w:tcPr>
          <w:p>
            <w:pPr>
              <w:pStyle w:val="22"/>
              <w:numPr>
                <w:ilvl w:val="0"/>
                <w:numId w:val="2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团队</w:t>
            </w:r>
          </w:p>
          <w:p>
            <w:pPr>
              <w:spacing w:line="240" w:lineRule="auto"/>
              <w:jc w:val="center"/>
              <w:rPr>
                <w:color w:val="FF0000"/>
                <w:highlight w:val="yellow"/>
              </w:rPr>
            </w:pPr>
            <w:r>
              <w:rPr>
                <w:rFonts w:hint="eastAsia" w:ascii="宋体" w:hAnsi="宋体" w:cs="宋体"/>
                <w:color w:val="auto"/>
                <w:sz w:val="21"/>
                <w:szCs w:val="21"/>
                <w:highlight w:val="none"/>
                <w:lang w:val="en-US" w:eastAsia="zh-CN"/>
              </w:rPr>
              <w:t>情况</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ascii="宋体" w:hAnsi="宋体"/>
                <w:color w:val="FF0000"/>
                <w:szCs w:val="21"/>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7180" w:type="dxa"/>
            <w:gridSpan w:val="2"/>
            <w:tcBorders>
              <w:tl2br w:val="nil"/>
              <w:tr2bl w:val="nil"/>
            </w:tcBorders>
            <w:tcMar>
              <w:top w:w="15" w:type="dxa"/>
              <w:left w:w="15" w:type="dxa"/>
              <w:bottom w:w="15" w:type="dxa"/>
              <w:right w:w="15" w:type="dxa"/>
            </w:tcMar>
            <w:vAlign w:val="center"/>
          </w:tcPr>
          <w:p>
            <w:pPr>
              <w:pStyle w:val="35"/>
              <w:numPr>
                <w:ilvl w:val="0"/>
                <w:numId w:val="27"/>
              </w:numPr>
              <w:snapToGrid w:val="0"/>
              <w:spacing w:line="24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项目团队配备有母语为英语且具有《外国人工作许可证》的外籍人员得5分，无提供不得分。需提供《外国人工作许可证》复印件加盖公章。</w:t>
            </w:r>
          </w:p>
          <w:p>
            <w:pPr>
              <w:pStyle w:val="35"/>
              <w:numPr>
                <w:ilvl w:val="-1"/>
                <w:numId w:val="0"/>
              </w:numPr>
              <w:snapToGrid w:val="0"/>
              <w:spacing w:line="240" w:lineRule="auto"/>
              <w:ind w:left="0" w:leftChars="0" w:firstLine="0" w:firstLineChars="0"/>
              <w:jc w:val="left"/>
              <w:rPr>
                <w:rFonts w:ascii="宋体" w:hAnsi="宋体" w:cs="宋体"/>
                <w:color w:val="FF0000"/>
                <w:kern w:val="0"/>
                <w:szCs w:val="21"/>
              </w:rPr>
            </w:pPr>
            <w:r>
              <w:rPr>
                <w:rFonts w:hint="eastAsia" w:ascii="宋体" w:hAnsi="宋体" w:cs="宋体"/>
                <w:color w:val="auto"/>
                <w:sz w:val="21"/>
                <w:szCs w:val="21"/>
                <w:highlight w:val="none"/>
                <w:lang w:val="en-US" w:eastAsia="zh-CN"/>
              </w:rPr>
              <w:t xml:space="preserve">    （2） 其他项目团队成员配置进行综合比较：团队中拥有英语专业或新闻媒体专业本科及以上学历者越多，得分越高，每提供一份符合要求的简历得1分，最多得5分。需提供拟投入本项目人员毕业证书复印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1" w:hRule="atLeast"/>
          <w:tblCellSpacing w:w="0" w:type="dxa"/>
        </w:trPr>
        <w:tc>
          <w:tcPr>
            <w:tcW w:w="704" w:type="dxa"/>
            <w:tcBorders>
              <w:tl2br w:val="nil"/>
              <w:tr2bl w:val="nil"/>
            </w:tcBorders>
            <w:vAlign w:val="center"/>
          </w:tcPr>
          <w:p>
            <w:pPr>
              <w:pStyle w:val="22"/>
              <w:numPr>
                <w:ilvl w:val="0"/>
                <w:numId w:val="2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240" w:lineRule="auto"/>
              <w:jc w:val="both"/>
              <w:rPr>
                <w:color w:val="FF0000"/>
                <w:highlight w:val="yellow"/>
              </w:rPr>
            </w:pPr>
            <w:r>
              <w:rPr>
                <w:rFonts w:hint="eastAsia" w:ascii="宋体" w:hAnsi="宋体" w:cs="宋体"/>
                <w:color w:val="auto"/>
                <w:sz w:val="21"/>
                <w:szCs w:val="21"/>
                <w:highlight w:val="none"/>
                <w:lang w:val="en-US" w:eastAsia="zh-CN"/>
              </w:rPr>
              <w:t>获奖情况</w:t>
            </w:r>
          </w:p>
        </w:tc>
        <w:tc>
          <w:tcPr>
            <w:tcW w:w="709" w:type="dxa"/>
            <w:tcBorders>
              <w:tl2br w:val="nil"/>
              <w:tr2bl w:val="nil"/>
            </w:tcBorders>
            <w:tcMar>
              <w:top w:w="15" w:type="dxa"/>
              <w:left w:w="15" w:type="dxa"/>
              <w:bottom w:w="15" w:type="dxa"/>
              <w:right w:w="15" w:type="dxa"/>
            </w:tcMar>
            <w:vAlign w:val="center"/>
          </w:tcPr>
          <w:p>
            <w:pPr>
              <w:spacing w:line="240" w:lineRule="auto"/>
              <w:jc w:val="center"/>
              <w:rPr>
                <w:rFonts w:ascii="宋体" w:hAnsi="宋体"/>
                <w:color w:val="FF0000"/>
                <w:szCs w:val="21"/>
              </w:rPr>
            </w:pPr>
            <w:r>
              <w:rPr>
                <w:rFonts w:hint="eastAsia" w:ascii="宋体" w:hAnsi="宋体"/>
                <w:color w:val="auto"/>
                <w:szCs w:val="21"/>
                <w:highlight w:val="none"/>
                <w:lang w:val="en-US" w:eastAsia="zh-CN"/>
              </w:rPr>
              <w:t>10分</w:t>
            </w:r>
          </w:p>
        </w:tc>
        <w:tc>
          <w:tcPr>
            <w:tcW w:w="7180" w:type="dxa"/>
            <w:gridSpan w:val="2"/>
            <w:tcBorders>
              <w:tl2br w:val="nil"/>
              <w:tr2bl w:val="nil"/>
            </w:tcBorders>
            <w:tcMar>
              <w:top w:w="15" w:type="dxa"/>
              <w:left w:w="15" w:type="dxa"/>
              <w:bottom w:w="15" w:type="dxa"/>
              <w:right w:w="15" w:type="dxa"/>
            </w:tcMar>
            <w:vAlign w:val="center"/>
          </w:tcPr>
          <w:p>
            <w:pPr>
              <w:pStyle w:val="35"/>
              <w:numPr>
                <w:ilvl w:val="0"/>
                <w:numId w:val="28"/>
              </w:numPr>
              <w:snapToGrid w:val="0"/>
              <w:spacing w:line="24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投标人获得</w:t>
            </w:r>
            <w:r>
              <w:rPr>
                <w:rFonts w:hint="eastAsia" w:ascii="宋体" w:hAnsi="宋体" w:cs="宋体"/>
                <w:color w:val="auto"/>
                <w:sz w:val="21"/>
                <w:szCs w:val="21"/>
                <w:highlight w:val="none"/>
                <w:lang w:val="en-US" w:eastAsia="zh-CN"/>
              </w:rPr>
              <w:t>由新闻媒体行业的国际机构、协会颁发的荣誉</w:t>
            </w:r>
            <w:r>
              <w:rPr>
                <w:rFonts w:hint="eastAsia" w:ascii="宋体" w:hAnsi="宋体" w:eastAsia="宋体" w:cs="宋体"/>
                <w:color w:val="auto"/>
                <w:sz w:val="21"/>
                <w:szCs w:val="21"/>
                <w:highlight w:val="none"/>
                <w:lang w:val="en-US" w:eastAsia="zh-CN"/>
              </w:rPr>
              <w:t>证书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获奖证书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每提供一份证明得1分，最多</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（如证书为英文需同时配套中文翻译资料）</w:t>
            </w:r>
            <w:r>
              <w:rPr>
                <w:rFonts w:hint="eastAsia" w:ascii="宋体" w:hAnsi="宋体" w:eastAsia="宋体" w:cs="宋体"/>
                <w:color w:val="auto"/>
                <w:sz w:val="21"/>
                <w:szCs w:val="21"/>
                <w:highlight w:val="none"/>
                <w:lang w:val="en-US" w:eastAsia="zh-CN"/>
              </w:rPr>
              <w:t>。</w:t>
            </w:r>
          </w:p>
          <w:p>
            <w:pPr>
              <w:pStyle w:val="35"/>
              <w:numPr>
                <w:ilvl w:val="0"/>
                <w:numId w:val="28"/>
              </w:numPr>
              <w:snapToGrid w:val="0"/>
              <w:spacing w:line="240" w:lineRule="auto"/>
              <w:ind w:left="0" w:leftChars="0" w:firstLine="420" w:firstLineChars="200"/>
              <w:jc w:val="left"/>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投标人获得</w:t>
            </w:r>
            <w:r>
              <w:rPr>
                <w:rFonts w:hint="eastAsia" w:ascii="宋体" w:hAnsi="宋体" w:cs="宋体"/>
                <w:color w:val="auto"/>
                <w:sz w:val="21"/>
                <w:szCs w:val="21"/>
                <w:highlight w:val="none"/>
                <w:lang w:val="en-US" w:eastAsia="zh-CN"/>
              </w:rPr>
              <w:t>由新闻媒体行业</w:t>
            </w:r>
            <w:r>
              <w:rPr>
                <w:rFonts w:hint="eastAsia"/>
                <w:color w:val="auto"/>
                <w:sz w:val="21"/>
                <w:szCs w:val="21"/>
                <w:highlight w:val="none"/>
                <w:lang w:val="en-US" w:eastAsia="zh-CN"/>
              </w:rPr>
              <w:t>的国家机构、协会颁发的</w:t>
            </w:r>
            <w:r>
              <w:rPr>
                <w:rFonts w:hint="eastAsia" w:ascii="宋体" w:hAnsi="宋体" w:eastAsia="宋体" w:cs="宋体"/>
                <w:color w:val="auto"/>
                <w:sz w:val="21"/>
                <w:szCs w:val="21"/>
                <w:highlight w:val="none"/>
                <w:lang w:val="en-US" w:eastAsia="zh-CN"/>
              </w:rPr>
              <w:t>荣誉证书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获奖证书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每提供一份证明得1分，最多</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pStyle w:val="35"/>
              <w:numPr>
                <w:ilvl w:val="-1"/>
                <w:numId w:val="0"/>
              </w:numPr>
              <w:snapToGrid w:val="0"/>
              <w:spacing w:line="240" w:lineRule="auto"/>
              <w:ind w:left="0" w:leftChars="0" w:firstLine="420" w:firstLineChars="200"/>
              <w:jc w:val="left"/>
              <w:rPr>
                <w:rFonts w:ascii="宋体" w:hAnsi="宋体" w:cs="宋体"/>
                <w:color w:val="FF0000"/>
                <w:kern w:val="0"/>
                <w:szCs w:val="21"/>
              </w:rPr>
            </w:pPr>
            <w:r>
              <w:rPr>
                <w:rFonts w:hint="eastAsia" w:ascii="宋体" w:hAnsi="宋体" w:cs="宋体"/>
                <w:color w:val="auto"/>
                <w:sz w:val="21"/>
                <w:szCs w:val="21"/>
                <w:highlight w:val="none"/>
                <w:lang w:val="en-US" w:eastAsia="zh-CN"/>
              </w:rPr>
              <w:t>说明：投标人提供荣誉证书或获奖证书复印件加盖投标人公章。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727" w:type="dxa"/>
            <w:gridSpan w:val="5"/>
            <w:tcBorders>
              <w:tl2br w:val="nil"/>
              <w:tr2bl w:val="nil"/>
            </w:tcBorders>
          </w:tcPr>
          <w:p>
            <w:pPr>
              <w:jc w:val="center"/>
              <w:rPr>
                <w:b/>
                <w:bCs/>
              </w:rPr>
            </w:pPr>
            <w:r>
              <w:rPr>
                <w:rFonts w:hint="eastAsia"/>
                <w:b/>
                <w:bCs/>
              </w:rPr>
              <w:t>价格评议项（</w:t>
            </w:r>
            <w:r>
              <w:rPr>
                <w:rFonts w:hint="eastAsia"/>
                <w:b/>
                <w:bCs/>
                <w:lang w:val="en-US" w:eastAsia="zh-CN"/>
              </w:rPr>
              <w:t>30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9023"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rPr>
            </w:pPr>
            <w:r>
              <w:rPr>
                <w:rFonts w:hint="eastAsia" w:ascii="宋体" w:hAnsi="宋体"/>
                <w:b/>
                <w:color w:val="auto"/>
                <w:szCs w:val="21"/>
              </w:rPr>
              <w:t>基准价</w:t>
            </w:r>
            <w:r>
              <w:rPr>
                <w:rFonts w:ascii="宋体" w:hAnsi="宋体"/>
                <w:b/>
                <w:color w:val="auto"/>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color w:val="auto"/>
                <w:szCs w:val="21"/>
              </w:rPr>
            </w:pPr>
            <w:r>
              <w:rPr>
                <w:rFonts w:hint="eastAsia" w:ascii="宋体" w:hAnsi="宋体"/>
                <w:bCs/>
                <w:color w:val="auto"/>
                <w:szCs w:val="21"/>
              </w:rPr>
              <w:t>基准价</w:t>
            </w:r>
          </w:p>
        </w:tc>
        <w:tc>
          <w:tcPr>
            <w:tcW w:w="7889"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auto"/>
                <w:szCs w:val="21"/>
              </w:rPr>
            </w:pPr>
          </w:p>
        </w:tc>
        <w:tc>
          <w:tcPr>
            <w:tcW w:w="7889"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lang w:eastAsia="zh-CN"/>
              </w:rPr>
              <w:sym w:font="Wingdings 2" w:char="0052"/>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auto"/>
                <w:szCs w:val="21"/>
              </w:rPr>
            </w:pPr>
          </w:p>
        </w:tc>
        <w:tc>
          <w:tcPr>
            <w:tcW w:w="7889"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color w:val="auto"/>
                <w:szCs w:val="21"/>
              </w:rPr>
            </w:pPr>
            <w:r>
              <w:rPr>
                <w:rFonts w:hint="eastAsia" w:ascii="宋体" w:hAnsi="宋体"/>
                <w:bCs/>
                <w:color w:val="auto"/>
                <w:szCs w:val="21"/>
              </w:rPr>
              <w:t>算</w:t>
            </w:r>
            <w:r>
              <w:rPr>
                <w:rFonts w:ascii="宋体" w:hAnsi="宋体"/>
                <w:bCs/>
                <w:color w:val="auto"/>
                <w:szCs w:val="21"/>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6326"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auto"/>
                <w:szCs w:val="21"/>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6326" w:type="dxa"/>
            <w:tcBorders>
              <w:tl2br w:val="nil"/>
              <w:tr2bl w:val="nil"/>
            </w:tcBorders>
            <w:vAlign w:val="center"/>
          </w:tcPr>
          <w:p>
            <w:pPr>
              <w:autoSpaceDE w:val="0"/>
              <w:autoSpaceDN w:val="0"/>
              <w:adjustRightInd w:val="0"/>
              <w:snapToGrid w:val="0"/>
              <w:jc w:val="left"/>
              <w:rPr>
                <w:rStyle w:val="19"/>
                <w:rFonts w:ascii="宋体" w:hAnsi="宋体"/>
                <w:color w:val="auto"/>
                <w:highlight w:val="none"/>
              </w:rPr>
            </w:pPr>
            <w:r>
              <w:rPr>
                <w:rStyle w:val="19"/>
                <w:rFonts w:hint="eastAsia" w:ascii="宋体" w:hAnsi="宋体"/>
                <w:color w:val="auto"/>
                <w:highlight w:val="none"/>
              </w:rPr>
              <w:t>价格得分=（1-A×｜1-投标报价/Z｜）×M</w:t>
            </w:r>
          </w:p>
          <w:p>
            <w:pPr>
              <w:numPr>
                <w:ilvl w:val="0"/>
                <w:numId w:val="29"/>
              </w:numPr>
              <w:autoSpaceDE w:val="0"/>
              <w:autoSpaceDN w:val="0"/>
              <w:adjustRightInd w:val="0"/>
              <w:snapToGrid w:val="0"/>
              <w:jc w:val="left"/>
              <w:rPr>
                <w:rStyle w:val="19"/>
                <w:rFonts w:ascii="宋体" w:hAnsi="宋体"/>
                <w:color w:val="auto"/>
                <w:highlight w:val="none"/>
              </w:rPr>
            </w:pPr>
            <w:r>
              <w:rPr>
                <w:rStyle w:val="19"/>
                <w:rFonts w:hint="eastAsia" w:ascii="宋体" w:hAnsi="宋体"/>
                <w:color w:val="auto"/>
                <w:highlight w:val="none"/>
              </w:rPr>
              <w:t xml:space="preserve">M= </w:t>
            </w:r>
            <w:r>
              <w:rPr>
                <w:rFonts w:hint="eastAsia" w:ascii="宋体" w:hAnsi="宋体"/>
                <w:color w:val="auto"/>
                <w:szCs w:val="21"/>
                <w:highlight w:val="none"/>
              </w:rPr>
              <w:t>××</w:t>
            </w:r>
            <w:r>
              <w:rPr>
                <w:rStyle w:val="19"/>
                <w:rFonts w:hint="eastAsia" w:ascii="宋体" w:hAnsi="宋体"/>
                <w:color w:val="auto"/>
                <w:highlight w:val="none"/>
              </w:rPr>
              <w:t xml:space="preserve"> （价格评价分项满分值），Z为本次招标基准价；</w:t>
            </w:r>
          </w:p>
          <w:p>
            <w:pPr>
              <w:numPr>
                <w:ilvl w:val="0"/>
                <w:numId w:val="29"/>
              </w:numPr>
              <w:autoSpaceDE w:val="0"/>
              <w:autoSpaceDN w:val="0"/>
              <w:adjustRightInd w:val="0"/>
              <w:snapToGrid w:val="0"/>
              <w:jc w:val="left"/>
              <w:rPr>
                <w:rStyle w:val="19"/>
                <w:rFonts w:ascii="宋体" w:hAnsi="宋体"/>
                <w:color w:val="auto"/>
                <w:highlight w:val="none"/>
              </w:rPr>
            </w:pPr>
            <w:r>
              <w:rPr>
                <w:rStyle w:val="19"/>
                <w:rFonts w:hint="eastAsia" w:ascii="宋体" w:hAnsi="宋体"/>
                <w:color w:val="auto"/>
                <w:highlight w:val="none"/>
              </w:rPr>
              <w:t>A为价格调整系数，当投标报价低于本次招标最佳报价（即基准价）时，A=0.5；当投标报价高于次招标基准价时，取A=1；</w:t>
            </w:r>
          </w:p>
          <w:p>
            <w:pPr>
              <w:numPr>
                <w:ilvl w:val="0"/>
                <w:numId w:val="29"/>
              </w:numPr>
              <w:jc w:val="left"/>
              <w:rPr>
                <w:rFonts w:ascii="宋体" w:cs="宋体"/>
                <w:color w:val="auto"/>
                <w:kern w:val="0"/>
                <w:szCs w:val="21"/>
                <w:highlight w:val="none"/>
              </w:rPr>
            </w:pPr>
            <w:r>
              <w:rPr>
                <w:rStyle w:val="19"/>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1"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auto"/>
                <w:szCs w:val="21"/>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bookmarkStart w:id="98" w:name="_GoBack"/>
            <w:bookmarkEnd w:id="98"/>
            <w:r>
              <w:rPr>
                <w:rFonts w:hint="eastAsia" w:ascii="宋体" w:hAnsi="宋体"/>
                <w:color w:val="auto"/>
                <w:szCs w:val="21"/>
                <w:highlight w:val="none"/>
                <w:lang w:eastAsia="zh-CN"/>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6326" w:type="dxa"/>
            <w:tcBorders>
              <w:tl2br w:val="nil"/>
              <w:tr2bl w:val="nil"/>
            </w:tcBorders>
            <w:vAlign w:val="center"/>
          </w:tcPr>
          <w:p>
            <w:pPr>
              <w:widowControl w:val="0"/>
              <w:autoSpaceDE w:val="0"/>
              <w:autoSpaceDN w:val="0"/>
              <w:adjustRightInd w:val="0"/>
              <w:snapToGrid w:val="0"/>
              <w:ind w:firstLine="0" w:firstLineChars="0"/>
              <w:jc w:val="left"/>
              <w:rPr>
                <w:rStyle w:val="19"/>
                <w:rFonts w:hint="eastAsia" w:ascii="宋体" w:hAnsi="宋体"/>
                <w:color w:val="auto"/>
                <w:szCs w:val="21"/>
                <w:highlight w:val="none"/>
              </w:rPr>
            </w:pPr>
            <w:r>
              <w:rPr>
                <w:rStyle w:val="19"/>
                <w:rFonts w:hint="eastAsia" w:ascii="宋体" w:hAnsi="宋体"/>
                <w:color w:val="auto"/>
                <w:szCs w:val="21"/>
                <w:highlight w:val="none"/>
              </w:rPr>
              <w:t>价格得分=（1-|投标报价-基准价|÷基准价）×价格权重分</w:t>
            </w:r>
          </w:p>
          <w:p>
            <w:pPr>
              <w:spacing w:line="240" w:lineRule="atLeast"/>
              <w:jc w:val="left"/>
              <w:rPr>
                <w:rFonts w:ascii="宋体" w:cs="宋体"/>
                <w:color w:val="auto"/>
                <w:kern w:val="0"/>
                <w:szCs w:val="21"/>
                <w:highlight w:val="none"/>
              </w:rPr>
            </w:pPr>
            <w:r>
              <w:rPr>
                <w:rStyle w:val="19"/>
                <w:rFonts w:hint="eastAsia" w:ascii="宋体" w:hAnsi="宋体"/>
                <w:color w:val="auto"/>
                <w:szCs w:val="21"/>
                <w:highlight w:val="none"/>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0"/>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0"/>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22151"/>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Hlk116549198"/>
      <w:r>
        <w:rPr>
          <w:rFonts w:hint="eastAsia" w:ascii="方正小标宋简体" w:hAnsi="方正小标宋简体" w:eastAsia="方正小标宋简体" w:cs="方正小标宋简体"/>
          <w:bCs/>
          <w:kern w:val="0"/>
          <w:sz w:val="28"/>
          <w:szCs w:val="28"/>
        </w:rPr>
        <w:t>关于高交会英文网站、英文微信公众号、推特账号运维管理和专题宣传服务采购项目合同</w:t>
      </w:r>
    </w:p>
    <w:bookmarkEnd w:id="58"/>
    <w:p>
      <w:pPr>
        <w:jc w:val="center"/>
        <w:rPr>
          <w:rFonts w:ascii="宋体" w:hAnsi="宋体"/>
          <w:szCs w:val="21"/>
        </w:rPr>
      </w:pPr>
      <w:bookmarkStart w:id="59" w:name="_Hlk116549211"/>
      <w:r>
        <w:rPr>
          <w:rFonts w:hint="eastAsia" w:ascii="方正小标宋简体" w:hAnsi="方正小标宋简体" w:eastAsia="方正小标宋简体" w:cs="方正小标宋简体"/>
          <w:bCs/>
          <w:kern w:val="0"/>
          <w:sz w:val="28"/>
          <w:szCs w:val="28"/>
        </w:rPr>
        <w:t>（仅供参考）</w:t>
      </w:r>
    </w:p>
    <w:bookmarkEnd w:id="59"/>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高交会英文网站、英文微信公众号、推特账号运维管理和《中国日报》专题宣传</w:t>
      </w:r>
      <w:r>
        <w:rPr>
          <w:rFonts w:hint="eastAsia" w:ascii="宋体" w:hAnsi="宋体" w:cs="Arial"/>
          <w:sz w:val="21"/>
          <w:szCs w:val="21"/>
          <w:highlight w:val="none"/>
        </w:rPr>
        <w:t>服务，甲乙双方经协商一致，签订本合同，双方保证严格遵守和执行。</w:t>
      </w:r>
    </w:p>
    <w:p>
      <w:pPr>
        <w:pStyle w:val="2"/>
        <w:numPr>
          <w:ilvl w:val="0"/>
          <w:numId w:val="3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关于高交会英文网站、英文微信公众号、推特账号运维管理和专题宣传服务采购项目</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3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3"/>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3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3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5"/>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3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w:t>
      </w:r>
      <w:r>
        <w:rPr>
          <w:rFonts w:hint="eastAsia" w:ascii="宋体" w:hAnsi="宋体" w:cs="仿宋"/>
          <w:sz w:val="21"/>
          <w:szCs w:val="21"/>
          <w:highlight w:val="none"/>
          <w:lang w:val="en-US" w:eastAsia="zh-CN"/>
        </w:rPr>
        <w:t>2024</w:t>
      </w:r>
      <w:r>
        <w:rPr>
          <w:rFonts w:hint="eastAsia" w:ascii="宋体" w:hAnsi="宋体" w:cs="仿宋"/>
          <w:sz w:val="21"/>
          <w:szCs w:val="21"/>
          <w:highlight w:val="none"/>
        </w:rPr>
        <w:t>年X月X日止。</w:t>
      </w:r>
    </w:p>
    <w:p>
      <w:pPr>
        <w:pStyle w:val="2"/>
        <w:numPr>
          <w:ilvl w:val="0"/>
          <w:numId w:val="3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2"/>
        <w:numPr>
          <w:ilvl w:val="1"/>
          <w:numId w:val="36"/>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2"/>
        <w:numPr>
          <w:ilvl w:val="0"/>
          <w:numId w:val="37"/>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2"/>
        <w:numPr>
          <w:ilvl w:val="0"/>
          <w:numId w:val="37"/>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2"/>
        <w:numPr>
          <w:ilvl w:val="1"/>
          <w:numId w:val="36"/>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2"/>
        <w:numPr>
          <w:ilvl w:val="0"/>
          <w:numId w:val="38"/>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合同签订，乙方完成XXX后，甲方向乙方支付合同金额XX％款项，即人民币XXXX元（大写：XXXX元整）；</w:t>
      </w:r>
    </w:p>
    <w:p>
      <w:pPr>
        <w:pStyle w:val="22"/>
        <w:numPr>
          <w:ilvl w:val="0"/>
          <w:numId w:val="38"/>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2"/>
        <w:numPr>
          <w:ilvl w:val="0"/>
          <w:numId w:val="38"/>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3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3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9"/>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3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4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4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4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4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4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4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3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4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43"/>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3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4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44"/>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3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45"/>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45"/>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31"/>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46"/>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46"/>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46"/>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31"/>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31"/>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2"/>
        <w:numPr>
          <w:ilvl w:val="0"/>
          <w:numId w:val="47"/>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47"/>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31"/>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31"/>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48"/>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48"/>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48"/>
        </w:numPr>
        <w:spacing w:line="360" w:lineRule="auto"/>
        <w:rPr>
          <w:rFonts w:ascii="宋体" w:hAnsi="宋体" w:eastAsia="宋体" w:cs="仿宋"/>
          <w:szCs w:val="21"/>
        </w:rPr>
      </w:pPr>
      <w:bookmarkStart w:id="60"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0"/>
    </w:p>
    <w:p>
      <w:pPr>
        <w:numPr>
          <w:ilvl w:val="0"/>
          <w:numId w:val="48"/>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48"/>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1" w:name="_Toc12684"/>
      <w:r>
        <w:rPr>
          <w:rFonts w:hint="eastAsia"/>
          <w:b/>
          <w:sz w:val="32"/>
          <w:szCs w:val="32"/>
        </w:rPr>
        <w:t>第五部分：参考附件</w:t>
      </w:r>
      <w:bookmarkEnd w:id="61"/>
    </w:p>
    <w:p>
      <w:pPr>
        <w:spacing w:line="0" w:lineRule="atLeast"/>
        <w:outlineLvl w:val="1"/>
        <w:rPr>
          <w:rFonts w:ascii="宋体" w:hAnsi="宋体"/>
        </w:rPr>
      </w:pPr>
      <w:bookmarkStart w:id="62" w:name="_Toc25996"/>
      <w:r>
        <w:rPr>
          <w:rFonts w:hint="eastAsia" w:ascii="宋体" w:hAnsi="宋体"/>
          <w:szCs w:val="21"/>
        </w:rPr>
        <w:t>附件1：</w:t>
      </w:r>
      <w:r>
        <w:rPr>
          <w:rFonts w:hint="eastAsia" w:ascii="宋体" w:hAnsi="宋体"/>
        </w:rPr>
        <w:t>报名回函</w:t>
      </w:r>
      <w:bookmarkEnd w:id="62"/>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3" w:name="_Toc14927"/>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4" w:name="_Toc27120"/>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：关于高交会英文网站、英文微信公众号、推特账号运维管理和专题宣传服务采购项目</w:t>
      </w:r>
      <w:r>
        <w:rPr>
          <w:rFonts w:hint="eastAsia" w:ascii="宋体" w:hAnsi="宋体"/>
          <w:szCs w:val="21"/>
          <w:u w:val="single"/>
          <w:lang w:eastAsia="zh-CN"/>
        </w:rPr>
        <w:t>（</w:t>
      </w:r>
      <w:r>
        <w:rPr>
          <w:rFonts w:hint="eastAsia" w:ascii="宋体" w:hAnsi="宋体"/>
          <w:szCs w:val="21"/>
          <w:u w:val="single"/>
          <w:lang w:val="en-US" w:eastAsia="zh-CN"/>
        </w:rPr>
        <w:t>二次启动</w:t>
      </w:r>
      <w:r>
        <w:rPr>
          <w:rFonts w:hint="eastAsia" w:ascii="宋体" w:hAnsi="宋体"/>
          <w:szCs w:val="21"/>
          <w:u w:val="single"/>
          <w:lang w:eastAsia="zh-CN"/>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6" w:name="_Toc4290"/>
      <w:r>
        <w:rPr>
          <w:rFonts w:hint="eastAsia" w:ascii="宋体" w:hAnsi="宋体"/>
          <w:szCs w:val="21"/>
        </w:rPr>
        <w:t>附件4：考察证明</w:t>
      </w:r>
      <w:bookmarkEnd w:id="66"/>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highlight w:val="none"/>
        </w:rPr>
      </w:pPr>
      <w:r>
        <w:rPr>
          <w:rFonts w:hint="eastAsia" w:ascii="仿宋" w:hAnsi="仿宋" w:eastAsia="仿宋"/>
          <w:sz w:val="28"/>
          <w:szCs w:val="28"/>
          <w:highlight w:val="none"/>
        </w:rPr>
        <w:t>投标人（                            ）：</w:t>
      </w:r>
    </w:p>
    <w:p>
      <w:pPr>
        <w:spacing w:line="360" w:lineRule="auto"/>
        <w:ind w:firstLine="560" w:firstLineChars="200"/>
        <w:jc w:val="left"/>
        <w:rPr>
          <w:rFonts w:ascii="仿宋" w:hAnsi="仿宋" w:eastAsia="仿宋"/>
          <w:sz w:val="28"/>
          <w:szCs w:val="28"/>
          <w:highlight w:val="none"/>
        </w:rPr>
      </w:pPr>
      <w:bookmarkStart w:id="68" w:name="_Hlk116548155"/>
      <w:r>
        <w:rPr>
          <w:rFonts w:hint="eastAsia" w:ascii="仿宋" w:hAnsi="仿宋" w:eastAsia="仿宋"/>
          <w:sz w:val="28"/>
          <w:szCs w:val="28"/>
          <w:highlight w:val="none"/>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31964"/>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9"/>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36803114"/>
      <w:bookmarkStart w:id="74" w:name="_Toc246480945"/>
      <w:r>
        <w:rPr>
          <w:rFonts w:ascii="仿宋" w:hAnsi="仿宋" w:eastAsia="仿宋"/>
          <w:sz w:val="28"/>
          <w:szCs w:val="28"/>
        </w:rPr>
        <w:br w:type="page"/>
      </w:r>
    </w:p>
    <w:p>
      <w:pPr>
        <w:spacing w:line="0" w:lineRule="atLeast"/>
        <w:outlineLvl w:val="1"/>
        <w:rPr>
          <w:rFonts w:ascii="宋体" w:hAnsi="宋体"/>
          <w:szCs w:val="21"/>
        </w:rPr>
      </w:pPr>
      <w:bookmarkStart w:id="75" w:name="_Toc20936"/>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478387764"/>
      <w:bookmarkStart w:id="78" w:name="_Toc236803111"/>
      <w:bookmarkStart w:id="79" w:name="_Toc395883088"/>
      <w:r>
        <w:rPr>
          <w:rFonts w:ascii="仿宋" w:hAnsi="仿宋" w:eastAsia="仿宋"/>
          <w:sz w:val="28"/>
          <w:szCs w:val="28"/>
        </w:rPr>
        <w:br w:type="page"/>
      </w:r>
    </w:p>
    <w:p>
      <w:pPr>
        <w:spacing w:line="0" w:lineRule="atLeast"/>
        <w:outlineLvl w:val="1"/>
        <w:rPr>
          <w:rFonts w:ascii="宋体" w:hAnsi="宋体"/>
          <w:szCs w:val="21"/>
        </w:rPr>
      </w:pPr>
      <w:bookmarkStart w:id="80" w:name="_Toc5766"/>
      <w:r>
        <w:rPr>
          <w:rFonts w:hint="eastAsia" w:ascii="宋体" w:hAnsi="宋体"/>
          <w:szCs w:val="21"/>
        </w:rPr>
        <w:t>附件7：报价一览表（货物）</w:t>
      </w:r>
      <w:r>
        <w:rPr>
          <w:rFonts w:hint="eastAsia" w:ascii="宋体" w:hAnsi="宋体"/>
          <w:color w:val="FF0000"/>
          <w:szCs w:val="21"/>
        </w:rPr>
        <w:t>（本项目不适用）</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51"/>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51"/>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5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5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2" w:name="_Toc82095917"/>
      <w:bookmarkStart w:id="83"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4150"/>
      <w:r>
        <w:rPr>
          <w:rFonts w:hint="eastAsia" w:ascii="宋体" w:hAnsi="宋体"/>
          <w:szCs w:val="21"/>
        </w:rPr>
        <w:t>附件8：报价一览表（服务）</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关于高交会英文网站、英文微信公众号、推特账号运维管理和专题宣传服务采购项目</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756" w:type="dxa"/>
        <w:tblInd w:w="0" w:type="dxa"/>
        <w:tblLayout w:type="fixed"/>
        <w:tblCellMar>
          <w:top w:w="0" w:type="dxa"/>
          <w:left w:w="42" w:type="dxa"/>
          <w:bottom w:w="0" w:type="dxa"/>
          <w:right w:w="42" w:type="dxa"/>
        </w:tblCellMar>
      </w:tblPr>
      <w:tblGrid>
        <w:gridCol w:w="536"/>
        <w:gridCol w:w="3390"/>
        <w:gridCol w:w="1975"/>
        <w:gridCol w:w="1275"/>
        <w:gridCol w:w="1260"/>
        <w:gridCol w:w="1320"/>
      </w:tblGrid>
      <w:tr>
        <w:tblPrEx>
          <w:tblCellMar>
            <w:top w:w="0" w:type="dxa"/>
            <w:left w:w="42" w:type="dxa"/>
            <w:bottom w:w="0" w:type="dxa"/>
            <w:right w:w="42" w:type="dxa"/>
          </w:tblCellMar>
        </w:tblPrEx>
        <w:trPr>
          <w:cantSplit/>
          <w:trHeight w:val="509" w:hRule="atLeast"/>
        </w:trPr>
        <w:tc>
          <w:tcPr>
            <w:tcW w:w="53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339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97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lang w:val="en-US" w:eastAsia="zh-CN"/>
              </w:rPr>
              <w:t>未税</w:t>
            </w:r>
            <w:r>
              <w:rPr>
                <w:rFonts w:hint="eastAsia" w:ascii="仿宋" w:hAnsi="仿宋" w:eastAsia="仿宋"/>
                <w:sz w:val="30"/>
                <w:szCs w:val="30"/>
              </w:rPr>
              <w:t>价</w:t>
            </w:r>
          </w:p>
        </w:tc>
        <w:tc>
          <w:tcPr>
            <w:tcW w:w="126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含税价</w:t>
            </w:r>
          </w:p>
        </w:tc>
        <w:tc>
          <w:tcPr>
            <w:tcW w:w="1320"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3390" w:type="dxa"/>
            <w:tcBorders>
              <w:top w:val="single" w:color="auto" w:sz="6" w:space="0"/>
              <w:left w:val="single" w:color="auto" w:sz="6" w:space="0"/>
              <w:bottom w:val="single" w:color="auto" w:sz="6" w:space="0"/>
              <w:right w:val="single" w:color="auto" w:sz="6" w:space="0"/>
            </w:tcBorders>
            <w:vAlign w:val="center"/>
          </w:tcPr>
          <w:p>
            <w:pPr>
              <w:rPr>
                <w:rFonts w:hint="default" w:ascii="仿宋" w:hAnsi="仿宋" w:eastAsia="仿宋"/>
                <w:sz w:val="28"/>
                <w:szCs w:val="28"/>
                <w:lang w:val="en-US" w:eastAsia="zh-CN"/>
              </w:rPr>
            </w:pPr>
            <w:r>
              <w:rPr>
                <w:rFonts w:hint="eastAsia" w:ascii="仿宋" w:hAnsi="仿宋" w:eastAsia="仿宋"/>
                <w:sz w:val="28"/>
                <w:szCs w:val="28"/>
                <w:lang w:val="en-US" w:eastAsia="zh-CN"/>
              </w:rPr>
              <w:t>高交会英文网站运维管理服务</w:t>
            </w:r>
          </w:p>
        </w:tc>
        <w:tc>
          <w:tcPr>
            <w:tcW w:w="197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26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320"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474" w:hRule="atLeast"/>
        </w:trPr>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w:t>
            </w:r>
          </w:p>
        </w:tc>
        <w:tc>
          <w:tcPr>
            <w:tcW w:w="3390" w:type="dxa"/>
            <w:tcBorders>
              <w:top w:val="single" w:color="auto" w:sz="6" w:space="0"/>
              <w:left w:val="single" w:color="auto" w:sz="6" w:space="0"/>
              <w:bottom w:val="single" w:color="auto" w:sz="6" w:space="0"/>
              <w:right w:val="single" w:color="auto" w:sz="6" w:space="0"/>
            </w:tcBorders>
            <w:vAlign w:val="center"/>
          </w:tcPr>
          <w:p>
            <w:pPr>
              <w:rPr>
                <w:rFonts w:hint="default" w:ascii="仿宋" w:hAnsi="仿宋" w:eastAsia="仿宋"/>
                <w:sz w:val="28"/>
                <w:szCs w:val="28"/>
                <w:lang w:val="en-US" w:eastAsia="zh-CN"/>
              </w:rPr>
            </w:pPr>
            <w:r>
              <w:rPr>
                <w:rFonts w:hint="eastAsia" w:ascii="仿宋" w:hAnsi="仿宋" w:eastAsia="仿宋"/>
                <w:sz w:val="28"/>
                <w:szCs w:val="28"/>
                <w:lang w:val="en-US" w:eastAsia="zh-CN"/>
              </w:rPr>
              <w:t>高交会英文微信公众号运维管理</w:t>
            </w:r>
          </w:p>
        </w:tc>
        <w:tc>
          <w:tcPr>
            <w:tcW w:w="197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26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320"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474" w:hRule="atLeast"/>
        </w:trPr>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w:t>
            </w:r>
          </w:p>
        </w:tc>
        <w:tc>
          <w:tcPr>
            <w:tcW w:w="3390" w:type="dxa"/>
            <w:tcBorders>
              <w:top w:val="single" w:color="auto" w:sz="6" w:space="0"/>
              <w:left w:val="single" w:color="auto" w:sz="6" w:space="0"/>
              <w:bottom w:val="single" w:color="auto" w:sz="6" w:space="0"/>
              <w:right w:val="single" w:color="auto" w:sz="6" w:space="0"/>
            </w:tcBorders>
            <w:vAlign w:val="center"/>
          </w:tcPr>
          <w:p>
            <w:pPr>
              <w:rPr>
                <w:rFonts w:hint="eastAsia" w:ascii="仿宋" w:hAnsi="仿宋" w:eastAsia="仿宋"/>
                <w:sz w:val="28"/>
                <w:szCs w:val="28"/>
                <w:lang w:val="en-US" w:eastAsia="zh-CN"/>
              </w:rPr>
            </w:pPr>
            <w:r>
              <w:rPr>
                <w:rFonts w:hint="eastAsia" w:ascii="仿宋" w:hAnsi="仿宋" w:eastAsia="仿宋"/>
                <w:sz w:val="28"/>
                <w:szCs w:val="28"/>
                <w:lang w:val="en-US" w:eastAsia="zh-CN"/>
              </w:rPr>
              <w:t>高交会推特账号运维管理</w:t>
            </w:r>
          </w:p>
        </w:tc>
        <w:tc>
          <w:tcPr>
            <w:tcW w:w="197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26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320"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4</w:t>
            </w:r>
          </w:p>
        </w:tc>
        <w:tc>
          <w:tcPr>
            <w:tcW w:w="3390" w:type="dxa"/>
            <w:tcBorders>
              <w:top w:val="single" w:color="auto" w:sz="6" w:space="0"/>
              <w:left w:val="single" w:color="auto" w:sz="6" w:space="0"/>
              <w:bottom w:val="single" w:color="auto" w:sz="6" w:space="0"/>
              <w:right w:val="single" w:color="auto" w:sz="6" w:space="0"/>
            </w:tcBorders>
            <w:vAlign w:val="center"/>
          </w:tcPr>
          <w:p>
            <w:pPr>
              <w:rPr>
                <w:rFonts w:hint="default" w:ascii="仿宋" w:hAnsi="仿宋" w:eastAsia="仿宋"/>
                <w:sz w:val="28"/>
                <w:szCs w:val="28"/>
                <w:u w:val="none"/>
                <w:lang w:val="en-US" w:eastAsia="zh-CN"/>
              </w:rPr>
            </w:pPr>
            <w:r>
              <w:rPr>
                <w:rFonts w:hint="eastAsia" w:ascii="仿宋" w:hAnsi="仿宋" w:eastAsia="仿宋"/>
                <w:sz w:val="28"/>
                <w:szCs w:val="28"/>
                <w:u w:val="none"/>
              </w:rPr>
              <w:t>《中国日报》</w:t>
            </w:r>
            <w:r>
              <w:rPr>
                <w:rFonts w:hint="eastAsia" w:ascii="仿宋" w:hAnsi="仿宋" w:eastAsia="仿宋"/>
                <w:sz w:val="28"/>
                <w:szCs w:val="28"/>
                <w:u w:val="none"/>
                <w:lang w:val="en-US" w:eastAsia="zh-CN"/>
              </w:rPr>
              <w:t>专题宣传服务</w:t>
            </w:r>
          </w:p>
        </w:tc>
        <w:tc>
          <w:tcPr>
            <w:tcW w:w="197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26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320"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7176" w:type="dxa"/>
            <w:gridSpan w:val="4"/>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w:t>
            </w:r>
            <w:r>
              <w:rPr>
                <w:rFonts w:hint="eastAsia" w:ascii="仿宋" w:hAnsi="仿宋" w:eastAsia="仿宋"/>
                <w:sz w:val="30"/>
                <w:szCs w:val="30"/>
                <w:lang w:val="en-US" w:eastAsia="zh-CN"/>
              </w:rPr>
              <w:t>总</w:t>
            </w:r>
            <w:r>
              <w:rPr>
                <w:rFonts w:hint="eastAsia" w:ascii="仿宋" w:hAnsi="仿宋" w:eastAsia="仿宋"/>
                <w:sz w:val="30"/>
                <w:szCs w:val="30"/>
              </w:rPr>
              <w:t>金额：</w:t>
            </w:r>
          </w:p>
        </w:tc>
        <w:tc>
          <w:tcPr>
            <w:tcW w:w="2580" w:type="dxa"/>
            <w:gridSpan w:val="2"/>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hint="eastAsia" w:ascii="仿宋" w:hAnsi="仿宋" w:eastAsia="仿宋"/>
          <w:sz w:val="30"/>
          <w:szCs w:val="30"/>
        </w:rPr>
      </w:pPr>
    </w:p>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5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5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52"/>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5" w:name="_Toc21528"/>
      <w:r>
        <w:rPr>
          <w:rFonts w:hint="eastAsia" w:ascii="宋体" w:hAnsi="宋体"/>
          <w:szCs w:val="21"/>
        </w:rPr>
        <w:t>附件9：报价一览表（工程）</w:t>
      </w:r>
      <w:r>
        <w:rPr>
          <w:rFonts w:hint="eastAsia" w:ascii="宋体" w:hAnsi="宋体"/>
          <w:color w:val="FF0000"/>
          <w:szCs w:val="21"/>
        </w:rPr>
        <w:t>（本项目不适用）</w:t>
      </w:r>
      <w:bookmarkEnd w:id="85"/>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53"/>
        </w:numPr>
        <w:spacing w:line="400" w:lineRule="exact"/>
        <w:ind w:firstLineChars="0"/>
        <w:rPr>
          <w:rFonts w:ascii="仿宋" w:hAnsi="仿宋" w:eastAsia="仿宋"/>
          <w:color w:val="auto"/>
          <w:sz w:val="28"/>
          <w:szCs w:val="28"/>
        </w:rPr>
      </w:pPr>
      <w:r>
        <w:rPr>
          <w:rFonts w:hint="eastAsia" w:ascii="仿宋" w:hAnsi="仿宋" w:eastAsia="仿宋"/>
          <w:sz w:val="28"/>
          <w:szCs w:val="28"/>
        </w:rPr>
        <w:t>投标人如果需要对报价或其它内容加以说明，可在备注一栏中</w:t>
      </w:r>
      <w:r>
        <w:rPr>
          <w:rFonts w:hint="eastAsia" w:ascii="仿宋" w:hAnsi="仿宋" w:eastAsia="仿宋"/>
          <w:color w:val="auto"/>
          <w:sz w:val="28"/>
          <w:szCs w:val="28"/>
        </w:rPr>
        <w:t>填写。</w:t>
      </w:r>
    </w:p>
    <w:p>
      <w:pPr>
        <w:pStyle w:val="22"/>
        <w:numPr>
          <w:ilvl w:val="1"/>
          <w:numId w:val="53"/>
        </w:numPr>
        <w:spacing w:line="400" w:lineRule="exact"/>
        <w:ind w:firstLineChars="0"/>
        <w:rPr>
          <w:rFonts w:ascii="仿宋" w:hAnsi="仿宋" w:eastAsia="仿宋"/>
          <w:color w:val="auto"/>
          <w:sz w:val="28"/>
          <w:szCs w:val="28"/>
        </w:rPr>
      </w:pPr>
      <w:r>
        <w:rPr>
          <w:rFonts w:hint="eastAsia" w:ascii="仿宋" w:hAnsi="仿宋" w:eastAsia="仿宋"/>
          <w:color w:val="auto"/>
          <w:sz w:val="28"/>
          <w:szCs w:val="28"/>
        </w:rPr>
        <w:t>投标人使用本表或自由报价单格式报价均可，但应能清晰体现总报价及分项报价信息。</w:t>
      </w:r>
    </w:p>
    <w:p>
      <w:pPr>
        <w:pStyle w:val="22"/>
        <w:numPr>
          <w:ilvl w:val="1"/>
          <w:numId w:val="53"/>
        </w:numPr>
        <w:spacing w:line="400" w:lineRule="exact"/>
        <w:ind w:firstLineChars="0"/>
        <w:rPr>
          <w:rFonts w:ascii="仿宋_GB2312" w:hAnsi="宋体" w:eastAsia="仿宋_GB2312"/>
          <w:color w:val="auto"/>
          <w:sz w:val="28"/>
          <w:szCs w:val="28"/>
        </w:rPr>
      </w:pPr>
      <w:r>
        <w:rPr>
          <w:rFonts w:hint="eastAsia" w:ascii="仿宋" w:hAnsi="仿宋" w:eastAsia="仿宋"/>
          <w:color w:val="auto"/>
          <w:sz w:val="28"/>
          <w:szCs w:val="28"/>
        </w:rPr>
        <w:t>如果分项报价与总价不一致，以总价为准。</w:t>
      </w:r>
    </w:p>
    <w:p>
      <w:pPr>
        <w:pStyle w:val="22"/>
        <w:numPr>
          <w:ilvl w:val="1"/>
          <w:numId w:val="53"/>
        </w:numPr>
        <w:spacing w:line="400" w:lineRule="exact"/>
        <w:ind w:firstLineChars="0"/>
        <w:rPr>
          <w:rFonts w:ascii="仿宋_GB2312" w:hAnsi="宋体" w:eastAsia="仿宋_GB2312"/>
          <w:color w:val="auto"/>
          <w:sz w:val="28"/>
          <w:szCs w:val="28"/>
        </w:rPr>
      </w:pPr>
      <w:r>
        <w:rPr>
          <w:rFonts w:hint="eastAsia" w:ascii="仿宋" w:hAnsi="仿宋" w:eastAsia="仿宋"/>
          <w:color w:val="auto"/>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7057"/>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54"/>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54"/>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54"/>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7" w:name="_Toc23037"/>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55"/>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55"/>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55"/>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8" w:name="_Toc13732"/>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56"/>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56"/>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56"/>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56"/>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75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5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5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5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5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5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5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30177"/>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5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5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2" w:name="_Toc100848654"/>
      <w:bookmarkStart w:id="93" w:name="_Toc31161"/>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59"/>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59"/>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5"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5"/>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6" w:name="_Hlk116546063"/>
    <w:bookmarkStart w:id="97"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6"/>
    <w:bookmarkEnd w:id="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9616D46B"/>
    <w:multiLevelType w:val="singleLevel"/>
    <w:tmpl w:val="9616D46B"/>
    <w:lvl w:ilvl="0" w:tentative="0">
      <w:start w:val="1"/>
      <w:numFmt w:val="decimal"/>
      <w:suff w:val="space"/>
      <w:lvlText w:val="（%1）"/>
      <w:lvlJc w:val="left"/>
    </w:lvl>
  </w:abstractNum>
  <w:abstractNum w:abstractNumId="4">
    <w:nsid w:val="A00E8E92"/>
    <w:multiLevelType w:val="singleLevel"/>
    <w:tmpl w:val="A00E8E92"/>
    <w:lvl w:ilvl="0" w:tentative="0">
      <w:start w:val="1"/>
      <w:numFmt w:val="decimal"/>
      <w:suff w:val="space"/>
      <w:lvlText w:val="（%1）"/>
      <w:lvlJc w:val="left"/>
      <w:rPr>
        <w:rFonts w:hint="default"/>
        <w:sz w:val="21"/>
        <w:szCs w:val="21"/>
      </w:rPr>
    </w:lvl>
  </w:abstractNum>
  <w:abstractNum w:abstractNumId="5">
    <w:nsid w:val="A2281775"/>
    <w:multiLevelType w:val="singleLevel"/>
    <w:tmpl w:val="A2281775"/>
    <w:lvl w:ilvl="0" w:tentative="0">
      <w:start w:val="1"/>
      <w:numFmt w:val="decimal"/>
      <w:suff w:val="space"/>
      <w:lvlText w:val="%1."/>
      <w:lvlJc w:val="left"/>
    </w:lvl>
  </w:abstractNum>
  <w:abstractNum w:abstractNumId="6">
    <w:nsid w:val="A4ABAB9E"/>
    <w:multiLevelType w:val="singleLevel"/>
    <w:tmpl w:val="A4ABAB9E"/>
    <w:lvl w:ilvl="0" w:tentative="0">
      <w:start w:val="1"/>
      <w:numFmt w:val="decimal"/>
      <w:lvlText w:val="%1)"/>
      <w:lvlJc w:val="left"/>
      <w:pPr>
        <w:ind w:left="425" w:hanging="425"/>
      </w:pPr>
      <w:rPr>
        <w:rFonts w:hint="default" w:ascii="宋体" w:hAnsi="宋体" w:eastAsia="宋体" w:cs="宋体"/>
        <w:color w:val="auto"/>
        <w:sz w:val="21"/>
        <w:szCs w:val="21"/>
      </w:rPr>
    </w:lvl>
  </w:abstractNum>
  <w:abstractNum w:abstractNumId="7">
    <w:nsid w:val="A65DE2C7"/>
    <w:multiLevelType w:val="singleLevel"/>
    <w:tmpl w:val="A65DE2C7"/>
    <w:lvl w:ilvl="0" w:tentative="0">
      <w:start w:val="1"/>
      <w:numFmt w:val="decimal"/>
      <w:suff w:val="space"/>
      <w:lvlText w:val="（%1)"/>
      <w:lvlJc w:val="left"/>
    </w:lvl>
  </w:abstractNum>
  <w:abstractNum w:abstractNumId="8">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9">
    <w:nsid w:val="CA690857"/>
    <w:multiLevelType w:val="singleLevel"/>
    <w:tmpl w:val="CA690857"/>
    <w:lvl w:ilvl="0" w:tentative="0">
      <w:start w:val="1"/>
      <w:numFmt w:val="decimal"/>
      <w:lvlText w:val="（%1）"/>
      <w:lvlJc w:val="left"/>
      <w:pPr>
        <w:ind w:left="420" w:hanging="420"/>
      </w:pPr>
      <w:rPr>
        <w:rFonts w:hint="eastAsia"/>
      </w:rPr>
    </w:lvl>
  </w:abstractNum>
  <w:abstractNum w:abstractNumId="10">
    <w:nsid w:val="CF7FE85F"/>
    <w:multiLevelType w:val="singleLevel"/>
    <w:tmpl w:val="CF7FE85F"/>
    <w:lvl w:ilvl="0" w:tentative="0">
      <w:start w:val="1"/>
      <w:numFmt w:val="decimal"/>
      <w:lvlText w:val="%1."/>
      <w:lvlJc w:val="left"/>
      <w:pPr>
        <w:ind w:left="425" w:hanging="425"/>
      </w:pPr>
      <w:rPr>
        <w:rFonts w:hint="default"/>
      </w:rPr>
    </w:lvl>
  </w:abstractNum>
  <w:abstractNum w:abstractNumId="11">
    <w:nsid w:val="D3051835"/>
    <w:multiLevelType w:val="singleLevel"/>
    <w:tmpl w:val="D3051835"/>
    <w:lvl w:ilvl="0" w:tentative="0">
      <w:start w:val="1"/>
      <w:numFmt w:val="decimal"/>
      <w:suff w:val="space"/>
      <w:lvlText w:val="%1."/>
      <w:lvlJc w:val="left"/>
    </w:lvl>
  </w:abstractNum>
  <w:abstractNum w:abstractNumId="12">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3">
    <w:nsid w:val="DAA5A57F"/>
    <w:multiLevelType w:val="singleLevel"/>
    <w:tmpl w:val="DAA5A57F"/>
    <w:lvl w:ilvl="0" w:tentative="0">
      <w:start w:val="1"/>
      <w:numFmt w:val="decimal"/>
      <w:suff w:val="space"/>
      <w:lvlText w:val="%1."/>
      <w:lvlJc w:val="left"/>
    </w:lvl>
  </w:abstractNum>
  <w:abstractNum w:abstractNumId="14">
    <w:nsid w:val="DB4D60E3"/>
    <w:multiLevelType w:val="singleLevel"/>
    <w:tmpl w:val="DB4D60E3"/>
    <w:lvl w:ilvl="0" w:tentative="0">
      <w:start w:val="1"/>
      <w:numFmt w:val="decimal"/>
      <w:suff w:val="space"/>
      <w:lvlText w:val="%1."/>
      <w:lvlJc w:val="left"/>
    </w:lvl>
  </w:abstractNum>
  <w:abstractNum w:abstractNumId="15">
    <w:nsid w:val="EA5C884B"/>
    <w:multiLevelType w:val="singleLevel"/>
    <w:tmpl w:val="EA5C884B"/>
    <w:lvl w:ilvl="0" w:tentative="0">
      <w:start w:val="1"/>
      <w:numFmt w:val="decimal"/>
      <w:suff w:val="space"/>
      <w:lvlText w:val="（%1)"/>
      <w:lvlJc w:val="left"/>
    </w:lvl>
  </w:abstractNum>
  <w:abstractNum w:abstractNumId="16">
    <w:nsid w:val="EBB28CBD"/>
    <w:multiLevelType w:val="singleLevel"/>
    <w:tmpl w:val="EBB28CBD"/>
    <w:lvl w:ilvl="0" w:tentative="0">
      <w:start w:val="1"/>
      <w:numFmt w:val="decimal"/>
      <w:suff w:val="space"/>
      <w:lvlText w:val="%1."/>
      <w:lvlJc w:val="left"/>
      <w:pPr>
        <w:ind w:left="520" w:firstLine="0"/>
      </w:pPr>
    </w:lvl>
  </w:abstractNum>
  <w:abstractNum w:abstractNumId="17">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8">
    <w:nsid w:val="EFDC7ACC"/>
    <w:multiLevelType w:val="singleLevel"/>
    <w:tmpl w:val="EFDC7ACC"/>
    <w:lvl w:ilvl="0" w:tentative="0">
      <w:start w:val="1"/>
      <w:numFmt w:val="decimal"/>
      <w:lvlText w:val="(%1)"/>
      <w:lvlJc w:val="left"/>
      <w:pPr>
        <w:ind w:left="425" w:hanging="425"/>
      </w:pPr>
      <w:rPr>
        <w:rFonts w:hint="default" w:ascii="宋体" w:hAnsi="宋体" w:eastAsia="宋体" w:cs="宋体"/>
        <w:color w:val="000000" w:themeColor="text1"/>
        <w:sz w:val="21"/>
        <w:szCs w:val="21"/>
        <w:highlight w:val="none"/>
        <w14:textFill>
          <w14:solidFill>
            <w14:schemeClr w14:val="tx1"/>
          </w14:solidFill>
        </w14:textFill>
      </w:rPr>
    </w:lvl>
  </w:abstractNum>
  <w:abstractNum w:abstractNumId="19">
    <w:nsid w:val="FFD2EE6E"/>
    <w:multiLevelType w:val="singleLevel"/>
    <w:tmpl w:val="FFD2EE6E"/>
    <w:lvl w:ilvl="0" w:tentative="0">
      <w:start w:val="1"/>
      <w:numFmt w:val="decimal"/>
      <w:lvlText w:val="（%1）"/>
      <w:lvlJc w:val="left"/>
      <w:pPr>
        <w:ind w:left="420" w:hanging="420"/>
      </w:pPr>
      <w:rPr>
        <w:rFonts w:hint="default" w:ascii="宋体" w:hAnsi="宋体" w:eastAsia="宋体" w:cs="宋体"/>
        <w:color w:val="auto"/>
        <w:sz w:val="21"/>
        <w:szCs w:val="21"/>
        <w:highlight w:val="none"/>
      </w:rPr>
    </w:lvl>
  </w:abstractNum>
  <w:abstractNum w:abstractNumId="20">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3"/>
    <w:multiLevelType w:val="singleLevel"/>
    <w:tmpl w:val="00000013"/>
    <w:lvl w:ilvl="0" w:tentative="0">
      <w:start w:val="1"/>
      <w:numFmt w:val="decimal"/>
      <w:lvlText w:val="%1."/>
      <w:lvlJc w:val="left"/>
      <w:pPr>
        <w:ind w:left="420" w:hanging="420"/>
      </w:pPr>
    </w:lvl>
  </w:abstractNum>
  <w:abstractNum w:abstractNumId="24">
    <w:nsid w:val="11D69C2C"/>
    <w:multiLevelType w:val="singleLevel"/>
    <w:tmpl w:val="11D69C2C"/>
    <w:lvl w:ilvl="0" w:tentative="0">
      <w:start w:val="1"/>
      <w:numFmt w:val="decimal"/>
      <w:suff w:val="space"/>
      <w:lvlText w:val="%1."/>
      <w:lvlJc w:val="left"/>
    </w:lvl>
  </w:abstractNum>
  <w:abstractNum w:abstractNumId="2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7">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0AB9193"/>
    <w:multiLevelType w:val="singleLevel"/>
    <w:tmpl w:val="20AB9193"/>
    <w:lvl w:ilvl="0" w:tentative="0">
      <w:start w:val="1"/>
      <w:numFmt w:val="decimal"/>
      <w:lvlText w:val="%1."/>
      <w:lvlJc w:val="left"/>
      <w:pPr>
        <w:ind w:left="425" w:hanging="425"/>
      </w:pPr>
      <w:rPr>
        <w:rFonts w:hint="default"/>
      </w:rPr>
    </w:lvl>
  </w:abstractNum>
  <w:abstractNum w:abstractNumId="29">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1">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8E10C89"/>
    <w:multiLevelType w:val="singleLevel"/>
    <w:tmpl w:val="28E10C89"/>
    <w:lvl w:ilvl="0" w:tentative="0">
      <w:start w:val="1"/>
      <w:numFmt w:val="decimal"/>
      <w:suff w:val="space"/>
      <w:lvlText w:val="%1."/>
      <w:lvlJc w:val="left"/>
    </w:lvl>
  </w:abstractNum>
  <w:abstractNum w:abstractNumId="34">
    <w:nsid w:val="2A8AFD0D"/>
    <w:multiLevelType w:val="singleLevel"/>
    <w:tmpl w:val="2A8AFD0D"/>
    <w:lvl w:ilvl="0" w:tentative="0">
      <w:start w:val="1"/>
      <w:numFmt w:val="decimal"/>
      <w:lvlText w:val="(%1)"/>
      <w:lvlJc w:val="left"/>
      <w:pPr>
        <w:ind w:left="425" w:hanging="425"/>
      </w:pPr>
      <w:rPr>
        <w:rFonts w:hint="default" w:ascii="宋体" w:hAnsi="宋体" w:eastAsia="宋体" w:cs="宋体"/>
        <w:color w:val="auto"/>
        <w:sz w:val="21"/>
        <w:szCs w:val="21"/>
        <w:highlight w:val="none"/>
      </w:rPr>
    </w:lvl>
  </w:abstractNum>
  <w:abstractNum w:abstractNumId="3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7A9D259"/>
    <w:multiLevelType w:val="singleLevel"/>
    <w:tmpl w:val="37A9D259"/>
    <w:lvl w:ilvl="0" w:tentative="0">
      <w:start w:val="1"/>
      <w:numFmt w:val="decimal"/>
      <w:suff w:val="space"/>
      <w:lvlText w:val="（%1）"/>
      <w:lvlJc w:val="left"/>
      <w:rPr>
        <w:rFonts w:hint="default"/>
        <w:sz w:val="21"/>
        <w:szCs w:val="21"/>
      </w:rPr>
    </w:lvl>
  </w:abstractNum>
  <w:abstractNum w:abstractNumId="3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4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D5C0D4E"/>
    <w:multiLevelType w:val="singleLevel"/>
    <w:tmpl w:val="3D5C0D4E"/>
    <w:lvl w:ilvl="0" w:tentative="0">
      <w:start w:val="1"/>
      <w:numFmt w:val="decimal"/>
      <w:lvlText w:val="%1)"/>
      <w:lvlJc w:val="left"/>
      <w:pPr>
        <w:ind w:left="425" w:hanging="425"/>
      </w:pPr>
      <w:rPr>
        <w:rFonts w:hint="default"/>
      </w:rPr>
    </w:lvl>
  </w:abstractNum>
  <w:abstractNum w:abstractNumId="43">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4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5">
    <w:nsid w:val="4188E82D"/>
    <w:multiLevelType w:val="singleLevel"/>
    <w:tmpl w:val="4188E82D"/>
    <w:lvl w:ilvl="0" w:tentative="0">
      <w:start w:val="1"/>
      <w:numFmt w:val="decimal"/>
      <w:suff w:val="space"/>
      <w:lvlText w:val="（%1）"/>
      <w:lvlJc w:val="left"/>
      <w:rPr>
        <w:rFonts w:hint="default" w:ascii="宋体" w:hAnsi="宋体" w:eastAsia="宋体" w:cs="宋体"/>
        <w:b w:val="0"/>
        <w:bCs w:val="0"/>
        <w:color w:val="auto"/>
        <w:sz w:val="21"/>
        <w:szCs w:val="21"/>
      </w:rPr>
    </w:lvl>
  </w:abstractNum>
  <w:abstractNum w:abstractNumId="4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1691C6F"/>
    <w:multiLevelType w:val="singleLevel"/>
    <w:tmpl w:val="51691C6F"/>
    <w:lvl w:ilvl="0" w:tentative="0">
      <w:start w:val="1"/>
      <w:numFmt w:val="decimal"/>
      <w:lvlText w:val="（%1）"/>
      <w:lvlJc w:val="left"/>
      <w:pPr>
        <w:ind w:left="420" w:hanging="420"/>
      </w:pPr>
      <w:rPr>
        <w:rFonts w:hint="default" w:ascii="宋体" w:hAnsi="宋体" w:eastAsia="宋体" w:cs="宋体"/>
        <w:color w:val="auto"/>
        <w:sz w:val="21"/>
        <w:szCs w:val="21"/>
        <w:highlight w:val="none"/>
      </w:rPr>
    </w:lvl>
  </w:abstractNum>
  <w:abstractNum w:abstractNumId="4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5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5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7B434B9"/>
    <w:multiLevelType w:val="singleLevel"/>
    <w:tmpl w:val="57B434B9"/>
    <w:lvl w:ilvl="0" w:tentative="0">
      <w:start w:val="1"/>
      <w:numFmt w:val="decimal"/>
      <w:suff w:val="space"/>
      <w:lvlText w:val="（%1）"/>
      <w:lvlJc w:val="left"/>
    </w:lvl>
  </w:abstractNum>
  <w:abstractNum w:abstractNumId="53">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6">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7">
    <w:nsid w:val="7B4A4E0C"/>
    <w:multiLevelType w:val="singleLevel"/>
    <w:tmpl w:val="7B4A4E0C"/>
    <w:lvl w:ilvl="0" w:tentative="0">
      <w:start w:val="1"/>
      <w:numFmt w:val="decimal"/>
      <w:lvlText w:val="（%1）"/>
      <w:lvlJc w:val="left"/>
      <w:pPr>
        <w:ind w:left="420" w:hanging="420"/>
      </w:pPr>
      <w:rPr>
        <w:rFonts w:hint="default" w:ascii="宋体" w:hAnsi="宋体" w:eastAsia="宋体" w:cs="宋体"/>
        <w:color w:val="auto"/>
        <w:sz w:val="21"/>
        <w:szCs w:val="21"/>
        <w:highlight w:val="none"/>
      </w:rPr>
    </w:lvl>
  </w:abstractNum>
  <w:num w:numId="1">
    <w:abstractNumId w:val="50"/>
  </w:num>
  <w:num w:numId="2">
    <w:abstractNumId w:val="55"/>
  </w:num>
  <w:num w:numId="3">
    <w:abstractNumId w:val="37"/>
  </w:num>
  <w:num w:numId="4">
    <w:abstractNumId w:val="9"/>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51"/>
  </w:num>
  <w:num w:numId="8">
    <w:abstractNumId w:val="41"/>
  </w:num>
  <w:num w:numId="9">
    <w:abstractNumId w:val="25"/>
  </w:num>
  <w:num w:numId="10">
    <w:abstractNumId w:val="57"/>
  </w:num>
  <w:num w:numId="11">
    <w:abstractNumId w:val="19"/>
  </w:num>
  <w:num w:numId="12">
    <w:abstractNumId w:val="7"/>
  </w:num>
  <w:num w:numId="13">
    <w:abstractNumId w:val="15"/>
  </w:num>
  <w:num w:numId="14">
    <w:abstractNumId w:val="45"/>
  </w:num>
  <w:num w:numId="15">
    <w:abstractNumId w:val="42"/>
  </w:num>
  <w:num w:numId="16">
    <w:abstractNumId w:val="6"/>
  </w:num>
  <w:num w:numId="17">
    <w:abstractNumId w:val="34"/>
  </w:num>
  <w:num w:numId="18">
    <w:abstractNumId w:val="18"/>
  </w:num>
  <w:num w:numId="19">
    <w:abstractNumId w:val="11"/>
  </w:num>
  <w:num w:numId="20">
    <w:abstractNumId w:val="33"/>
  </w:num>
  <w:num w:numId="21">
    <w:abstractNumId w:val="22"/>
  </w:num>
  <w:num w:numId="22">
    <w:abstractNumId w:val="48"/>
  </w:num>
  <w:num w:numId="23">
    <w:abstractNumId w:val="27"/>
  </w:num>
  <w:num w:numId="24">
    <w:abstractNumId w:val="4"/>
  </w:num>
  <w:num w:numId="25">
    <w:abstractNumId w:val="38"/>
  </w:num>
  <w:num w:numId="26">
    <w:abstractNumId w:val="36"/>
  </w:num>
  <w:num w:numId="27">
    <w:abstractNumId w:val="52"/>
  </w:num>
  <w:num w:numId="28">
    <w:abstractNumId w:val="3"/>
  </w:num>
  <w:num w:numId="29">
    <w:abstractNumId w:val="5"/>
  </w:num>
  <w:num w:numId="30">
    <w:abstractNumId w:val="13"/>
  </w:num>
  <w:num w:numId="31">
    <w:abstractNumId w:val="43"/>
  </w:num>
  <w:num w:numId="32">
    <w:abstractNumId w:val="39"/>
  </w:num>
  <w:num w:numId="33">
    <w:abstractNumId w:val="16"/>
  </w:num>
  <w:num w:numId="34">
    <w:abstractNumId w:val="28"/>
  </w:num>
  <w:num w:numId="35">
    <w:abstractNumId w:val="10"/>
  </w:num>
  <w:num w:numId="36">
    <w:abstractNumId w:val="53"/>
  </w:num>
  <w:num w:numId="37">
    <w:abstractNumId w:val="24"/>
  </w:num>
  <w:num w:numId="38">
    <w:abstractNumId w:val="46"/>
  </w:num>
  <w:num w:numId="39">
    <w:abstractNumId w:val="8"/>
  </w:num>
  <w:num w:numId="40">
    <w:abstractNumId w:val="30"/>
  </w:num>
  <w:num w:numId="41">
    <w:abstractNumId w:val="1"/>
  </w:num>
  <w:num w:numId="42">
    <w:abstractNumId w:val="14"/>
  </w:num>
  <w:num w:numId="43">
    <w:abstractNumId w:val="12"/>
  </w:num>
  <w:num w:numId="44">
    <w:abstractNumId w:val="56"/>
  </w:num>
  <w:num w:numId="45">
    <w:abstractNumId w:val="0"/>
  </w:num>
  <w:num w:numId="46">
    <w:abstractNumId w:val="2"/>
  </w:num>
  <w:num w:numId="47">
    <w:abstractNumId w:val="40"/>
  </w:num>
  <w:num w:numId="48">
    <w:abstractNumId w:val="17"/>
  </w:num>
  <w:num w:numId="49">
    <w:abstractNumId w:val="21"/>
  </w:num>
  <w:num w:numId="50">
    <w:abstractNumId w:val="20"/>
  </w:num>
  <w:num w:numId="51">
    <w:abstractNumId w:val="54"/>
  </w:num>
  <w:num w:numId="52">
    <w:abstractNumId w:val="44"/>
  </w:num>
  <w:num w:numId="53">
    <w:abstractNumId w:val="35"/>
  </w:num>
  <w:num w:numId="54">
    <w:abstractNumId w:val="31"/>
  </w:num>
  <w:num w:numId="55">
    <w:abstractNumId w:val="47"/>
  </w:num>
  <w:num w:numId="56">
    <w:abstractNumId w:val="29"/>
  </w:num>
  <w:num w:numId="57">
    <w:abstractNumId w:val="23"/>
  </w:num>
  <w:num w:numId="58">
    <w:abstractNumId w:val="49"/>
  </w:num>
  <w:num w:numId="5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xue">
    <w15:presenceInfo w15:providerId="WPS Office" w15:userId="4164231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1OWExYWVkY2UyY2NjOTEyYmYyMjkwMjdhNWFkM2I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7092F"/>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055032"/>
    <w:rsid w:val="01113D6B"/>
    <w:rsid w:val="01C42B8B"/>
    <w:rsid w:val="023B1DD8"/>
    <w:rsid w:val="02B47C4D"/>
    <w:rsid w:val="036061BA"/>
    <w:rsid w:val="04450729"/>
    <w:rsid w:val="04472FBC"/>
    <w:rsid w:val="04D46768"/>
    <w:rsid w:val="04F90B5F"/>
    <w:rsid w:val="0506584F"/>
    <w:rsid w:val="053A1CC8"/>
    <w:rsid w:val="05C1700E"/>
    <w:rsid w:val="067601CC"/>
    <w:rsid w:val="06856661"/>
    <w:rsid w:val="06A66D03"/>
    <w:rsid w:val="06FC59C8"/>
    <w:rsid w:val="070F69D4"/>
    <w:rsid w:val="071041B0"/>
    <w:rsid w:val="07216EAA"/>
    <w:rsid w:val="077B4608"/>
    <w:rsid w:val="07BB74B6"/>
    <w:rsid w:val="07C120F7"/>
    <w:rsid w:val="07D7576E"/>
    <w:rsid w:val="08065580"/>
    <w:rsid w:val="084561CB"/>
    <w:rsid w:val="08493DEA"/>
    <w:rsid w:val="086E4EC9"/>
    <w:rsid w:val="09386696"/>
    <w:rsid w:val="0B734A64"/>
    <w:rsid w:val="0CDE01F2"/>
    <w:rsid w:val="0D2905BF"/>
    <w:rsid w:val="0DD201F4"/>
    <w:rsid w:val="0E23163D"/>
    <w:rsid w:val="0F4526B6"/>
    <w:rsid w:val="0F5D63CD"/>
    <w:rsid w:val="0F846314"/>
    <w:rsid w:val="10091618"/>
    <w:rsid w:val="1060757A"/>
    <w:rsid w:val="10861954"/>
    <w:rsid w:val="10E647F0"/>
    <w:rsid w:val="10F05398"/>
    <w:rsid w:val="11875EC5"/>
    <w:rsid w:val="11B85B3D"/>
    <w:rsid w:val="14264FE0"/>
    <w:rsid w:val="152B64B8"/>
    <w:rsid w:val="15740DA4"/>
    <w:rsid w:val="175C5CC8"/>
    <w:rsid w:val="17C20D1C"/>
    <w:rsid w:val="17C676BC"/>
    <w:rsid w:val="17F92DCC"/>
    <w:rsid w:val="188B5D59"/>
    <w:rsid w:val="195A6BC0"/>
    <w:rsid w:val="1A617502"/>
    <w:rsid w:val="1ADD6614"/>
    <w:rsid w:val="1B621F48"/>
    <w:rsid w:val="1B982FCA"/>
    <w:rsid w:val="1B9C235E"/>
    <w:rsid w:val="1C5670DA"/>
    <w:rsid w:val="1DFE521F"/>
    <w:rsid w:val="1EBD7809"/>
    <w:rsid w:val="1F3031B6"/>
    <w:rsid w:val="1F345854"/>
    <w:rsid w:val="1F554156"/>
    <w:rsid w:val="1F7074E6"/>
    <w:rsid w:val="206550E2"/>
    <w:rsid w:val="211D7CB8"/>
    <w:rsid w:val="227A4EED"/>
    <w:rsid w:val="228D0750"/>
    <w:rsid w:val="24020F7D"/>
    <w:rsid w:val="247243E6"/>
    <w:rsid w:val="24786106"/>
    <w:rsid w:val="2492283F"/>
    <w:rsid w:val="24D51849"/>
    <w:rsid w:val="25A5748F"/>
    <w:rsid w:val="25B36117"/>
    <w:rsid w:val="25BE1EBF"/>
    <w:rsid w:val="25D85A3C"/>
    <w:rsid w:val="25F76830"/>
    <w:rsid w:val="260C5FFC"/>
    <w:rsid w:val="266F2816"/>
    <w:rsid w:val="267E19B6"/>
    <w:rsid w:val="26C568DA"/>
    <w:rsid w:val="26E95967"/>
    <w:rsid w:val="27082C6B"/>
    <w:rsid w:val="275838FA"/>
    <w:rsid w:val="287B38CA"/>
    <w:rsid w:val="29A015E0"/>
    <w:rsid w:val="29B426F7"/>
    <w:rsid w:val="2A1713A8"/>
    <w:rsid w:val="2A1D36D7"/>
    <w:rsid w:val="2B8079EB"/>
    <w:rsid w:val="2B9E3425"/>
    <w:rsid w:val="2BD84FDD"/>
    <w:rsid w:val="2BFA4386"/>
    <w:rsid w:val="2CD73EA3"/>
    <w:rsid w:val="2CF068DD"/>
    <w:rsid w:val="2D845ED0"/>
    <w:rsid w:val="2E026CFB"/>
    <w:rsid w:val="2EA25753"/>
    <w:rsid w:val="2EAB6E76"/>
    <w:rsid w:val="2ED8273C"/>
    <w:rsid w:val="2FF26266"/>
    <w:rsid w:val="30381F4F"/>
    <w:rsid w:val="3192385D"/>
    <w:rsid w:val="31AF2660"/>
    <w:rsid w:val="322C5A5F"/>
    <w:rsid w:val="328851E7"/>
    <w:rsid w:val="32E34FF6"/>
    <w:rsid w:val="342A1F36"/>
    <w:rsid w:val="344274C2"/>
    <w:rsid w:val="34A05B77"/>
    <w:rsid w:val="36484E32"/>
    <w:rsid w:val="36DA5751"/>
    <w:rsid w:val="37097428"/>
    <w:rsid w:val="372413FB"/>
    <w:rsid w:val="37746DA3"/>
    <w:rsid w:val="378C4653"/>
    <w:rsid w:val="37966519"/>
    <w:rsid w:val="37AD4640"/>
    <w:rsid w:val="37D56B99"/>
    <w:rsid w:val="38536785"/>
    <w:rsid w:val="38AC36F6"/>
    <w:rsid w:val="38FD48BB"/>
    <w:rsid w:val="394A3FAD"/>
    <w:rsid w:val="39557F91"/>
    <w:rsid w:val="395F750D"/>
    <w:rsid w:val="39820561"/>
    <w:rsid w:val="3AAD7F79"/>
    <w:rsid w:val="3B991A52"/>
    <w:rsid w:val="3BB26AC4"/>
    <w:rsid w:val="3C35255B"/>
    <w:rsid w:val="3D3679ED"/>
    <w:rsid w:val="3E9C5D1B"/>
    <w:rsid w:val="3EC130F0"/>
    <w:rsid w:val="3F033FEC"/>
    <w:rsid w:val="400A7F69"/>
    <w:rsid w:val="408D7227"/>
    <w:rsid w:val="41407E51"/>
    <w:rsid w:val="416718EC"/>
    <w:rsid w:val="41F27DF7"/>
    <w:rsid w:val="42844C60"/>
    <w:rsid w:val="43076734"/>
    <w:rsid w:val="4309084B"/>
    <w:rsid w:val="438374A9"/>
    <w:rsid w:val="439D7A21"/>
    <w:rsid w:val="43B86CB7"/>
    <w:rsid w:val="43D97719"/>
    <w:rsid w:val="43EE526A"/>
    <w:rsid w:val="447267E8"/>
    <w:rsid w:val="44950D4D"/>
    <w:rsid w:val="44976705"/>
    <w:rsid w:val="44E431E5"/>
    <w:rsid w:val="455A0BCF"/>
    <w:rsid w:val="46B30DE6"/>
    <w:rsid w:val="471660D6"/>
    <w:rsid w:val="474E26A8"/>
    <w:rsid w:val="492A4A83"/>
    <w:rsid w:val="495C1F5C"/>
    <w:rsid w:val="4A770499"/>
    <w:rsid w:val="4A7832C9"/>
    <w:rsid w:val="4AC51D2D"/>
    <w:rsid w:val="4AF77150"/>
    <w:rsid w:val="4B55797D"/>
    <w:rsid w:val="4B5F2DB0"/>
    <w:rsid w:val="4B8B03E4"/>
    <w:rsid w:val="4BD51F69"/>
    <w:rsid w:val="4C2F6EFE"/>
    <w:rsid w:val="4C52210E"/>
    <w:rsid w:val="4CD056DB"/>
    <w:rsid w:val="4D9A3F67"/>
    <w:rsid w:val="4D9D5E4E"/>
    <w:rsid w:val="4DB505AC"/>
    <w:rsid w:val="4DDF67CC"/>
    <w:rsid w:val="4E1458CD"/>
    <w:rsid w:val="4EE12BFB"/>
    <w:rsid w:val="4F824AB9"/>
    <w:rsid w:val="50FA6A61"/>
    <w:rsid w:val="51794BC1"/>
    <w:rsid w:val="51DA0BDC"/>
    <w:rsid w:val="53575ACC"/>
    <w:rsid w:val="53D25371"/>
    <w:rsid w:val="53DC22CC"/>
    <w:rsid w:val="540F1FD2"/>
    <w:rsid w:val="546C5152"/>
    <w:rsid w:val="55983288"/>
    <w:rsid w:val="55B732B5"/>
    <w:rsid w:val="561F6663"/>
    <w:rsid w:val="57315BF2"/>
    <w:rsid w:val="57594B93"/>
    <w:rsid w:val="58346B6C"/>
    <w:rsid w:val="588F6DE3"/>
    <w:rsid w:val="59025C87"/>
    <w:rsid w:val="594A6990"/>
    <w:rsid w:val="5A2E0F40"/>
    <w:rsid w:val="5B6B0AF7"/>
    <w:rsid w:val="5C4A5197"/>
    <w:rsid w:val="5D010670"/>
    <w:rsid w:val="5E8307E5"/>
    <w:rsid w:val="60475C3F"/>
    <w:rsid w:val="60785544"/>
    <w:rsid w:val="60A60070"/>
    <w:rsid w:val="60D336DA"/>
    <w:rsid w:val="60D7479C"/>
    <w:rsid w:val="61273712"/>
    <w:rsid w:val="61A26997"/>
    <w:rsid w:val="61DF23DB"/>
    <w:rsid w:val="621D28F9"/>
    <w:rsid w:val="622C21AB"/>
    <w:rsid w:val="62D00ABF"/>
    <w:rsid w:val="631A0BE9"/>
    <w:rsid w:val="640C25AF"/>
    <w:rsid w:val="647B56A8"/>
    <w:rsid w:val="6541126B"/>
    <w:rsid w:val="658A0A26"/>
    <w:rsid w:val="678B44BE"/>
    <w:rsid w:val="67C0011B"/>
    <w:rsid w:val="683A303D"/>
    <w:rsid w:val="68E85E7D"/>
    <w:rsid w:val="68E97B63"/>
    <w:rsid w:val="69223BD5"/>
    <w:rsid w:val="6A5B2F9C"/>
    <w:rsid w:val="6A63503E"/>
    <w:rsid w:val="6B1E605C"/>
    <w:rsid w:val="6B601CFA"/>
    <w:rsid w:val="6B870500"/>
    <w:rsid w:val="6BB62591"/>
    <w:rsid w:val="6C5E0507"/>
    <w:rsid w:val="6C6B5505"/>
    <w:rsid w:val="6CC21E05"/>
    <w:rsid w:val="6D747CDF"/>
    <w:rsid w:val="6DDF4E3F"/>
    <w:rsid w:val="6DF67C63"/>
    <w:rsid w:val="6E3F209B"/>
    <w:rsid w:val="6E787DA6"/>
    <w:rsid w:val="6ED02117"/>
    <w:rsid w:val="701D0B4B"/>
    <w:rsid w:val="70553DF8"/>
    <w:rsid w:val="709A5CAE"/>
    <w:rsid w:val="70E700FA"/>
    <w:rsid w:val="725336E8"/>
    <w:rsid w:val="73474686"/>
    <w:rsid w:val="73CF4C49"/>
    <w:rsid w:val="74783A1C"/>
    <w:rsid w:val="74AB354D"/>
    <w:rsid w:val="74B05132"/>
    <w:rsid w:val="74B65081"/>
    <w:rsid w:val="75292E35"/>
    <w:rsid w:val="75C612F4"/>
    <w:rsid w:val="76A41635"/>
    <w:rsid w:val="76C52AAF"/>
    <w:rsid w:val="76E063E5"/>
    <w:rsid w:val="771400B9"/>
    <w:rsid w:val="772A35DE"/>
    <w:rsid w:val="77685DB1"/>
    <w:rsid w:val="77925931"/>
    <w:rsid w:val="77B5517C"/>
    <w:rsid w:val="77EA122E"/>
    <w:rsid w:val="78083319"/>
    <w:rsid w:val="781B5752"/>
    <w:rsid w:val="78E33F6B"/>
    <w:rsid w:val="790B6EC6"/>
    <w:rsid w:val="798425C1"/>
    <w:rsid w:val="79A35F22"/>
    <w:rsid w:val="79BF662E"/>
    <w:rsid w:val="7A751935"/>
    <w:rsid w:val="7B1E74DC"/>
    <w:rsid w:val="7B2952F2"/>
    <w:rsid w:val="7B5D6256"/>
    <w:rsid w:val="7CF46BD3"/>
    <w:rsid w:val="7D525DFD"/>
    <w:rsid w:val="7E175822"/>
    <w:rsid w:val="7E373564"/>
    <w:rsid w:val="7EFE565A"/>
    <w:rsid w:val="7F8813C8"/>
    <w:rsid w:val="7F9364DF"/>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5">
    <w:name w:val="列表段落1"/>
    <w:basedOn w:val="1"/>
    <w:qFormat/>
    <w:uiPriority w:val="99"/>
    <w:pPr>
      <w:ind w:firstLine="42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32</Pages>
  <Words>15240</Words>
  <Characters>16341</Characters>
  <Lines>140</Lines>
  <Paragraphs>39</Paragraphs>
  <TotalTime>45</TotalTime>
  <ScaleCrop>false</ScaleCrop>
  <LinksUpToDate>false</LinksUpToDate>
  <CharactersWithSpaces>19155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cp:lastPrinted>2023-09-05T09:23:00Z</cp:lastPrinted>
  <dcterms:modified xsi:type="dcterms:W3CDTF">2023-09-28T07:03:57Z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134211E43E4B44A3AE8506CA5354D083_13</vt:lpwstr>
  </property>
</Properties>
</file>