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方正小标宋简体" w:hAnsi="方正小标宋_GBK" w:eastAsia="方正小标宋简体" w:cs="方正小标宋_GBK"/>
          <w:b/>
          <w:bCs/>
          <w:sz w:val="48"/>
          <w:szCs w:val="48"/>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项目名称：深圳会展中心第二十</w:t>
      </w:r>
      <w:r>
        <w:rPr>
          <w:rFonts w:hint="eastAsia" w:ascii="方正小标宋简体" w:hAnsi="方正小标宋_GBK" w:eastAsia="方正小标宋简体" w:cs="方正小标宋_GBK"/>
          <w:b/>
          <w:sz w:val="32"/>
          <w:szCs w:val="32"/>
          <w:lang w:eastAsia="zh-CN"/>
        </w:rPr>
        <w:t>五</w:t>
      </w:r>
      <w:r>
        <w:rPr>
          <w:rFonts w:hint="eastAsia" w:ascii="方正小标宋简体" w:hAnsi="方正小标宋_GBK" w:eastAsia="方正小标宋简体" w:cs="方正小标宋_GBK"/>
          <w:b/>
          <w:sz w:val="32"/>
          <w:szCs w:val="32"/>
        </w:rPr>
        <w:t>届高交会配备电瓶车及驾驶员项目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hint="default" w:ascii="宋体" w:hAnsi="宋体" w:eastAsia="宋体"/>
          <w:b/>
          <w:sz w:val="32"/>
          <w:szCs w:val="32"/>
          <w:lang w:val="en-US" w:eastAsia="zh-CN"/>
        </w:rPr>
      </w:pPr>
    </w:p>
    <w:p>
      <w:pPr>
        <w:pStyle w:val="11"/>
        <w:rPr>
          <w:rFonts w:hint="default" w:ascii="宋体" w:hAnsi="宋体" w:eastAsia="宋体"/>
          <w:b/>
          <w:sz w:val="32"/>
          <w:szCs w:val="32"/>
          <w:lang w:val="en-US" w:eastAsia="zh-CN"/>
        </w:rPr>
      </w:pPr>
    </w:p>
    <w:p>
      <w:pPr>
        <w:pStyle w:val="11"/>
        <w:rPr>
          <w:rFonts w:hint="default" w:ascii="宋体" w:hAnsi="宋体" w:eastAsia="宋体"/>
          <w:b/>
          <w:sz w:val="32"/>
          <w:szCs w:val="32"/>
          <w:lang w:val="en-US" w:eastAsia="zh-CN"/>
        </w:rPr>
      </w:pPr>
    </w:p>
    <w:p>
      <w:pPr>
        <w:pStyle w:val="11"/>
        <w:rPr>
          <w:rFonts w:hint="default" w:ascii="宋体" w:hAnsi="宋体" w:eastAsia="宋体"/>
          <w:b/>
          <w:sz w:val="32"/>
          <w:szCs w:val="32"/>
          <w:lang w:val="en-US" w:eastAsia="zh-CN"/>
        </w:rPr>
      </w:pPr>
    </w:p>
    <w:p>
      <w:pPr>
        <w:pStyle w:val="11"/>
        <w:rPr>
          <w:rFonts w:hint="default" w:ascii="宋体" w:hAnsi="宋体" w:eastAsia="宋体"/>
          <w:b/>
          <w:sz w:val="32"/>
          <w:szCs w:val="32"/>
          <w:lang w:val="en-US" w:eastAsia="zh-CN"/>
        </w:rPr>
      </w:pPr>
    </w:p>
    <w:p>
      <w:pPr>
        <w:pStyle w:val="11"/>
        <w:rPr>
          <w:rFonts w:hint="default" w:ascii="宋体" w:hAnsi="宋体" w:eastAsia="宋体"/>
          <w:b/>
          <w:sz w:val="32"/>
          <w:szCs w:val="32"/>
          <w:lang w:val="en-US" w:eastAsia="zh-CN"/>
        </w:rPr>
      </w:pPr>
    </w:p>
    <w:p>
      <w:pPr>
        <w:pStyle w:val="11"/>
        <w:rPr>
          <w:rFonts w:hint="default" w:ascii="宋体" w:hAnsi="宋体" w:eastAsia="宋体"/>
          <w:b/>
          <w:sz w:val="32"/>
          <w:szCs w:val="32"/>
          <w:lang w:val="en-US" w:eastAsia="zh-CN"/>
        </w:rPr>
      </w:pPr>
    </w:p>
    <w:p>
      <w:pPr>
        <w:pStyle w:val="11"/>
        <w:rPr>
          <w:rFonts w:hint="default" w:ascii="宋体" w:hAnsi="宋体" w:eastAsia="宋体"/>
          <w:b/>
          <w:sz w:val="32"/>
          <w:szCs w:val="32"/>
          <w:lang w:val="en-US" w:eastAsia="zh-CN"/>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highlight w:val="none"/>
        </w:rPr>
        <w:t>2</w:t>
      </w:r>
      <w:r>
        <w:rPr>
          <w:rFonts w:ascii="方正小标宋简体" w:hAnsi="方正小标宋_GBK" w:eastAsia="方正小标宋简体" w:cs="方正小标宋_GBK"/>
          <w:b/>
          <w:sz w:val="32"/>
          <w:szCs w:val="32"/>
          <w:highlight w:val="none"/>
        </w:rPr>
        <w:t>02</w:t>
      </w:r>
      <w:r>
        <w:rPr>
          <w:rFonts w:hint="eastAsia" w:ascii="方正小标宋简体" w:hAnsi="方正小标宋_GBK" w:eastAsia="方正小标宋简体" w:cs="方正小标宋_GBK"/>
          <w:b/>
          <w:sz w:val="32"/>
          <w:szCs w:val="32"/>
          <w:highlight w:val="none"/>
          <w:lang w:val="en-US" w:eastAsia="zh-CN"/>
        </w:rPr>
        <w:t>3</w:t>
      </w:r>
      <w:r>
        <w:rPr>
          <w:rFonts w:hint="eastAsia" w:ascii="方正小标宋简体" w:hAnsi="方正小标宋_GBK" w:eastAsia="方正小标宋简体" w:cs="方正小标宋_GBK"/>
          <w:b/>
          <w:sz w:val="32"/>
          <w:szCs w:val="32"/>
          <w:highlight w:val="none"/>
        </w:rPr>
        <w:t>年</w:t>
      </w:r>
      <w:r>
        <w:rPr>
          <w:rFonts w:hint="eastAsia" w:ascii="方正小标宋简体" w:hAnsi="方正小标宋_GBK" w:eastAsia="方正小标宋简体" w:cs="方正小标宋_GBK"/>
          <w:b/>
          <w:sz w:val="32"/>
          <w:szCs w:val="32"/>
          <w:highlight w:val="none"/>
          <w:lang w:val="en-US" w:eastAsia="zh-CN"/>
        </w:rPr>
        <w:t>10</w:t>
      </w:r>
      <w:r>
        <w:rPr>
          <w:rFonts w:hint="eastAsia" w:ascii="方正小标宋简体" w:hAnsi="方正小标宋_GBK" w:eastAsia="方正小标宋简体" w:cs="方正小标宋_GBK"/>
          <w:b/>
          <w:sz w:val="32"/>
          <w:szCs w:val="32"/>
          <w:highlight w:val="none"/>
        </w:rPr>
        <w:t>月</w:t>
      </w:r>
      <w:r>
        <w:rPr>
          <w:rFonts w:ascii="方正小标宋简体" w:hAnsi="方正小标宋_GBK" w:eastAsia="方正小标宋简体" w:cs="方正小标宋_GBK"/>
          <w:b/>
          <w:sz w:val="32"/>
          <w:szCs w:val="32"/>
          <w:highlight w:val="none"/>
        </w:rPr>
        <w:br w:type="page"/>
      </w:r>
      <w:r>
        <w:rPr>
          <w:rFonts w:hint="eastAsia" w:ascii="方正小标宋_GBK" w:hAnsi="方正小标宋_GBK" w:eastAsia="方正小标宋_GBK" w:cs="方正小标宋_GBK"/>
          <w:b/>
          <w:sz w:val="32"/>
          <w:szCs w:val="32"/>
        </w:rPr>
        <w:t>目录</w:t>
      </w:r>
    </w:p>
    <w:p>
      <w:pPr>
        <w:jc w:val="center"/>
      </w:pPr>
    </w:p>
    <w:p>
      <w:pPr>
        <w:pStyle w:val="9"/>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18"/>
          <w:rFonts w:ascii="宋体" w:hAnsi="宋体" w:cs="宋体"/>
          <w:b/>
          <w:bCs/>
        </w:rPr>
        <w:t>一、</w:t>
      </w:r>
      <w:r>
        <w:rPr>
          <w:rStyle w:val="18"/>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18"/>
          <w:rFonts w:ascii="宋体" w:hAnsi="宋体" w:cs="宋体"/>
          <w:b/>
          <w:bCs/>
        </w:rPr>
        <w:t>二、</w:t>
      </w:r>
      <w:r>
        <w:rPr>
          <w:rStyle w:val="18"/>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18"/>
          <w:b/>
          <w:bCs/>
        </w:rPr>
        <w:t>三、</w:t>
      </w:r>
      <w:r>
        <w:rPr>
          <w:rStyle w:val="18"/>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18"/>
          <w:rFonts w:ascii="宋体" w:hAnsi="宋体" w:cs="宋体"/>
          <w:b/>
          <w:bCs/>
        </w:rPr>
        <w:t>四、</w:t>
      </w:r>
      <w:r>
        <w:rPr>
          <w:rStyle w:val="18"/>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18"/>
          <w:rFonts w:ascii="宋体" w:hAnsi="宋体" w:cs="宋体"/>
          <w:b/>
          <w:bCs/>
        </w:rPr>
        <w:t>五、</w:t>
      </w:r>
      <w:r>
        <w:rPr>
          <w:rStyle w:val="18"/>
          <w:rFonts w:ascii="宋体" w:hAnsi="宋体" w:cs="宋体"/>
          <w:b/>
        </w:rPr>
        <w:t>其他项目说明资料</w:t>
      </w:r>
      <w:r>
        <w:tab/>
      </w:r>
      <w:r>
        <w:fldChar w:fldCharType="begin"/>
      </w:r>
      <w:r>
        <w:instrText xml:space="preserve"> PAGEREF _Toc128989097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"_Toc128989098" </w:instrText>
      </w:r>
      <w:r>
        <w:fldChar w:fldCharType="separate"/>
      </w:r>
      <w:r>
        <w:rPr>
          <w:rStyle w:val="18"/>
          <w:rFonts w:ascii="宋体" w:hAnsi="宋体" w:cs="宋体"/>
          <w:b/>
          <w:bCs/>
        </w:rPr>
        <w:t>六、</w:t>
      </w:r>
      <w:r>
        <w:rPr>
          <w:rStyle w:val="18"/>
          <w:rFonts w:ascii="宋体" w:hAnsi="宋体" w:cs="宋体"/>
          <w:b/>
        </w:rPr>
        <w:t>开标评标流程</w:t>
      </w:r>
      <w:r>
        <w:tab/>
      </w:r>
      <w:r>
        <w:fldChar w:fldCharType="begin"/>
      </w:r>
      <w:r>
        <w:instrText xml:space="preserve"> PAGEREF _Toc128989098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"_Toc128989099" </w:instrText>
      </w:r>
      <w:r>
        <w:fldChar w:fldCharType="separate"/>
      </w:r>
      <w:r>
        <w:rPr>
          <w:rStyle w:val="18"/>
          <w:rFonts w:ascii="宋体" w:hAnsi="宋体" w:cs="宋体"/>
          <w:b/>
          <w:bCs/>
        </w:rPr>
        <w:t>七、</w:t>
      </w:r>
      <w:r>
        <w:rPr>
          <w:rStyle w:val="18"/>
          <w:rFonts w:ascii="宋体" w:hAnsi="宋体" w:cs="宋体"/>
          <w:b/>
        </w:rPr>
        <w:t>评审办法</w:t>
      </w:r>
      <w:r>
        <w:tab/>
      </w:r>
      <w:r>
        <w:fldChar w:fldCharType="begin"/>
      </w:r>
      <w:r>
        <w:instrText xml:space="preserve"> PAGEREF _Toc128989099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"_Toc128989100" </w:instrText>
      </w:r>
      <w:r>
        <w:fldChar w:fldCharType="separate"/>
      </w:r>
      <w:r>
        <w:rPr>
          <w:rStyle w:val="18"/>
          <w:rFonts w:ascii="宋体" w:hAnsi="宋体" w:cs="宋体"/>
        </w:rPr>
        <w:t>（一）</w:t>
      </w:r>
      <w:r>
        <w:rPr>
          <w:rFonts w:asciiTheme="minorHAnsi" w:hAnsiTheme="minorHAnsi" w:eastAsiaTheme="minorEastAsia" w:cstheme="minorBidi"/>
          <w:szCs w:val="22"/>
        </w:rPr>
        <w:tab/>
      </w:r>
      <w:r>
        <w:rPr>
          <w:rStyle w:val="18"/>
          <w:rFonts w:ascii="宋体" w:hAnsi="宋体" w:cs="宋体"/>
        </w:rPr>
        <w:t>符合性检查</w:t>
      </w:r>
      <w:r>
        <w:tab/>
      </w:r>
      <w:r>
        <w:fldChar w:fldCharType="begin"/>
      </w:r>
      <w:r>
        <w:instrText xml:space="preserve"> PAGEREF _Toc128989100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"_Toc128989101" </w:instrText>
      </w:r>
      <w:r>
        <w:fldChar w:fldCharType="separate"/>
      </w:r>
      <w:r>
        <w:rPr>
          <w:rStyle w:val="18"/>
          <w:rFonts w:ascii="宋体" w:hAnsi="宋体" w:cs="宋体"/>
        </w:rPr>
        <w:t>（二）</w:t>
      </w:r>
      <w:r>
        <w:rPr>
          <w:rFonts w:asciiTheme="minorHAnsi" w:hAnsiTheme="minorHAnsi" w:eastAsiaTheme="minorEastAsia" w:cstheme="minorBidi"/>
          <w:szCs w:val="22"/>
        </w:rPr>
        <w:tab/>
      </w:r>
      <w:r>
        <w:rPr>
          <w:rStyle w:val="18"/>
          <w:rFonts w:ascii="宋体" w:hAnsi="宋体" w:cs="宋体"/>
        </w:rPr>
        <w:t>价格评议</w:t>
      </w:r>
      <w:r>
        <w:tab/>
      </w:r>
      <w:r>
        <w:fldChar w:fldCharType="begin"/>
      </w:r>
      <w:r>
        <w:instrText xml:space="preserve"> PAGEREF _Toc128989101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"_Toc128989102" </w:instrText>
      </w:r>
      <w:r>
        <w:fldChar w:fldCharType="separate"/>
      </w:r>
      <w:r>
        <w:rPr>
          <w:rStyle w:val="18"/>
          <w:rFonts w:ascii="宋体" w:hAnsi="宋体" w:cs="宋体"/>
          <w:b/>
          <w:bCs/>
        </w:rPr>
        <w:t>八、</w:t>
      </w:r>
      <w:r>
        <w:rPr>
          <w:rStyle w:val="18"/>
          <w:rFonts w:ascii="宋体" w:hAnsi="宋体" w:cs="宋体"/>
          <w:b/>
        </w:rPr>
        <w:t>采购结果</w:t>
      </w:r>
      <w:r>
        <w:tab/>
      </w:r>
      <w:r>
        <w:fldChar w:fldCharType="begin"/>
      </w:r>
      <w:r>
        <w:instrText xml:space="preserve"> PAGEREF _Toc128989102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"_Toc128989103" </w:instrText>
      </w:r>
      <w:r>
        <w:fldChar w:fldCharType="separate"/>
      </w:r>
      <w:r>
        <w:rPr>
          <w:rStyle w:val="18"/>
          <w:rFonts w:ascii="宋体" w:hAnsi="宋体" w:cs="宋体"/>
          <w:b/>
          <w:bCs/>
        </w:rPr>
        <w:t>九、</w:t>
      </w:r>
      <w:r>
        <w:rPr>
          <w:rStyle w:val="18"/>
          <w:rFonts w:ascii="宋体" w:hAnsi="宋体" w:cs="宋体"/>
          <w:b/>
        </w:rPr>
        <w:t>合同条款及格式</w:t>
      </w:r>
      <w:r>
        <w:tab/>
      </w:r>
      <w:r>
        <w:fldChar w:fldCharType="begin"/>
      </w:r>
      <w:r>
        <w:instrText xml:space="preserve"> PAGEREF _Toc128989103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"_Toc128989104" </w:instrText>
      </w:r>
      <w:r>
        <w:fldChar w:fldCharType="separate"/>
      </w:r>
      <w:r>
        <w:rPr>
          <w:rStyle w:val="18"/>
          <w:rFonts w:ascii="宋体" w:hAnsi="宋体" w:cs="宋体"/>
          <w:b/>
          <w:bCs/>
        </w:rPr>
        <w:t>十、</w:t>
      </w:r>
      <w:r>
        <w:rPr>
          <w:rStyle w:val="18"/>
          <w:rFonts w:ascii="宋体" w:hAnsi="宋体" w:cs="宋体"/>
          <w:b/>
        </w:rPr>
        <w:t>附件</w:t>
      </w:r>
      <w:r>
        <w:tab/>
      </w:r>
      <w:r>
        <w:fldChar w:fldCharType="begin"/>
      </w:r>
      <w:r>
        <w:instrText xml:space="preserve"> PAGEREF _Toc128989104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"_Toc128989105" </w:instrText>
      </w:r>
      <w:r>
        <w:fldChar w:fldCharType="separate"/>
      </w:r>
      <w:r>
        <w:rPr>
          <w:rStyle w:val="18"/>
          <w:rFonts w:ascii="仿宋" w:hAnsi="仿宋" w:eastAsia="仿宋" w:cs="仿宋"/>
        </w:rPr>
        <w:t>附件1：报名回函</w:t>
      </w:r>
      <w:r>
        <w:tab/>
      </w:r>
      <w:r>
        <w:fldChar w:fldCharType="begin"/>
      </w:r>
      <w:r>
        <w:instrText xml:space="preserve"> PAGEREF _Toc128989105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"_Toc128989106" </w:instrText>
      </w:r>
      <w:r>
        <w:fldChar w:fldCharType="separate"/>
      </w:r>
      <w:r>
        <w:rPr>
          <w:rStyle w:val="18"/>
          <w:rFonts w:ascii="仿宋" w:hAnsi="仿宋" w:eastAsia="仿宋" w:cs="仿宋"/>
        </w:rPr>
        <w:t>附件2：考察证明</w:t>
      </w:r>
      <w:r>
        <w:tab/>
      </w:r>
      <w:r>
        <w:fldChar w:fldCharType="begin"/>
      </w:r>
      <w:r>
        <w:instrText xml:space="preserve"> PAGEREF _Toc128989106 \h </w:instrText>
      </w:r>
      <w:r>
        <w:fldChar w:fldCharType="separate"/>
      </w:r>
      <w:r>
        <w:t>10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"_Toc128989107" </w:instrText>
      </w:r>
      <w:r>
        <w:fldChar w:fldCharType="separate"/>
      </w:r>
      <w:r>
        <w:rPr>
          <w:rStyle w:val="18"/>
          <w:rFonts w:ascii="仿宋" w:hAnsi="仿宋" w:eastAsia="仿宋" w:cs="仿宋"/>
        </w:rPr>
        <w:t>附件3：报价一览表（货物）（本项目不适用）</w:t>
      </w:r>
      <w:r>
        <w:tab/>
      </w:r>
      <w:r>
        <w:fldChar w:fldCharType="begin"/>
      </w:r>
      <w:r>
        <w:instrText xml:space="preserve"> PAGEREF _Toc128989107 \h </w:instrText>
      </w:r>
      <w:r>
        <w:fldChar w:fldCharType="separate"/>
      </w:r>
      <w:r>
        <w:t>11</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"_Toc128989108" </w:instrText>
      </w:r>
      <w:r>
        <w:fldChar w:fldCharType="separate"/>
      </w:r>
      <w:r>
        <w:rPr>
          <w:rStyle w:val="18"/>
          <w:rFonts w:ascii="仿宋" w:hAnsi="仿宋" w:eastAsia="仿宋" w:cs="仿宋"/>
        </w:rPr>
        <w:t>附件4：报价一览表（服务）</w:t>
      </w:r>
      <w:r>
        <w:tab/>
      </w:r>
      <w:r>
        <w:fldChar w:fldCharType="begin"/>
      </w:r>
      <w:r>
        <w:instrText xml:space="preserve"> PAGEREF _Toc128989108 \h </w:instrText>
      </w:r>
      <w:r>
        <w:fldChar w:fldCharType="separate"/>
      </w:r>
      <w:r>
        <w:t>12</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"_Toc128989109" </w:instrText>
      </w:r>
      <w:r>
        <w:fldChar w:fldCharType="separate"/>
      </w:r>
      <w:r>
        <w:rPr>
          <w:rStyle w:val="18"/>
          <w:rFonts w:ascii="仿宋" w:hAnsi="仿宋" w:eastAsia="仿宋" w:cs="仿宋"/>
        </w:rPr>
        <w:t>附件5：报价一览表（工程）（本项目不适用）</w:t>
      </w:r>
      <w:r>
        <w:tab/>
      </w:r>
      <w:r>
        <w:fldChar w:fldCharType="begin"/>
      </w:r>
      <w:r>
        <w:instrText xml:space="preserve"> PAGEREF _Toc128989109 \h </w:instrText>
      </w:r>
      <w:r>
        <w:fldChar w:fldCharType="separate"/>
      </w:r>
      <w:r>
        <w:t>13</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"_Toc128989110" </w:instrText>
      </w:r>
      <w:r>
        <w:fldChar w:fldCharType="separate"/>
      </w:r>
      <w:r>
        <w:rPr>
          <w:rStyle w:val="18"/>
          <w:rFonts w:ascii="仿宋" w:hAnsi="仿宋" w:eastAsia="仿宋" w:cs="仿宋"/>
        </w:rPr>
        <w:t>附件6：商务条款响应/偏离表</w:t>
      </w:r>
      <w:r>
        <w:tab/>
      </w:r>
      <w:r>
        <w:fldChar w:fldCharType="begin"/>
      </w:r>
      <w:r>
        <w:instrText xml:space="preserve"> PAGEREF _Toc128989110 \h </w:instrText>
      </w:r>
      <w:r>
        <w:fldChar w:fldCharType="separate"/>
      </w:r>
      <w:r>
        <w:t>14</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"_Toc128989111" </w:instrText>
      </w:r>
      <w:r>
        <w:fldChar w:fldCharType="separate"/>
      </w:r>
      <w:r>
        <w:rPr>
          <w:rStyle w:val="18"/>
          <w:rFonts w:ascii="仿宋" w:hAnsi="仿宋" w:eastAsia="仿宋" w:cs="仿宋"/>
        </w:rPr>
        <w:t>附件7： 技术（服务）响应/偏离表</w:t>
      </w:r>
      <w:r>
        <w:tab/>
      </w:r>
      <w:r>
        <w:fldChar w:fldCharType="begin"/>
      </w:r>
      <w:r>
        <w:instrText xml:space="preserve"> PAGEREF _Toc128989111 \h </w:instrText>
      </w:r>
      <w:r>
        <w:fldChar w:fldCharType="separate"/>
      </w:r>
      <w:r>
        <w:t>15</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"_Toc128989112" </w:instrText>
      </w:r>
      <w:r>
        <w:fldChar w:fldCharType="separate"/>
      </w:r>
      <w:r>
        <w:rPr>
          <w:rStyle w:val="18"/>
          <w:rFonts w:ascii="仿宋" w:hAnsi="仿宋" w:eastAsia="仿宋" w:cs="仿宋"/>
        </w:rPr>
        <w:t>附件8：法定代表人证明书</w:t>
      </w:r>
      <w:r>
        <w:tab/>
      </w:r>
      <w:r>
        <w:fldChar w:fldCharType="begin"/>
      </w:r>
      <w:r>
        <w:instrText xml:space="preserve"> PAGEREF _Toc128989112 \h </w:instrText>
      </w:r>
      <w:r>
        <w:fldChar w:fldCharType="separate"/>
      </w:r>
      <w:r>
        <w:t>16</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"_Toc128989113" </w:instrText>
      </w:r>
      <w:r>
        <w:fldChar w:fldCharType="separate"/>
      </w:r>
      <w:r>
        <w:rPr>
          <w:rStyle w:val="18"/>
          <w:rFonts w:ascii="仿宋" w:hAnsi="仿宋" w:eastAsia="仿宋" w:cs="仿宋"/>
        </w:rPr>
        <w:t>附件9：法人授权委托证明书</w:t>
      </w:r>
      <w:r>
        <w:tab/>
      </w:r>
      <w:r>
        <w:fldChar w:fldCharType="begin"/>
      </w:r>
      <w:r>
        <w:instrText xml:space="preserve"> PAGEREF _Toc128989113 \h </w:instrText>
      </w:r>
      <w:r>
        <w:fldChar w:fldCharType="separate"/>
      </w:r>
      <w:r>
        <w:t>17</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"_Toc128989114" </w:instrText>
      </w:r>
      <w:r>
        <w:fldChar w:fldCharType="separate"/>
      </w:r>
      <w:r>
        <w:rPr>
          <w:rStyle w:val="18"/>
          <w:rFonts w:ascii="仿宋" w:hAnsi="仿宋" w:eastAsia="仿宋" w:cs="仿宋"/>
        </w:rPr>
        <w:t>附件10：经营业绩一览表</w:t>
      </w:r>
      <w:r>
        <w:tab/>
      </w:r>
      <w:r>
        <w:fldChar w:fldCharType="begin"/>
      </w:r>
      <w:r>
        <w:instrText xml:space="preserve"> PAGEREF _Toc128989114 \h </w:instrText>
      </w:r>
      <w:r>
        <w:fldChar w:fldCharType="separate"/>
      </w:r>
      <w:r>
        <w:t>18</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"_Toc128989115" </w:instrText>
      </w:r>
      <w:r>
        <w:fldChar w:fldCharType="separate"/>
      </w:r>
      <w:r>
        <w:rPr>
          <w:rStyle w:val="18"/>
          <w:rFonts w:ascii="仿宋" w:hAnsi="仿宋" w:eastAsia="仿宋" w:cs="仿宋"/>
        </w:rPr>
        <w:t>附件11：售后服务承诺书/质量保修服务承诺书（根据项目类型选择）</w:t>
      </w:r>
      <w:r>
        <w:tab/>
      </w:r>
      <w:r>
        <w:fldChar w:fldCharType="begin"/>
      </w:r>
      <w:r>
        <w:instrText xml:space="preserve"> PAGEREF _Toc128989115 \h </w:instrText>
      </w:r>
      <w:r>
        <w:fldChar w:fldCharType="separate"/>
      </w:r>
      <w:r>
        <w:t>19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"_Toc128989116" </w:instrText>
      </w:r>
      <w:r>
        <w:fldChar w:fldCharType="separate"/>
      </w:r>
      <w:r>
        <w:rPr>
          <w:rStyle w:val="18"/>
          <w:rFonts w:ascii="仿宋" w:hAnsi="仿宋" w:eastAsia="仿宋" w:cs="仿宋"/>
        </w:rPr>
        <w:t>附件12：履约情况及社会信誉承诺书</w:t>
      </w:r>
      <w:r>
        <w:tab/>
      </w:r>
      <w:r>
        <w:fldChar w:fldCharType="begin"/>
      </w:r>
      <w:r>
        <w:instrText xml:space="preserve"> PAGEREF _Toc128989116 \h </w:instrText>
      </w:r>
      <w:r>
        <w:fldChar w:fldCharType="separate"/>
      </w:r>
      <w:r>
        <w:t>20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"_Toc128989117" </w:instrText>
      </w:r>
      <w:r>
        <w:fldChar w:fldCharType="separate"/>
      </w:r>
      <w:r>
        <w:rPr>
          <w:rStyle w:val="18"/>
          <w:rFonts w:ascii="仿宋" w:hAnsi="仿宋" w:eastAsia="仿宋" w:cs="仿宋"/>
        </w:rPr>
        <w:t>附件13：投标文件密码</w:t>
      </w:r>
      <w:r>
        <w:tab/>
      </w:r>
      <w:r>
        <w:fldChar w:fldCharType="begin"/>
      </w:r>
      <w:r>
        <w:instrText xml:space="preserve"> PAGEREF _Toc128989117 \h </w:instrText>
      </w:r>
      <w:r>
        <w:fldChar w:fldCharType="separate"/>
      </w:r>
      <w:r>
        <w:t>21</w:t>
      </w:r>
      <w:r>
        <w:fldChar w:fldCharType="end"/>
      </w:r>
      <w:r>
        <w:fldChar w:fldCharType="end"/>
      </w:r>
    </w:p>
    <w:p>
      <w:pPr>
        <w:pStyle w:val="11"/>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rPr>
        <w:fldChar w:fldCharType="end"/>
      </w:r>
    </w:p>
    <w:p>
      <w:pPr>
        <w:numPr>
          <w:ilvl w:val="0"/>
          <w:numId w:val="1"/>
        </w:numPr>
        <w:spacing w:line="300" w:lineRule="auto"/>
        <w:outlineLvl w:val="0"/>
        <w:rPr>
          <w:rFonts w:ascii="宋体" w:hAnsi="宋体" w:cs="宋体"/>
          <w:b/>
          <w:szCs w:val="21"/>
        </w:rPr>
      </w:pPr>
      <w:bookmarkStart w:id="0" w:name="_Toc128989093"/>
      <w:r>
        <w:rPr>
          <w:rFonts w:hint="eastAsia" w:ascii="宋体" w:hAnsi="宋体" w:cs="宋体"/>
          <w:b/>
          <w:szCs w:val="21"/>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highlight w:val="none"/>
              </w:rPr>
            </w:pPr>
            <w:r>
              <w:rPr>
                <w:rFonts w:hint="eastAsia" w:ascii="宋体" w:hAnsi="宋体"/>
                <w:szCs w:val="21"/>
              </w:rPr>
              <w:t>联系人：</w:t>
            </w:r>
            <w:r>
              <w:rPr>
                <w:rFonts w:hint="eastAsia" w:ascii="宋体" w:hAnsi="宋体" w:cs="宋体"/>
                <w:color w:val="000000"/>
                <w:szCs w:val="21"/>
                <w:highlight w:val="none"/>
              </w:rPr>
              <w:t>黄先生</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电话：0755-8284</w:t>
            </w:r>
            <w:r>
              <w:rPr>
                <w:rFonts w:hint="eastAsia" w:ascii="宋体" w:hAnsi="宋体" w:cs="宋体"/>
                <w:color w:val="000000"/>
                <w:szCs w:val="21"/>
                <w:highlight w:val="none"/>
              </w:rPr>
              <w:t>8822</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传真：0755-8284</w:t>
            </w:r>
            <w:r>
              <w:rPr>
                <w:rFonts w:hint="eastAsia" w:ascii="宋体" w:hAnsi="宋体" w:cs="宋体"/>
                <w:color w:val="000000"/>
                <w:szCs w:val="21"/>
                <w:highlight w:val="none"/>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highlight w:val="none"/>
              </w:rPr>
              <w:t>邮箱：</w:t>
            </w:r>
            <w:r>
              <w:rPr>
                <w:rFonts w:hint="eastAsia" w:ascii="宋体" w:hAnsi="宋体"/>
                <w:szCs w:val="21"/>
                <w:highlight w:val="none"/>
                <w:lang w:val="en-US" w:eastAsia="zh-CN"/>
              </w:rPr>
              <w:t>cghyz</w:t>
            </w:r>
            <w:r>
              <w:rPr>
                <w:rFonts w:hint="eastAsia" w:ascii="宋体" w:hAnsi="宋体" w:cs="宋体"/>
                <w:color w:val="000000"/>
                <w:szCs w:val="21"/>
                <w:highlight w:val="none"/>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auto"/>
                <w:szCs w:val="21"/>
                <w:highlight w:val="none"/>
                <w:lang w:val="en-US" w:eastAsia="zh-CN"/>
              </w:rPr>
              <w:t>第二十五届高交会配备电瓶车及驾驶员项目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auto"/>
                <w:szCs w:val="21"/>
                <w:highlight w:val="none"/>
                <w:lang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eastAsia="宋体" w:cs="宋体"/>
                <w:sz w:val="21"/>
                <w:szCs w:val="21"/>
              </w:rPr>
              <w:t>第二十</w:t>
            </w:r>
            <w:r>
              <w:rPr>
                <w:rFonts w:hint="eastAsia" w:ascii="宋体" w:hAnsi="宋体" w:cs="宋体"/>
                <w:sz w:val="21"/>
                <w:szCs w:val="21"/>
                <w:lang w:eastAsia="zh-CN"/>
              </w:rPr>
              <w:t>五</w:t>
            </w:r>
            <w:r>
              <w:rPr>
                <w:rFonts w:hint="eastAsia" w:ascii="宋体" w:hAnsi="宋体" w:eastAsia="宋体" w:cs="宋体"/>
                <w:sz w:val="21"/>
                <w:szCs w:val="21"/>
              </w:rPr>
              <w:t>届高交会开展期间配备电瓶车及驾驶员，用于展馆外围观众免费穿梭以及嘉宾接待。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https://cg.szcec.com/sharing/KCbpKeTMd，</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12</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12</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13</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15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https://cg.szcec.com/sharing/dlnNycFTL，</w:t>
            </w:r>
            <w:r>
              <w:rPr>
                <w:rFonts w:hint="eastAsia" w:ascii="宋体" w:hAnsi="宋体"/>
                <w:szCs w:val="21"/>
              </w:rPr>
              <w:t>并致电确认</w:t>
            </w:r>
            <w:bookmarkStart w:id="1" w:name="_Toc478110532"/>
            <w:bookmarkStart w:id="2" w:name="_Toc478392822"/>
            <w:bookmarkStart w:id="3" w:name="_Toc478393187"/>
            <w:r>
              <w:rPr>
                <w:rFonts w:hint="eastAsia" w:ascii="宋体" w:hAnsi="宋体"/>
                <w:szCs w:val="21"/>
              </w:rPr>
              <w:t>。</w:t>
            </w:r>
            <w:r>
              <w:rPr>
                <w:rFonts w:hint="eastAsia" w:ascii="宋体" w:hAnsi="宋体"/>
              </w:rPr>
              <w:t>注意事项如下：</w:t>
            </w:r>
          </w:p>
          <w:p>
            <w:pPr>
              <w:pStyle w:val="28"/>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28"/>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28"/>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28"/>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16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rPr>
            </w:pPr>
            <w:r>
              <w:rPr>
                <w:rFonts w:hint="eastAsia" w:ascii="宋体" w:hAnsi="宋体"/>
                <w:szCs w:val="21"/>
              </w:rPr>
              <w:t>投标文件密码</w:t>
            </w:r>
            <w:r>
              <w:rPr>
                <w:rFonts w:hint="eastAsia" w:ascii="宋体" w:hAnsi="宋体" w:cs="宋体"/>
                <w:color w:val="FF0000"/>
                <w:szCs w:val="21"/>
                <w:highlight w:val="yellow"/>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rPr>
              <w:t>请在开标后15分钟内将投标文件解密密码上传至https://cg.szcec.com/sharing/GulvvkfJm</w:t>
            </w:r>
            <w:bookmarkStart w:id="49" w:name="_GoBack"/>
            <w:bookmarkEnd w:id="49"/>
            <w:r>
              <w:rPr>
                <w:rFonts w:hint="eastAsia" w:ascii="宋体" w:hAnsi="宋体" w:cs="宋体"/>
                <w:color w:val="FF0000"/>
                <w:szCs w:val="21"/>
                <w:highlight w:val="yellow"/>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t>□组织</w:t>
            </w:r>
            <w:r>
              <w:rPr>
                <w:rFonts w:hint="eastAsia" w:ascii="宋体" w:hAnsi="宋体"/>
                <w:kern w:val="0"/>
                <w:szCs w:val="21"/>
              </w:rPr>
              <w:t>，踏勘要求：</w:t>
            </w:r>
          </w:p>
          <w:p>
            <w:pPr>
              <w:pStyle w:val="28"/>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8"/>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28"/>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FF0000"/>
                <w:szCs w:val="21"/>
                <w:highlight w:val="yellow"/>
              </w:rPr>
              <w:t>202×-××-×× ××: ××</w:t>
            </w:r>
            <w:r>
              <w:rPr>
                <w:rFonts w:hint="eastAsia" w:ascii="宋体" w:hAnsi="宋体"/>
                <w:kern w:val="0"/>
                <w:szCs w:val="21"/>
              </w:rPr>
              <w:t>邀请参加单位人员察看现场并讲解项目需求；参加单位应指派符合要求的人员参加本项目的现场踏勘。</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p>
          <w:p>
            <w:pPr>
              <w:pStyle w:val="28"/>
              <w:tabs>
                <w:tab w:val="left" w:pos="541"/>
              </w:tabs>
              <w:snapToGrid w:val="0"/>
              <w:ind w:left="805" w:firstLine="0" w:firstLineChars="0"/>
              <w:rPr>
                <w:rFonts w:ascii="宋体" w:hAnsi="宋体"/>
                <w:kern w:val="0"/>
                <w:szCs w:val="21"/>
              </w:rPr>
            </w:pPr>
            <w:r>
              <w:rPr>
                <w:rFonts w:hint="eastAsia" w:ascii="宋体" w:hAnsi="宋体"/>
                <w:kern w:val="0"/>
                <w:szCs w:val="21"/>
              </w:rPr>
              <w:t>电话：</w:t>
            </w:r>
            <w:r>
              <w:rPr>
                <w:rFonts w:hint="eastAsia" w:ascii="宋体" w:hAnsi="宋体" w:cs="Segoe UI Symbol"/>
                <w:color w:val="FF0000"/>
                <w:kern w:val="0"/>
                <w:szCs w:val="21"/>
                <w:highlight w:val="yellow"/>
              </w:rPr>
              <w:t>0755-8284××××,移动电话：××××</w:t>
            </w:r>
          </w:p>
          <w:p>
            <w:pPr>
              <w:pStyle w:val="28"/>
              <w:tabs>
                <w:tab w:val="left" w:pos="541"/>
              </w:tabs>
              <w:snapToGrid w:val="0"/>
              <w:ind w:left="805" w:firstLine="0" w:firstLineChars="0"/>
              <w:rPr>
                <w:rFonts w:ascii="宋体" w:hAnsi="宋体"/>
                <w:kern w:val="0"/>
                <w:szCs w:val="21"/>
              </w:rPr>
            </w:pPr>
            <w:r>
              <w:rPr>
                <w:rFonts w:hint="eastAsia" w:ascii="宋体" w:hAnsi="宋体"/>
                <w:kern w:val="0"/>
                <w:szCs w:val="21"/>
              </w:rPr>
              <w:t>集合地点：</w:t>
            </w:r>
            <w:r>
              <w:rPr>
                <w:rFonts w:hint="eastAsia" w:ascii="宋体" w:hAnsi="宋体" w:cs="Segoe UI Symbol"/>
                <w:color w:val="FF0000"/>
                <w:kern w:val="0"/>
                <w:szCs w:val="21"/>
                <w:highlight w:val="yellow"/>
              </w:rPr>
              <w:t>××××××××××××××</w:t>
            </w:r>
          </w:p>
          <w:p>
            <w:pPr>
              <w:pStyle w:val="28"/>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52"/>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A3"/>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1"/>
        </w:numPr>
        <w:spacing w:line="300" w:lineRule="auto"/>
        <w:outlineLvl w:val="0"/>
        <w:rPr>
          <w:rFonts w:ascii="宋体" w:hAnsi="宋体" w:cs="宋体"/>
          <w:b/>
          <w:szCs w:val="21"/>
        </w:rPr>
      </w:pPr>
      <w:bookmarkStart w:id="4" w:name="_Toc128989094"/>
      <w:r>
        <w:rPr>
          <w:rFonts w:hint="eastAsia" w:ascii="宋体" w:hAnsi="宋体" w:cs="宋体"/>
          <w:b/>
          <w:szCs w:val="21"/>
        </w:rPr>
        <w:t>特别说明</w:t>
      </w:r>
      <w:bookmarkEnd w:id="4"/>
    </w:p>
    <w:p>
      <w:pPr>
        <w:pStyle w:val="28"/>
        <w:numPr>
          <w:ilvl w:val="0"/>
          <w:numId w:val="7"/>
        </w:numPr>
        <w:spacing w:line="360" w:lineRule="auto"/>
        <w:ind w:left="0" w:firstLine="420" w:firstLineChars="0"/>
        <w:rPr>
          <w:rFonts w:ascii="宋体" w:hAnsi="宋体" w:cs="宋体"/>
          <w:szCs w:val="21"/>
        </w:rPr>
      </w:pPr>
      <w:bookmarkStart w:id="5" w:name="_Toc478387747"/>
      <w:bookmarkStart w:id="6" w:name="_Toc517278751"/>
      <w:bookmarkStart w:id="7" w:name="_Toc45028463"/>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5"/>
    <w:bookmarkEnd w:id="6"/>
    <w:bookmarkEnd w:id="7"/>
    <w:p>
      <w:pPr>
        <w:numPr>
          <w:ilvl w:val="0"/>
          <w:numId w:val="1"/>
        </w:numPr>
        <w:spacing w:line="300" w:lineRule="auto"/>
        <w:outlineLvl w:val="0"/>
      </w:pPr>
      <w:bookmarkStart w:id="8" w:name="_Toc128989095"/>
      <w:r>
        <w:rPr>
          <w:rFonts w:hint="eastAsia" w:ascii="宋体" w:hAnsi="宋体" w:cs="宋体"/>
          <w:b/>
          <w:sz w:val="24"/>
        </w:rPr>
        <w:t>投标文件编制</w:t>
      </w:r>
      <w:bookmarkEnd w:id="8"/>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1"/>
      </w:pPr>
    </w:p>
    <w:p>
      <w:pPr>
        <w:pStyle w:val="11"/>
      </w:pPr>
    </w:p>
    <w:p>
      <w:pPr>
        <w:pStyle w:val="11"/>
      </w:pPr>
    </w:p>
    <w:p>
      <w:pPr>
        <w:pStyle w:val="11"/>
      </w:pPr>
    </w:p>
    <w:p>
      <w:pPr>
        <w:pStyle w:val="11"/>
      </w:pPr>
    </w:p>
    <w:p>
      <w:pPr>
        <w:pStyle w:val="11"/>
      </w:pPr>
    </w:p>
    <w:p>
      <w:pPr>
        <w:numPr>
          <w:ilvl w:val="0"/>
          <w:numId w:val="1"/>
        </w:numPr>
        <w:spacing w:line="300" w:lineRule="auto"/>
        <w:outlineLvl w:val="0"/>
        <w:rPr>
          <w:rFonts w:ascii="宋体" w:hAnsi="宋体" w:cs="宋体"/>
          <w:b/>
          <w:sz w:val="24"/>
        </w:rPr>
      </w:pPr>
      <w:bookmarkStart w:id="9" w:name="_Toc128989096"/>
      <w:r>
        <w:rPr>
          <w:rFonts w:hint="eastAsia" w:ascii="宋体" w:hAnsi="宋体" w:cs="宋体"/>
          <w:b/>
          <w:sz w:val="24"/>
        </w:rPr>
        <w:t>项目要求</w:t>
      </w:r>
      <w:bookmarkEnd w:id="9"/>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ind w:left="0" w:firstLine="0"/>
              <w:rPr>
                <w:rFonts w:ascii="宋体" w:hAnsi="宋体" w:cs="宋体"/>
                <w:szCs w:val="21"/>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参加单位公章。被列入失信主体、经营异常的，将被拒绝参与本项目的采购活动。）</w:t>
            </w:r>
          </w:p>
          <w:p>
            <w:pPr>
              <w:numPr>
                <w:ilvl w:val="-1"/>
                <w:numId w:val="0"/>
              </w:numPr>
              <w:tabs>
                <w:tab w:val="left" w:pos="531"/>
              </w:tabs>
              <w:snapToGrid w:val="0"/>
              <w:ind w:left="0" w:firstLine="0"/>
              <w:rPr>
                <w:rFonts w:ascii="宋体" w:hAnsi="宋体" w:cs="宋体"/>
                <w:color w:val="auto"/>
                <w:highlight w:val="none"/>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参加单位的代表，必须是参加单位的法定代表人或持有法定代表人亲自签署的法人授权委托证明书的人员。（提供法定代表人证明书、法人授权委托证明书及法定代表人、被委托人身份证扫描件并加盖参加单位公章；如单位法定代表人为本项目授权代表，则仅需提供法定代表人证明书</w:t>
            </w:r>
            <w:r>
              <w:rPr>
                <w:rFonts w:hint="eastAsia" w:ascii="宋体" w:hAnsi="宋体" w:cs="宋体"/>
                <w:color w:val="auto"/>
                <w:highlight w:val="none"/>
              </w:rPr>
              <w:t>及身份证复印件，各证明书须加盖公章，身份证原件备查）。</w:t>
            </w:r>
          </w:p>
          <w:p>
            <w:pPr>
              <w:numPr>
                <w:ilvl w:val="0"/>
                <w:numId w:val="0"/>
              </w:numPr>
              <w:tabs>
                <w:tab w:val="left" w:pos="531"/>
              </w:tabs>
              <w:snapToGrid w:val="0"/>
              <w:ind w:leftChars="0"/>
              <w:rPr>
                <w:rFonts w:ascii="宋体" w:hAnsi="宋体" w:cs="宋体"/>
                <w:kern w:val="0"/>
                <w:sz w:val="24"/>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snapToGrid w:val="0"/>
              <w:ind w:left="0" w:firstLine="0"/>
              <w:rPr>
                <w:rFonts w:ascii="宋体" w:hAnsi="宋体" w:cs="宋体"/>
                <w:color w:val="auto"/>
                <w:szCs w:val="21"/>
                <w:highlight w:val="none"/>
              </w:rPr>
            </w:pPr>
            <w:r>
              <w:rPr>
                <w:rFonts w:hint="eastAsia" w:ascii="宋体" w:hAnsi="宋体" w:cs="宋体"/>
                <w:color w:val="auto"/>
                <w:szCs w:val="21"/>
                <w:highlight w:val="none"/>
              </w:rPr>
              <w:t>报价以人民币为结算币种，报价</w:t>
            </w:r>
            <w:r>
              <w:rPr>
                <w:rFonts w:hint="eastAsia" w:ascii="宋体" w:hAnsi="宋体"/>
                <w:color w:val="auto"/>
                <w:szCs w:val="21"/>
                <w:highlight w:val="none"/>
              </w:rPr>
              <w:t>应包含税率、</w:t>
            </w:r>
            <w:r>
              <w:rPr>
                <w:rFonts w:hint="eastAsia" w:ascii="宋体" w:hAnsi="宋体" w:cs="宋体"/>
                <w:color w:val="auto"/>
                <w:szCs w:val="21"/>
                <w:highlight w:val="none"/>
              </w:rPr>
              <w:t>单价和总价。</w:t>
            </w:r>
          </w:p>
          <w:p>
            <w:pPr>
              <w:numPr>
                <w:ilvl w:val="0"/>
                <w:numId w:val="9"/>
              </w:numPr>
              <w:tabs>
                <w:tab w:val="left" w:pos="531"/>
              </w:tabs>
              <w:snapToGrid w:val="0"/>
              <w:ind w:left="0" w:firstLine="0"/>
              <w:rPr>
                <w:rFonts w:ascii="宋体" w:hAnsi="宋体" w:cs="宋体"/>
                <w:color w:val="auto"/>
                <w:szCs w:val="21"/>
                <w:highlight w:val="none"/>
              </w:rPr>
            </w:pPr>
            <w:r>
              <w:rPr>
                <w:rFonts w:hint="eastAsia" w:ascii="宋体" w:hAnsi="宋体" w:cs="宋体"/>
                <w:color w:val="auto"/>
                <w:szCs w:val="21"/>
                <w:highlight w:val="none"/>
              </w:rPr>
              <w:t>报价不得出现可选择性的报价,含有备选方案的报价将导致废标。</w:t>
            </w:r>
          </w:p>
          <w:p>
            <w:pPr>
              <w:numPr>
                <w:ilvl w:val="0"/>
                <w:numId w:val="9"/>
              </w:numPr>
              <w:tabs>
                <w:tab w:val="left" w:pos="531"/>
              </w:tabs>
              <w:snapToGrid w:val="0"/>
              <w:ind w:left="0" w:firstLine="0"/>
              <w:rPr>
                <w:rFonts w:ascii="宋体" w:hAnsi="宋体" w:cs="宋体"/>
                <w:color w:val="auto"/>
                <w:szCs w:val="21"/>
                <w:highlight w:val="none"/>
              </w:rPr>
            </w:pPr>
            <w:r>
              <w:rPr>
                <w:rFonts w:hint="eastAsia" w:ascii="宋体" w:hAnsi="宋体" w:cs="宋体"/>
                <w:color w:val="auto"/>
                <w:szCs w:val="21"/>
                <w:highlight w:val="none"/>
              </w:rPr>
              <w:t>报价包括但不限于①免费提供</w:t>
            </w:r>
            <w:r>
              <w:rPr>
                <w:rFonts w:hint="eastAsia" w:ascii="宋体" w:hAnsi="宋体" w:cs="宋体"/>
                <w:color w:val="auto"/>
                <w:szCs w:val="21"/>
                <w:highlight w:val="none"/>
                <w:lang w:eastAsia="zh-CN"/>
              </w:rPr>
              <w:t>的</w:t>
            </w:r>
            <w:r>
              <w:rPr>
                <w:rFonts w:hint="eastAsia" w:ascii="宋体" w:hAnsi="宋体" w:cs="宋体"/>
                <w:color w:val="auto"/>
                <w:szCs w:val="21"/>
                <w:highlight w:val="none"/>
              </w:rPr>
              <w:t>电瓶车辆的运输、装卸、调试费、车辆保险等；②驾驶员的人工费、加班费、餐费、交通费、员工保险等；③管理及维保技术人员的交通费，</w:t>
            </w:r>
            <w:r>
              <w:rPr>
                <w:rFonts w:hint="eastAsia" w:ascii="宋体" w:hAnsi="宋体" w:cs="宋体"/>
                <w:color w:val="auto"/>
                <w:szCs w:val="21"/>
                <w:highlight w:val="none"/>
                <w:lang w:eastAsia="zh-CN"/>
              </w:rPr>
              <w:t>餐费、</w:t>
            </w:r>
            <w:r>
              <w:rPr>
                <w:rFonts w:hint="eastAsia" w:ascii="宋体" w:hAnsi="宋体" w:cs="宋体"/>
                <w:color w:val="auto"/>
                <w:szCs w:val="21"/>
                <w:highlight w:val="none"/>
              </w:rPr>
              <w:t>员工保险等；④相关增值税等完成本项目所需的全部费用。</w:t>
            </w:r>
          </w:p>
          <w:p>
            <w:pPr>
              <w:numPr>
                <w:ilvl w:val="0"/>
                <w:numId w:val="9"/>
              </w:numPr>
              <w:tabs>
                <w:tab w:val="left" w:pos="531"/>
              </w:tabs>
              <w:snapToGrid w:val="0"/>
              <w:ind w:left="0" w:firstLine="0"/>
              <w:rPr>
                <w:rFonts w:ascii="宋体" w:hAnsi="宋体" w:cs="宋体"/>
                <w:color w:val="auto"/>
                <w:szCs w:val="21"/>
                <w:highlight w:val="none"/>
              </w:rPr>
            </w:pPr>
            <w:r>
              <w:rPr>
                <w:rFonts w:hint="eastAsia" w:ascii="宋体" w:hAnsi="宋体" w:cs="宋体"/>
                <w:color w:val="auto"/>
                <w:szCs w:val="21"/>
                <w:highlight w:val="none"/>
              </w:rPr>
              <w:t>本项目承包方式为总价包干，因中选单位</w:t>
            </w:r>
            <w:r>
              <w:rPr>
                <w:rFonts w:hint="eastAsia" w:ascii="宋体" w:hAnsi="宋体" w:cs="宋体"/>
                <w:color w:val="auto"/>
                <w:szCs w:val="21"/>
                <w:highlight w:val="none"/>
                <w:lang w:eastAsia="zh-CN"/>
              </w:rPr>
              <w:t>组织</w:t>
            </w:r>
            <w:r>
              <w:rPr>
                <w:rFonts w:hint="eastAsia" w:ascii="宋体" w:hAnsi="宋体" w:cs="宋体"/>
                <w:color w:val="auto"/>
                <w:szCs w:val="21"/>
                <w:highlight w:val="none"/>
              </w:rPr>
              <w:t>或管理原因导致</w:t>
            </w:r>
            <w:r>
              <w:rPr>
                <w:rFonts w:hint="eastAsia" w:ascii="宋体" w:hAnsi="宋体" w:cs="宋体"/>
                <w:color w:val="auto"/>
                <w:szCs w:val="21"/>
                <w:highlight w:val="none"/>
                <w:lang w:eastAsia="zh-CN"/>
              </w:rPr>
              <w:t>产生</w:t>
            </w:r>
            <w:r>
              <w:rPr>
                <w:rFonts w:hint="eastAsia" w:ascii="宋体" w:hAnsi="宋体" w:cs="宋体"/>
                <w:color w:val="auto"/>
                <w:szCs w:val="21"/>
                <w:highlight w:val="none"/>
              </w:rPr>
              <w:t>的</w:t>
            </w:r>
            <w:r>
              <w:rPr>
                <w:rFonts w:hint="eastAsia" w:ascii="宋体" w:hAnsi="宋体" w:cs="宋体"/>
                <w:color w:val="auto"/>
                <w:szCs w:val="21"/>
                <w:highlight w:val="none"/>
                <w:lang w:eastAsia="zh-CN"/>
              </w:rPr>
              <w:t>其他费用</w:t>
            </w:r>
            <w:r>
              <w:rPr>
                <w:rFonts w:hint="eastAsia" w:ascii="宋体" w:hAnsi="宋体" w:cs="宋体"/>
                <w:color w:val="auto"/>
                <w:szCs w:val="21"/>
                <w:highlight w:val="none"/>
              </w:rPr>
              <w:t>问题，均由中选单位自行承担，采购人不再支付其他任何费用。</w:t>
            </w:r>
          </w:p>
          <w:p>
            <w:pPr>
              <w:snapToGrid w:val="0"/>
              <w:spacing w:line="0" w:lineRule="atLeast"/>
              <w:rPr>
                <w:rFonts w:ascii="宋体" w:hAnsi="宋体" w:cs="宋体"/>
                <w:sz w:val="24"/>
              </w:rPr>
            </w:pP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sz w:val="24"/>
              </w:rPr>
            </w:pPr>
            <w:r>
              <w:rPr>
                <w:rFonts w:hint="eastAsia" w:ascii="宋体" w:hAnsi="宋体" w:cs="宋体"/>
              </w:rPr>
              <w:t>本项目控制金额为人民币</w:t>
            </w:r>
            <w:r>
              <w:rPr>
                <w:rFonts w:hint="eastAsia" w:ascii="宋体" w:hAnsi="宋体" w:cs="宋体"/>
                <w:color w:val="FF0000"/>
                <w:highlight w:val="yellow"/>
                <w:lang w:val="en-US" w:eastAsia="zh-CN"/>
              </w:rPr>
              <w:t>6.176</w:t>
            </w:r>
            <w:r>
              <w:rPr>
                <w:rFonts w:hint="eastAsia" w:ascii="宋体" w:hAnsi="宋体" w:cs="宋体"/>
                <w:color w:val="FF0000"/>
                <w:highlight w:val="yellow"/>
              </w:rPr>
              <w:t>万元</w:t>
            </w:r>
            <w:r>
              <w:rPr>
                <w:rFonts w:hint="eastAsia" w:ascii="宋体" w:hAnsi="宋体" w:cs="宋体"/>
              </w:rPr>
              <w:t>（含税），报价高于上述控制金额的，参加单位的响应文件视同无效。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rPr>
                <w:rFonts w:ascii="宋体" w:hAnsi="宋体" w:cs="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lang w:eastAsia="zh-CN"/>
              </w:rPr>
              <w:t>完成</w:t>
            </w:r>
            <w:r>
              <w:rPr>
                <w:rFonts w:hint="eastAsia" w:ascii="宋体" w:hAnsi="宋体" w:cs="宋体"/>
                <w:color w:val="auto"/>
                <w:highlight w:val="none"/>
              </w:rPr>
              <w:t>后</w:t>
            </w:r>
            <w:r>
              <w:rPr>
                <w:rFonts w:hint="eastAsia" w:ascii="宋体" w:hAnsi="宋体" w:cs="宋体"/>
                <w:color w:val="auto"/>
                <w:highlight w:val="none"/>
                <w:lang w:val="en-US" w:eastAsia="zh-CN"/>
              </w:rPr>
              <w:t>且通过验收后</w:t>
            </w:r>
            <w:r>
              <w:rPr>
                <w:rFonts w:hint="eastAsia" w:ascii="宋体" w:hAnsi="宋体" w:cs="宋体"/>
                <w:color w:val="auto"/>
                <w:highlight w:val="none"/>
              </w:rPr>
              <w:t>，一次性支付合同总金额</w:t>
            </w:r>
            <w:r>
              <w:rPr>
                <w:rFonts w:hint="eastAsia" w:ascii="宋体" w:hAnsi="宋体" w:cs="宋体"/>
                <w:color w:val="auto"/>
                <w:highlight w:val="none"/>
                <w:lang w:val="en-US" w:eastAsia="zh-CN"/>
              </w:rPr>
              <w:t>全款</w:t>
            </w:r>
            <w:r>
              <w:rPr>
                <w:rFonts w:hint="eastAsia" w:ascii="宋体" w:hAnsi="宋体" w:cs="宋体"/>
                <w:color w:val="auto"/>
                <w:highlight w:val="none"/>
              </w:rPr>
              <w:t>。</w:t>
            </w:r>
          </w:p>
          <w:p>
            <w:pPr>
              <w:numPr>
                <w:ilvl w:val="-1"/>
                <w:numId w:val="0"/>
              </w:numPr>
              <w:tabs>
                <w:tab w:val="left" w:pos="531"/>
              </w:tabs>
              <w:snapToGrid w:val="0"/>
              <w:spacing w:line="0" w:lineRule="atLeast"/>
              <w:ind w:left="0" w:firstLine="0" w:firstLineChars="0"/>
              <w:rPr>
                <w:rFonts w:ascii="宋体" w:hAnsi="宋体" w:cs="宋体"/>
                <w:color w:val="auto"/>
                <w:kern w:val="0"/>
                <w:sz w:val="24"/>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工期/服务期</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color w:val="auto"/>
                <w:kern w:val="0"/>
                <w:sz w:val="24"/>
                <w:highlight w:val="none"/>
              </w:rPr>
            </w:pPr>
            <w:r>
              <w:rPr>
                <w:rFonts w:hint="eastAsia" w:ascii="宋体" w:hAnsi="宋体" w:cs="宋体"/>
                <w:color w:val="auto"/>
                <w:highlight w:val="none"/>
              </w:rPr>
              <w:t>第二十</w:t>
            </w:r>
            <w:r>
              <w:rPr>
                <w:rFonts w:hint="eastAsia" w:ascii="宋体" w:hAnsi="宋体" w:cs="宋体"/>
                <w:color w:val="auto"/>
                <w:highlight w:val="none"/>
                <w:lang w:eastAsia="zh-CN"/>
              </w:rPr>
              <w:t>五</w:t>
            </w:r>
            <w:r>
              <w:rPr>
                <w:rFonts w:hint="eastAsia" w:ascii="宋体" w:hAnsi="宋体" w:cs="宋体"/>
                <w:color w:val="auto"/>
                <w:highlight w:val="none"/>
              </w:rPr>
              <w:t>届高交会开展期间（预计</w:t>
            </w:r>
            <w:r>
              <w:rPr>
                <w:rFonts w:hint="eastAsia" w:ascii="宋体" w:hAnsi="宋体" w:cs="宋体"/>
                <w:color w:val="auto"/>
                <w:highlight w:val="none"/>
                <w:lang w:eastAsia="zh-CN"/>
              </w:rPr>
              <w:t>2023</w:t>
            </w:r>
            <w:r>
              <w:rPr>
                <w:rFonts w:hint="eastAsia" w:ascii="宋体" w:hAnsi="宋体" w:cs="宋体"/>
                <w:color w:val="auto"/>
                <w:highlight w:val="none"/>
              </w:rPr>
              <w:t>年11月15日-20日，具体以实际举办时间为准）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6</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质保期/服务承诺</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color w:val="auto"/>
                <w:kern w:val="0"/>
                <w:sz w:val="24"/>
                <w:highlight w:val="none"/>
              </w:rPr>
            </w:pPr>
            <w:r>
              <w:rPr>
                <w:rFonts w:hint="eastAsia" w:ascii="宋体" w:hAnsi="宋体" w:cs="宋体"/>
                <w:color w:val="auto"/>
                <w:highlight w:val="none"/>
              </w:rPr>
              <w:t>所有服务人员均遵守会展中心的</w:t>
            </w:r>
            <w:r>
              <w:rPr>
                <w:rFonts w:hint="eastAsia" w:ascii="宋体" w:hAnsi="宋体" w:cs="宋体"/>
                <w:color w:val="auto"/>
                <w:highlight w:val="none"/>
                <w:lang w:eastAsia="zh-CN"/>
              </w:rPr>
              <w:t>展会</w:t>
            </w:r>
            <w:r>
              <w:rPr>
                <w:rFonts w:hint="eastAsia" w:ascii="宋体" w:hAnsi="宋体" w:cs="宋体"/>
                <w:color w:val="auto"/>
                <w:highlight w:val="none"/>
              </w:rPr>
              <w:t>政策及安全相关要求。</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人员及车辆</w:t>
            </w:r>
          </w:p>
        </w:tc>
        <w:tc>
          <w:tcPr>
            <w:tcW w:w="6861" w:type="dxa"/>
            <w:gridSpan w:val="2"/>
            <w:tcBorders>
              <w:top w:val="single" w:color="auto" w:sz="4" w:space="0"/>
              <w:left w:val="single" w:color="auto" w:sz="4" w:space="0"/>
              <w:bottom w:val="single" w:color="auto" w:sz="4" w:space="0"/>
              <w:right w:val="single" w:color="auto" w:sz="4" w:space="0"/>
            </w:tcBorders>
            <w:vAlign w:val="center"/>
          </w:tcPr>
          <w:tbl>
            <w:tblPr>
              <w:tblStyle w:val="15"/>
              <w:tblW w:w="13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455"/>
              <w:gridCol w:w="705"/>
              <w:gridCol w:w="675"/>
              <w:gridCol w:w="2625"/>
              <w:gridCol w:w="1329"/>
              <w:gridCol w:w="1329"/>
              <w:gridCol w:w="1329"/>
              <w:gridCol w:w="13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Align w:val="top"/>
                </w:tcPr>
                <w:p>
                  <w:pPr>
                    <w:jc w:val="center"/>
                    <w:rPr>
                      <w:rFonts w:hint="eastAsia" w:ascii="宋体" w:hAnsi="宋体" w:eastAsia="宋体" w:cs="宋体"/>
                      <w:sz w:val="22"/>
                      <w:szCs w:val="22"/>
                    </w:rPr>
                  </w:pPr>
                  <w:r>
                    <w:rPr>
                      <w:rFonts w:hint="eastAsia" w:ascii="宋体" w:hAnsi="宋体" w:eastAsia="宋体" w:cs="宋体"/>
                      <w:sz w:val="22"/>
                      <w:szCs w:val="22"/>
                    </w:rPr>
                    <w:t>工作日期</w:t>
                  </w:r>
                </w:p>
                <w:p>
                  <w:pPr>
                    <w:jc w:val="center"/>
                    <w:rPr>
                      <w:rFonts w:hint="eastAsia" w:ascii="宋体" w:hAnsi="宋体" w:eastAsia="宋体" w:cs="宋体"/>
                      <w:kern w:val="2"/>
                      <w:sz w:val="22"/>
                      <w:szCs w:val="22"/>
                      <w:lang w:val="en-US" w:eastAsia="zh-CN" w:bidi="ar-SA"/>
                    </w:rPr>
                  </w:pPr>
                  <w:r>
                    <w:rPr>
                      <w:rFonts w:hint="eastAsia" w:ascii="宋体" w:hAnsi="宋体" w:eastAsia="宋体" w:cs="宋体"/>
                      <w:b/>
                      <w:bCs/>
                      <w:sz w:val="20"/>
                      <w:szCs w:val="20"/>
                    </w:rPr>
                    <w:t>（</w:t>
                  </w:r>
                  <w:r>
                    <w:rPr>
                      <w:rFonts w:hint="eastAsia" w:ascii="宋体" w:hAnsi="宋体" w:eastAsia="宋体" w:cs="宋体"/>
                      <w:b/>
                      <w:bCs/>
                      <w:sz w:val="20"/>
                      <w:szCs w:val="20"/>
                      <w:lang w:eastAsia="zh-CN"/>
                    </w:rPr>
                    <w:t>以</w:t>
                  </w:r>
                  <w:r>
                    <w:rPr>
                      <w:rFonts w:hint="eastAsia" w:ascii="宋体" w:hAnsi="宋体" w:cs="宋体"/>
                      <w:b/>
                      <w:bCs/>
                      <w:sz w:val="20"/>
                      <w:szCs w:val="20"/>
                      <w:lang w:val="en-US" w:eastAsia="zh-CN"/>
                    </w:rPr>
                    <w:t>采购人</w:t>
                  </w:r>
                  <w:r>
                    <w:rPr>
                      <w:rFonts w:hint="eastAsia" w:ascii="宋体" w:hAnsi="宋体" w:eastAsia="宋体" w:cs="宋体"/>
                      <w:b/>
                      <w:bCs/>
                      <w:sz w:val="20"/>
                      <w:szCs w:val="20"/>
                      <w:lang w:val="en-US" w:eastAsia="zh-CN"/>
                    </w:rPr>
                    <w:t>通知时间为准</w:t>
                  </w:r>
                  <w:r>
                    <w:rPr>
                      <w:rFonts w:hint="eastAsia" w:ascii="宋体" w:hAnsi="宋体" w:eastAsia="宋体" w:cs="宋体"/>
                      <w:b/>
                      <w:bCs/>
                      <w:sz w:val="20"/>
                      <w:szCs w:val="20"/>
                    </w:rPr>
                    <w:t>）</w:t>
                  </w:r>
                </w:p>
              </w:tc>
              <w:tc>
                <w:tcPr>
                  <w:tcW w:w="1455" w:type="dxa"/>
                  <w:vAlign w:val="top"/>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服务内容</w:t>
                  </w:r>
                </w:p>
              </w:tc>
              <w:tc>
                <w:tcPr>
                  <w:tcW w:w="705" w:type="dxa"/>
                  <w:vAlign w:val="top"/>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数量</w:t>
                  </w:r>
                </w:p>
              </w:tc>
              <w:tc>
                <w:tcPr>
                  <w:tcW w:w="675" w:type="dxa"/>
                  <w:vAlign w:val="top"/>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限价</w:t>
                  </w:r>
                </w:p>
              </w:tc>
              <w:tc>
                <w:tcPr>
                  <w:tcW w:w="2625" w:type="dxa"/>
                  <w:vAlign w:val="top"/>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说明</w:t>
                  </w:r>
                </w:p>
              </w:tc>
              <w:tc>
                <w:tcPr>
                  <w:tcW w:w="1329" w:type="dxa"/>
                </w:tcPr>
                <w:p>
                  <w:pPr>
                    <w:numPr>
                      <w:ilvl w:val="0"/>
                      <w:numId w:val="0"/>
                    </w:numPr>
                    <w:tabs>
                      <w:tab w:val="left" w:pos="531"/>
                    </w:tabs>
                    <w:snapToGrid w:val="0"/>
                    <w:ind w:leftChars="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Merge w:val="restart"/>
                  <w:vAlign w:val="center"/>
                </w:tcPr>
                <w:p/>
                <w:p>
                  <w:pPr>
                    <w:jc w:val="center"/>
                    <w:rPr>
                      <w:rFonts w:hint="eastAsia"/>
                      <w:lang w:val="en-US" w:eastAsia="zh-CN"/>
                    </w:rPr>
                  </w:pPr>
                  <w:r>
                    <w:rPr>
                      <w:rFonts w:hint="eastAsia"/>
                      <w:lang w:val="en-US" w:eastAsia="zh-CN"/>
                    </w:rPr>
                    <w:t>5.5天</w:t>
                  </w:r>
                </w:p>
                <w:p>
                  <w:pPr>
                    <w:pStyle w:val="11"/>
                    <w:rPr>
                      <w:rFonts w:hint="eastAsia" w:ascii="仿宋_GB2312" w:hAnsi="宋体" w:eastAsia="仿宋_GB2312" w:cs="Times New Roman"/>
                      <w:kern w:val="2"/>
                      <w:sz w:val="21"/>
                      <w:szCs w:val="24"/>
                      <w:lang w:val="en-US" w:eastAsia="zh-CN" w:bidi="ar-SA"/>
                    </w:rPr>
                  </w:pPr>
                </w:p>
              </w:tc>
              <w:tc>
                <w:tcPr>
                  <w:tcW w:w="1455" w:type="dxa"/>
                  <w:vMerge w:val="restart"/>
                  <w:vAlign w:val="top"/>
                </w:tcPr>
                <w:p>
                  <w:pPr>
                    <w:rPr>
                      <w:rFonts w:hint="eastAsia" w:ascii="宋体" w:hAnsi="宋体" w:eastAsia="宋体" w:cs="宋体"/>
                      <w:sz w:val="22"/>
                      <w:szCs w:val="22"/>
                    </w:rPr>
                  </w:pPr>
                  <w:r>
                    <w:rPr>
                      <w:rFonts w:hint="eastAsia" w:ascii="宋体" w:hAnsi="宋体" w:eastAsia="宋体" w:cs="宋体"/>
                      <w:sz w:val="22"/>
                      <w:szCs w:val="22"/>
                    </w:rPr>
                    <w:t>租赁观光车驾驶服务（女性驾驶员）</w:t>
                  </w:r>
                </w:p>
                <w:p>
                  <w:pPr>
                    <w:rPr>
                      <w:rFonts w:hint="eastAsia" w:ascii="宋体" w:hAnsi="宋体" w:eastAsia="宋体" w:cs="宋体"/>
                      <w:kern w:val="2"/>
                      <w:sz w:val="22"/>
                      <w:szCs w:val="22"/>
                      <w:lang w:val="en-US" w:eastAsia="zh-CN" w:bidi="ar-SA"/>
                    </w:rPr>
                  </w:pPr>
                </w:p>
              </w:tc>
              <w:tc>
                <w:tcPr>
                  <w:tcW w:w="705" w:type="dxa"/>
                  <w:vMerge w:val="restart"/>
                  <w:vAlign w:val="top"/>
                </w:tcPr>
                <w:p>
                  <w:pPr>
                    <w:rPr>
                      <w:rFonts w:hint="eastAsia" w:ascii="宋体" w:hAnsi="宋体" w:eastAsia="宋体" w:cs="宋体"/>
                      <w:sz w:val="22"/>
                      <w:szCs w:val="22"/>
                    </w:rPr>
                  </w:pPr>
                  <w:r>
                    <w:rPr>
                      <w:rFonts w:hint="eastAsia" w:ascii="宋体" w:hAnsi="宋体" w:eastAsia="宋体" w:cs="宋体"/>
                      <w:sz w:val="22"/>
                      <w:szCs w:val="22"/>
                    </w:rPr>
                    <w:t>10</w:t>
                  </w:r>
                </w:p>
                <w:p>
                  <w:pPr>
                    <w:rPr>
                      <w:rFonts w:hint="eastAsia" w:ascii="宋体" w:hAnsi="宋体" w:eastAsia="宋体" w:cs="宋体"/>
                      <w:kern w:val="2"/>
                      <w:sz w:val="22"/>
                      <w:szCs w:val="22"/>
                      <w:lang w:val="en-US" w:eastAsia="zh-CN" w:bidi="ar-SA"/>
                    </w:rPr>
                  </w:pPr>
                </w:p>
              </w:tc>
              <w:tc>
                <w:tcPr>
                  <w:tcW w:w="675" w:type="dxa"/>
                  <w:vMerge w:val="restart"/>
                  <w:vAlign w:val="top"/>
                </w:tcPr>
                <w:p>
                  <w:pPr>
                    <w:rPr>
                      <w:rFonts w:hint="eastAsia" w:ascii="宋体" w:hAnsi="宋体" w:eastAsia="宋体" w:cs="宋体"/>
                      <w:kern w:val="2"/>
                      <w:sz w:val="22"/>
                      <w:szCs w:val="22"/>
                      <w:lang w:val="en-US" w:eastAsia="zh-CN" w:bidi="ar-SA"/>
                    </w:rPr>
                  </w:pPr>
                  <w:r>
                    <w:rPr>
                      <w:rFonts w:hint="eastAsia" w:ascii="宋体" w:hAnsi="宋体" w:eastAsia="宋体" w:cs="宋体"/>
                      <w:sz w:val="22"/>
                      <w:szCs w:val="22"/>
                    </w:rPr>
                    <w:t>1100元/天</w:t>
                  </w:r>
                  <w:r>
                    <w:rPr>
                      <w:rFonts w:hint="eastAsia" w:ascii="宋体" w:hAnsi="宋体" w:eastAsia="宋体" w:cs="宋体"/>
                      <w:sz w:val="22"/>
                      <w:szCs w:val="22"/>
                      <w:lang w:val="en-US" w:eastAsia="zh-CN"/>
                    </w:rPr>
                    <w:t>/</w:t>
                  </w:r>
                  <w:r>
                    <w:rPr>
                      <w:rFonts w:hint="eastAsia" w:ascii="宋体" w:hAnsi="宋体" w:eastAsia="宋体" w:cs="宋体"/>
                      <w:sz w:val="22"/>
                      <w:szCs w:val="22"/>
                    </w:rPr>
                    <w:t>人</w:t>
                  </w:r>
                </w:p>
              </w:tc>
              <w:tc>
                <w:tcPr>
                  <w:tcW w:w="2625" w:type="dxa"/>
                  <w:vAlign w:val="top"/>
                </w:tcPr>
                <w:p>
                  <w:pPr>
                    <w:numPr>
                      <w:ilvl w:val="0"/>
                      <w:numId w:val="12"/>
                    </w:numPr>
                    <w:rPr>
                      <w:rFonts w:hint="eastAsia" w:ascii="宋体" w:hAnsi="宋体" w:eastAsia="宋体" w:cs="宋体"/>
                      <w:sz w:val="22"/>
                      <w:szCs w:val="22"/>
                    </w:rPr>
                  </w:pPr>
                  <w:r>
                    <w:rPr>
                      <w:rFonts w:hint="eastAsia" w:ascii="宋体" w:hAnsi="宋体" w:eastAsia="宋体" w:cs="宋体"/>
                      <w:sz w:val="22"/>
                      <w:szCs w:val="22"/>
                    </w:rPr>
                    <w:t>须持特种设备《安全管理和作业人员证》N2；</w:t>
                  </w:r>
                </w:p>
                <w:p>
                  <w:pPr>
                    <w:pStyle w:val="11"/>
                    <w:numPr>
                      <w:ilvl w:val="0"/>
                      <w:numId w:val="12"/>
                    </w:numPr>
                    <w:rPr>
                      <w:rFonts w:hint="eastAsia" w:ascii="宋体" w:hAnsi="宋体" w:eastAsia="宋体" w:cs="宋体"/>
                    </w:rPr>
                  </w:pPr>
                  <w:r>
                    <w:rPr>
                      <w:rFonts w:hint="eastAsia" w:ascii="宋体" w:hAnsi="宋体" w:eastAsia="宋体" w:cs="宋体"/>
                    </w:rPr>
                    <w:t>人员需容貌端正，有观光电瓶车辆驾驶1年以上经验；</w:t>
                  </w:r>
                </w:p>
                <w:p>
                  <w:pPr>
                    <w:rPr>
                      <w:rFonts w:hint="eastAsia" w:ascii="宋体" w:hAnsi="宋体" w:eastAsia="宋体" w:cs="宋体"/>
                      <w:kern w:val="2"/>
                      <w:sz w:val="22"/>
                      <w:szCs w:val="22"/>
                      <w:lang w:val="en-US" w:eastAsia="zh-CN" w:bidi="ar-SA"/>
                    </w:rPr>
                  </w:pPr>
                  <w:r>
                    <w:rPr>
                      <w:rFonts w:hint="eastAsia" w:ascii="宋体" w:hAnsi="宋体" w:eastAsia="宋体" w:cs="宋体"/>
                      <w:sz w:val="22"/>
                      <w:szCs w:val="22"/>
                    </w:rPr>
                    <w:t>3、所有人员需提前熟悉展馆驾驶路线，人员岗前培训。</w:t>
                  </w: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Merge w:val="continue"/>
                  <w:vAlign w:val="top"/>
                </w:tcPr>
                <w:p>
                  <w:pPr>
                    <w:rPr>
                      <w:rFonts w:hint="eastAsia" w:ascii="宋体" w:hAnsi="宋体" w:eastAsia="宋体" w:cs="宋体"/>
                      <w:kern w:val="2"/>
                      <w:sz w:val="22"/>
                      <w:szCs w:val="22"/>
                      <w:lang w:val="en-US" w:eastAsia="zh-CN" w:bidi="ar-SA"/>
                    </w:rPr>
                  </w:pPr>
                </w:p>
              </w:tc>
              <w:tc>
                <w:tcPr>
                  <w:tcW w:w="1455" w:type="dxa"/>
                  <w:vMerge w:val="continue"/>
                  <w:vAlign w:val="top"/>
                </w:tcPr>
                <w:p>
                  <w:pPr>
                    <w:rPr>
                      <w:rFonts w:hint="eastAsia" w:ascii="宋体" w:hAnsi="宋体" w:eastAsia="宋体" w:cs="宋体"/>
                      <w:kern w:val="2"/>
                      <w:sz w:val="22"/>
                      <w:szCs w:val="22"/>
                      <w:lang w:val="en-US" w:eastAsia="zh-CN" w:bidi="ar-SA"/>
                    </w:rPr>
                  </w:pPr>
                </w:p>
              </w:tc>
              <w:tc>
                <w:tcPr>
                  <w:tcW w:w="705" w:type="dxa"/>
                  <w:vMerge w:val="continue"/>
                  <w:vAlign w:val="top"/>
                </w:tcPr>
                <w:p>
                  <w:pPr>
                    <w:rPr>
                      <w:rFonts w:hint="eastAsia" w:ascii="宋体" w:hAnsi="宋体" w:eastAsia="宋体" w:cs="宋体"/>
                      <w:kern w:val="2"/>
                      <w:sz w:val="22"/>
                      <w:szCs w:val="22"/>
                      <w:lang w:val="en-US" w:eastAsia="zh-CN" w:bidi="ar-SA"/>
                    </w:rPr>
                  </w:pPr>
                </w:p>
              </w:tc>
              <w:tc>
                <w:tcPr>
                  <w:tcW w:w="675" w:type="dxa"/>
                  <w:vMerge w:val="continue"/>
                  <w:vAlign w:val="top"/>
                </w:tcPr>
                <w:p>
                  <w:pPr>
                    <w:rPr>
                      <w:rFonts w:hint="eastAsia" w:ascii="宋体" w:hAnsi="宋体" w:eastAsia="宋体" w:cs="宋体"/>
                      <w:kern w:val="2"/>
                      <w:sz w:val="22"/>
                      <w:szCs w:val="22"/>
                      <w:lang w:val="en-US" w:eastAsia="zh-CN" w:bidi="ar-SA"/>
                    </w:rPr>
                  </w:pPr>
                </w:p>
              </w:tc>
              <w:tc>
                <w:tcPr>
                  <w:tcW w:w="2625" w:type="dxa"/>
                  <w:vAlign w:val="top"/>
                </w:tcPr>
                <w:p>
                  <w:pPr>
                    <w:rPr>
                      <w:rFonts w:hint="eastAsia" w:ascii="宋体" w:hAnsi="宋体" w:eastAsia="宋体" w:cs="宋体"/>
                      <w:kern w:val="2"/>
                      <w:sz w:val="22"/>
                      <w:szCs w:val="22"/>
                      <w:lang w:val="en-US" w:eastAsia="zh-CN" w:bidi="ar-SA"/>
                    </w:rPr>
                  </w:pPr>
                  <w:r>
                    <w:rPr>
                      <w:rFonts w:hint="eastAsia" w:ascii="宋体" w:hAnsi="宋体" w:eastAsia="宋体" w:cs="宋体"/>
                      <w:sz w:val="22"/>
                      <w:szCs w:val="22"/>
                    </w:rPr>
                    <w:t>高交会期间，按照组委会安排日程，提供全天观光车驾驶服务。</w:t>
                  </w: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Merge w:val="restart"/>
                  <w:vAlign w:val="top"/>
                </w:tcPr>
                <w:p>
                  <w:pPr>
                    <w:jc w:val="center"/>
                    <w:rPr>
                      <w:rFonts w:hint="eastAsia" w:ascii="宋体" w:hAnsi="宋体" w:eastAsia="宋体" w:cs="宋体"/>
                      <w:sz w:val="22"/>
                      <w:szCs w:val="22"/>
                    </w:rPr>
                  </w:pPr>
                </w:p>
                <w:p>
                  <w:pPr>
                    <w:jc w:val="center"/>
                    <w:rPr>
                      <w:rFonts w:hint="eastAsia" w:ascii="宋体" w:hAnsi="宋体" w:eastAsia="宋体" w:cs="宋体"/>
                      <w:sz w:val="22"/>
                      <w:szCs w:val="22"/>
                    </w:rPr>
                  </w:pPr>
                </w:p>
                <w:p>
                  <w:pPr>
                    <w:jc w:val="center"/>
                    <w:rPr>
                      <w:rFonts w:hint="eastAsia" w:ascii="宋体" w:hAnsi="宋体" w:eastAsia="宋体" w:cs="宋体"/>
                      <w:sz w:val="22"/>
                      <w:szCs w:val="22"/>
                    </w:rPr>
                  </w:pPr>
                </w:p>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6天</w:t>
                  </w:r>
                </w:p>
              </w:tc>
              <w:tc>
                <w:tcPr>
                  <w:tcW w:w="1455" w:type="dxa"/>
                  <w:vAlign w:val="top"/>
                </w:tcPr>
                <w:p>
                  <w:pPr>
                    <w:rPr>
                      <w:rFonts w:hint="eastAsia" w:ascii="宋体" w:hAnsi="宋体" w:eastAsia="宋体" w:cs="宋体"/>
                      <w:kern w:val="2"/>
                      <w:sz w:val="22"/>
                      <w:szCs w:val="22"/>
                      <w:lang w:val="en-US" w:eastAsia="zh-CN" w:bidi="ar-SA"/>
                    </w:rPr>
                  </w:pPr>
                  <w:r>
                    <w:rPr>
                      <w:rFonts w:hint="eastAsia" w:ascii="宋体" w:hAnsi="宋体" w:eastAsia="宋体" w:cs="宋体"/>
                      <w:sz w:val="22"/>
                      <w:szCs w:val="22"/>
                    </w:rPr>
                    <w:t>免费配备维保人员（提供餐费）</w:t>
                  </w:r>
                </w:p>
              </w:tc>
              <w:tc>
                <w:tcPr>
                  <w:tcW w:w="705" w:type="dxa"/>
                  <w:vAlign w:val="top"/>
                </w:tcPr>
                <w:p>
                  <w:pPr>
                    <w:rPr>
                      <w:rFonts w:hint="eastAsia" w:ascii="宋体" w:hAnsi="宋体" w:eastAsia="宋体" w:cs="宋体"/>
                      <w:kern w:val="2"/>
                      <w:sz w:val="22"/>
                      <w:szCs w:val="22"/>
                      <w:lang w:val="en-US" w:eastAsia="zh-CN" w:bidi="ar-SA"/>
                    </w:rPr>
                  </w:pPr>
                  <w:r>
                    <w:rPr>
                      <w:rFonts w:hint="eastAsia" w:ascii="宋体" w:hAnsi="宋体" w:eastAsia="宋体" w:cs="宋体"/>
                      <w:sz w:val="22"/>
                      <w:szCs w:val="22"/>
                    </w:rPr>
                    <w:t>2</w:t>
                  </w:r>
                </w:p>
              </w:tc>
              <w:tc>
                <w:tcPr>
                  <w:tcW w:w="675" w:type="dxa"/>
                  <w:vMerge w:val="restart"/>
                  <w:vAlign w:val="top"/>
                </w:tcPr>
                <w:p>
                  <w:pPr>
                    <w:rPr>
                      <w:rFonts w:hint="eastAsia" w:ascii="宋体" w:hAnsi="宋体" w:eastAsia="宋体" w:cs="宋体"/>
                      <w:kern w:val="2"/>
                      <w:sz w:val="22"/>
                      <w:szCs w:val="22"/>
                      <w:lang w:val="en-US" w:eastAsia="zh-CN" w:bidi="ar-SA"/>
                    </w:rPr>
                  </w:pPr>
                  <w:r>
                    <w:rPr>
                      <w:rFonts w:hint="eastAsia" w:ascii="宋体" w:hAnsi="宋体" w:eastAsia="宋体" w:cs="宋体"/>
                      <w:sz w:val="22"/>
                      <w:szCs w:val="22"/>
                    </w:rPr>
                    <w:t>70元/天*人</w:t>
                  </w:r>
                </w:p>
              </w:tc>
              <w:tc>
                <w:tcPr>
                  <w:tcW w:w="2625" w:type="dxa"/>
                  <w:vAlign w:val="top"/>
                </w:tcPr>
                <w:p>
                  <w:pPr>
                    <w:rPr>
                      <w:rFonts w:hint="eastAsia" w:ascii="宋体" w:hAnsi="宋体" w:eastAsia="宋体" w:cs="宋体"/>
                      <w:kern w:val="2"/>
                      <w:sz w:val="22"/>
                      <w:szCs w:val="22"/>
                      <w:lang w:val="en-US" w:eastAsia="zh-CN" w:bidi="ar-SA"/>
                    </w:rPr>
                  </w:pPr>
                  <w:r>
                    <w:rPr>
                      <w:rFonts w:hint="eastAsia" w:ascii="宋体" w:hAnsi="宋体" w:eastAsia="宋体" w:cs="宋体"/>
                      <w:sz w:val="22"/>
                      <w:szCs w:val="22"/>
                    </w:rPr>
                    <w:t>技术保障10辆观光电瓶车安全使用。</w:t>
                  </w: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Merge w:val="continue"/>
                  <w:vAlign w:val="top"/>
                </w:tcPr>
                <w:p>
                  <w:pPr>
                    <w:rPr>
                      <w:rFonts w:hint="eastAsia" w:ascii="宋体" w:hAnsi="宋体" w:eastAsia="宋体" w:cs="宋体"/>
                      <w:kern w:val="2"/>
                      <w:sz w:val="22"/>
                      <w:szCs w:val="22"/>
                      <w:lang w:val="en-US" w:eastAsia="zh-CN" w:bidi="ar-SA"/>
                    </w:rPr>
                  </w:pPr>
                </w:p>
              </w:tc>
              <w:tc>
                <w:tcPr>
                  <w:tcW w:w="1455" w:type="dxa"/>
                  <w:vAlign w:val="top"/>
                </w:tcPr>
                <w:p>
                  <w:pPr>
                    <w:rPr>
                      <w:rFonts w:hint="eastAsia" w:ascii="宋体" w:hAnsi="宋体" w:eastAsia="宋体" w:cs="宋体"/>
                      <w:kern w:val="2"/>
                      <w:sz w:val="22"/>
                      <w:szCs w:val="22"/>
                      <w:lang w:val="en-US" w:eastAsia="zh-CN" w:bidi="ar-SA"/>
                    </w:rPr>
                  </w:pPr>
                  <w:r>
                    <w:rPr>
                      <w:rFonts w:hint="eastAsia" w:ascii="宋体" w:hAnsi="宋体" w:eastAsia="宋体" w:cs="宋体"/>
                      <w:sz w:val="22"/>
                      <w:szCs w:val="22"/>
                    </w:rPr>
                    <w:t>免费配备管理人员（提供餐费）</w:t>
                  </w:r>
                </w:p>
              </w:tc>
              <w:tc>
                <w:tcPr>
                  <w:tcW w:w="705" w:type="dxa"/>
                  <w:vAlign w:val="top"/>
                </w:tcPr>
                <w:p>
                  <w:pPr>
                    <w:rPr>
                      <w:rFonts w:hint="eastAsia" w:ascii="宋体" w:hAnsi="宋体" w:eastAsia="宋体" w:cs="宋体"/>
                      <w:kern w:val="2"/>
                      <w:sz w:val="22"/>
                      <w:szCs w:val="22"/>
                      <w:lang w:val="en-US" w:eastAsia="zh-CN" w:bidi="ar-SA"/>
                    </w:rPr>
                  </w:pPr>
                  <w:r>
                    <w:rPr>
                      <w:rFonts w:hint="eastAsia" w:ascii="宋体" w:hAnsi="宋体" w:eastAsia="宋体" w:cs="宋体"/>
                      <w:sz w:val="22"/>
                      <w:szCs w:val="22"/>
                    </w:rPr>
                    <w:t>1</w:t>
                  </w:r>
                </w:p>
              </w:tc>
              <w:tc>
                <w:tcPr>
                  <w:tcW w:w="675" w:type="dxa"/>
                  <w:vMerge w:val="continue"/>
                  <w:vAlign w:val="top"/>
                </w:tcPr>
                <w:p>
                  <w:pPr>
                    <w:rPr>
                      <w:rFonts w:hint="eastAsia" w:ascii="宋体" w:hAnsi="宋体" w:eastAsia="宋体" w:cs="宋体"/>
                      <w:kern w:val="2"/>
                      <w:sz w:val="22"/>
                      <w:szCs w:val="22"/>
                      <w:lang w:val="en-US" w:eastAsia="zh-CN" w:bidi="ar-SA"/>
                    </w:rPr>
                  </w:pPr>
                </w:p>
              </w:tc>
              <w:tc>
                <w:tcPr>
                  <w:tcW w:w="2625" w:type="dxa"/>
                  <w:vAlign w:val="top"/>
                </w:tcPr>
                <w:p>
                  <w:pPr>
                    <w:rPr>
                      <w:rFonts w:hint="eastAsia" w:ascii="宋体" w:hAnsi="宋体" w:eastAsia="宋体" w:cs="宋体"/>
                      <w:kern w:val="2"/>
                      <w:sz w:val="22"/>
                      <w:szCs w:val="22"/>
                      <w:lang w:val="en-US" w:eastAsia="zh-CN" w:bidi="ar-SA"/>
                    </w:rPr>
                  </w:pPr>
                  <w:r>
                    <w:rPr>
                      <w:rFonts w:hint="eastAsia" w:ascii="宋体" w:hAnsi="宋体" w:cs="宋体"/>
                      <w:sz w:val="22"/>
                      <w:szCs w:val="22"/>
                      <w:lang w:eastAsia="zh-CN"/>
                    </w:rPr>
                    <w:t>调配车辆安全运送，</w:t>
                  </w:r>
                  <w:r>
                    <w:rPr>
                      <w:rFonts w:hint="eastAsia" w:ascii="宋体" w:hAnsi="宋体" w:eastAsia="宋体" w:cs="宋体"/>
                      <w:sz w:val="22"/>
                      <w:szCs w:val="22"/>
                    </w:rPr>
                    <w:t>配合调度安排电瓶车驾驶人员及技术人员</w:t>
                  </w:r>
                  <w:r>
                    <w:rPr>
                      <w:rFonts w:hint="eastAsia" w:ascii="宋体" w:hAnsi="宋体" w:cs="宋体"/>
                      <w:sz w:val="22"/>
                      <w:szCs w:val="22"/>
                      <w:lang w:eastAsia="zh-CN"/>
                    </w:rPr>
                    <w:t>现场服务</w:t>
                  </w:r>
                  <w:r>
                    <w:rPr>
                      <w:rFonts w:hint="eastAsia" w:ascii="宋体" w:hAnsi="宋体" w:eastAsia="宋体" w:cs="宋体"/>
                      <w:sz w:val="22"/>
                      <w:szCs w:val="22"/>
                    </w:rPr>
                    <w:t>。</w:t>
                  </w: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Align w:val="top"/>
                </w:tcPr>
                <w:p>
                  <w:pPr>
                    <w:jc w:val="center"/>
                    <w:rPr>
                      <w:rFonts w:hint="default" w:ascii="宋体" w:hAnsi="宋体" w:eastAsia="宋体" w:cs="宋体"/>
                      <w:sz w:val="22"/>
                      <w:szCs w:val="22"/>
                      <w:lang w:val="en-US"/>
                    </w:rPr>
                  </w:pPr>
                </w:p>
                <w:p>
                  <w:pPr>
                    <w:jc w:val="center"/>
                    <w:rPr>
                      <w:rFonts w:hint="default" w:ascii="宋体" w:hAnsi="宋体" w:eastAsia="宋体" w:cs="宋体"/>
                      <w:sz w:val="22"/>
                      <w:szCs w:val="22"/>
                      <w:lang w:val="en-US"/>
                    </w:rPr>
                  </w:pPr>
                </w:p>
                <w:p/>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5天</w:t>
                  </w:r>
                </w:p>
              </w:tc>
              <w:tc>
                <w:tcPr>
                  <w:tcW w:w="1455" w:type="dxa"/>
                  <w:vAlign w:val="top"/>
                </w:tcPr>
                <w:p>
                  <w:pPr>
                    <w:rPr>
                      <w:rFonts w:hint="eastAsia" w:ascii="宋体" w:hAnsi="宋体" w:eastAsia="宋体" w:cs="宋体"/>
                      <w:kern w:val="2"/>
                      <w:sz w:val="22"/>
                      <w:szCs w:val="22"/>
                      <w:lang w:val="en-US" w:eastAsia="zh-CN" w:bidi="ar-SA"/>
                    </w:rPr>
                  </w:pPr>
                  <w:r>
                    <w:rPr>
                      <w:rFonts w:hint="eastAsia" w:ascii="宋体" w:hAnsi="宋体" w:eastAsia="宋体" w:cs="宋体"/>
                      <w:sz w:val="22"/>
                      <w:szCs w:val="22"/>
                    </w:rPr>
                    <w:t>免费使用电瓶车（11座）</w:t>
                  </w:r>
                </w:p>
              </w:tc>
              <w:tc>
                <w:tcPr>
                  <w:tcW w:w="705" w:type="dxa"/>
                  <w:vAlign w:val="top"/>
                </w:tcPr>
                <w:p>
                  <w:pPr>
                    <w:rPr>
                      <w:rFonts w:hint="eastAsia" w:ascii="宋体" w:hAnsi="宋体" w:eastAsia="宋体" w:cs="宋体"/>
                      <w:kern w:val="2"/>
                      <w:sz w:val="22"/>
                      <w:szCs w:val="22"/>
                      <w:lang w:val="en-US" w:eastAsia="zh-CN" w:bidi="ar-SA"/>
                    </w:rPr>
                  </w:pPr>
                  <w:r>
                    <w:rPr>
                      <w:rFonts w:hint="eastAsia" w:ascii="宋体" w:hAnsi="宋体" w:eastAsia="宋体" w:cs="宋体"/>
                      <w:sz w:val="22"/>
                      <w:szCs w:val="22"/>
                    </w:rPr>
                    <w:t>4</w:t>
                  </w:r>
                </w:p>
              </w:tc>
              <w:tc>
                <w:tcPr>
                  <w:tcW w:w="675" w:type="dxa"/>
                  <w:vAlign w:val="top"/>
                </w:tcPr>
                <w:p>
                  <w:pPr>
                    <w:rPr>
                      <w:rFonts w:hint="eastAsia" w:ascii="宋体" w:hAnsi="宋体" w:eastAsia="宋体" w:cs="宋体"/>
                      <w:kern w:val="2"/>
                      <w:sz w:val="22"/>
                      <w:szCs w:val="22"/>
                      <w:lang w:val="en-US" w:eastAsia="zh-CN" w:bidi="ar-SA"/>
                    </w:rPr>
                  </w:pPr>
                </w:p>
              </w:tc>
              <w:tc>
                <w:tcPr>
                  <w:tcW w:w="2625" w:type="dxa"/>
                  <w:vAlign w:val="top"/>
                </w:tcPr>
                <w:p>
                  <w:pPr>
                    <w:rPr>
                      <w:rFonts w:hint="eastAsia" w:ascii="宋体" w:hAnsi="宋体" w:eastAsia="宋体" w:cs="宋体"/>
                      <w:sz w:val="22"/>
                      <w:szCs w:val="22"/>
                    </w:rPr>
                  </w:pPr>
                  <w:r>
                    <w:rPr>
                      <w:rFonts w:hint="eastAsia" w:ascii="宋体" w:hAnsi="宋体" w:cs="宋体"/>
                      <w:sz w:val="22"/>
                      <w:szCs w:val="22"/>
                      <w:lang w:eastAsia="zh-CN"/>
                    </w:rPr>
                    <w:t>车况良好、外观整洁并型号统一，</w:t>
                  </w:r>
                  <w:r>
                    <w:rPr>
                      <w:rFonts w:hint="eastAsia" w:ascii="宋体" w:hAnsi="宋体" w:eastAsia="宋体" w:cs="宋体"/>
                      <w:sz w:val="22"/>
                      <w:szCs w:val="22"/>
                    </w:rPr>
                    <w:t>用于高交会穿梭和接待服务。相应会展中心在展会期间提供两个馆间停车位用以展示。</w:t>
                  </w:r>
                </w:p>
                <w:p>
                  <w:pPr>
                    <w:rPr>
                      <w:rFonts w:hint="eastAsia" w:ascii="宋体" w:hAnsi="宋体" w:eastAsia="宋体" w:cs="宋体"/>
                      <w:kern w:val="2"/>
                      <w:sz w:val="22"/>
                      <w:szCs w:val="22"/>
                      <w:lang w:val="en-US" w:eastAsia="zh-CN" w:bidi="ar-SA"/>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c>
                <w:tcPr>
                  <w:tcW w:w="1329" w:type="dxa"/>
                </w:tcPr>
                <w:p>
                  <w:pPr>
                    <w:numPr>
                      <w:ilvl w:val="0"/>
                      <w:numId w:val="11"/>
                    </w:numPr>
                    <w:tabs>
                      <w:tab w:val="left" w:pos="531"/>
                    </w:tabs>
                    <w:snapToGrid w:val="0"/>
                    <w:rPr>
                      <w:rFonts w:hint="eastAsia" w:ascii="宋体" w:hAnsi="宋体" w:cs="宋体"/>
                      <w:color w:val="FF0000"/>
                      <w:szCs w:val="21"/>
                      <w:highlight w:val="yellow"/>
                      <w:vertAlign w:val="baseline"/>
                    </w:rPr>
                  </w:pPr>
                </w:p>
              </w:tc>
            </w:tr>
          </w:tbl>
          <w:p>
            <w:pPr>
              <w:rPr>
                <w:rFonts w:ascii="宋体" w:hAnsi="宋体" w:cs="宋体"/>
                <w:sz w:val="24"/>
              </w:rPr>
            </w:pP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3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lang w:eastAsia="zh-CN"/>
              </w:rPr>
            </w:pPr>
            <w:r>
              <w:rPr>
                <w:rFonts w:hint="eastAsia" w:ascii="宋体" w:hAnsi="宋体" w:cs="宋体"/>
                <w:color w:val="auto"/>
                <w:highlight w:val="none"/>
                <w:lang w:eastAsia="zh-CN"/>
              </w:rPr>
              <w:t>补充说明</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ind w:left="0" w:firstLine="0"/>
              <w:rPr>
                <w:rFonts w:ascii="宋体" w:hAnsi="宋体" w:cs="宋体"/>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）服务期间，驾驶员须统一穿着采购人提供的</w:t>
            </w:r>
            <w:r>
              <w:rPr>
                <w:rFonts w:hint="eastAsia" w:ascii="宋体" w:hAnsi="宋体" w:cs="宋体"/>
                <w:color w:val="auto"/>
                <w:szCs w:val="21"/>
                <w:highlight w:val="none"/>
                <w:lang w:val="en-US" w:eastAsia="zh-CN"/>
              </w:rPr>
              <w:t>T恤，着统一颜色裤子和平底鞋</w:t>
            </w:r>
            <w:r>
              <w:rPr>
                <w:rFonts w:hint="eastAsia" w:ascii="宋体" w:hAnsi="宋体" w:cs="宋体"/>
                <w:color w:val="auto"/>
                <w:szCs w:val="21"/>
                <w:highlight w:val="none"/>
                <w:lang w:eastAsia="zh-CN"/>
              </w:rPr>
              <w:t>。</w:t>
            </w:r>
          </w:p>
          <w:p>
            <w:pPr>
              <w:widowControl/>
              <w:jc w:val="left"/>
              <w:rPr>
                <w:rFonts w:ascii="宋体" w:hAnsi="宋体" w:cs="宋体"/>
                <w:color w:val="auto"/>
                <w:sz w:val="24"/>
                <w:highlight w:val="none"/>
              </w:rPr>
            </w:pPr>
            <w:r>
              <w:rPr>
                <w:rFonts w:hint="eastAsia" w:ascii="宋体" w:hAnsi="宋体" w:cs="宋体"/>
                <w:color w:val="auto"/>
                <w:szCs w:val="21"/>
                <w:highlight w:val="none"/>
                <w:lang w:val="en-US" w:eastAsia="zh-CN"/>
              </w:rPr>
              <w:t>（2）投标人</w:t>
            </w:r>
            <w:r>
              <w:rPr>
                <w:rFonts w:hint="eastAsia" w:ascii="宋体" w:hAnsi="宋体" w:cs="宋体"/>
                <w:color w:val="auto"/>
                <w:szCs w:val="21"/>
                <w:highlight w:val="none"/>
              </w:rPr>
              <w:t>随车提供2个同型号的备胎，以保障电瓶车辆使用期间的安全与应急处理；</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不可偏离</w:t>
            </w:r>
          </w:p>
        </w:tc>
      </w:tr>
    </w:tbl>
    <w:p>
      <w:pPr>
        <w:numPr>
          <w:ilvl w:val="0"/>
          <w:numId w:val="1"/>
        </w:numPr>
        <w:spacing w:line="300" w:lineRule="auto"/>
        <w:outlineLvl w:val="0"/>
        <w:rPr>
          <w:rFonts w:ascii="宋体" w:hAnsi="宋体" w:cs="宋体"/>
          <w:b/>
          <w:sz w:val="24"/>
        </w:rPr>
      </w:pPr>
      <w:bookmarkStart w:id="10" w:name="_Toc128989097"/>
      <w:r>
        <w:rPr>
          <w:rFonts w:hint="eastAsia" w:ascii="宋体" w:hAnsi="宋体" w:cs="宋体"/>
          <w:b/>
          <w:sz w:val="24"/>
        </w:rPr>
        <w:t>其他项目说明资料</w:t>
      </w:r>
      <w:bookmarkEnd w:id="10"/>
    </w:p>
    <w:p>
      <w:pPr>
        <w:pStyle w:val="11"/>
        <w:ind w:firstLine="1050" w:firstLineChars="500"/>
        <w:rPr>
          <w:rFonts w:ascii="宋体" w:eastAsia="宋体" w:cs="宋体"/>
          <w:color w:val="FF0000"/>
          <w:highlight w:val="yellow"/>
        </w:rPr>
      </w:pPr>
      <w:r>
        <w:rPr>
          <w:rFonts w:hint="eastAsia" w:ascii="宋体" w:eastAsia="宋体" w:cs="宋体"/>
          <w:color w:val="FF0000"/>
          <w:highlight w:val="yellow"/>
        </w:rPr>
        <w:t>如工程量清单等</w:t>
      </w:r>
    </w:p>
    <w:p>
      <w:pPr>
        <w:numPr>
          <w:ilvl w:val="0"/>
          <w:numId w:val="1"/>
        </w:numPr>
        <w:spacing w:line="300" w:lineRule="auto"/>
        <w:outlineLvl w:val="0"/>
        <w:rPr>
          <w:rFonts w:ascii="宋体" w:hAnsi="宋体" w:cs="宋体"/>
          <w:b/>
          <w:sz w:val="24"/>
        </w:rPr>
      </w:pPr>
      <w:bookmarkStart w:id="11" w:name="_Toc128989098"/>
      <w:r>
        <w:rPr>
          <w:rFonts w:hint="eastAsia" w:ascii="宋体" w:hAnsi="宋体" w:cs="宋体"/>
          <w:b/>
          <w:sz w:val="24"/>
        </w:rPr>
        <w:t>开标评标流程</w:t>
      </w:r>
      <w:bookmarkEnd w:id="11"/>
    </w:p>
    <w:p>
      <w:pPr>
        <w:numPr>
          <w:ilvl w:val="0"/>
          <w:numId w:val="13"/>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3"/>
        </w:numPr>
        <w:ind w:hanging="5"/>
        <w:rPr>
          <w:rFonts w:ascii="宋体" w:hAnsi="宋体" w:cs="宋体"/>
          <w:szCs w:val="21"/>
        </w:rPr>
      </w:pPr>
      <w:r>
        <w:rPr>
          <w:rFonts w:hint="eastAsia" w:ascii="宋体" w:hAnsi="宋体"/>
          <w:szCs w:val="21"/>
        </w:rPr>
        <w:t>宣读开标注意事项、流程；</w:t>
      </w:r>
    </w:p>
    <w:p>
      <w:pPr>
        <w:numPr>
          <w:ilvl w:val="0"/>
          <w:numId w:val="13"/>
        </w:numPr>
        <w:ind w:hanging="5"/>
        <w:rPr>
          <w:rFonts w:ascii="宋体" w:hAnsi="宋体" w:cs="宋体"/>
          <w:szCs w:val="21"/>
        </w:rPr>
      </w:pPr>
      <w:r>
        <w:rPr>
          <w:rFonts w:hint="eastAsia" w:ascii="宋体" w:hAnsi="宋体" w:cs="宋体"/>
          <w:szCs w:val="21"/>
        </w:rPr>
        <w:t>评标小组推选组长；</w:t>
      </w:r>
    </w:p>
    <w:p>
      <w:pPr>
        <w:numPr>
          <w:ilvl w:val="0"/>
          <w:numId w:val="13"/>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3"/>
        </w:numPr>
        <w:ind w:hanging="5"/>
        <w:rPr>
          <w:rFonts w:ascii="宋体" w:hAnsi="宋体" w:cs="宋体"/>
          <w:szCs w:val="21"/>
        </w:rPr>
      </w:pPr>
      <w:r>
        <w:rPr>
          <w:rFonts w:hint="eastAsia" w:ascii="宋体" w:hAnsi="宋体" w:cs="宋体"/>
          <w:szCs w:val="21"/>
        </w:rPr>
        <w:t>商务及技术/服务需求响应性评定；</w:t>
      </w:r>
    </w:p>
    <w:p>
      <w:pPr>
        <w:numPr>
          <w:ilvl w:val="0"/>
          <w:numId w:val="13"/>
        </w:numPr>
        <w:ind w:hanging="5"/>
        <w:rPr>
          <w:rFonts w:ascii="宋体" w:hAnsi="宋体" w:cs="宋体"/>
          <w:szCs w:val="21"/>
        </w:rPr>
      </w:pPr>
      <w:r>
        <w:rPr>
          <w:rFonts w:hint="eastAsia" w:ascii="宋体" w:hAnsi="宋体" w:cs="宋体"/>
          <w:szCs w:val="21"/>
        </w:rPr>
        <w:t>确定中标候选供应商及评标报告的出具。</w:t>
      </w:r>
    </w:p>
    <w:p>
      <w:pPr>
        <w:pStyle w:val="11"/>
        <w:rPr>
          <w:rFonts w:ascii="宋体" w:eastAsia="宋体" w:cs="宋体"/>
        </w:rPr>
      </w:pPr>
    </w:p>
    <w:p>
      <w:pPr>
        <w:numPr>
          <w:ilvl w:val="0"/>
          <w:numId w:val="1"/>
        </w:numPr>
        <w:spacing w:line="300" w:lineRule="auto"/>
        <w:outlineLvl w:val="0"/>
        <w:rPr>
          <w:rFonts w:ascii="宋体" w:hAnsi="宋体" w:cs="宋体"/>
          <w:b/>
          <w:sz w:val="24"/>
        </w:rPr>
      </w:pPr>
      <w:bookmarkStart w:id="12" w:name="_Toc128989099"/>
      <w:r>
        <w:rPr>
          <w:rFonts w:hint="eastAsia" w:ascii="宋体" w:hAnsi="宋体" w:cs="宋体"/>
          <w:b/>
          <w:sz w:val="24"/>
        </w:rPr>
        <w:t>评审办法</w:t>
      </w:r>
      <w:bookmarkEnd w:id="12"/>
    </w:p>
    <w:p>
      <w:pPr>
        <w:spacing w:line="360" w:lineRule="auto"/>
        <w:ind w:firstLine="420" w:firstLineChars="200"/>
        <w:rPr>
          <w:rFonts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采用最低价法</w:t>
      </w:r>
      <w:r>
        <w:rPr>
          <w:rFonts w:hint="eastAsia" w:ascii="宋体" w:hAnsi="宋体" w:cs="宋体"/>
          <w:szCs w:val="21"/>
        </w:rPr>
        <w:t>进行评审。</w:t>
      </w:r>
    </w:p>
    <w:p>
      <w:pPr>
        <w:numPr>
          <w:ilvl w:val="0"/>
          <w:numId w:val="14"/>
        </w:numPr>
        <w:spacing w:line="300" w:lineRule="auto"/>
        <w:jc w:val="center"/>
        <w:outlineLvl w:val="1"/>
        <w:rPr>
          <w:rFonts w:ascii="宋体" w:hAnsi="宋体" w:cs="宋体"/>
          <w:sz w:val="24"/>
        </w:rPr>
      </w:pPr>
      <w:bookmarkStart w:id="13" w:name="_Toc128989100"/>
      <w:r>
        <w:rPr>
          <w:rStyle w:val="26"/>
          <w:rFonts w:hint="eastAsia" w:ascii="宋体" w:hAnsi="宋体" w:cs="宋体"/>
          <w:b/>
          <w:bCs/>
          <w:sz w:val="24"/>
        </w:rPr>
        <w:t>符合性检查</w:t>
      </w:r>
      <w:bookmarkEnd w:id="13"/>
    </w:p>
    <w:tbl>
      <w:tblPr>
        <w:tblStyle w:val="14"/>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响应文件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参加单位提交的响应文件是否按要求编制目录、密封/加密。</w:t>
            </w:r>
            <w:r>
              <w:rPr>
                <w:rFonts w:hint="eastAsia" w:ascii="宋体" w:hAnsi="宋体" w:cs="宋体"/>
                <w:bCs/>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240" w:lineRule="auto"/>
              <w:jc w:val="left"/>
              <w:rPr>
                <w:rFonts w:ascii="宋体" w:hAnsi="宋体" w:cs="宋体"/>
                <w:kern w:val="0"/>
                <w:szCs w:val="21"/>
              </w:rPr>
            </w:pPr>
            <w:r>
              <w:rPr>
                <w:rFonts w:hint="eastAsia" w:ascii="宋体" w:hAnsi="宋体" w:cs="宋体"/>
                <w:kern w:val="0"/>
                <w:szCs w:val="21"/>
              </w:rPr>
              <w:t>是否提供以下证明文件：</w:t>
            </w:r>
          </w:p>
          <w:p>
            <w:pPr>
              <w:numPr>
                <w:ilvl w:val="-1"/>
                <w:numId w:val="0"/>
              </w:numPr>
              <w:tabs>
                <w:tab w:val="left" w:pos="531"/>
              </w:tabs>
              <w:snapToGrid w:val="0"/>
              <w:ind w:left="0" w:firstLine="0"/>
              <w:rPr>
                <w:rFonts w:ascii="宋体" w:hAnsi="宋体" w:cs="宋体"/>
                <w:szCs w:val="21"/>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参加单位公章。被列入失信主体、经营异常的，将被拒绝参与本项目的采购活动。）</w:t>
            </w:r>
          </w:p>
          <w:p>
            <w:pPr>
              <w:numPr>
                <w:ilvl w:val="-1"/>
                <w:numId w:val="0"/>
              </w:numPr>
              <w:tabs>
                <w:tab w:val="left" w:pos="531"/>
              </w:tabs>
              <w:snapToGrid w:val="0"/>
              <w:ind w:left="0" w:firstLine="0"/>
              <w:rPr>
                <w:rFonts w:ascii="宋体" w:hAnsi="宋体" w:cs="宋体"/>
                <w:color w:val="auto"/>
                <w:highlight w:val="none"/>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参加单位的代表，必须是参加单位的法定代表人或持有法定代表人亲自签署的法人授权委托证明书的人员。（提供法定代表人证明书、法人授权委托证明书及法定代表人、被委托人身份证扫描件并加盖参加单位公章；如单位法定代表人为本项目授权代表，则仅需提供法定代表人证明书</w:t>
            </w:r>
            <w:r>
              <w:rPr>
                <w:rFonts w:hint="eastAsia" w:ascii="宋体" w:hAnsi="宋体" w:cs="宋体"/>
                <w:color w:val="auto"/>
                <w:highlight w:val="none"/>
              </w:rPr>
              <w:t>及身份证复印件，各证明书须加盖公章，身份证原件备查）。</w:t>
            </w:r>
          </w:p>
          <w:p>
            <w:pPr>
              <w:numPr>
                <w:ilvl w:val="-1"/>
                <w:numId w:val="0"/>
              </w:numPr>
              <w:snapToGrid/>
              <w:ind w:left="0" w:firstLine="0"/>
              <w:jc w:val="left"/>
              <w:rPr>
                <w:rFonts w:ascii="宋体" w:hAnsi="宋体" w:cs="宋体"/>
                <w:szCs w:val="21"/>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控制金额</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本项目报价是否超过人民币</w:t>
            </w:r>
            <w:r>
              <w:rPr>
                <w:rFonts w:hint="eastAsia" w:ascii="宋体" w:hAnsi="宋体" w:cs="宋体"/>
                <w:color w:val="FF0000"/>
                <w:szCs w:val="21"/>
                <w:highlight w:val="yellow"/>
                <w:lang w:val="en-US" w:eastAsia="zh-CN"/>
              </w:rPr>
              <w:t>6.176</w:t>
            </w:r>
            <w:r>
              <w:rPr>
                <w:rFonts w:hint="eastAsia" w:ascii="宋体" w:hAnsi="宋体" w:cs="宋体"/>
                <w:szCs w:val="21"/>
              </w:rPr>
              <w:t>万元（含税）</w:t>
            </w:r>
            <w:r>
              <w:rPr>
                <w:rFonts w:hint="eastAsia" w:ascii="宋体" w:hAnsi="宋体" w:cs="仿宋"/>
                <w:szCs w:val="21"/>
              </w:rPr>
              <w:t>，超过上述控制金额的视为无效报价</w:t>
            </w:r>
            <w:r>
              <w:rPr>
                <w:rFonts w:hint="eastAsia" w:ascii="宋体" w:hAnsi="宋体" w:cs="宋体"/>
                <w:szCs w:val="21"/>
              </w:rPr>
              <w:t>。</w:t>
            </w:r>
          </w:p>
        </w:tc>
      </w:tr>
    </w:tbl>
    <w:p>
      <w:pPr>
        <w:numPr>
          <w:ilvl w:val="0"/>
          <w:numId w:val="14"/>
        </w:numPr>
        <w:spacing w:before="156" w:beforeLines="50" w:line="300" w:lineRule="auto"/>
        <w:jc w:val="center"/>
        <w:outlineLvl w:val="1"/>
        <w:rPr>
          <w:rStyle w:val="26"/>
          <w:rFonts w:ascii="宋体" w:hAnsi="宋体" w:cs="宋体"/>
          <w:b/>
          <w:bCs/>
          <w:sz w:val="24"/>
        </w:rPr>
      </w:pPr>
      <w:bookmarkStart w:id="14" w:name="_Toc128989101"/>
      <w:r>
        <w:rPr>
          <w:rStyle w:val="26"/>
          <w:rFonts w:hint="eastAsia" w:ascii="宋体" w:hAnsi="宋体" w:cs="宋体"/>
          <w:b/>
          <w:bCs/>
          <w:sz w:val="24"/>
        </w:rPr>
        <w:t>价格评议</w:t>
      </w:r>
      <w:bookmarkEnd w:id="14"/>
    </w:p>
    <w:tbl>
      <w:tblPr>
        <w:tblStyle w:val="14"/>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b/>
                <w:szCs w:val="21"/>
              </w:rPr>
            </w:pPr>
            <w:r>
              <w:rPr>
                <w:rFonts w:hint="eastAsia" w:ascii="宋体" w:hAnsi="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vAlign w:val="center"/>
          </w:tcPr>
          <w:p>
            <w:pPr>
              <w:spacing w:line="240" w:lineRule="atLeast"/>
              <w:jc w:val="center"/>
            </w:pPr>
            <w:r>
              <w:rPr>
                <w:rFonts w:hint="eastAsia"/>
              </w:rPr>
              <w:t>评议标准及权重</w:t>
            </w:r>
          </w:p>
          <w:p>
            <w:pPr>
              <w:pStyle w:val="2"/>
            </w:pPr>
            <w:r>
              <w:rPr>
                <w:rFonts w:hint="eastAsia"/>
                <w:b/>
                <w:bCs/>
                <w:color w:val="FF0000"/>
              </w:rPr>
              <w:t>（说明：以下所称的“报价”均是指税前总金额，即净价）</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ascii="宋体" w:hAnsi="宋体" w:cs="宋体"/>
                <w:szCs w:val="21"/>
              </w:rPr>
            </w:pPr>
            <w:r>
              <w:rPr>
                <w:rFonts w:hint="eastAsia" w:ascii="宋体" w:hAnsi="宋体" w:cs="宋体"/>
                <w:szCs w:val="21"/>
              </w:rPr>
              <w:t>根据通过符合性检查的各参加单位的报价进行比较，报价价格最低得分最高。</w:t>
            </w:r>
          </w:p>
        </w:tc>
      </w:tr>
    </w:tbl>
    <w:p>
      <w:pPr>
        <w:numPr>
          <w:ilvl w:val="0"/>
          <w:numId w:val="1"/>
        </w:numPr>
        <w:spacing w:line="300" w:lineRule="auto"/>
        <w:outlineLvl w:val="0"/>
        <w:rPr>
          <w:rFonts w:ascii="宋体" w:hAnsi="宋体" w:cs="宋体"/>
          <w:b/>
          <w:sz w:val="24"/>
        </w:rPr>
      </w:pPr>
      <w:bookmarkStart w:id="15" w:name="_Toc128989102"/>
      <w:r>
        <w:rPr>
          <w:rFonts w:hint="eastAsia" w:ascii="宋体" w:hAnsi="宋体" w:cs="宋体"/>
          <w:b/>
          <w:sz w:val="24"/>
        </w:rPr>
        <w:t>采购结果</w:t>
      </w:r>
      <w:bookmarkEnd w:id="15"/>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16" w:name="_Toc128989103"/>
      <w:r>
        <w:rPr>
          <w:rFonts w:hint="eastAsia" w:ascii="宋体" w:hAnsi="宋体" w:cs="宋体"/>
          <w:b/>
          <w:sz w:val="24"/>
        </w:rPr>
        <w:t>合同条款及格式</w:t>
      </w:r>
      <w:bookmarkEnd w:id="16"/>
    </w:p>
    <w:p>
      <w:pPr>
        <w:jc w:val="center"/>
        <w:outlineLvl w:val="0"/>
        <w:rPr>
          <w:rFonts w:hint="eastAsia" w:ascii="方正小标宋简体" w:hAnsi="方正小标宋简体" w:eastAsia="方正小标宋简体" w:cs="方正小标宋简体"/>
          <w:bCs/>
          <w:kern w:val="0"/>
          <w:sz w:val="32"/>
          <w:szCs w:val="32"/>
        </w:rPr>
      </w:pPr>
      <w:bookmarkStart w:id="17" w:name="_Toc21806"/>
      <w:bookmarkStart w:id="18" w:name="_Toc22525"/>
      <w:r>
        <w:rPr>
          <w:rFonts w:hint="eastAsia" w:ascii="方正小标宋简体" w:hAnsi="方正小标宋简体" w:eastAsia="方正小标宋简体" w:cs="方正小标宋简体"/>
          <w:color w:val="auto"/>
          <w:sz w:val="32"/>
          <w:szCs w:val="32"/>
        </w:rPr>
        <w:t>第二十</w:t>
      </w:r>
      <w:r>
        <w:rPr>
          <w:rFonts w:hint="eastAsia" w:ascii="方正小标宋简体" w:hAnsi="方正小标宋简体" w:eastAsia="方正小标宋简体" w:cs="方正小标宋简体"/>
          <w:color w:val="auto"/>
          <w:sz w:val="32"/>
          <w:szCs w:val="32"/>
          <w:lang w:eastAsia="zh-CN"/>
        </w:rPr>
        <w:t>五</w:t>
      </w:r>
      <w:r>
        <w:rPr>
          <w:rFonts w:hint="eastAsia" w:ascii="方正小标宋简体" w:hAnsi="方正小标宋简体" w:eastAsia="方正小标宋简体" w:cs="方正小标宋简体"/>
          <w:color w:val="auto"/>
          <w:sz w:val="32"/>
          <w:szCs w:val="32"/>
        </w:rPr>
        <w:t>届高交会配置电瓶车及驾驶员项目</w:t>
      </w:r>
      <w:r>
        <w:rPr>
          <w:rFonts w:hint="eastAsia" w:ascii="方正小标宋简体" w:hAnsi="方正小标宋简体" w:eastAsia="方正小标宋简体" w:cs="方正小标宋简体"/>
          <w:bCs/>
          <w:kern w:val="0"/>
          <w:sz w:val="32"/>
          <w:szCs w:val="32"/>
        </w:rPr>
        <w:t>合同</w:t>
      </w:r>
      <w:bookmarkEnd w:id="17"/>
    </w:p>
    <w:p>
      <w:pPr>
        <w:pStyle w:val="2"/>
      </w:pPr>
    </w:p>
    <w:p/>
    <w:p>
      <w:pPr>
        <w:pStyle w:val="2"/>
      </w:pPr>
    </w:p>
    <w:p/>
    <w:p>
      <w:pPr>
        <w:pStyle w:val="2"/>
      </w:pPr>
    </w:p>
    <w:p/>
    <w:p>
      <w:pPr>
        <w:pStyle w:val="2"/>
      </w:pPr>
    </w:p>
    <w:bookmarkEnd w:id="18"/>
    <w:p>
      <w:pPr>
        <w:numPr>
          <w:ilvl w:val="0"/>
          <w:numId w:val="1"/>
        </w:numPr>
        <w:spacing w:line="300" w:lineRule="auto"/>
        <w:outlineLvl w:val="0"/>
        <w:rPr>
          <w:rFonts w:ascii="宋体" w:hAnsi="宋体" w:cs="宋体"/>
          <w:b/>
          <w:sz w:val="24"/>
        </w:rPr>
      </w:pPr>
      <w:bookmarkStart w:id="19" w:name="_Toc128989104"/>
      <w:r>
        <w:rPr>
          <w:rFonts w:hint="eastAsia" w:ascii="宋体" w:hAnsi="宋体" w:cs="宋体"/>
          <w:b/>
          <w:sz w:val="24"/>
        </w:rPr>
        <w:t>附件</w:t>
      </w:r>
      <w:bookmarkEnd w:id="19"/>
    </w:p>
    <w:p>
      <w:pPr>
        <w:pStyle w:val="11"/>
        <w:rPr>
          <w:rFonts w:ascii="仿宋" w:hAnsi="仿宋" w:eastAsia="仿宋" w:cs="仿宋"/>
          <w:sz w:val="28"/>
          <w:szCs w:val="28"/>
        </w:rPr>
      </w:pPr>
      <w:bookmarkStart w:id="20" w:name="_Toc478387760"/>
    </w:p>
    <w:p>
      <w:pPr>
        <w:spacing w:line="0" w:lineRule="atLeast"/>
        <w:outlineLvl w:val="0"/>
        <w:rPr>
          <w:rFonts w:ascii="宋体" w:hAnsi="宋体"/>
        </w:rPr>
      </w:pPr>
      <w:bookmarkStart w:id="21" w:name="_Toc128989105"/>
      <w:r>
        <w:rPr>
          <w:rFonts w:hint="eastAsia" w:ascii="仿宋" w:hAnsi="仿宋" w:eastAsia="仿宋" w:cs="仿宋"/>
          <w:sz w:val="28"/>
          <w:szCs w:val="28"/>
        </w:rPr>
        <w:t>附件1：报名回函</w:t>
      </w:r>
      <w:bookmarkEnd w:id="21"/>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22" w:name="_Toc128989106"/>
      <w:r>
        <w:rPr>
          <w:rFonts w:hint="eastAsia" w:ascii="仿宋" w:hAnsi="仿宋" w:eastAsia="仿宋" w:cs="仿宋"/>
          <w:sz w:val="28"/>
          <w:szCs w:val="28"/>
        </w:rPr>
        <w:t>附件2：考察证明</w:t>
      </w:r>
      <w:bookmarkEnd w:id="20"/>
      <w:bookmarkEnd w:id="22"/>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3"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23"/>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1"/>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4" w:name="_Toc12898910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24"/>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4"/>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8"/>
        <w:numPr>
          <w:ilvl w:val="1"/>
          <w:numId w:val="15"/>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15"/>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8"/>
        <w:numPr>
          <w:ilvl w:val="1"/>
          <w:numId w:val="15"/>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8"/>
        <w:numPr>
          <w:ilvl w:val="1"/>
          <w:numId w:val="15"/>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25" w:name="_Toc25356"/>
      <w:r>
        <w:rPr>
          <w:rFonts w:hint="eastAsia" w:ascii="仿宋" w:hAnsi="仿宋" w:eastAsia="仿宋" w:cs="仿宋"/>
          <w:sz w:val="28"/>
          <w:szCs w:val="28"/>
        </w:rPr>
        <w:t>日期：_________年____月____日</w:t>
      </w:r>
      <w:bookmarkEnd w:id="25"/>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6" w:name="_Toc128989108"/>
      <w:r>
        <w:rPr>
          <w:rFonts w:hint="eastAsia" w:ascii="仿宋" w:hAnsi="仿宋" w:eastAsia="仿宋" w:cs="仿宋"/>
          <w:sz w:val="28"/>
          <w:szCs w:val="28"/>
        </w:rPr>
        <w:t>附件4：报价一览表（服务）</w:t>
      </w:r>
      <w:bookmarkEnd w:id="26"/>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4"/>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8"/>
        <w:numPr>
          <w:ilvl w:val="1"/>
          <w:numId w:val="16"/>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8"/>
        <w:numPr>
          <w:ilvl w:val="1"/>
          <w:numId w:val="16"/>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8"/>
        <w:numPr>
          <w:ilvl w:val="1"/>
          <w:numId w:val="16"/>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27" w:name="_Toc211248412"/>
      <w:r>
        <w:rPr>
          <w:rFonts w:hint="eastAsia" w:ascii="仿宋" w:hAnsi="仿宋" w:eastAsia="仿宋" w:cs="仿宋"/>
          <w:sz w:val="28"/>
          <w:szCs w:val="28"/>
        </w:rPr>
        <w:br w:type="page"/>
      </w:r>
      <w:bookmarkEnd w:id="27"/>
      <w:bookmarkStart w:id="28" w:name="_Toc128989109"/>
      <w:bookmarkStart w:id="29"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28"/>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8"/>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8"/>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8"/>
        <w:numPr>
          <w:ilvl w:val="1"/>
          <w:numId w:val="17"/>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0" w:name="_Toc128989110"/>
      <w:r>
        <w:rPr>
          <w:rFonts w:hint="eastAsia" w:ascii="仿宋" w:hAnsi="仿宋" w:eastAsia="仿宋" w:cs="仿宋"/>
          <w:color w:val="000000"/>
          <w:sz w:val="28"/>
          <w:szCs w:val="28"/>
        </w:rPr>
        <w:t>附件6：商务条款响应/偏离表</w:t>
      </w:r>
      <w:bookmarkEnd w:id="30"/>
    </w:p>
    <w:p>
      <w:pPr>
        <w:adjustRightInd w:val="0"/>
        <w:snapToGrid w:val="0"/>
        <w:spacing w:before="240" w:after="240" w:line="400" w:lineRule="exact"/>
        <w:jc w:val="center"/>
        <w:rPr>
          <w:rFonts w:ascii="仿宋" w:hAnsi="仿宋" w:eastAsia="仿宋" w:cs="仿宋"/>
          <w:color w:val="000000"/>
          <w:sz w:val="28"/>
          <w:szCs w:val="28"/>
        </w:rPr>
      </w:pPr>
      <w:bookmarkStart w:id="31"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4"/>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8"/>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1"/>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2" w:name="_Toc236803114"/>
      <w:bookmarkStart w:id="33" w:name="_Toc128989111"/>
      <w:bookmarkStart w:id="34" w:name="_Toc85808702"/>
      <w:r>
        <w:rPr>
          <w:rFonts w:hint="eastAsia" w:ascii="仿宋" w:hAnsi="仿宋" w:eastAsia="仿宋" w:cs="仿宋"/>
          <w:color w:val="000000"/>
          <w:sz w:val="28"/>
          <w:szCs w:val="28"/>
        </w:rPr>
        <w:t>附件7： 技术（服务）响应/偏离表</w:t>
      </w:r>
      <w:bookmarkEnd w:id="32"/>
      <w:bookmarkEnd w:id="33"/>
      <w:bookmarkEnd w:id="34"/>
    </w:p>
    <w:p>
      <w:pPr>
        <w:adjustRightInd w:val="0"/>
        <w:snapToGrid w:val="0"/>
        <w:spacing w:before="240" w:after="240" w:line="400" w:lineRule="exact"/>
        <w:jc w:val="center"/>
        <w:rPr>
          <w:rFonts w:ascii="仿宋" w:hAnsi="仿宋" w:eastAsia="仿宋" w:cs="仿宋"/>
          <w:color w:val="000000"/>
          <w:sz w:val="28"/>
          <w:szCs w:val="28"/>
        </w:rPr>
      </w:pPr>
      <w:bookmarkStart w:id="35"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4"/>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8"/>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5"/>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1"/>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1"/>
        <w:outlineLvl w:val="0"/>
        <w:rPr>
          <w:rFonts w:ascii="仿宋" w:hAnsi="仿宋" w:eastAsia="仿宋" w:cs="仿宋"/>
          <w:sz w:val="28"/>
          <w:szCs w:val="28"/>
        </w:rPr>
      </w:pPr>
      <w:bookmarkStart w:id="36" w:name="_Toc128989112"/>
      <w:r>
        <w:rPr>
          <w:rFonts w:hint="eastAsia" w:ascii="仿宋" w:hAnsi="仿宋" w:eastAsia="仿宋" w:cs="仿宋"/>
          <w:sz w:val="28"/>
          <w:szCs w:val="28"/>
        </w:rPr>
        <w:t>附件8：法定代表人证明书</w:t>
      </w:r>
      <w:bookmarkEnd w:id="29"/>
      <w:bookmarkEnd w:id="36"/>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8"/>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8"/>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8"/>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37"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38" w:name="_Toc128989113"/>
      <w:r>
        <w:rPr>
          <w:rFonts w:hint="eastAsia" w:ascii="仿宋" w:hAnsi="仿宋" w:eastAsia="仿宋" w:cs="仿宋"/>
          <w:sz w:val="28"/>
          <w:szCs w:val="28"/>
        </w:rPr>
        <w:t>附件9：法人授权委托证明书</w:t>
      </w:r>
      <w:bookmarkEnd w:id="37"/>
      <w:bookmarkEnd w:id="38"/>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8"/>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8"/>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8"/>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AjW6QUbAgAAQgQAAA4AAABkcnMvZTJvRG9jLnhtbK1T&#10;227bMAx9H7B/EPS+2PHiNDHiFF2KDAO6C9DuAxRZtoXJoiYpsbOvHyW7WXbBHobpQRBF8pA8JDe3&#10;Q6fISVgnQZd0PkspEZpDJXVT0s9P+1crSpxnumIKtCjpWTh6u335YtObQmTQgqqEJQiiXdGbkrbe&#10;myJJHG9Fx9wMjNCorMF2zKNom6SyrEf0TiVZmi6THmxlLHDhHP7ej0q6jfh1Lbj/WNdOeKJKirn5&#10;eNt4H8KdbDesaCwzreRTGuwfsuiY1Bj0AnXPPCNHK3+D6iS34KD2Mw5dAnUtuYg1YDXz9JdqHltm&#10;RKwFyXHmQpP7f7D8w+mTJbLC3i3W2XqZLlZIk2Yd9upJDJ68gYG8DjT1xhVo/WjQ3g/4jS6xZGce&#10;gH9xRMOuZboRd9ZC3wpWYZrz4JlcuY44LoAc+vdQYRh29BCBhtp2gUNkhSA65nG+tCikwvEzy/N8&#10;dZNTwlE3X6brmyyPMVjx7G6s828FdCQ8SmpxBiI8Oz04H9JhxbNJiOZAyWovlYqCbQ47ZcmJ4bzs&#10;45nQfzJTmvQlXecY++8QaTx/guikx8FXsivp6tpI6YmwwNHIlh8Ow9SAA1RnpM7COMi4ePhowX6j&#10;pMchLqn7emRWUKLeaaR/PV8swtRHYZHfZCjYa83hWsM0R6iSekrG586Pm3I0VjYtRhobruEOW1bL&#10;SGbo7ZjVlDcOauR4WqqwCddytPqx+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HtZdkAAAAJ&#10;AQAADwAAAAAAAAABACAAAAAiAAAAZHJzL2Rvd25yZXYueG1sUEsBAhQAFAAAAAgAh07iQAjW6QUb&#10;AgAAQgQAAA4AAAAAAAAAAQAgAAAAKAEAAGRycy9lMm9Eb2MueG1sUEsFBgAAAAAGAAYAWQEAALUF&#10;A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idf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39" w:name="_Toc54773235"/>
      <w:bookmarkStart w:id="40" w:name="_Toc128989114"/>
      <w:r>
        <w:rPr>
          <w:rFonts w:hint="eastAsia" w:ascii="仿宋" w:hAnsi="仿宋" w:eastAsia="仿宋" w:cs="仿宋"/>
          <w:sz w:val="28"/>
          <w:szCs w:val="28"/>
        </w:rPr>
        <w:t>附件10：经营业绩一览表</w:t>
      </w:r>
      <w:bookmarkEnd w:id="39"/>
      <w:bookmarkEnd w:id="40"/>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4"/>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1" w:name="_Toc54773236"/>
      <w:bookmarkStart w:id="42" w:name="_Toc128989115"/>
      <w:r>
        <w:rPr>
          <w:rFonts w:hint="eastAsia" w:ascii="仿宋" w:hAnsi="仿宋" w:eastAsia="仿宋" w:cs="仿宋"/>
          <w:sz w:val="28"/>
          <w:szCs w:val="28"/>
        </w:rPr>
        <w:t>附件11：售后服务承诺书</w:t>
      </w:r>
      <w:bookmarkEnd w:id="41"/>
      <w:r>
        <w:rPr>
          <w:rFonts w:ascii="仿宋" w:hAnsi="仿宋" w:eastAsia="仿宋" w:cs="仿宋"/>
          <w:sz w:val="28"/>
          <w:szCs w:val="28"/>
        </w:rPr>
        <w:t>/质量保修服务承诺书（根据项目类型选择）</w:t>
      </w:r>
      <w:bookmarkEnd w:id="42"/>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43" w:name="_Toc32341"/>
      <w:r>
        <w:rPr>
          <w:rFonts w:hint="eastAsia" w:ascii="仿宋" w:hAnsi="仿宋" w:eastAsia="仿宋" w:cs="仿宋"/>
          <w:sz w:val="28"/>
          <w:szCs w:val="28"/>
        </w:rPr>
        <w:br w:type="page"/>
      </w:r>
      <w:bookmarkStart w:id="44" w:name="_Toc54773237"/>
      <w:bookmarkStart w:id="45" w:name="_Toc128989116"/>
      <w:r>
        <w:rPr>
          <w:rFonts w:hint="eastAsia" w:ascii="仿宋" w:hAnsi="仿宋" w:eastAsia="仿宋" w:cs="仿宋"/>
          <w:sz w:val="28"/>
          <w:szCs w:val="28"/>
        </w:rPr>
        <w:t>附件12：履约情况及社会信誉承诺书</w:t>
      </w:r>
      <w:bookmarkEnd w:id="43"/>
      <w:bookmarkEnd w:id="44"/>
      <w:bookmarkEnd w:id="45"/>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46"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46"/>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47" w:name="_Toc128989117"/>
      <w:r>
        <w:rPr>
          <w:rFonts w:hint="eastAsia" w:ascii="仿宋" w:hAnsi="仿宋" w:eastAsia="仿宋" w:cs="仿宋"/>
          <w:sz w:val="28"/>
          <w:szCs w:val="28"/>
        </w:rPr>
        <w:t>附件13：投标文件密码</w:t>
      </w:r>
      <w:bookmarkEnd w:id="47"/>
    </w:p>
    <w:p>
      <w:pPr>
        <w:spacing w:line="360" w:lineRule="auto"/>
        <w:jc w:val="center"/>
        <w:rPr>
          <w:rFonts w:ascii="宋体" w:hAnsi="宋体"/>
          <w:b/>
          <w:sz w:val="44"/>
          <w:szCs w:val="44"/>
        </w:rPr>
      </w:pPr>
    </w:p>
    <w:p>
      <w:pPr>
        <w:jc w:val="center"/>
        <w:rPr>
          <w:rFonts w:ascii="宋体" w:hAnsi="宋体"/>
          <w:b/>
          <w:color w:val="000000"/>
          <w:sz w:val="32"/>
          <w:szCs w:val="32"/>
        </w:rPr>
      </w:pPr>
      <w:bookmarkStart w:id="48"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48"/>
    </w:p>
    <w:p>
      <w:pPr>
        <w:jc w:val="center"/>
        <w:rPr>
          <w:rFonts w:ascii="宋体" w:hAnsi="宋体"/>
          <w:b/>
          <w:sz w:val="32"/>
          <w:szCs w:val="32"/>
        </w:rPr>
      </w:pPr>
      <w:r>
        <w:rPr>
          <w:rFonts w:hint="eastAsia" w:ascii="宋体" w:hAnsi="宋体"/>
          <w:b/>
          <w:sz w:val="32"/>
          <w:szCs w:val="32"/>
        </w:rPr>
        <w:t>投标文件密码单</w:t>
      </w:r>
    </w:p>
    <w:p>
      <w:pPr>
        <w:pStyle w:val="2"/>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26"/>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1"/>
        <w:numPr>
          <w:ilvl w:val="0"/>
          <w:numId w:val="26"/>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690857"/>
    <w:multiLevelType w:val="singleLevel"/>
    <w:tmpl w:val="CA690857"/>
    <w:lvl w:ilvl="0" w:tentative="0">
      <w:start w:val="1"/>
      <w:numFmt w:val="decimal"/>
      <w:lvlText w:val="（%1）"/>
      <w:lvlJc w:val="left"/>
      <w:pPr>
        <w:ind w:left="420" w:hanging="420"/>
      </w:pPr>
      <w:rPr>
        <w:rFonts w:hint="eastAsia"/>
      </w:rPr>
    </w:lvl>
  </w:abstractNum>
  <w:abstractNum w:abstractNumId="1">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singleLevel"/>
    <w:tmpl w:val="00000013"/>
    <w:lvl w:ilvl="0" w:tentative="0">
      <w:start w:val="1"/>
      <w:numFmt w:val="decimal"/>
      <w:lvlText w:val="%1."/>
      <w:lvlJc w:val="left"/>
      <w:pPr>
        <w:ind w:left="420" w:hanging="420"/>
      </w:pPr>
    </w:lvl>
  </w:abstractNum>
  <w:abstractNum w:abstractNumId="5">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8">
    <w:nsid w:val="21305886"/>
    <w:multiLevelType w:val="singleLevel"/>
    <w:tmpl w:val="21305886"/>
    <w:lvl w:ilvl="0" w:tentative="0">
      <w:start w:val="1"/>
      <w:numFmt w:val="decimal"/>
      <w:lvlText w:val="（%1）"/>
      <w:lvlJc w:val="left"/>
      <w:pPr>
        <w:ind w:left="420" w:hanging="420"/>
      </w:pPr>
      <w:rPr>
        <w:rFonts w:hint="eastAsia"/>
      </w:rPr>
    </w:lvl>
  </w:abstractNum>
  <w:abstractNum w:abstractNumId="9">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12D07C1"/>
    <w:multiLevelType w:val="singleLevel"/>
    <w:tmpl w:val="312D07C1"/>
    <w:lvl w:ilvl="0" w:tentative="0">
      <w:start w:val="1"/>
      <w:numFmt w:val="decimal"/>
      <w:suff w:val="nothing"/>
      <w:lvlText w:val="%1、"/>
      <w:lvlJc w:val="left"/>
    </w:lvl>
  </w:abstractNum>
  <w:abstractNum w:abstractNumId="11">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4">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72D6470"/>
    <w:multiLevelType w:val="singleLevel"/>
    <w:tmpl w:val="472D6470"/>
    <w:lvl w:ilvl="0" w:tentative="0">
      <w:start w:val="1"/>
      <w:numFmt w:val="decimal"/>
      <w:lvlText w:val="%1."/>
      <w:lvlJc w:val="left"/>
      <w:pPr>
        <w:ind w:left="425" w:hanging="425"/>
      </w:pPr>
      <w:rPr>
        <w:rFonts w:hint="default"/>
      </w:rPr>
    </w:lvl>
  </w:abstractNum>
  <w:abstractNum w:abstractNumId="16">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17">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19">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1">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2">
    <w:nsid w:val="750E760B"/>
    <w:multiLevelType w:val="singleLevel"/>
    <w:tmpl w:val="750E760B"/>
    <w:lvl w:ilvl="0" w:tentative="0">
      <w:start w:val="1"/>
      <w:numFmt w:val="decimal"/>
      <w:lvlText w:val="（%1）"/>
      <w:lvlJc w:val="left"/>
      <w:pPr>
        <w:ind w:left="420" w:hanging="420"/>
      </w:pPr>
      <w:rPr>
        <w:rFonts w:hint="eastAsia"/>
      </w:rPr>
    </w:lvl>
  </w:abstractNum>
  <w:abstractNum w:abstractNumId="23">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ED17433"/>
    <w:multiLevelType w:val="singleLevel"/>
    <w:tmpl w:val="7ED17433"/>
    <w:lvl w:ilvl="0" w:tentative="0">
      <w:start w:val="1"/>
      <w:numFmt w:val="decimal"/>
      <w:lvlText w:val="（%1）"/>
      <w:lvlJc w:val="left"/>
      <w:pPr>
        <w:ind w:left="420" w:hanging="420"/>
      </w:pPr>
      <w:rPr>
        <w:rFonts w:hint="eastAsia"/>
      </w:rPr>
    </w:lvl>
  </w:abstractNum>
  <w:num w:numId="1">
    <w:abstractNumId w:val="16"/>
  </w:num>
  <w:num w:numId="2">
    <w:abstractNumId w:val="21"/>
  </w:num>
  <w:num w:numId="3">
    <w:abstractNumId w:val="12"/>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17"/>
  </w:num>
  <w:num w:numId="9">
    <w:abstractNumId w:val="24"/>
  </w:num>
  <w:num w:numId="10">
    <w:abstractNumId w:val="8"/>
  </w:num>
  <w:num w:numId="11">
    <w:abstractNumId w:val="22"/>
  </w:num>
  <w:num w:numId="12">
    <w:abstractNumId w:val="10"/>
  </w:num>
  <w:num w:numId="13">
    <w:abstractNumId w:val="15"/>
  </w:num>
  <w:num w:numId="14">
    <w:abstractNumId w:val="3"/>
  </w:num>
  <w:num w:numId="15">
    <w:abstractNumId w:val="20"/>
  </w:num>
  <w:num w:numId="16">
    <w:abstractNumId w:val="13"/>
  </w:num>
  <w:num w:numId="17">
    <w:abstractNumId w:val="11"/>
  </w:num>
  <w:num w:numId="18">
    <w:abstractNumId w:val="1"/>
  </w:num>
  <w:num w:numId="19">
    <w:abstractNumId w:val="5"/>
  </w:num>
  <w:num w:numId="20">
    <w:abstractNumId w:val="2"/>
  </w:num>
  <w:num w:numId="21">
    <w:abstractNumId w:val="23"/>
  </w:num>
  <w:num w:numId="22">
    <w:abstractNumId w:val="14"/>
  </w:num>
  <w:num w:numId="23">
    <w:abstractNumId w:val="19"/>
  </w:num>
  <w:num w:numId="24">
    <w:abstractNumId w:val="4"/>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287517D"/>
    <w:rsid w:val="030E435A"/>
    <w:rsid w:val="038B1947"/>
    <w:rsid w:val="03914474"/>
    <w:rsid w:val="05623C89"/>
    <w:rsid w:val="06D05917"/>
    <w:rsid w:val="09550008"/>
    <w:rsid w:val="0BB540F7"/>
    <w:rsid w:val="0CBF3E0A"/>
    <w:rsid w:val="0D6C68DD"/>
    <w:rsid w:val="0DE325EB"/>
    <w:rsid w:val="0FA308B5"/>
    <w:rsid w:val="0FE67E91"/>
    <w:rsid w:val="0FF30054"/>
    <w:rsid w:val="114C469F"/>
    <w:rsid w:val="11672EFE"/>
    <w:rsid w:val="12233FCD"/>
    <w:rsid w:val="12843799"/>
    <w:rsid w:val="15D04111"/>
    <w:rsid w:val="17F6273C"/>
    <w:rsid w:val="1828123D"/>
    <w:rsid w:val="18A624A5"/>
    <w:rsid w:val="1B9A1A18"/>
    <w:rsid w:val="1CCD79EE"/>
    <w:rsid w:val="1D012599"/>
    <w:rsid w:val="1D9D4BEE"/>
    <w:rsid w:val="1E020668"/>
    <w:rsid w:val="1E1C321D"/>
    <w:rsid w:val="1E6A5405"/>
    <w:rsid w:val="220B67BF"/>
    <w:rsid w:val="22C64C6F"/>
    <w:rsid w:val="22C90A12"/>
    <w:rsid w:val="252941C0"/>
    <w:rsid w:val="27CA0ACD"/>
    <w:rsid w:val="28413D6F"/>
    <w:rsid w:val="28C21443"/>
    <w:rsid w:val="298D33FE"/>
    <w:rsid w:val="2A694883"/>
    <w:rsid w:val="2B733A0B"/>
    <w:rsid w:val="2D341708"/>
    <w:rsid w:val="2DD81582"/>
    <w:rsid w:val="2FAD3F9D"/>
    <w:rsid w:val="2FB81CD2"/>
    <w:rsid w:val="32A82BA2"/>
    <w:rsid w:val="33984304"/>
    <w:rsid w:val="347E0722"/>
    <w:rsid w:val="3486272E"/>
    <w:rsid w:val="360109F6"/>
    <w:rsid w:val="36F03147"/>
    <w:rsid w:val="376406E3"/>
    <w:rsid w:val="376E2FF2"/>
    <w:rsid w:val="37C91299"/>
    <w:rsid w:val="37CB1E7C"/>
    <w:rsid w:val="37E94C59"/>
    <w:rsid w:val="38322BBF"/>
    <w:rsid w:val="38C86E00"/>
    <w:rsid w:val="3A111A8F"/>
    <w:rsid w:val="3AD75885"/>
    <w:rsid w:val="3B40215F"/>
    <w:rsid w:val="3BCF39AC"/>
    <w:rsid w:val="3BEA21CB"/>
    <w:rsid w:val="3C681CBB"/>
    <w:rsid w:val="3C974E78"/>
    <w:rsid w:val="3D0C7562"/>
    <w:rsid w:val="3E857452"/>
    <w:rsid w:val="3F5E1222"/>
    <w:rsid w:val="41AE46E3"/>
    <w:rsid w:val="44663420"/>
    <w:rsid w:val="4479539E"/>
    <w:rsid w:val="44D742D8"/>
    <w:rsid w:val="452E5288"/>
    <w:rsid w:val="481C5C5C"/>
    <w:rsid w:val="48D32A87"/>
    <w:rsid w:val="4C314B4E"/>
    <w:rsid w:val="4C844900"/>
    <w:rsid w:val="4E3426DD"/>
    <w:rsid w:val="4E976357"/>
    <w:rsid w:val="50764612"/>
    <w:rsid w:val="51CB596B"/>
    <w:rsid w:val="52EE0307"/>
    <w:rsid w:val="52F57C70"/>
    <w:rsid w:val="53FE2BDF"/>
    <w:rsid w:val="55C74643"/>
    <w:rsid w:val="561332A1"/>
    <w:rsid w:val="57CC741D"/>
    <w:rsid w:val="5991464D"/>
    <w:rsid w:val="5B6C034E"/>
    <w:rsid w:val="5C9546B7"/>
    <w:rsid w:val="5CA52C31"/>
    <w:rsid w:val="5D330AA9"/>
    <w:rsid w:val="5E0D38C9"/>
    <w:rsid w:val="5EB66460"/>
    <w:rsid w:val="5F7C7776"/>
    <w:rsid w:val="619B20E5"/>
    <w:rsid w:val="63141A74"/>
    <w:rsid w:val="63A4160E"/>
    <w:rsid w:val="67027BAA"/>
    <w:rsid w:val="67DD1DA1"/>
    <w:rsid w:val="68881A26"/>
    <w:rsid w:val="68D4038F"/>
    <w:rsid w:val="69A30E21"/>
    <w:rsid w:val="6AD21273"/>
    <w:rsid w:val="6C67460F"/>
    <w:rsid w:val="6D9018A4"/>
    <w:rsid w:val="6E1B6D8D"/>
    <w:rsid w:val="6E597A7A"/>
    <w:rsid w:val="6F4A172C"/>
    <w:rsid w:val="6FBE3414"/>
    <w:rsid w:val="74701065"/>
    <w:rsid w:val="75106734"/>
    <w:rsid w:val="751975AF"/>
    <w:rsid w:val="755A63B4"/>
    <w:rsid w:val="75864917"/>
    <w:rsid w:val="75B2461E"/>
    <w:rsid w:val="764269C5"/>
    <w:rsid w:val="778B51DA"/>
    <w:rsid w:val="78D435AA"/>
    <w:rsid w:val="7A734913"/>
    <w:rsid w:val="7AAD518C"/>
    <w:rsid w:val="7CC844A3"/>
    <w:rsid w:val="7D910439"/>
    <w:rsid w:val="7DBE67E3"/>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0"/>
    <w:unhideWhenUsed/>
    <w:qFormat/>
    <w:uiPriority w:val="99"/>
    <w:pPr>
      <w:jc w:val="left"/>
    </w:pPr>
  </w:style>
  <w:style w:type="paragraph" w:styleId="4">
    <w:name w:val="Body Text Indent"/>
    <w:basedOn w:val="1"/>
    <w:link w:val="21"/>
    <w:qFormat/>
    <w:uiPriority w:val="0"/>
    <w:pPr>
      <w:spacing w:after="120"/>
      <w:ind w:left="420" w:leftChars="200"/>
    </w:pPr>
  </w:style>
  <w:style w:type="paragraph" w:styleId="5">
    <w:name w:val="Date"/>
    <w:basedOn w:val="1"/>
    <w:next w:val="1"/>
    <w:link w:val="22"/>
    <w:unhideWhenUsed/>
    <w:qFormat/>
    <w:uiPriority w:val="99"/>
    <w:pPr>
      <w:ind w:left="100" w:leftChars="2500"/>
    </w:pPr>
  </w:style>
  <w:style w:type="paragraph" w:styleId="6">
    <w:name w:val="Balloon Text"/>
    <w:basedOn w:val="1"/>
    <w:link w:val="23"/>
    <w:unhideWhenUsed/>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5"/>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unhideWhenUsed/>
    <w:qFormat/>
    <w:uiPriority w:val="99"/>
    <w:rPr>
      <w:sz w:val="21"/>
      <w:szCs w:val="21"/>
    </w:rPr>
  </w:style>
  <w:style w:type="character" w:customStyle="1" w:styleId="20">
    <w:name w:val="批注文字 字符"/>
    <w:link w:val="3"/>
    <w:semiHidden/>
    <w:qFormat/>
    <w:uiPriority w:val="99"/>
    <w:rPr>
      <w:kern w:val="2"/>
      <w:sz w:val="21"/>
      <w:szCs w:val="24"/>
    </w:rPr>
  </w:style>
  <w:style w:type="character" w:customStyle="1" w:styleId="21">
    <w:name w:val="正文文本缩进 字符"/>
    <w:link w:val="4"/>
    <w:qFormat/>
    <w:uiPriority w:val="0"/>
    <w:rPr>
      <w:kern w:val="2"/>
      <w:sz w:val="21"/>
      <w:szCs w:val="24"/>
    </w:rPr>
  </w:style>
  <w:style w:type="character" w:customStyle="1" w:styleId="22">
    <w:name w:val="日期 字符"/>
    <w:link w:val="5"/>
    <w:semiHidden/>
    <w:qFormat/>
    <w:uiPriority w:val="99"/>
    <w:rPr>
      <w:kern w:val="2"/>
      <w:sz w:val="21"/>
      <w:szCs w:val="24"/>
    </w:rPr>
  </w:style>
  <w:style w:type="character" w:customStyle="1" w:styleId="23">
    <w:name w:val="批注框文本 字符"/>
    <w:link w:val="6"/>
    <w:semiHidden/>
    <w:qFormat/>
    <w:uiPriority w:val="99"/>
    <w:rPr>
      <w:kern w:val="2"/>
      <w:sz w:val="18"/>
      <w:szCs w:val="18"/>
    </w:rPr>
  </w:style>
  <w:style w:type="character" w:customStyle="1" w:styleId="24">
    <w:name w:val="页脚 字符"/>
    <w:link w:val="7"/>
    <w:qFormat/>
    <w:uiPriority w:val="99"/>
    <w:rPr>
      <w:kern w:val="2"/>
      <w:sz w:val="18"/>
      <w:szCs w:val="18"/>
    </w:rPr>
  </w:style>
  <w:style w:type="character" w:customStyle="1" w:styleId="25">
    <w:name w:val="批注主题 字符"/>
    <w:link w:val="13"/>
    <w:semiHidden/>
    <w:qFormat/>
    <w:uiPriority w:val="99"/>
    <w:rPr>
      <w:b/>
      <w:bCs/>
      <w:kern w:val="2"/>
      <w:sz w:val="21"/>
      <w:szCs w:val="24"/>
    </w:rPr>
  </w:style>
  <w:style w:type="character" w:customStyle="1" w:styleId="26">
    <w:name w:val="标题1"/>
    <w:basedOn w:val="16"/>
    <w:qFormat/>
    <w:uiPriority w:val="0"/>
  </w:style>
  <w:style w:type="paragraph" w:customStyle="1" w:styleId="27">
    <w:name w:val="表1"/>
    <w:basedOn w:val="1"/>
    <w:qFormat/>
    <w:uiPriority w:val="0"/>
    <w:pPr>
      <w:spacing w:line="360" w:lineRule="auto"/>
      <w:jc w:val="center"/>
    </w:pPr>
    <w:rPr>
      <w:rFonts w:hAnsi="宋体"/>
      <w:b/>
      <w:bCs/>
      <w:sz w:val="24"/>
    </w:rPr>
  </w:style>
  <w:style w:type="paragraph" w:styleId="28">
    <w:name w:val="List Paragraph"/>
    <w:basedOn w:val="1"/>
    <w:qFormat/>
    <w:uiPriority w:val="34"/>
    <w:pPr>
      <w:ind w:firstLine="420" w:firstLineChars="200"/>
    </w:pPr>
  </w:style>
  <w:style w:type="paragraph" w:styleId="2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2019</Words>
  <Characters>11510</Characters>
  <Lines>95</Lines>
  <Paragraphs>27</Paragraphs>
  <TotalTime>27</TotalTime>
  <ScaleCrop>false</ScaleCrop>
  <LinksUpToDate>false</LinksUpToDate>
  <CharactersWithSpaces>13502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黄奕璋</cp:lastModifiedBy>
  <cp:lastPrinted>2021-12-03T01:58:00Z</cp:lastPrinted>
  <dcterms:modified xsi:type="dcterms:W3CDTF">2023-10-07T07:08:27Z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70A33A35C6D94D6198C02A298D1E7EDA</vt:lpwstr>
  </property>
</Properties>
</file>