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深圳会展中心办公用房设备设施维修更新项目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_Toc24054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_Toc24054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_Toc20442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_Toc20442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_Toc19717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_Toc19717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_Toc23602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_Toc23602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_Toc23824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_Toc23824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_Toc18420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_Toc18420 \h </w:instrText>
      </w:r>
      <w:r>
        <w:fldChar w:fldCharType="separate"/>
      </w:r>
      <w:r>
        <w:t>6</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_Toc5312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_Toc5312 \h </w:instrText>
      </w:r>
      <w:r>
        <w:fldChar w:fldCharType="separate"/>
      </w:r>
      <w:r>
        <w:t>12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_Toc17439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_Toc17439 \h </w:instrText>
      </w:r>
      <w:r>
        <w:fldChar w:fldCharType="separate"/>
      </w:r>
      <w:r>
        <w:t>12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_Toc31275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_Toc31275 \h </w:instrText>
      </w:r>
      <w:r>
        <w:fldChar w:fldCharType="separate"/>
      </w:r>
      <w:r>
        <w:t>12</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_Toc15166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_Toc15166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_Toc32590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_Toc32590 \h </w:instrText>
      </w:r>
      <w:r>
        <w:fldChar w:fldCharType="separate"/>
      </w:r>
      <w:r>
        <w:t>13</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_Toc19058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_Toc19058 \h </w:instrText>
      </w:r>
      <w:r>
        <w:fldChar w:fldCharType="separate"/>
      </w:r>
      <w:r>
        <w:t>13</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_Toc23419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_Toc23419 \h </w:instrText>
      </w:r>
      <w:r>
        <w:fldChar w:fldCharType="separate"/>
      </w:r>
      <w:r>
        <w:t>13</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_Toc26543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_Toc26543 \h </w:instrText>
      </w:r>
      <w:r>
        <w:fldChar w:fldCharType="separate"/>
      </w:r>
      <w:r>
        <w:t>13</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_Toc280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_Toc280 \h </w:instrText>
      </w:r>
      <w:r>
        <w:fldChar w:fldCharType="separate"/>
      </w:r>
      <w:r>
        <w:t>16</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_Toc18175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_Toc18175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_Toc6746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_Toc6746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_Toc24265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_Toc24265 \h </w:instrText>
      </w:r>
      <w:r>
        <w:fldChar w:fldCharType="separate"/>
      </w:r>
      <w:r>
        <w:t>20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_Toc3305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_Toc3305 \h </w:instrText>
      </w:r>
      <w:r>
        <w:fldChar w:fldCharType="separate"/>
      </w:r>
      <w:r>
        <w:t>21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_Toc11122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_Toc11122 \h </w:instrText>
      </w:r>
      <w:r>
        <w:fldChar w:fldCharType="separate"/>
      </w:r>
      <w:r>
        <w:t>22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_Toc17293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_Toc17293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_Toc5323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_Toc5323 \h </w:instrText>
      </w:r>
      <w:r>
        <w:fldChar w:fldCharType="separate"/>
      </w:r>
      <w:r>
        <w:t>24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_Toc13906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_Toc13906 \h </w:instrText>
      </w:r>
      <w:r>
        <w:fldChar w:fldCharType="separate"/>
      </w:r>
      <w:r>
        <w:t>25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_Toc11306 </w:instrText>
      </w:r>
      <w:r>
        <w:rPr>
          <w:rFonts w:hint="eastAsia" w:ascii="宋体" w:hAnsi="宋体" w:cs="仿宋"/>
          <w:szCs w:val="21"/>
        </w:rPr>
        <w:fldChar w:fldCharType="separate"/>
      </w:r>
      <w:r>
        <w:rPr>
          <w:rFonts w:hint="eastAsia" w:ascii="宋体" w:hAnsi="宋体"/>
          <w:szCs w:val="21"/>
        </w:rPr>
        <w:t>附件8：报价一览表（服务）（本项目不适用）</w:t>
      </w:r>
      <w:r>
        <w:tab/>
      </w:r>
      <w:r>
        <w:fldChar w:fldCharType="begin"/>
      </w:r>
      <w:r>
        <w:instrText xml:space="preserve"> PAGEREF _Toc11306 \h </w:instrText>
      </w:r>
      <w:r>
        <w:fldChar w:fldCharType="separate"/>
      </w:r>
      <w:r>
        <w:t>26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_Toc11465 </w:instrText>
      </w:r>
      <w:r>
        <w:rPr>
          <w:rFonts w:hint="eastAsia" w:ascii="宋体" w:hAnsi="宋体" w:cs="仿宋"/>
          <w:szCs w:val="21"/>
        </w:rPr>
        <w:fldChar w:fldCharType="separate"/>
      </w:r>
      <w:r>
        <w:rPr>
          <w:rFonts w:hint="eastAsia" w:ascii="宋体" w:hAnsi="宋体"/>
          <w:szCs w:val="21"/>
        </w:rPr>
        <w:t>附件9：报价一览表（工程）</w:t>
      </w:r>
      <w:r>
        <w:tab/>
      </w:r>
      <w:r>
        <w:fldChar w:fldCharType="begin"/>
      </w:r>
      <w:r>
        <w:instrText xml:space="preserve"> PAGEREF _Toc11465 \h </w:instrText>
      </w:r>
      <w:r>
        <w:fldChar w:fldCharType="separate"/>
      </w:r>
      <w:r>
        <w:t>27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_Toc28711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_Toc28711 \h </w:instrText>
      </w:r>
      <w:r>
        <w:fldChar w:fldCharType="separate"/>
      </w:r>
      <w:r>
        <w:t>28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_Toc21325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_Toc21325 \h </w:instrText>
      </w:r>
      <w:r>
        <w:fldChar w:fldCharType="separate"/>
      </w:r>
      <w:r>
        <w:t>29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_Toc27467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_Toc27467 \h </w:instrText>
      </w:r>
      <w:r>
        <w:fldChar w:fldCharType="separate"/>
      </w:r>
      <w:r>
        <w:t>30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_Toc17269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_Toc17269 \h </w:instrText>
      </w:r>
      <w:r>
        <w:fldChar w:fldCharType="separate"/>
      </w:r>
      <w:r>
        <w:t>31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_Toc27958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_Toc27958 \h </w:instrText>
      </w:r>
      <w:r>
        <w:fldChar w:fldCharType="separate"/>
      </w:r>
      <w:r>
        <w:t>32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_Toc24864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_Toc24864 \h </w:instrText>
      </w:r>
      <w:r>
        <w:fldChar w:fldCharType="separate"/>
      </w:r>
      <w:r>
        <w:t>33</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2405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20442"/>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名称：深圳会展中心管理有限责任公司</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联系地址：深圳市福田区福华三路深圳会展中心</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联系人：黄生</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电话：0755-82848822</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color w:val="000000" w:themeColor="text1"/>
                <w:szCs w:val="21"/>
                <w14:textFill>
                  <w14:solidFill>
                    <w14:schemeClr w14:val="tx1"/>
                  </w14:solidFill>
                </w14:textFill>
              </w:rPr>
              <w:t>邮箱：</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HYPERLINK "mailto:cghyz@chtf.com"</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Style w:val="18"/>
                <w:rFonts w:hint="eastAsia" w:ascii="宋体" w:hAnsi="宋体"/>
                <w:color w:val="000000" w:themeColor="text1"/>
                <w:szCs w:val="21"/>
                <w14:textFill>
                  <w14:solidFill>
                    <w14:schemeClr w14:val="tx1"/>
                  </w14:solidFill>
                </w14:textFill>
              </w:rPr>
              <w:t>cghyz@chtf.com</w:t>
            </w:r>
            <w:r>
              <w:rPr>
                <w:rFonts w:ascii="宋体" w:hAnsi="宋体"/>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lang w:val="en-US" w:eastAsia="zh-CN"/>
              </w:rPr>
              <w:t>深圳会展中心办公用房设备设施维修更新项目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eastAsia" w:ascii="宋体" w:hAnsi="宋体" w:eastAsia="宋体"/>
                <w:szCs w:val="21"/>
                <w:lang w:eastAsia="zh-CN"/>
              </w:rPr>
            </w:pPr>
            <w:r>
              <w:rPr>
                <w:rFonts w:hint="eastAsia" w:ascii="宋体" w:hAnsi="宋体"/>
                <w:color w:val="FF0000"/>
                <w:szCs w:val="21"/>
                <w:highlight w:val="yellow"/>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lang w:val="en-US" w:eastAsia="zh-CN"/>
              </w:rPr>
              <w:t>为缓解办公用房不足，拟对314部分房间设备设施进行维修更新</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https://cg.szcec.com/sharing/QENeueipW，</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hint="eastAsia" w:ascii="宋体" w:hAnsi="宋体"/>
                <w:szCs w:val="21"/>
              </w:rPr>
            </w:pPr>
            <w:r>
              <w:rPr>
                <w:rFonts w:hint="eastAsia" w:ascii="宋体" w:hAnsi="宋体"/>
                <w:szCs w:val="21"/>
              </w:rPr>
              <w:t>深圳会展中心官网采购公告栏目下载:</w:t>
            </w:r>
          </w:p>
          <w:p>
            <w:pPr>
              <w:autoSpaceDE w:val="0"/>
              <w:autoSpaceDN w:val="0"/>
              <w:adjustRightInd w:val="0"/>
              <w:snapToGrid w:val="0"/>
              <w:jc w:val="left"/>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https://cg.szcec.com/sharing/bk13vzctG，</w:t>
            </w:r>
            <w:r>
              <w:rPr>
                <w:rFonts w:hint="eastAsia" w:ascii="宋体" w:hAnsi="宋体"/>
                <w:szCs w:val="21"/>
              </w:rPr>
              <w:t>并致电确认</w:t>
            </w:r>
            <w:bookmarkStart w:id="2" w:name="_Toc478110532"/>
            <w:bookmarkStart w:id="3" w:name="_Toc478393187"/>
            <w:bookmarkStart w:id="4"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rPr>
              <w:t>970-812-842</w:t>
            </w:r>
            <w:bookmarkStart w:id="94" w:name="_GoBack"/>
            <w:bookmarkEnd w:id="94"/>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https://cg.szcec.com/sharing/HYxUhR1sT</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theme="minorBidi"/>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kern w:val="0"/>
                <w:szCs w:val="21"/>
                <w:highlight w:val="none"/>
              </w:rPr>
            </w:pPr>
            <w:r>
              <w:rPr>
                <w:rFonts w:hint="eastAsia" w:ascii="宋体" w:hAnsi="宋体" w:eastAsia="宋体"/>
                <w:kern w:val="0"/>
                <w:szCs w:val="21"/>
                <w:highlight w:val="none"/>
              </w:rPr>
              <w:t>投标人是否必须参加：</w:t>
            </w:r>
          </w:p>
          <w:p>
            <w:pPr>
              <w:pStyle w:val="22"/>
              <w:tabs>
                <w:tab w:val="left" w:pos="541"/>
              </w:tabs>
              <w:snapToGrid w:val="0"/>
              <w:ind w:left="805" w:firstLine="8" w:firstLineChars="4"/>
              <w:rPr>
                <w:rFonts w:ascii="宋体" w:hAnsi="宋体" w:eastAsia="宋体"/>
                <w:kern w:val="0"/>
                <w:szCs w:val="21"/>
                <w:highlight w:val="none"/>
              </w:rPr>
            </w:pPr>
            <w:r>
              <w:rPr>
                <w:rFonts w:hint="eastAsia" w:ascii="宋体" w:hAnsi="宋体" w:eastAsia="宋体"/>
                <w:kern w:val="0"/>
                <w:szCs w:val="21"/>
                <w:highlight w:val="none"/>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highlight w:val="none"/>
              </w:rPr>
            </w:pPr>
            <w:r>
              <w:rPr>
                <w:rFonts w:hint="eastAsia" w:ascii="宋体" w:hAnsi="宋体" w:eastAsia="宋体"/>
                <w:kern w:val="0"/>
                <w:szCs w:val="21"/>
                <w:highlight w:val="none"/>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highlight w:val="none"/>
              </w:rPr>
            </w:pPr>
            <w:r>
              <w:rPr>
                <w:rFonts w:hint="eastAsia" w:ascii="宋体" w:hAnsi="宋体" w:eastAsia="宋体"/>
                <w:kern w:val="0"/>
                <w:szCs w:val="21"/>
                <w:highlight w:val="none"/>
              </w:rPr>
              <w:t>招标人定于202</w:t>
            </w:r>
            <w:r>
              <w:rPr>
                <w:rFonts w:hint="eastAsia" w:ascii="宋体" w:hAnsi="宋体" w:eastAsia="宋体"/>
                <w:kern w:val="0"/>
                <w:szCs w:val="21"/>
                <w:highlight w:val="none"/>
                <w:lang w:val="en-US" w:eastAsia="zh-CN"/>
              </w:rPr>
              <w:t>3</w:t>
            </w:r>
            <w:r>
              <w:rPr>
                <w:rFonts w:hint="eastAsia" w:ascii="宋体" w:hAnsi="宋体" w:eastAsia="宋体"/>
                <w:kern w:val="0"/>
                <w:szCs w:val="21"/>
                <w:highlight w:val="none"/>
              </w:rPr>
              <w:t>-邀请投标人人员察看现场并讲解项目需求；投标人应指派符合要求的人员参加本项目的现场踏勘。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highlight w:val="none"/>
              </w:rPr>
            </w:pPr>
            <w:r>
              <w:rPr>
                <w:rFonts w:hint="eastAsia" w:ascii="宋体" w:hAnsi="宋体" w:eastAsia="宋体"/>
                <w:kern w:val="0"/>
                <w:szCs w:val="21"/>
                <w:highlight w:val="none"/>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highlight w:val="none"/>
              </w:rPr>
            </w:pPr>
            <w:r>
              <w:rPr>
                <w:rFonts w:hint="eastAsia" w:ascii="宋体" w:hAnsi="宋体" w:eastAsia="宋体"/>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highlight w:val="none"/>
              </w:rPr>
            </w:pPr>
            <w:r>
              <w:rPr>
                <w:rFonts w:hint="eastAsia" w:ascii="宋体" w:hAnsi="宋体" w:eastAsia="宋体"/>
                <w:kern w:val="0"/>
                <w:highlight w:val="none"/>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highlight w:val="none"/>
              </w:rPr>
            </w:pPr>
            <w:r>
              <w:rPr>
                <w:rFonts w:hint="eastAsia" w:ascii="宋体" w:hAnsi="宋体" w:eastAsia="宋体"/>
                <w:kern w:val="0"/>
                <w:szCs w:val="21"/>
                <w:highlight w:val="none"/>
              </w:rPr>
              <w:t>踏勘联系人：</w:t>
            </w:r>
            <w:r>
              <w:rPr>
                <w:rFonts w:hint="eastAsia" w:ascii="宋体" w:hAnsi="宋体" w:eastAsia="宋体"/>
                <w:kern w:val="0"/>
                <w:szCs w:val="21"/>
                <w:highlight w:val="none"/>
                <w:lang w:val="en-US" w:eastAsia="zh-CN"/>
              </w:rPr>
              <w:t>XXX</w:t>
            </w:r>
          </w:p>
          <w:p>
            <w:pPr>
              <w:pStyle w:val="22"/>
              <w:tabs>
                <w:tab w:val="left" w:pos="541"/>
              </w:tabs>
              <w:snapToGrid w:val="0"/>
              <w:ind w:left="805" w:firstLine="0" w:firstLineChars="0"/>
              <w:rPr>
                <w:rFonts w:hint="default" w:ascii="宋体" w:hAnsi="宋体" w:eastAsia="宋体"/>
                <w:kern w:val="0"/>
                <w:szCs w:val="21"/>
                <w:highlight w:val="none"/>
                <w:lang w:val="en-US" w:eastAsia="zh-CN"/>
              </w:rPr>
            </w:pPr>
            <w:r>
              <w:rPr>
                <w:rFonts w:hint="eastAsia" w:ascii="宋体" w:hAnsi="宋体" w:eastAsia="宋体"/>
                <w:kern w:val="0"/>
                <w:szCs w:val="21"/>
                <w:highlight w:val="none"/>
              </w:rPr>
              <w:t>电话：0755-8284</w:t>
            </w:r>
            <w:r>
              <w:rPr>
                <w:rFonts w:hint="eastAsia" w:ascii="宋体" w:hAnsi="宋体" w:eastAsia="宋体"/>
                <w:kern w:val="0"/>
                <w:szCs w:val="21"/>
                <w:highlight w:val="none"/>
                <w:lang w:val="en-US" w:eastAsia="zh-CN"/>
              </w:rPr>
              <w:t>XXXX</w:t>
            </w:r>
            <w:r>
              <w:rPr>
                <w:rFonts w:hint="eastAsia" w:ascii="宋体" w:hAnsi="宋体" w:eastAsia="宋体"/>
                <w:kern w:val="0"/>
                <w:szCs w:val="21"/>
                <w:highlight w:val="none"/>
              </w:rPr>
              <w:t>，手机：</w:t>
            </w:r>
            <w:r>
              <w:rPr>
                <w:rFonts w:hint="eastAsia" w:ascii="宋体" w:hAnsi="宋体" w:eastAsia="宋体"/>
                <w:kern w:val="0"/>
                <w:szCs w:val="21"/>
                <w:highlight w:val="none"/>
                <w:lang w:val="en-US" w:eastAsia="zh-CN"/>
              </w:rPr>
              <w:t>XXX</w:t>
            </w:r>
            <w:r>
              <w:rPr>
                <w:rFonts w:hint="eastAsia" w:ascii="宋体" w:hAnsi="宋体" w:eastAsia="宋体"/>
                <w:kern w:val="0"/>
                <w:szCs w:val="21"/>
                <w:highlight w:val="none"/>
              </w:rPr>
              <w:t>集合地点：</w:t>
            </w:r>
            <w:r>
              <w:rPr>
                <w:rFonts w:hint="eastAsia" w:ascii="宋体" w:hAnsi="宋体" w:eastAsia="宋体"/>
                <w:kern w:val="0"/>
                <w:szCs w:val="21"/>
                <w:highlight w:val="none"/>
                <w:lang w:val="en-US" w:eastAsia="zh-CN"/>
              </w:rPr>
              <w:t>深圳会展中心北</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highlight w:val="none"/>
              </w:rPr>
              <w:t>特别说明：若现场考察与本项目招标（采购）</w:t>
            </w:r>
            <w:r>
              <w:rPr>
                <w:rFonts w:hint="eastAsia" w:ascii="宋体" w:hAnsi="宋体" w:eastAsia="宋体"/>
                <w:kern w:val="0"/>
                <w:szCs w:val="21"/>
              </w:rPr>
              <w:t>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6" w:name="_Toc82685542"/>
      <w:bookmarkEnd w:id="6"/>
      <w:bookmarkStart w:id="7" w:name="_Toc82685540"/>
      <w:bookmarkEnd w:id="7"/>
      <w:bookmarkStart w:id="8" w:name="_Toc82684705"/>
      <w:bookmarkEnd w:id="8"/>
      <w:bookmarkStart w:id="9" w:name="_Toc82591927"/>
      <w:bookmarkEnd w:id="9"/>
      <w:bookmarkStart w:id="10" w:name="_Toc82591926"/>
      <w:bookmarkEnd w:id="10"/>
      <w:bookmarkStart w:id="11" w:name="_Toc82684588"/>
      <w:bookmarkEnd w:id="11"/>
      <w:bookmarkStart w:id="12" w:name="_Toc82685543"/>
      <w:bookmarkEnd w:id="12"/>
      <w:bookmarkStart w:id="13" w:name="_Toc82684703"/>
      <w:bookmarkEnd w:id="13"/>
      <w:bookmarkStart w:id="14" w:name="_Toc82684704"/>
      <w:bookmarkEnd w:id="14"/>
      <w:bookmarkStart w:id="15" w:name="_Toc82685541"/>
      <w:bookmarkEnd w:id="15"/>
      <w:bookmarkStart w:id="16" w:name="_Toc82684590"/>
      <w:bookmarkEnd w:id="16"/>
      <w:bookmarkStart w:id="17" w:name="_Toc82684589"/>
      <w:bookmarkEnd w:id="17"/>
      <w:bookmarkStart w:id="18" w:name="_Toc82591928"/>
      <w:bookmarkEnd w:id="18"/>
      <w:bookmarkStart w:id="19" w:name="_Toc82591925"/>
      <w:bookmarkEnd w:id="19"/>
      <w:bookmarkStart w:id="20" w:name="_Toc82684591"/>
      <w:bookmarkEnd w:id="20"/>
      <w:bookmarkStart w:id="21" w:name="_Toc82684706"/>
      <w:bookmarkEnd w:id="21"/>
      <w:bookmarkStart w:id="22" w:name="_Toc19717"/>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685545"/>
      <w:bookmarkEnd w:id="26"/>
      <w:bookmarkStart w:id="27" w:name="_Toc82591988"/>
      <w:bookmarkEnd w:id="27"/>
      <w:bookmarkStart w:id="28" w:name="_Toc82591930"/>
      <w:bookmarkEnd w:id="28"/>
      <w:bookmarkStart w:id="29" w:name="_Toc82684593"/>
      <w:bookmarkEnd w:id="29"/>
      <w:bookmarkStart w:id="30" w:name="_Toc82591985"/>
      <w:bookmarkEnd w:id="30"/>
      <w:bookmarkStart w:id="31" w:name="_Toc82684708"/>
      <w:bookmarkEnd w:id="31"/>
      <w:bookmarkStart w:id="32" w:name="_Toc82591986"/>
      <w:bookmarkEnd w:id="32"/>
      <w:bookmarkStart w:id="33" w:name="_Toc82591989"/>
      <w:bookmarkEnd w:id="33"/>
      <w:bookmarkStart w:id="34" w:name="_Toc82591987"/>
      <w:bookmarkEnd w:id="34"/>
      <w:bookmarkStart w:id="35" w:name="_Toc23602"/>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23824"/>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leftChars="0" w:firstLine="0" w:firstLineChars="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1" w:leftChars="0" w:firstLine="0" w:firstLineChars="0"/>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1" w:leftChars="0" w:firstLine="0" w:firstLineChars="0"/>
              <w:rPr>
                <w:rFonts w:hint="eastAsia" w:ascii="宋体" w:hAnsi="宋体" w:cs="宋体"/>
              </w:rPr>
            </w:pPr>
            <w:r>
              <w:rPr>
                <w:rFonts w:hint="eastAsia" w:ascii="宋体" w:hAnsi="宋体" w:cs="宋体"/>
                <w:lang w:val="en-US" w:eastAsia="zh-CN"/>
              </w:rPr>
              <w:t>投标人</w:t>
            </w:r>
            <w:r>
              <w:rPr>
                <w:rFonts w:hint="eastAsia" w:ascii="宋体" w:hAnsi="宋体" w:cs="宋体"/>
              </w:rPr>
              <w:t>具有建筑装修装饰工程专业承包</w:t>
            </w:r>
            <w:r>
              <w:rPr>
                <w:rFonts w:hint="eastAsia" w:ascii="宋体" w:hAnsi="宋体" w:cs="宋体"/>
                <w:lang w:val="en-US" w:eastAsia="zh-CN"/>
              </w:rPr>
              <w:t>贰级或以上资质。</w:t>
            </w:r>
          </w:p>
          <w:p>
            <w:pPr>
              <w:numPr>
                <w:ilvl w:val="0"/>
                <w:numId w:val="10"/>
              </w:numPr>
              <w:tabs>
                <w:tab w:val="left" w:pos="531"/>
              </w:tabs>
              <w:snapToGrid w:val="0"/>
              <w:ind w:left="1" w:leftChars="0" w:firstLine="0" w:firstLineChars="0"/>
              <w:rPr>
                <w:rFonts w:ascii="宋体" w:hAnsi="宋体" w:cs="宋体"/>
                <w:color w:val="FF0000"/>
                <w:highlight w:val="yellow"/>
              </w:rPr>
            </w:pPr>
            <w:r>
              <w:rPr>
                <w:rFonts w:hint="eastAsia" w:ascii="宋体" w:hAnsi="宋体" w:cs="宋体"/>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cs="仿宋_GB2312"/>
                <w:szCs w:val="21"/>
              </w:rPr>
            </w:pPr>
            <w:r>
              <w:rPr>
                <w:rFonts w:hint="eastAsia" w:ascii="宋体" w:hAnsi="宋体" w:cs="仿宋_GB2312"/>
                <w:szCs w:val="21"/>
              </w:rPr>
              <w:t>报价以人民币为结算币种，《投标一览表》应包含税率、税额、税前及税后总金额。</w:t>
            </w:r>
          </w:p>
          <w:p>
            <w:pPr>
              <w:numPr>
                <w:ilvl w:val="0"/>
                <w:numId w:val="11"/>
              </w:numPr>
              <w:tabs>
                <w:tab w:val="left" w:pos="531"/>
              </w:tabs>
              <w:snapToGrid w:val="0"/>
              <w:ind w:left="0" w:firstLine="0"/>
              <w:rPr>
                <w:rFonts w:hint="eastAsia"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rPr>
                <w:color w:val="FF0000"/>
                <w:highlight w:val="yellow"/>
              </w:rPr>
            </w:pPr>
            <w:r>
              <w:rPr>
                <w:rFonts w:hint="eastAsia" w:ascii="宋体" w:hAnsi="宋体" w:cs="仿宋_GB2312"/>
                <w:szCs w:val="21"/>
              </w:rPr>
              <w:t>投标报</w:t>
            </w:r>
            <w:r>
              <w:rPr>
                <w:rFonts w:hint="eastAsia"/>
              </w:rPr>
              <w:t>价包括但不限于主材、运输、装卸、安装、施工、安全措施、人工、管理费及增值税费等完成本项目所需的全部费用</w:t>
            </w:r>
          </w:p>
          <w:p>
            <w:pPr>
              <w:numPr>
                <w:ilvl w:val="0"/>
                <w:numId w:val="0"/>
              </w:numPr>
              <w:tabs>
                <w:tab w:val="left" w:pos="531"/>
              </w:tabs>
              <w:snapToGrid w:val="0"/>
              <w:ind w:leftChars="0"/>
              <w:rPr>
                <w:color w:val="FF0000"/>
                <w:highlight w:val="yellow"/>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rPr>
              <w:t>本项目采购控制金额为人民币27.97万元（含税），报价超过上述控制金额的投标文件作废标处理。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auto"/>
                <w:highlight w:val="none"/>
              </w:rPr>
            </w:pPr>
            <w:r>
              <w:rPr>
                <w:rFonts w:hint="eastAsia" w:ascii="宋体" w:hAnsi="宋体" w:cs="宋体"/>
                <w:color w:val="auto"/>
                <w:highlight w:val="none"/>
              </w:rPr>
              <w:t>本项目施工完毕且验收合格后，一次性支付合同总金额的97%。</w:t>
            </w:r>
          </w:p>
          <w:p>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12"/>
              </w:numPr>
              <w:tabs>
                <w:tab w:val="left" w:pos="531"/>
              </w:tabs>
              <w:snapToGrid w:val="0"/>
              <w:rPr>
                <w:color w:val="FF0000"/>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项目地点</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FF0000"/>
              </w:rPr>
            </w:pPr>
            <w:r>
              <w:rPr>
                <w:rFonts w:hint="eastAsia" w:ascii="宋体" w:hAnsi="宋体"/>
                <w:color w:val="000000" w:themeColor="text1"/>
                <w14:textFill>
                  <w14:solidFill>
                    <w14:schemeClr w14:val="tx1"/>
                  </w14:solidFill>
                </w14:textFill>
              </w:rPr>
              <w:t>项目地点位于深圳市福田区福华三路111号会展中心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施工范围</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eastAsia="宋体"/>
                <w:color w:val="FF0000"/>
                <w:lang w:val="en-US" w:eastAsia="zh-CN"/>
              </w:rPr>
            </w:pPr>
            <w:r>
              <w:rPr>
                <w:rFonts w:hint="eastAsia"/>
                <w:color w:val="000000" w:themeColor="text1"/>
                <w:lang w:val="en-US" w:eastAsia="zh-CN"/>
                <w14:textFill>
                  <w14:solidFill>
                    <w14:schemeClr w14:val="tx1"/>
                  </w14:solidFill>
                </w14:textFill>
              </w:rPr>
              <w:t>314部分办公室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color w:val="000000" w:themeColor="text1"/>
                <w14:textFill>
                  <w14:solidFill>
                    <w14:schemeClr w14:val="tx1"/>
                  </w14:solidFill>
                </w14:textFill>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rPr>
              <w:t>（1）项目施工时间需服从会展中心生产经营工作安排，施工不可影响会展中心生产经营，如遇展会、活动需要停工时需及时配合。以上停工安排甲方不会为此额外支付费用。</w:t>
            </w:r>
          </w:p>
          <w:p>
            <w:pPr>
              <w:tabs>
                <w:tab w:val="left" w:pos="531"/>
              </w:tabs>
              <w:snapToGrid w:val="0"/>
            </w:pPr>
            <w:r>
              <w:rPr>
                <w:rFonts w:hint="eastAsia"/>
              </w:rPr>
              <w:t>（2）项目涉及天花拆除、安装、灯具拆除安装、消防设施、</w:t>
            </w:r>
            <w:r>
              <w:rPr>
                <w:rFonts w:hint="eastAsia"/>
                <w:lang w:val="en-US" w:eastAsia="zh-CN"/>
              </w:rPr>
              <w:t>空调设施</w:t>
            </w:r>
            <w:r>
              <w:rPr>
                <w:rFonts w:hint="eastAsia"/>
              </w:rPr>
              <w:t>的拆除及安装。</w:t>
            </w:r>
          </w:p>
          <w:p>
            <w:pPr>
              <w:tabs>
                <w:tab w:val="left" w:pos="531"/>
              </w:tabs>
              <w:snapToGrid w:val="0"/>
            </w:pPr>
            <w:r>
              <w:rPr>
                <w:rFonts w:hint="eastAsia"/>
              </w:rPr>
              <w:t>（3）项目拆除的材料由投标人负责处置（含装卸、运输），处置方式必须符合政府有关建筑垃圾处置的相关规定和要求，严禁随意丢弃。</w:t>
            </w:r>
          </w:p>
          <w:p>
            <w:pPr>
              <w:tabs>
                <w:tab w:val="left" w:pos="531"/>
              </w:tabs>
              <w:snapToGrid w:val="0"/>
            </w:pPr>
            <w:r>
              <w:rPr>
                <w:rFonts w:hint="eastAsia"/>
              </w:rPr>
              <w:t>（4）项目施工进行时需保护好周边成品，特别对地面</w:t>
            </w:r>
            <w:r>
              <w:rPr>
                <w:rFonts w:hint="eastAsia"/>
                <w:lang w:eastAsia="zh-CN"/>
              </w:rPr>
              <w:t>、</w:t>
            </w:r>
            <w:r>
              <w:rPr>
                <w:rFonts w:hint="eastAsia"/>
                <w:lang w:val="en-US" w:eastAsia="zh-CN"/>
              </w:rPr>
              <w:t>墙面石材</w:t>
            </w:r>
            <w:r>
              <w:rPr>
                <w:rFonts w:hint="eastAsia"/>
              </w:rPr>
              <w:t>等进行保护，如因投标人保护不周或采取措施不力造成的损坏</w:t>
            </w:r>
            <w:r>
              <w:rPr>
                <w:rFonts w:hint="eastAsia"/>
                <w:lang w:val="en-US" w:eastAsia="zh-CN"/>
              </w:rPr>
              <w:t>的，</w:t>
            </w:r>
            <w:r>
              <w:rPr>
                <w:rFonts w:hint="eastAsia"/>
              </w:rPr>
              <w:t>由投标人按原标准进行修缮或赔偿。</w:t>
            </w:r>
          </w:p>
          <w:p>
            <w:pPr>
              <w:tabs>
                <w:tab w:val="left" w:pos="531"/>
              </w:tabs>
              <w:snapToGrid w:val="0"/>
            </w:pPr>
            <w:r>
              <w:rPr>
                <w:rFonts w:hint="eastAsia"/>
              </w:rPr>
              <w:t>（5）作业时投标人</w:t>
            </w:r>
            <w:r>
              <w:rPr>
                <w:rFonts w:hint="eastAsia"/>
                <w:lang w:val="en-US" w:eastAsia="zh-CN"/>
              </w:rPr>
              <w:t>需</w:t>
            </w:r>
            <w:r>
              <w:rPr>
                <w:rFonts w:hint="eastAsia"/>
              </w:rPr>
              <w:t>对施工区域做好防护，起重作业时需由专业持证人员进行操作、指挥，非作业人员不得进入作业范围。</w:t>
            </w:r>
          </w:p>
          <w:p>
            <w:pPr>
              <w:tabs>
                <w:tab w:val="left" w:pos="531"/>
              </w:tabs>
              <w:snapToGrid w:val="0"/>
              <w:rPr>
                <w:rFonts w:hint="default"/>
              </w:rPr>
            </w:pPr>
            <w:r>
              <w:rPr>
                <w:rFonts w:hint="default"/>
              </w:rPr>
              <w:t>（6）投标人所有材料进场需为合格且符合项目要求的材料，提供合格证明文件并做好进场影像资料记录。</w:t>
            </w:r>
          </w:p>
          <w:p>
            <w:pPr>
              <w:tabs>
                <w:tab w:val="left" w:pos="531"/>
              </w:tabs>
              <w:snapToGrid w:val="0"/>
              <w:ind w:left="0"/>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7</w:t>
            </w:r>
            <w:r>
              <w:rPr>
                <w:rFonts w:hint="default" w:ascii="Times New Roman" w:hAnsi="Times New Roman" w:cs="Times New Roman"/>
                <w:lang w:eastAsia="zh-CN"/>
              </w:rPr>
              <w:t>）</w:t>
            </w:r>
            <w:r>
              <w:rPr>
                <w:rFonts w:hint="default" w:ascii="Times New Roman" w:hAnsi="Times New Roman" w:cs="Times New Roman"/>
                <w:lang w:val="en-US" w:eastAsia="zh-CN"/>
              </w:rPr>
              <w:t>项目施工必须指定项目负责人，便于项目管理和相应的政府备案等事宜，项目安全员必须配备，具体可体现在合同中。</w:t>
            </w:r>
          </w:p>
          <w:p>
            <w:pPr>
              <w:tabs>
                <w:tab w:val="left" w:pos="531"/>
              </w:tabs>
              <w:snapToGrid w:val="0"/>
              <w:rPr>
                <w:color w:val="FF0000"/>
                <w:highlight w:val="yellow"/>
              </w:rPr>
            </w:pPr>
            <w:r>
              <w:rPr>
                <w:rFonts w:hint="eastAsia"/>
                <w:lang w:val="en-US" w:eastAsia="zh-CN"/>
              </w:rPr>
              <w:t>（</w:t>
            </w:r>
            <w:r>
              <w:rPr>
                <w:rFonts w:hint="eastAsia" w:cs="Times New Roman"/>
                <w:lang w:val="en-US" w:eastAsia="zh-CN"/>
              </w:rPr>
              <w:t>8</w:t>
            </w:r>
            <w:r>
              <w:rPr>
                <w:rFonts w:hint="default" w:ascii="Times New Roman" w:hAnsi="Times New Roman" w:cs="Times New Roman"/>
                <w:lang w:val="en-US" w:eastAsia="zh-CN"/>
              </w:rPr>
              <w:t>）由于本项目施工空间高，脚手架搭设需符合现有深圳政府</w:t>
            </w:r>
            <w:r>
              <w:rPr>
                <w:rFonts w:hint="eastAsia" w:cs="Times New Roman"/>
                <w:lang w:val="en-US" w:eastAsia="zh-CN"/>
              </w:rPr>
              <w:t>相关管理</w:t>
            </w:r>
            <w:r>
              <w:rPr>
                <w:rFonts w:hint="default" w:ascii="Times New Roman" w:hAnsi="Times New Roman" w:cs="Times New Roman"/>
                <w:lang w:val="en-US" w:eastAsia="zh-CN"/>
              </w:rPr>
              <w:t>部门的要求</w:t>
            </w:r>
            <w:r>
              <w:rPr>
                <w:rFonts w:hint="eastAsia" w:cs="Times New Roman"/>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color w:val="000000" w:themeColor="text1"/>
                <w14:textFill>
                  <w14:solidFill>
                    <w14:schemeClr w14:val="tx1"/>
                  </w14:solidFill>
                </w14:textFill>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color w:val="FF0000"/>
                <w:highlight w:val="yellow"/>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个日历日</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color w:val="000000" w:themeColor="text1"/>
                <w14:textFill>
                  <w14:solidFill>
                    <w14:schemeClr w14:val="tx1"/>
                  </w14:solidFill>
                </w14:textFill>
              </w:rPr>
              <w:t>质量控制</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eastAsia="宋体"/>
                <w:color w:val="FF0000"/>
                <w:highlight w:val="yellow"/>
                <w:lang w:eastAsia="zh-CN"/>
              </w:rPr>
            </w:pPr>
            <w:r>
              <w:rPr>
                <w:rFonts w:hint="eastAsia" w:ascii="宋体" w:hAnsi="宋体"/>
                <w:color w:val="000000" w:themeColor="text1"/>
                <w14:textFill>
                  <w14:solidFill>
                    <w14:schemeClr w14:val="tx1"/>
                  </w14:solidFill>
                </w14:textFill>
              </w:rPr>
              <w:t>投标人须对项目质量自检合格后</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报</w:t>
            </w:r>
            <w:r>
              <w:rPr>
                <w:rFonts w:hint="eastAsia" w:ascii="宋体" w:hAnsi="宋体"/>
                <w:color w:val="000000" w:themeColor="text1"/>
                <w14:textFill>
                  <w14:solidFill>
                    <w14:schemeClr w14:val="tx1"/>
                  </w14:solidFill>
                </w14:textFill>
              </w:rPr>
              <w:t>招标人确认，材料、设备合格，安装、装饰工艺精湛且符合国家相关规范要求。关键设备和材料需</w:t>
            </w:r>
            <w:r>
              <w:rPr>
                <w:rFonts w:hint="eastAsia" w:ascii="宋体" w:hAnsi="宋体"/>
                <w:color w:val="000000" w:themeColor="text1"/>
                <w:lang w:val="en-US" w:eastAsia="zh-CN"/>
                <w14:textFill>
                  <w14:solidFill>
                    <w14:schemeClr w14:val="tx1"/>
                  </w14:solidFill>
                </w14:textFill>
              </w:rPr>
              <w:t>报</w:t>
            </w:r>
            <w:r>
              <w:rPr>
                <w:rFonts w:hint="eastAsia" w:ascii="宋体" w:hAnsi="宋体"/>
                <w:color w:val="000000" w:themeColor="text1"/>
                <w14:textFill>
                  <w14:solidFill>
                    <w14:schemeClr w14:val="tx1"/>
                  </w14:solidFill>
                </w14:textFill>
              </w:rPr>
              <w:t>招标人提前确认</w:t>
            </w:r>
            <w:r>
              <w:rPr>
                <w:rFonts w:hint="eastAsia" w:ascii="宋体" w:hAnsi="宋体"/>
                <w:color w:val="000000" w:themeColor="text1"/>
                <w:lang w:eastAsia="zh-CN"/>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color w:val="000000" w:themeColor="text1"/>
                <w14:textFill>
                  <w14:solidFill>
                    <w14:schemeClr w14:val="tx1"/>
                  </w14:solidFill>
                </w14:textFill>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rPr>
              <w:t>（1）项目施工完毕后，投标人对项目进行自检且合格后，向招标人提交全套书面验收申请，经初步审核无误后，招标人组织相关部门进行现场验收。（隐蔽工程中间验收参照上述要求执行，且须在验收合格后方可进行后续工序的施工）</w:t>
            </w:r>
          </w:p>
          <w:p>
            <w:pPr>
              <w:tabs>
                <w:tab w:val="left" w:pos="531"/>
              </w:tabs>
              <w:snapToGrid w:val="0"/>
              <w:ind w:left="0"/>
              <w:rPr>
                <w:rFonts w:hint="eastAsia"/>
              </w:rPr>
            </w:pPr>
            <w:r>
              <w:rPr>
                <w:rFonts w:hint="eastAsia"/>
              </w:rPr>
              <w:t>（2）现场验收天花平整牢固，开灯后天花无明显阴影，灯光布置均匀，拆除恢复灯具需安装牢固</w:t>
            </w:r>
            <w:r>
              <w:rPr>
                <w:rFonts w:hint="eastAsia"/>
                <w:lang w:eastAsia="zh-CN"/>
              </w:rPr>
              <w:t>，</w:t>
            </w:r>
            <w:r>
              <w:rPr>
                <w:rFonts w:hint="eastAsia"/>
                <w:lang w:val="en-US" w:eastAsia="zh-CN"/>
              </w:rPr>
              <w:t>墙面平整无阴影，木地板铺贴无空鼓</w:t>
            </w:r>
            <w:r>
              <w:rPr>
                <w:rFonts w:hint="eastAsia"/>
              </w:rPr>
              <w:t>。</w:t>
            </w:r>
          </w:p>
          <w:p>
            <w:pPr>
              <w:tabs>
                <w:tab w:val="left" w:pos="531"/>
              </w:tabs>
              <w:snapToGrid w:val="0"/>
              <w:ind w:left="0" w:leftChars="0"/>
              <w:rPr>
                <w:rFonts w:hint="eastAsia"/>
              </w:rPr>
            </w:pPr>
            <w:r>
              <w:rPr>
                <w:rFonts w:hint="eastAsia"/>
              </w:rPr>
              <w:t>（3）天花龙骨安装牢固规范，吊杆垂直，部件无缺失。</w:t>
            </w:r>
          </w:p>
          <w:p>
            <w:pPr>
              <w:pStyle w:val="2"/>
              <w:ind w:left="0" w:leftChars="0" w:firstLine="0" w:firstLineChars="0"/>
              <w:rPr>
                <w:rFonts w:hint="default" w:eastAsia="宋体"/>
                <w:lang w:val="en-US" w:eastAsia="zh-CN"/>
              </w:rPr>
            </w:pPr>
            <w:r>
              <w:rPr>
                <w:rFonts w:hint="eastAsia" w:ascii="Times New Roman" w:hAnsi="Times New Roman" w:cs="Times New Roman"/>
                <w:spacing w:val="0"/>
                <w:kern w:val="2"/>
                <w:sz w:val="21"/>
                <w:lang w:eastAsia="zh-CN"/>
              </w:rPr>
              <w:t>（</w:t>
            </w:r>
            <w:r>
              <w:rPr>
                <w:rFonts w:hint="eastAsia" w:ascii="Times New Roman" w:hAnsi="Times New Roman" w:cs="Times New Roman"/>
                <w:spacing w:val="0"/>
                <w:kern w:val="2"/>
                <w:sz w:val="21"/>
                <w:lang w:val="en-US" w:eastAsia="zh-CN"/>
              </w:rPr>
              <w:t>4</w:t>
            </w:r>
            <w:r>
              <w:rPr>
                <w:rFonts w:hint="eastAsia" w:ascii="Times New Roman" w:hAnsi="Times New Roman" w:cs="Times New Roman"/>
                <w:spacing w:val="0"/>
                <w:kern w:val="2"/>
                <w:sz w:val="21"/>
                <w:lang w:eastAsia="zh-CN"/>
              </w:rPr>
              <w:t>）</w:t>
            </w:r>
            <w:r>
              <w:rPr>
                <w:rFonts w:hint="eastAsia" w:ascii="Times New Roman" w:hAnsi="Times New Roman" w:cs="Times New Roman"/>
                <w:spacing w:val="0"/>
                <w:kern w:val="2"/>
                <w:sz w:val="21"/>
                <w:lang w:val="en-US" w:eastAsia="zh-CN"/>
              </w:rPr>
              <w:t>设备安装横平竖直，方向正直、设备调试试运行无缺陷。</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Times New Roman"/>
                <w:kern w:val="2"/>
                <w:sz w:val="21"/>
                <w:szCs w:val="24"/>
                <w:lang w:val="en-US" w:eastAsia="zh-CN" w:bidi="ar-SA"/>
              </w:rPr>
            </w:pPr>
            <w:r>
              <w:rPr>
                <w:rFonts w:hint="eastAsia" w:ascii="宋体" w:hAnsi="宋体"/>
              </w:rPr>
              <w:t>投标人需对项目后期质保工作提出服务承诺，包含但不仅限于质保服务联系人、联系方式、响应时间、服务方案等内容。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olor w:val="000000" w:themeColor="text1"/>
                <w:szCs w:val="21"/>
                <w14:textFill>
                  <w14:solidFill>
                    <w14:schemeClr w14:val="tx1"/>
                  </w14:solidFill>
                </w14:textFill>
              </w:rPr>
              <w:t>不可偏离</w:t>
            </w:r>
          </w:p>
        </w:tc>
      </w:tr>
    </w:tbl>
    <w:p>
      <w:pPr>
        <w:numPr>
          <w:ilvl w:val="0"/>
          <w:numId w:val="0"/>
        </w:numPr>
        <w:jc w:val="left"/>
        <w:outlineLvl w:val="1"/>
        <w:rPr>
          <w:rFonts w:ascii="宋体" w:hAnsi="宋体"/>
          <w:b/>
          <w:szCs w:val="21"/>
        </w:rPr>
      </w:pPr>
      <w:bookmarkStart w:id="37" w:name="_Toc82684715"/>
      <w:bookmarkEnd w:id="37"/>
      <w:bookmarkStart w:id="38" w:name="_Toc82685552"/>
      <w:bookmarkEnd w:id="38"/>
      <w:bookmarkStart w:id="39" w:name="_Toc82684600"/>
      <w:bookmarkEnd w:id="39"/>
      <w:bookmarkStart w:id="40" w:name="_Toc82591996"/>
      <w:bookmarkEnd w:id="40"/>
      <w:bookmarkStart w:id="41" w:name="_Toc18420"/>
    </w:p>
    <w:p>
      <w:pPr>
        <w:numPr>
          <w:ilvl w:val="0"/>
          <w:numId w:val="0"/>
        </w:numPr>
        <w:jc w:val="left"/>
        <w:outlineLvl w:val="1"/>
        <w:rPr>
          <w:rFonts w:ascii="宋体" w:hAnsi="宋体"/>
          <w:b/>
          <w:szCs w:val="21"/>
        </w:rPr>
      </w:pPr>
    </w:p>
    <w:p>
      <w:pPr>
        <w:numPr>
          <w:ilvl w:val="0"/>
          <w:numId w:val="0"/>
        </w:numPr>
        <w:jc w:val="left"/>
        <w:outlineLvl w:val="1"/>
        <w:rPr>
          <w:rFonts w:ascii="宋体" w:hAnsi="宋体"/>
          <w:b/>
          <w:szCs w:val="21"/>
        </w:rPr>
      </w:pPr>
    </w:p>
    <w:p>
      <w:pPr>
        <w:numPr>
          <w:ilvl w:val="0"/>
          <w:numId w:val="1"/>
        </w:numPr>
        <w:jc w:val="left"/>
        <w:outlineLvl w:val="1"/>
        <w:rPr>
          <w:rFonts w:ascii="宋体" w:hAnsi="宋体"/>
          <w:b/>
          <w:szCs w:val="21"/>
        </w:rPr>
      </w:pPr>
      <w:r>
        <w:rPr>
          <w:rFonts w:hint="eastAsia" w:ascii="宋体" w:hAnsi="宋体"/>
          <w:b/>
          <w:szCs w:val="21"/>
        </w:rPr>
        <w:t>其他项目说明资料</w:t>
      </w:r>
      <w:bookmarkEnd w:id="41"/>
    </w:p>
    <w:tbl>
      <w:tblPr>
        <w:tblStyle w:val="14"/>
        <w:tblW w:w="10285" w:type="dxa"/>
        <w:tblInd w:w="-9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950"/>
        <w:gridCol w:w="2665"/>
        <w:gridCol w:w="3850"/>
        <w:gridCol w:w="1000"/>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285" w:type="dxa"/>
            <w:gridSpan w:val="5"/>
            <w:tcBorders>
              <w:top w:val="nil"/>
              <w:left w:val="nil"/>
              <w:bottom w:val="single" w:color="000000" w:sz="4" w:space="0"/>
              <w:right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工程名称:会展中心办公用房设备设施维修更新项目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6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8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项目特征描述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66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土建工程</w:t>
            </w:r>
          </w:p>
        </w:tc>
        <w:tc>
          <w:tcPr>
            <w:tcW w:w="3850"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0"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卫生间</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隔断拆除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(1)原卫生间抗倍特板                             (2)含垃圾外运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座便器拆除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(1)保护性拆除，移交物业单位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瓷砖更换</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(1)原座便器感应按钮部位同色系瓷砖更换                    (2)规格：600*300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石材侧板</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(1)洗手台侧板恢复并抛光打磨                                (2)规格：800*500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小房间</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天花拆除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(1)原石膏板面拆除                          (2)含垃圾外运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洗手台拆除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(1)原洗手台及玻璃挡水拆除                       (2)含垃圾外运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镜面拆除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(1)原墙面镜子拆除                       (2)含垃圾外运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木地板铺贴</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(1)18mm厚实木复合木地板                            (2)防潮棉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木踢脚线</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(1)与木地板同色木踢脚线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衣柜安装</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(1)衣柜                           (2)1800*1200*350mm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实木门</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(1)实木门1100*2200mm                            (2)含五金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天棚吊顶</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(1)轻钢龙骨石膏板吊顶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墙面乳胶漆</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(1)腻子两边找平                           (2)乳胶漆两底两面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1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办公室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天花拆除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(1)原石膏板面拆除                          (2)含垃圾外运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新建隔墙</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(1)轻钢龙骨隔墙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木地板铺贴</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(1)18mm厚实木复合木地板                            (2)防潮棉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木踢脚线</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(1)与木地板同色木踢脚线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3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墙面乳胶漆</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(1)腻子两边找平                           (2)乳胶漆两底两面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天棚吊顶</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(1)跌级轻钢龙骨石膏板吊顶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窗帘盒</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(1)阻燃夹板+石膏板+乳胶漆涂料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窗帘</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(1)电动卷帘，含智能电机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玻璃门</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(1)玻璃门框更改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玻璃安装</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(1)原幕墙玻璃拆除                               (2)重新安装雾化玻璃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天棚吊顶修复原</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(1)会议室轻钢龙骨石膏板吊顶修补，延伸1mm范围                                                (2)天花涂料修补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安装工程</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电气工程</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电气管线敷设</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(1)原电气管线拆除                                (2)新线管埋设、凿槽、电线敷设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原旧机电设备安装</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(1)原灯具、空调等机电设备保护性拆除                        (2)管道拆除及封堵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淋浴一体机</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(1)成品淋浴一体                         (2)规格：1800*1000*1200                              （3）含地漏接驳处理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(1）LED照明灯具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(1）五孔插座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(1）网络插座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(1）带USB插座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智能面板</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(1）智能控制面板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智能模块</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(1）智能控制模块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(1）智能控制电箱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消防设施更新</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(1）喷淋、烟感、喇叭、门禁改造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暖通工程</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4匹变频多联主机（制冷量11</w:t>
            </w:r>
            <w:r>
              <w:rPr>
                <w:rStyle w:val="36"/>
                <w:lang w:val="en-US" w:eastAsia="zh-CN" w:bidi="ar"/>
              </w:rPr>
              <w:t>kw,功率3.02kw）</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R</w:t>
            </w:r>
            <w:r>
              <w:rPr>
                <w:rStyle w:val="36"/>
                <w:lang w:val="en-US" w:eastAsia="zh-CN" w:bidi="ar"/>
              </w:rPr>
              <w:t>AS-112FSVNAQ</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3匹天花式室内机（制冷量7.1kw,功率70w）</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R</w:t>
            </w:r>
            <w:r>
              <w:rPr>
                <w:rStyle w:val="36"/>
                <w:lang w:val="en-US" w:eastAsia="zh-CN" w:bidi="ar"/>
              </w:rPr>
              <w:t>CI-71FSKNQ</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1.5匹风管式室内机（制冷量3.6</w:t>
            </w:r>
            <w:r>
              <w:rPr>
                <w:rStyle w:val="36"/>
                <w:lang w:val="en-US" w:eastAsia="zh-CN" w:bidi="ar"/>
              </w:rPr>
              <w:t xml:space="preserve">kw,功率70w）　　　　    </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RPIZ-36FSN6QC/P</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冷媒铜管+橡塑保温      </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¢6.35*0.8/20mm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冷媒铜管+橡塑保温      </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¢9.52*0.8/20mm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冷媒铜管+橡塑保温      </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¢12.7*0.8/20mm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冷媒铜管+橡塑保温      </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¢15.9*1.0/25mm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UPVC冷凝水管及保温    </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DN32*25mm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铝合金风口</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0</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镀锌钢板风管及保温（空调及通风排气管）</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0</w:t>
            </w:r>
            <w:r>
              <w:rPr>
                <w:rStyle w:val="36"/>
                <w:lang w:val="en-US" w:eastAsia="zh-CN" w:bidi="ar"/>
              </w:rPr>
              <w:t>.75/30mm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内外机通讯控制线</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R</w:t>
            </w:r>
            <w:r>
              <w:rPr>
                <w:rStyle w:val="36"/>
                <w:lang w:val="en-US" w:eastAsia="zh-CN" w:bidi="ar"/>
              </w:rPr>
              <w:t>VVP2*1.0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空调主机电源线</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4*6mm2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空调室内机电源线</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3*4mm2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金属线管</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JDG25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管道及设备支吊架制作安装及除锈油漆</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冷媒分歧管</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机械打孔与补孔</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充氮吹污，承压检漏</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19</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空调系统冷媒追加</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原有空调设备及管道拆除</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空调系统调试</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弱电工程</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5"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导轨式控制器</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型号：WF-CR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LAN 10/100M网口： 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RS232端口：1个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RS485端口：3个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数字I/O端口：4个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内存：521M内存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CPU：528MHz处理器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存储空间： 512M Flash 存储空间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输入电源（AC）：220V ，0.5A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外观尺寸(长×宽×高)：72mm×98mm×68mm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净重：205g</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5"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导轨式电源模块</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型号：WF-PS                                   设备供电:AC 220V 0.5A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符合标准：HZLink 总线标准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输出电压：DC 24V 0.8A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  约 2W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传输延时： ≤ 10uS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 / 湿度： 0-45℃ /20%-93% RH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存储温度 / 湿度： 0-45℃ /20%-93% RH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 ( 长 * 宽 * 高 )：  72mm×98mm×68mm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 205g</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导轨式继电器</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型号：WF-8REL16A                                     设备供电电压：DC 24V 90mA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受控回路：8 路继电器开关或 4 组窗帘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每路回路可独立控制：  1100W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继电器最大切换电流：10A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继电器机械电耐久性：10,000,000次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继电器电耐久性：100,000次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静功率消耗：0.5W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最大功耗：8W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外观尺寸(长×宽×高)： 72mm×98mm×68mm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净重：205g</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墙面控制屏</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 TC0818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RJ45接口： 1 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颜色: 65K 16bit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显示尺寸： 4英寸（标准86#）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 480*480 像素（可旋转 90 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背光模式: 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亮度：300nit（可进行 64 级亮度调节）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工作电源：12V 1A 直流稳压电源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尺寸（长 * 宽 * 高）： 92mm x 92mm x 45mm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 0.5kg</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POE交换机</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型号：TL-SG1210DP                               全千兆以太网PoE交换机 8口千兆 PoE供电</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8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空调控制网关</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型号：AGW05RT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输入电源：DC 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消耗功率：1.2W 以下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工作环境环境温度: 0～40℃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环境湿度：20～85%（无凝露）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空调通讯线间电压：AC 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网线IEEE802.3：标准（10BASE-T/100BASE-TX）</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控制软件开发编程</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型号：定制                                          根据客户需求定制开发控制软件，定制操作界面，定制操作模式等</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弱电系统安装及材料</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系统安装所需的管材、线材及接插件等，系统设备的安装与调试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bl>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2" w:name="_Toc5312"/>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7439"/>
      <w:bookmarkStart w:id="44" w:name="_Toc104994641"/>
      <w:bookmarkStart w:id="45" w:name="_Hlk104908581"/>
      <w:bookmarkStart w:id="46" w:name="_Hlk104908397"/>
      <w:r>
        <w:rPr>
          <w:rFonts w:hint="eastAsia"/>
          <w:b/>
        </w:rPr>
        <w:t>开标阶段</w:t>
      </w:r>
      <w:bookmarkEnd w:id="43"/>
      <w:bookmarkEnd w:id="44"/>
    </w:p>
    <w:bookmarkEnd w:id="45"/>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31275"/>
      <w:r>
        <w:rPr>
          <w:rFonts w:hint="eastAsia"/>
          <w:b/>
        </w:rPr>
        <w:t>评标阶段</w:t>
      </w:r>
      <w:bookmarkEnd w:id="47"/>
      <w:bookmarkEnd w:id="48"/>
    </w:p>
    <w:p>
      <w:pPr>
        <w:pStyle w:val="22"/>
        <w:numPr>
          <w:ilvl w:val="0"/>
          <w:numId w:val="14"/>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49" w:name="_Toc15166"/>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32590"/>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25</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35</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5"/>
        </w:numPr>
        <w:spacing w:before="156" w:beforeLines="50"/>
        <w:jc w:val="left"/>
        <w:outlineLvl w:val="2"/>
        <w:rPr>
          <w:rStyle w:val="29"/>
          <w:rFonts w:ascii="宋体" w:hAnsi="宋体"/>
          <w:b/>
          <w:szCs w:val="21"/>
        </w:rPr>
      </w:pPr>
      <w:bookmarkStart w:id="51" w:name="_Toc19058"/>
      <w:r>
        <w:rPr>
          <w:rStyle w:val="29"/>
          <w:rFonts w:hint="eastAsia" w:ascii="宋体" w:hAnsi="宋体"/>
          <w:b/>
          <w:bCs/>
          <w:szCs w:val="21"/>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ind w:left="0" w:leftChars="0" w:firstLine="0" w:firstLine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w:t>
            </w:r>
            <w:r>
              <w:rPr>
                <w:rFonts w:hint="eastAsia" w:ascii="宋体" w:hAnsi="宋体" w:cs="仿宋_GB2312"/>
                <w:szCs w:val="21"/>
                <w:lang w:val="en-US" w:eastAsia="zh-CN"/>
              </w:rPr>
              <w:t>是否</w:t>
            </w:r>
            <w:r>
              <w:rPr>
                <w:rFonts w:hint="eastAsia" w:ascii="宋体" w:hAnsi="宋体" w:cs="仿宋_GB2312"/>
                <w:szCs w:val="21"/>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ind w:left="1" w:leftChars="0" w:firstLine="0" w:firstLineChars="0"/>
              <w:rPr>
                <w:rFonts w:hint="eastAsia" w:ascii="宋体" w:hAnsi="宋体" w:eastAsia="宋体" w:cs="宋体"/>
                <w:lang w:eastAsia="zh-CN"/>
              </w:rPr>
            </w:pPr>
            <w:r>
              <w:rPr>
                <w:rFonts w:hint="eastAsia"/>
                <w:lang w:eastAsia="zh-CN"/>
              </w:rPr>
              <w:t>（</w:t>
            </w:r>
            <w:r>
              <w:rPr>
                <w:rFonts w:hint="eastAsia"/>
                <w:lang w:val="en-US" w:eastAsia="zh-CN"/>
              </w:rPr>
              <w:t>2</w:t>
            </w:r>
            <w:r>
              <w:rPr>
                <w:rFonts w:hint="eastAsia"/>
                <w:lang w:eastAsia="zh-CN"/>
              </w:rPr>
              <w:t>）</w:t>
            </w:r>
            <w:r>
              <w:rPr>
                <w:rFonts w:hint="eastAsia" w:ascii="宋体" w:hAnsi="宋体" w:cs="宋体"/>
                <w:lang w:val="en-US" w:eastAsia="zh-CN"/>
              </w:rPr>
              <w:t>投标人是否</w:t>
            </w:r>
            <w:r>
              <w:rPr>
                <w:rFonts w:hint="eastAsia" w:ascii="宋体" w:hAnsi="宋体" w:cs="宋体"/>
              </w:rPr>
              <w:t>具有建筑装修装饰工程专业承包</w:t>
            </w:r>
            <w:r>
              <w:rPr>
                <w:rFonts w:hint="eastAsia" w:ascii="宋体" w:hAnsi="宋体" w:cs="宋体"/>
                <w:lang w:val="en-US" w:eastAsia="zh-CN"/>
              </w:rPr>
              <w:t>贰级或以上</w:t>
            </w:r>
            <w:r>
              <w:rPr>
                <w:rFonts w:hint="eastAsia" w:ascii="宋体" w:hAnsi="宋体" w:cs="宋体"/>
              </w:rPr>
              <w:t>资质</w:t>
            </w:r>
            <w:r>
              <w:rPr>
                <w:rFonts w:hint="eastAsia" w:ascii="宋体" w:hAnsi="宋体" w:cs="宋体"/>
                <w:lang w:eastAsia="zh-CN"/>
              </w:rPr>
              <w:t>。</w:t>
            </w:r>
          </w:p>
          <w:p>
            <w:pPr>
              <w:numPr>
                <w:ilvl w:val="-1"/>
                <w:numId w:val="0"/>
              </w:numPr>
              <w:tabs>
                <w:tab w:val="left" w:pos="531"/>
              </w:tabs>
              <w:snapToGrid w:val="0"/>
              <w:spacing w:line="360" w:lineRule="auto"/>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27.97</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5"/>
        </w:numPr>
        <w:spacing w:before="156" w:beforeLines="50"/>
        <w:jc w:val="left"/>
        <w:outlineLvl w:val="2"/>
        <w:rPr>
          <w:rStyle w:val="29"/>
          <w:rFonts w:ascii="宋体" w:hAnsi="宋体"/>
          <w:b/>
          <w:bCs/>
          <w:szCs w:val="21"/>
        </w:rPr>
      </w:pPr>
      <w:bookmarkStart w:id="52" w:name="_Toc114675512"/>
      <w:bookmarkStart w:id="53" w:name="_Toc23419"/>
      <w:r>
        <w:rPr>
          <w:rStyle w:val="29"/>
          <w:rFonts w:hint="eastAsia" w:ascii="宋体" w:hAnsi="宋体"/>
          <w:b/>
          <w:bCs/>
          <w:szCs w:val="21"/>
        </w:rPr>
        <w:t>不可偏离项检查</w:t>
      </w:r>
      <w:bookmarkEnd w:id="52"/>
      <w:bookmarkEnd w:id="5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5"/>
        </w:numPr>
        <w:spacing w:before="156" w:beforeLines="50"/>
        <w:jc w:val="left"/>
        <w:outlineLvl w:val="2"/>
        <w:rPr>
          <w:rFonts w:ascii="宋体" w:hAnsi="宋体"/>
          <w:b/>
          <w:bCs/>
          <w:szCs w:val="21"/>
        </w:rPr>
      </w:pPr>
      <w:bookmarkStart w:id="54" w:name="_Toc26543"/>
      <w:bookmarkStart w:id="55" w:name="_Toc114675513"/>
      <w:r>
        <w:rPr>
          <w:rStyle w:val="29"/>
          <w:rFonts w:hint="eastAsia" w:ascii="宋体" w:hAnsi="宋体"/>
          <w:b/>
          <w:bCs/>
          <w:szCs w:val="21"/>
        </w:rPr>
        <w:t>综合评议指标表</w:t>
      </w:r>
      <w:bookmarkEnd w:id="54"/>
      <w:bookmarkEnd w:id="55"/>
    </w:p>
    <w:tbl>
      <w:tblPr>
        <w:tblStyle w:val="14"/>
        <w:tblW w:w="977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63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231"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9778"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商务评议项（25分）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jc w:val="center"/>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企业实力</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s="宋体"/>
                <w:kern w:val="0"/>
                <w:szCs w:val="21"/>
              </w:rPr>
            </w:pPr>
            <w:r>
              <w:rPr>
                <w:rFonts w:hint="eastAsia" w:ascii="宋体" w:hAnsi="宋体" w:cs="宋体"/>
                <w:kern w:val="0"/>
                <w:szCs w:val="21"/>
              </w:rPr>
              <w:t>4分</w:t>
            </w:r>
          </w:p>
        </w:tc>
        <w:tc>
          <w:tcPr>
            <w:tcW w:w="7231" w:type="dxa"/>
            <w:gridSpan w:val="2"/>
            <w:tcBorders>
              <w:tl2br w:val="nil"/>
              <w:tr2bl w:val="nil"/>
            </w:tcBorders>
            <w:tcMar>
              <w:top w:w="15" w:type="dxa"/>
              <w:left w:w="15" w:type="dxa"/>
              <w:bottom w:w="15" w:type="dxa"/>
              <w:right w:w="15" w:type="dxa"/>
            </w:tcMar>
            <w:vAlign w:val="center"/>
          </w:tcPr>
          <w:p>
            <w:pPr>
              <w:tabs>
                <w:tab w:val="left" w:pos="636"/>
                <w:tab w:val="left" w:pos="898"/>
              </w:tabs>
              <w:spacing w:line="276" w:lineRule="auto"/>
              <w:rPr>
                <w:rFonts w:hint="eastAsia" w:ascii="宋体" w:hAnsi="宋体" w:cs="宋体"/>
                <w:kern w:val="0"/>
                <w:szCs w:val="21"/>
                <w:lang w:val="en-US" w:eastAsia="zh-CN"/>
              </w:rPr>
            </w:pPr>
            <w:r>
              <w:rPr>
                <w:rFonts w:hint="eastAsia" w:ascii="宋体" w:hAnsi="宋体" w:cs="宋体"/>
                <w:kern w:val="0"/>
                <w:szCs w:val="21"/>
              </w:rPr>
              <w:t>根据各投标人的资质</w:t>
            </w:r>
            <w:r>
              <w:rPr>
                <w:rFonts w:hint="eastAsia" w:ascii="宋体" w:hAnsi="宋体" w:cs="宋体"/>
                <w:kern w:val="0"/>
                <w:szCs w:val="21"/>
                <w:lang w:val="en-US" w:eastAsia="zh-CN"/>
              </w:rPr>
              <w:t>进行评议：</w:t>
            </w:r>
          </w:p>
          <w:p>
            <w:pPr>
              <w:numPr>
                <w:ilvl w:val="0"/>
                <w:numId w:val="17"/>
              </w:numPr>
              <w:tabs>
                <w:tab w:val="left" w:pos="636"/>
                <w:tab w:val="left" w:pos="898"/>
              </w:tabs>
              <w:spacing w:line="276" w:lineRule="auto"/>
              <w:rPr>
                <w:rFonts w:hint="eastAsia" w:ascii="宋体" w:hAnsi="宋体" w:cs="宋体"/>
                <w:kern w:val="0"/>
                <w:szCs w:val="21"/>
                <w:lang w:val="en-US" w:eastAsia="zh-CN"/>
              </w:rPr>
            </w:pPr>
            <w:r>
              <w:rPr>
                <w:rFonts w:hint="eastAsia" w:ascii="宋体" w:hAnsi="宋体" w:cs="宋体"/>
                <w:kern w:val="0"/>
                <w:szCs w:val="21"/>
                <w:lang w:val="en-US" w:eastAsia="zh-CN"/>
              </w:rPr>
              <w:t>具有有效的</w:t>
            </w:r>
            <w:r>
              <w:rPr>
                <w:rFonts w:hint="eastAsia" w:ascii="宋体" w:hAnsi="宋体" w:cs="宋体"/>
              </w:rPr>
              <w:t>建筑装修装饰工程专业承包</w:t>
            </w:r>
            <w:r>
              <w:rPr>
                <w:rFonts w:hint="eastAsia" w:ascii="宋体" w:hAnsi="宋体" w:cs="宋体"/>
                <w:lang w:val="en-US" w:eastAsia="zh-CN"/>
              </w:rPr>
              <w:t>壹级资质的，</w:t>
            </w:r>
            <w:r>
              <w:rPr>
                <w:rFonts w:hint="eastAsia" w:ascii="宋体" w:hAnsi="宋体" w:cs="宋体"/>
                <w:kern w:val="0"/>
                <w:szCs w:val="21"/>
              </w:rPr>
              <w:t>得</w:t>
            </w:r>
            <w:r>
              <w:rPr>
                <w:rFonts w:hint="eastAsia" w:ascii="宋体" w:hAnsi="宋体" w:cs="宋体"/>
                <w:kern w:val="0"/>
                <w:szCs w:val="21"/>
                <w:lang w:val="en-US" w:eastAsia="zh-CN"/>
              </w:rPr>
              <w:t>2</w:t>
            </w:r>
            <w:r>
              <w:rPr>
                <w:rFonts w:hint="eastAsia" w:ascii="宋体" w:hAnsi="宋体" w:cs="宋体"/>
                <w:kern w:val="0"/>
                <w:szCs w:val="21"/>
              </w:rPr>
              <w:t>分</w:t>
            </w:r>
            <w:r>
              <w:rPr>
                <w:rFonts w:hint="eastAsia" w:ascii="宋体" w:hAnsi="宋体" w:cs="宋体"/>
                <w:kern w:val="0"/>
                <w:szCs w:val="21"/>
                <w:lang w:val="en-US" w:eastAsia="zh-CN"/>
              </w:rPr>
              <w:t>；</w:t>
            </w:r>
          </w:p>
          <w:p>
            <w:pPr>
              <w:numPr>
                <w:ilvl w:val="0"/>
                <w:numId w:val="17"/>
              </w:numPr>
              <w:tabs>
                <w:tab w:val="left" w:pos="636"/>
                <w:tab w:val="left" w:pos="898"/>
              </w:tabs>
              <w:spacing w:line="276" w:lineRule="auto"/>
              <w:rPr>
                <w:rFonts w:ascii="宋体" w:hAnsi="宋体" w:cs="宋体"/>
                <w:kern w:val="0"/>
                <w:szCs w:val="21"/>
              </w:rPr>
            </w:pPr>
            <w:r>
              <w:rPr>
                <w:rFonts w:hint="eastAsia" w:ascii="宋体" w:hAnsi="宋体" w:cs="宋体"/>
                <w:kern w:val="0"/>
                <w:szCs w:val="21"/>
                <w:lang w:val="en-US" w:eastAsia="zh-CN"/>
              </w:rPr>
              <w:t>具有有效的建筑装饰工程设计专项资质的</w:t>
            </w:r>
            <w:r>
              <w:rPr>
                <w:rFonts w:hint="eastAsia" w:ascii="宋体" w:hAnsi="宋体" w:cs="宋体"/>
                <w:kern w:val="0"/>
                <w:szCs w:val="21"/>
              </w:rPr>
              <w:t>，得2分。</w:t>
            </w:r>
          </w:p>
          <w:p>
            <w:pPr>
              <w:rPr>
                <w:rFonts w:hint="eastAsia" w:ascii="宋体" w:hAnsi="宋体" w:eastAsia="宋体"/>
                <w:color w:val="FF0000"/>
                <w:szCs w:val="21"/>
                <w:lang w:eastAsia="zh-CN"/>
              </w:rPr>
            </w:pPr>
            <w:r>
              <w:rPr>
                <w:rFonts w:hint="eastAsia" w:ascii="宋体" w:hAnsi="宋体" w:cs="宋体"/>
                <w:kern w:val="0"/>
                <w:szCs w:val="21"/>
              </w:rPr>
              <w:t>说明：</w:t>
            </w:r>
            <w:r>
              <w:rPr>
                <w:rFonts w:ascii="宋体" w:hAnsi="宋体" w:cs="宋体"/>
                <w:kern w:val="0"/>
                <w:szCs w:val="21"/>
              </w:rPr>
              <w:t>投标人</w:t>
            </w:r>
            <w:r>
              <w:rPr>
                <w:rFonts w:hint="eastAsia" w:ascii="宋体" w:hAnsi="宋体" w:cs="宋体"/>
                <w:kern w:val="0"/>
                <w:szCs w:val="21"/>
                <w:lang w:val="en-US" w:eastAsia="zh-CN"/>
              </w:rPr>
              <w:t>需</w:t>
            </w:r>
            <w:r>
              <w:rPr>
                <w:rFonts w:hint="eastAsia" w:ascii="宋体" w:hAnsi="宋体" w:cs="宋体"/>
                <w:kern w:val="0"/>
                <w:szCs w:val="21"/>
              </w:rPr>
              <w:t>提供企业资质</w:t>
            </w:r>
            <w:r>
              <w:rPr>
                <w:rFonts w:hint="eastAsia" w:ascii="宋体" w:hAnsi="宋体" w:cs="宋体"/>
                <w:kern w:val="0"/>
                <w:szCs w:val="21"/>
                <w:lang w:val="en-US" w:eastAsia="zh-CN"/>
              </w:rPr>
              <w:t>证书扫描件并加盖公章</w:t>
            </w:r>
            <w:r>
              <w:rPr>
                <w:rFonts w:hint="eastAsia" w:ascii="宋体" w:hAnsi="宋体" w:cs="宋体"/>
                <w:kern w:val="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jc w:val="center"/>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rPr>
                <w:color w:val="FF0000"/>
                <w:highlight w:val="yellow"/>
              </w:rPr>
            </w:pPr>
            <w:r>
              <w:rPr>
                <w:rFonts w:hint="eastAsia" w:ascii="宋体" w:hAnsi="宋体" w:cs="宋体"/>
                <w:kern w:val="0"/>
                <w:szCs w:val="21"/>
              </w:rPr>
              <w:t>企业获奖</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s="宋体"/>
                <w:kern w:val="0"/>
                <w:szCs w:val="21"/>
                <w:lang w:val="en-US" w:eastAsia="zh-CN"/>
              </w:rPr>
              <w:t>8</w:t>
            </w:r>
            <w:r>
              <w:rPr>
                <w:rFonts w:hint="eastAsia" w:ascii="宋体" w:hAnsi="宋体" w:cs="宋体"/>
                <w:kern w:val="0"/>
                <w:szCs w:val="21"/>
              </w:rPr>
              <w:t>分</w:t>
            </w:r>
          </w:p>
        </w:tc>
        <w:tc>
          <w:tcPr>
            <w:tcW w:w="7231" w:type="dxa"/>
            <w:gridSpan w:val="2"/>
            <w:tcBorders>
              <w:tl2br w:val="nil"/>
              <w:tr2bl w:val="nil"/>
            </w:tcBorders>
            <w:tcMar>
              <w:top w:w="15" w:type="dxa"/>
              <w:left w:w="15" w:type="dxa"/>
              <w:bottom w:w="15" w:type="dxa"/>
              <w:right w:w="15" w:type="dxa"/>
            </w:tcMar>
            <w:vAlign w:val="center"/>
          </w:tcPr>
          <w:p>
            <w:pPr>
              <w:tabs>
                <w:tab w:val="left" w:pos="615"/>
                <w:tab w:val="left" w:pos="898"/>
              </w:tabs>
              <w:spacing w:line="276" w:lineRule="auto"/>
              <w:rPr>
                <w:rFonts w:ascii="宋体" w:hAnsi="宋体" w:cs="宋体"/>
                <w:kern w:val="0"/>
                <w:szCs w:val="21"/>
              </w:rPr>
            </w:pPr>
            <w:r>
              <w:rPr>
                <w:rFonts w:hint="eastAsia" w:ascii="宋体" w:hAnsi="宋体" w:cs="宋体"/>
                <w:kern w:val="0"/>
                <w:szCs w:val="21"/>
              </w:rPr>
              <w:t>根据各投标人自20</w:t>
            </w:r>
            <w:r>
              <w:rPr>
                <w:rFonts w:hint="eastAsia" w:ascii="宋体" w:hAnsi="宋体" w:cs="宋体"/>
                <w:kern w:val="0"/>
                <w:szCs w:val="21"/>
                <w:lang w:val="en-US" w:eastAsia="zh-CN"/>
              </w:rPr>
              <w:t>20</w:t>
            </w:r>
            <w:r>
              <w:rPr>
                <w:rFonts w:hint="eastAsia" w:ascii="宋体" w:hAnsi="宋体" w:cs="宋体"/>
                <w:kern w:val="0"/>
                <w:szCs w:val="21"/>
              </w:rPr>
              <w:t>年1月1日</w:t>
            </w:r>
            <w:r>
              <w:rPr>
                <w:rFonts w:hint="eastAsia" w:ascii="宋体" w:hAnsi="宋体" w:cs="宋体"/>
                <w:szCs w:val="21"/>
              </w:rPr>
              <w:t>至本项目招标公告发布之日期间（以合同签订日期为准）</w:t>
            </w:r>
            <w:r>
              <w:rPr>
                <w:rFonts w:hint="eastAsia" w:ascii="宋体" w:hAnsi="宋体" w:cs="宋体"/>
                <w:kern w:val="0"/>
                <w:szCs w:val="21"/>
              </w:rPr>
              <w:t>获奖情况进行评议：</w:t>
            </w:r>
          </w:p>
          <w:p>
            <w:pPr>
              <w:pStyle w:val="22"/>
              <w:numPr>
                <w:ilvl w:val="-1"/>
                <w:numId w:val="0"/>
              </w:numPr>
              <w:tabs>
                <w:tab w:val="left" w:pos="547"/>
                <w:tab w:val="left" w:pos="615"/>
              </w:tabs>
              <w:spacing w:line="276" w:lineRule="auto"/>
              <w:ind w:left="0" w:firstLine="420" w:firstLineChars="0"/>
              <w:rPr>
                <w:rFonts w:hint="default" w:ascii="宋体" w:hAnsi="宋体" w:cs="宋体"/>
                <w:kern w:val="0"/>
                <w:szCs w:val="21"/>
                <w:u w:val="none"/>
                <w:lang w:val="en-US" w:eastAsia="zh-CN"/>
              </w:rPr>
            </w:pPr>
            <w:r>
              <w:rPr>
                <w:rFonts w:hint="eastAsia" w:ascii="宋体" w:hAnsi="宋体" w:cs="宋体"/>
                <w:kern w:val="0"/>
                <w:szCs w:val="21"/>
                <w:u w:val="none"/>
                <w:lang w:val="en-US" w:eastAsia="zh-CN"/>
              </w:rPr>
              <w:t>投标人获得过省级或省级以上工程类奖项的，每1项得2分，最高8分。</w:t>
            </w:r>
          </w:p>
          <w:p>
            <w:pPr>
              <w:snapToGrid w:val="0"/>
              <w:rPr>
                <w:rFonts w:ascii="宋体" w:hAnsi="宋体"/>
                <w:color w:val="FF0000"/>
                <w:szCs w:val="21"/>
              </w:rPr>
            </w:pPr>
            <w:r>
              <w:rPr>
                <w:rFonts w:hint="eastAsia" w:ascii="宋体" w:hAnsi="宋体" w:cs="宋体"/>
                <w:kern w:val="0"/>
                <w:szCs w:val="21"/>
                <w:lang w:val="en-US" w:eastAsia="zh-CN"/>
              </w:rPr>
              <w:t>说明</w:t>
            </w:r>
            <w:r>
              <w:rPr>
                <w:rFonts w:hint="eastAsia" w:ascii="宋体" w:hAnsi="宋体" w:cs="宋体"/>
                <w:kern w:val="0"/>
                <w:szCs w:val="21"/>
              </w:rPr>
              <w:t>：获奖是指由国家、省级人民政府（或行业行政主管部门，或经民政部门批准成立的相关行业协会）颁发的获奖证书。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jc w:val="center"/>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tabs>
                <w:tab w:val="left" w:pos="636"/>
                <w:tab w:val="left" w:pos="898"/>
              </w:tabs>
              <w:spacing w:line="276" w:lineRule="auto"/>
              <w:rPr>
                <w:rFonts w:ascii="宋体" w:hAnsi="宋体" w:cs="宋体"/>
                <w:kern w:val="0"/>
                <w:szCs w:val="21"/>
              </w:rPr>
            </w:pPr>
            <w:r>
              <w:rPr>
                <w:rFonts w:hint="eastAsia" w:ascii="宋体" w:hAnsi="宋体" w:cs="宋体"/>
                <w:kern w:val="0"/>
                <w:szCs w:val="21"/>
              </w:rPr>
              <w:t>项目业绩</w:t>
            </w:r>
          </w:p>
        </w:tc>
        <w:tc>
          <w:tcPr>
            <w:tcW w:w="709" w:type="dxa"/>
            <w:tcBorders>
              <w:tl2br w:val="nil"/>
              <w:tr2bl w:val="nil"/>
            </w:tcBorders>
            <w:tcMar>
              <w:top w:w="15" w:type="dxa"/>
              <w:left w:w="15" w:type="dxa"/>
              <w:bottom w:w="15" w:type="dxa"/>
              <w:right w:w="15" w:type="dxa"/>
            </w:tcMar>
            <w:vAlign w:val="center"/>
          </w:tcPr>
          <w:p>
            <w:pPr>
              <w:tabs>
                <w:tab w:val="left" w:pos="636"/>
                <w:tab w:val="left" w:pos="898"/>
              </w:tabs>
              <w:spacing w:line="276" w:lineRule="auto"/>
              <w:rPr>
                <w:rFonts w:ascii="宋体" w:hAnsi="宋体" w:cs="宋体"/>
                <w:kern w:val="0"/>
                <w:szCs w:val="21"/>
              </w:rPr>
            </w:pPr>
            <w:r>
              <w:rPr>
                <w:rFonts w:hint="eastAsia" w:ascii="宋体" w:hAnsi="宋体" w:cs="宋体"/>
                <w:kern w:val="0"/>
                <w:szCs w:val="21"/>
                <w:lang w:val="en-US" w:eastAsia="zh-CN"/>
              </w:rPr>
              <w:t>13</w:t>
            </w:r>
            <w:r>
              <w:rPr>
                <w:rFonts w:hint="eastAsia" w:ascii="宋体" w:hAnsi="宋体" w:cs="宋体"/>
                <w:kern w:val="0"/>
                <w:szCs w:val="21"/>
              </w:rPr>
              <w:t>分</w:t>
            </w:r>
          </w:p>
        </w:tc>
        <w:tc>
          <w:tcPr>
            <w:tcW w:w="7231" w:type="dxa"/>
            <w:gridSpan w:val="2"/>
            <w:tcBorders>
              <w:tl2br w:val="nil"/>
              <w:tr2bl w:val="nil"/>
            </w:tcBorders>
            <w:tcMar>
              <w:top w:w="15" w:type="dxa"/>
              <w:left w:w="15" w:type="dxa"/>
              <w:bottom w:w="15" w:type="dxa"/>
              <w:right w:w="15" w:type="dxa"/>
            </w:tcMar>
            <w:vAlign w:val="center"/>
          </w:tcPr>
          <w:p>
            <w:pPr>
              <w:tabs>
                <w:tab w:val="left" w:pos="636"/>
                <w:tab w:val="left" w:pos="898"/>
              </w:tabs>
              <w:spacing w:line="276" w:lineRule="auto"/>
              <w:rPr>
                <w:rFonts w:ascii="宋体" w:hAnsi="宋体" w:cs="宋体"/>
                <w:kern w:val="0"/>
                <w:szCs w:val="21"/>
              </w:rPr>
            </w:pPr>
            <w:r>
              <w:rPr>
                <w:rFonts w:hint="eastAsia" w:ascii="宋体" w:hAnsi="宋体" w:cs="宋体"/>
                <w:kern w:val="0"/>
                <w:szCs w:val="21"/>
              </w:rPr>
              <w:t>根据各投标人自20</w:t>
            </w:r>
            <w:r>
              <w:rPr>
                <w:rFonts w:hint="eastAsia" w:ascii="宋体" w:hAnsi="宋体" w:cs="宋体"/>
                <w:kern w:val="0"/>
                <w:szCs w:val="21"/>
                <w:lang w:val="en-US" w:eastAsia="zh-CN"/>
              </w:rPr>
              <w:t>20</w:t>
            </w:r>
            <w:r>
              <w:rPr>
                <w:rFonts w:hint="eastAsia" w:ascii="宋体" w:hAnsi="宋体" w:cs="宋体"/>
                <w:kern w:val="0"/>
                <w:szCs w:val="21"/>
              </w:rPr>
              <w:t>年1月1日起至本项目招标公告发布之日期间（以合同签订日期为准）所提供</w:t>
            </w:r>
            <w:r>
              <w:rPr>
                <w:rFonts w:ascii="宋体" w:hAnsi="宋体" w:cs="宋体"/>
                <w:kern w:val="0"/>
                <w:szCs w:val="21"/>
              </w:rPr>
              <w:t>的</w:t>
            </w:r>
            <w:r>
              <w:rPr>
                <w:rFonts w:hint="eastAsia" w:ascii="宋体" w:hAnsi="宋体" w:cs="宋体"/>
                <w:kern w:val="0"/>
                <w:szCs w:val="21"/>
              </w:rPr>
              <w:t>最大单项装饰项目合同业绩进行评分。</w:t>
            </w:r>
          </w:p>
          <w:p>
            <w:pPr>
              <w:pStyle w:val="22"/>
              <w:numPr>
                <w:ilvl w:val="0"/>
                <w:numId w:val="18"/>
              </w:numPr>
              <w:spacing w:line="276" w:lineRule="auto"/>
              <w:ind w:firstLineChars="0"/>
              <w:rPr>
                <w:rFonts w:ascii="宋体" w:hAnsi="宋体" w:cs="宋体"/>
                <w:kern w:val="0"/>
                <w:szCs w:val="21"/>
              </w:rPr>
            </w:pPr>
            <w:r>
              <w:rPr>
                <w:rFonts w:hint="eastAsia" w:ascii="宋体" w:hAnsi="宋体" w:eastAsia="宋体" w:cs="宋体"/>
                <w:kern w:val="0"/>
                <w:szCs w:val="21"/>
              </w:rPr>
              <w:t>单个合同业绩≥500万元，得</w:t>
            </w:r>
            <w:r>
              <w:rPr>
                <w:rFonts w:hint="eastAsia" w:ascii="宋体" w:hAnsi="宋体" w:eastAsia="宋体" w:cs="宋体"/>
                <w:kern w:val="0"/>
                <w:szCs w:val="21"/>
                <w:lang w:val="en-US" w:eastAsia="zh-CN"/>
              </w:rPr>
              <w:t>13</w:t>
            </w:r>
            <w:r>
              <w:rPr>
                <w:rFonts w:hint="eastAsia" w:ascii="宋体" w:hAnsi="宋体" w:eastAsia="宋体" w:cs="宋体"/>
                <w:kern w:val="0"/>
                <w:szCs w:val="21"/>
              </w:rPr>
              <w:t>分；</w:t>
            </w:r>
          </w:p>
          <w:p>
            <w:pPr>
              <w:pStyle w:val="22"/>
              <w:numPr>
                <w:ilvl w:val="0"/>
                <w:numId w:val="18"/>
              </w:numPr>
              <w:spacing w:line="276" w:lineRule="auto"/>
              <w:ind w:firstLineChars="0"/>
              <w:rPr>
                <w:rFonts w:ascii="宋体" w:hAnsi="宋体" w:cs="宋体"/>
                <w:kern w:val="0"/>
                <w:szCs w:val="21"/>
              </w:rPr>
            </w:pPr>
            <w:r>
              <w:rPr>
                <w:rFonts w:hint="eastAsia" w:ascii="宋体" w:hAnsi="宋体" w:eastAsia="宋体" w:cs="宋体"/>
                <w:kern w:val="0"/>
                <w:szCs w:val="21"/>
              </w:rPr>
              <w:t>400万元≤单个合同业绩＜500万元，得</w:t>
            </w:r>
            <w:r>
              <w:rPr>
                <w:rFonts w:hint="eastAsia" w:ascii="宋体" w:hAnsi="宋体" w:eastAsia="宋体" w:cs="宋体"/>
                <w:kern w:val="0"/>
                <w:szCs w:val="21"/>
                <w:lang w:val="en-US" w:eastAsia="zh-CN"/>
              </w:rPr>
              <w:t>10</w:t>
            </w:r>
            <w:r>
              <w:rPr>
                <w:rFonts w:hint="eastAsia" w:ascii="宋体" w:hAnsi="宋体" w:eastAsia="宋体" w:cs="宋体"/>
                <w:kern w:val="0"/>
                <w:szCs w:val="21"/>
              </w:rPr>
              <w:t>分；</w:t>
            </w:r>
          </w:p>
          <w:p>
            <w:pPr>
              <w:pStyle w:val="22"/>
              <w:numPr>
                <w:ilvl w:val="0"/>
                <w:numId w:val="18"/>
              </w:numPr>
              <w:spacing w:line="276" w:lineRule="auto"/>
              <w:ind w:firstLineChars="0"/>
              <w:rPr>
                <w:rFonts w:ascii="宋体" w:hAnsi="宋体" w:cs="宋体"/>
                <w:kern w:val="0"/>
                <w:szCs w:val="21"/>
              </w:rPr>
            </w:pPr>
            <w:r>
              <w:rPr>
                <w:rFonts w:hint="eastAsia" w:ascii="宋体" w:hAnsi="宋体" w:eastAsia="宋体" w:cs="宋体"/>
                <w:kern w:val="0"/>
                <w:szCs w:val="21"/>
              </w:rPr>
              <w:t>300万元≤单个合同业绩＜400万元，得</w:t>
            </w:r>
            <w:r>
              <w:rPr>
                <w:rFonts w:hint="eastAsia" w:ascii="宋体" w:hAnsi="宋体" w:eastAsia="宋体" w:cs="宋体"/>
                <w:kern w:val="0"/>
                <w:szCs w:val="21"/>
                <w:lang w:val="en-US" w:eastAsia="zh-CN"/>
              </w:rPr>
              <w:t>7</w:t>
            </w:r>
            <w:r>
              <w:rPr>
                <w:rFonts w:hint="eastAsia" w:ascii="宋体" w:hAnsi="宋体" w:eastAsia="宋体" w:cs="宋体"/>
                <w:kern w:val="0"/>
                <w:szCs w:val="21"/>
              </w:rPr>
              <w:t>分；</w:t>
            </w:r>
          </w:p>
          <w:p>
            <w:pPr>
              <w:pStyle w:val="22"/>
              <w:numPr>
                <w:ilvl w:val="0"/>
                <w:numId w:val="18"/>
              </w:numPr>
              <w:spacing w:line="276" w:lineRule="auto"/>
              <w:ind w:firstLineChars="0"/>
              <w:rPr>
                <w:rFonts w:ascii="宋体" w:hAnsi="宋体" w:cs="宋体"/>
                <w:kern w:val="0"/>
                <w:szCs w:val="21"/>
              </w:rPr>
            </w:pPr>
            <w:r>
              <w:rPr>
                <w:rFonts w:hint="eastAsia" w:ascii="宋体" w:hAnsi="宋体" w:eastAsia="宋体" w:cs="宋体"/>
                <w:kern w:val="0"/>
                <w:szCs w:val="21"/>
              </w:rPr>
              <w:t>200万元≤单个合同业绩＜300万元，得</w:t>
            </w:r>
            <w:r>
              <w:rPr>
                <w:rFonts w:hint="eastAsia" w:ascii="宋体" w:hAnsi="宋体" w:eastAsia="宋体" w:cs="宋体"/>
                <w:kern w:val="0"/>
                <w:szCs w:val="21"/>
                <w:lang w:val="en-US" w:eastAsia="zh-CN"/>
              </w:rPr>
              <w:t>4</w:t>
            </w:r>
            <w:r>
              <w:rPr>
                <w:rFonts w:hint="eastAsia" w:ascii="宋体" w:hAnsi="宋体" w:eastAsia="宋体" w:cs="宋体"/>
                <w:kern w:val="0"/>
                <w:szCs w:val="21"/>
              </w:rPr>
              <w:t>分；</w:t>
            </w:r>
          </w:p>
          <w:p>
            <w:pPr>
              <w:pStyle w:val="22"/>
              <w:numPr>
                <w:ilvl w:val="0"/>
                <w:numId w:val="18"/>
              </w:numPr>
              <w:spacing w:line="276" w:lineRule="auto"/>
              <w:ind w:firstLineChars="0"/>
              <w:rPr>
                <w:rFonts w:ascii="宋体" w:hAnsi="宋体" w:cs="宋体"/>
                <w:kern w:val="0"/>
                <w:szCs w:val="21"/>
              </w:rPr>
            </w:pPr>
            <w:r>
              <w:rPr>
                <w:rFonts w:hint="eastAsia" w:ascii="宋体" w:hAnsi="宋体" w:eastAsia="宋体" w:cs="宋体"/>
                <w:kern w:val="0"/>
                <w:szCs w:val="21"/>
              </w:rPr>
              <w:t>单个合同业绩＜200万元，得</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p>
          <w:p>
            <w:pPr>
              <w:tabs>
                <w:tab w:val="left" w:pos="636"/>
                <w:tab w:val="left" w:pos="898"/>
              </w:tabs>
              <w:spacing w:line="276" w:lineRule="auto"/>
              <w:rPr>
                <w:rFonts w:ascii="宋体" w:hAnsi="宋体" w:cs="宋体"/>
                <w:kern w:val="0"/>
                <w:szCs w:val="21"/>
              </w:rPr>
            </w:pPr>
            <w:r>
              <w:rPr>
                <w:rFonts w:hint="eastAsia" w:ascii="宋体" w:hAnsi="宋体" w:cs="宋体"/>
                <w:kern w:val="0"/>
                <w:szCs w:val="21"/>
              </w:rPr>
              <w:t>说明：</w:t>
            </w:r>
          </w:p>
          <w:p>
            <w:pPr>
              <w:pStyle w:val="22"/>
              <w:numPr>
                <w:ilvl w:val="0"/>
                <w:numId w:val="19"/>
              </w:numPr>
              <w:tabs>
                <w:tab w:val="left" w:pos="636"/>
                <w:tab w:val="left" w:pos="898"/>
              </w:tabs>
              <w:spacing w:line="276" w:lineRule="auto"/>
              <w:ind w:left="547" w:hanging="562" w:firstLineChars="0"/>
              <w:rPr>
                <w:rFonts w:ascii="宋体" w:hAnsi="宋体" w:eastAsia="宋体" w:cs="宋体"/>
                <w:kern w:val="0"/>
                <w:szCs w:val="21"/>
              </w:rPr>
            </w:pPr>
            <w:r>
              <w:rPr>
                <w:rFonts w:hint="eastAsia" w:ascii="宋体" w:hAnsi="宋体" w:eastAsia="宋体" w:cs="宋体"/>
                <w:kern w:val="0"/>
                <w:szCs w:val="21"/>
              </w:rPr>
              <w:t>投标人需提供包含上述评审要素（如签订时间、业绩类型及对应金额等）的合同关键页复印件等业绩证明并加盖投标人公章，必要时需提供证明文件原件，合同</w:t>
            </w:r>
            <w:r>
              <w:rPr>
                <w:rFonts w:ascii="宋体" w:hAnsi="宋体" w:eastAsia="宋体" w:cs="宋体"/>
                <w:kern w:val="0"/>
                <w:szCs w:val="21"/>
              </w:rPr>
              <w:t>金额以人民币计。</w:t>
            </w:r>
          </w:p>
          <w:p>
            <w:pPr>
              <w:pStyle w:val="22"/>
              <w:numPr>
                <w:ilvl w:val="0"/>
                <w:numId w:val="19"/>
              </w:numPr>
              <w:tabs>
                <w:tab w:val="left" w:pos="636"/>
                <w:tab w:val="left" w:pos="898"/>
              </w:tabs>
              <w:spacing w:line="276" w:lineRule="auto"/>
              <w:ind w:left="547" w:hanging="562" w:firstLineChars="0"/>
              <w:rPr>
                <w:rFonts w:ascii="宋体" w:hAnsi="宋体" w:eastAsia="宋体" w:cs="宋体"/>
                <w:kern w:val="0"/>
                <w:szCs w:val="21"/>
              </w:rPr>
            </w:pPr>
            <w:r>
              <w:rPr>
                <w:rFonts w:hint="eastAsia" w:ascii="宋体" w:hAnsi="宋体" w:eastAsia="宋体" w:cs="宋体"/>
                <w:kern w:val="0"/>
                <w:szCs w:val="21"/>
              </w:rPr>
              <w:t>所有业绩证明资料须能明确界定为装饰工程业绩，否则为无效证明资料。</w:t>
            </w:r>
          </w:p>
          <w:p>
            <w:pPr>
              <w:pStyle w:val="22"/>
              <w:numPr>
                <w:ilvl w:val="0"/>
                <w:numId w:val="19"/>
              </w:numPr>
              <w:tabs>
                <w:tab w:val="left" w:pos="636"/>
                <w:tab w:val="left" w:pos="898"/>
              </w:tabs>
              <w:spacing w:line="276" w:lineRule="auto"/>
              <w:ind w:left="547" w:hanging="562" w:firstLineChars="0"/>
              <w:rPr>
                <w:rFonts w:ascii="宋体" w:hAnsi="宋体" w:eastAsia="宋体" w:cs="宋体"/>
                <w:kern w:val="0"/>
                <w:szCs w:val="21"/>
              </w:rPr>
            </w:pPr>
            <w:r>
              <w:rPr>
                <w:rFonts w:hint="eastAsia" w:ascii="宋体" w:hAnsi="宋体" w:eastAsia="宋体" w:cs="宋体"/>
                <w:kern w:val="0"/>
                <w:szCs w:val="21"/>
              </w:rPr>
              <w:t>含有非本项目要求的业绩类型且不可拆分计算的混合业绩证明资料，视为无效证明资料。</w:t>
            </w:r>
          </w:p>
          <w:p>
            <w:pPr>
              <w:pStyle w:val="22"/>
              <w:numPr>
                <w:ilvl w:val="0"/>
                <w:numId w:val="19"/>
              </w:numPr>
              <w:tabs>
                <w:tab w:val="left" w:pos="531"/>
              </w:tabs>
              <w:snapToGrid w:val="0"/>
              <w:ind w:left="547" w:hanging="562" w:firstLineChars="0"/>
              <w:rPr>
                <w:rFonts w:ascii="宋体" w:hAnsi="宋体"/>
                <w:szCs w:val="21"/>
              </w:rPr>
            </w:pPr>
            <w:r>
              <w:rPr>
                <w:rFonts w:hint="eastAsia" w:ascii="宋体" w:hAnsi="宋体" w:eastAsia="宋体" w:cs="宋体"/>
                <w:kern w:val="0"/>
                <w:szCs w:val="21"/>
              </w:rPr>
              <w:t>未提供或所提供的证明资料关键信息不明确、不完整、不清晰的均不得分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jc w:val="center"/>
        </w:trPr>
        <w:tc>
          <w:tcPr>
            <w:tcW w:w="704" w:type="dxa"/>
            <w:tcBorders>
              <w:tl2br w:val="nil"/>
              <w:tr2bl w:val="nil"/>
            </w:tcBorders>
          </w:tcPr>
          <w:p>
            <w:pPr>
              <w:spacing w:line="360" w:lineRule="auto"/>
              <w:jc w:val="center"/>
              <w:rPr>
                <w:rFonts w:ascii="宋体" w:hAnsi="宋体"/>
                <w:b/>
                <w:szCs w:val="21"/>
              </w:rPr>
            </w:pPr>
          </w:p>
        </w:tc>
        <w:tc>
          <w:tcPr>
            <w:tcW w:w="9074"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技术服务评议项（35分</w:t>
            </w:r>
            <w:r>
              <w:rPr>
                <w:rFonts w:ascii="宋体" w:hAnsi="宋体"/>
                <w:b/>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jc w:val="center"/>
        </w:trPr>
        <w:tc>
          <w:tcPr>
            <w:tcW w:w="704" w:type="dxa"/>
            <w:tcBorders>
              <w:tl2br w:val="nil"/>
              <w:tr2bl w:val="nil"/>
            </w:tcBorders>
            <w:vAlign w:val="center"/>
          </w:tcPr>
          <w:p>
            <w:pPr>
              <w:pStyle w:val="22"/>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76" w:lineRule="auto"/>
              <w:rPr>
                <w:color w:val="FF0000"/>
                <w:highlight w:val="yellow"/>
              </w:rPr>
            </w:pPr>
            <w:r>
              <w:rPr>
                <w:rFonts w:hint="eastAsia" w:ascii="宋体" w:hAnsi="宋体" w:cs="宋体"/>
                <w:kern w:val="0"/>
                <w:szCs w:val="21"/>
              </w:rPr>
              <w:t>施工方案</w:t>
            </w:r>
          </w:p>
        </w:tc>
        <w:tc>
          <w:tcPr>
            <w:tcW w:w="709" w:type="dxa"/>
            <w:tcBorders>
              <w:tl2br w:val="nil"/>
              <w:tr2bl w:val="nil"/>
            </w:tcBorders>
            <w:tcMar>
              <w:top w:w="15" w:type="dxa"/>
              <w:left w:w="15" w:type="dxa"/>
              <w:bottom w:w="15" w:type="dxa"/>
              <w:right w:w="15" w:type="dxa"/>
            </w:tcMar>
            <w:vAlign w:val="center"/>
          </w:tcPr>
          <w:p>
            <w:pPr>
              <w:spacing w:line="276" w:lineRule="auto"/>
              <w:rPr>
                <w:rFonts w:ascii="宋体" w:hAnsi="宋体"/>
                <w:color w:val="FF0000"/>
                <w:szCs w:val="21"/>
              </w:rPr>
            </w:pPr>
            <w:r>
              <w:rPr>
                <w:rFonts w:hint="eastAsia" w:ascii="宋体" w:hAnsi="宋体" w:cs="宋体"/>
                <w:kern w:val="0"/>
                <w:szCs w:val="21"/>
              </w:rPr>
              <w:t>15分</w:t>
            </w:r>
          </w:p>
        </w:tc>
        <w:tc>
          <w:tcPr>
            <w:tcW w:w="7231" w:type="dxa"/>
            <w:gridSpan w:val="2"/>
            <w:tcBorders>
              <w:tl2br w:val="nil"/>
              <w:tr2bl w:val="nil"/>
            </w:tcBorders>
            <w:tcMar>
              <w:top w:w="15" w:type="dxa"/>
              <w:left w:w="15" w:type="dxa"/>
              <w:bottom w:w="15" w:type="dxa"/>
              <w:right w:w="15" w:type="dxa"/>
            </w:tcMar>
            <w:vAlign w:val="center"/>
          </w:tcPr>
          <w:p>
            <w:pPr>
              <w:tabs>
                <w:tab w:val="left" w:pos="615"/>
                <w:tab w:val="left" w:pos="898"/>
              </w:tabs>
              <w:spacing w:line="276" w:lineRule="auto"/>
              <w:rPr>
                <w:rFonts w:ascii="宋体" w:hAnsi="宋体" w:cs="宋体"/>
                <w:kern w:val="0"/>
                <w:szCs w:val="21"/>
              </w:rPr>
            </w:pPr>
            <w:r>
              <w:rPr>
                <w:rFonts w:hint="eastAsia" w:ascii="宋体" w:hAnsi="宋体" w:cs="宋体"/>
                <w:kern w:val="0"/>
                <w:szCs w:val="21"/>
              </w:rPr>
              <w:t>根据各投标人提供的施工方案进行综合评议，优得15分，良得10分，一般得5分。</w:t>
            </w:r>
          </w:p>
          <w:p>
            <w:pPr>
              <w:tabs>
                <w:tab w:val="left" w:pos="615"/>
                <w:tab w:val="left" w:pos="898"/>
              </w:tabs>
              <w:spacing w:line="276" w:lineRule="auto"/>
              <w:rPr>
                <w:rFonts w:ascii="宋体" w:hAnsi="宋体" w:cs="宋体"/>
                <w:color w:val="FF0000"/>
                <w:kern w:val="0"/>
                <w:szCs w:val="21"/>
              </w:rPr>
            </w:pPr>
            <w:r>
              <w:rPr>
                <w:rFonts w:hint="eastAsia" w:ascii="宋体" w:hAnsi="宋体" w:cs="宋体"/>
                <w:kern w:val="0"/>
                <w:szCs w:val="21"/>
              </w:rPr>
              <w:t>评议要点如下：施工方案是否符合会展中心现场施工实际情况，是否具备可操作性，施工的重难点分析是否切中要点、符合实际等。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jc w:val="center"/>
        </w:trPr>
        <w:tc>
          <w:tcPr>
            <w:tcW w:w="704" w:type="dxa"/>
            <w:tcBorders>
              <w:tl2br w:val="nil"/>
              <w:tr2bl w:val="nil"/>
            </w:tcBorders>
            <w:vAlign w:val="center"/>
          </w:tcPr>
          <w:p>
            <w:pPr>
              <w:pStyle w:val="22"/>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76" w:lineRule="auto"/>
              <w:rPr>
                <w:rFonts w:hint="default" w:eastAsia="宋体"/>
                <w:color w:val="FF0000"/>
                <w:highlight w:val="yellow"/>
                <w:lang w:val="en-US" w:eastAsia="zh-CN"/>
              </w:rPr>
            </w:pPr>
            <w:r>
              <w:rPr>
                <w:rFonts w:hint="eastAsia" w:ascii="宋体" w:hAnsi="宋体" w:cs="宋体"/>
                <w:kern w:val="0"/>
                <w:szCs w:val="21"/>
              </w:rPr>
              <w:t>安全生产</w:t>
            </w:r>
            <w:r>
              <w:rPr>
                <w:rFonts w:hint="eastAsia" w:ascii="宋体" w:hAnsi="宋体" w:cs="宋体"/>
                <w:kern w:val="0"/>
                <w:szCs w:val="21"/>
                <w:lang w:val="en-US" w:eastAsia="zh-CN"/>
              </w:rPr>
              <w:t>及应急预案</w:t>
            </w:r>
          </w:p>
        </w:tc>
        <w:tc>
          <w:tcPr>
            <w:tcW w:w="709" w:type="dxa"/>
            <w:tcBorders>
              <w:tl2br w:val="nil"/>
              <w:tr2bl w:val="nil"/>
            </w:tcBorders>
            <w:tcMar>
              <w:top w:w="15" w:type="dxa"/>
              <w:left w:w="15" w:type="dxa"/>
              <w:bottom w:w="15" w:type="dxa"/>
              <w:right w:w="15" w:type="dxa"/>
            </w:tcMar>
            <w:vAlign w:val="center"/>
          </w:tcPr>
          <w:p>
            <w:pPr>
              <w:spacing w:line="276" w:lineRule="auto"/>
              <w:rPr>
                <w:rFonts w:ascii="宋体" w:hAnsi="宋体"/>
                <w:color w:val="FF0000"/>
                <w:szCs w:val="21"/>
              </w:rPr>
            </w:pPr>
            <w:r>
              <w:rPr>
                <w:rFonts w:hint="eastAsia" w:ascii="宋体" w:hAnsi="宋体" w:cs="宋体"/>
                <w:kern w:val="0"/>
                <w:szCs w:val="21"/>
              </w:rPr>
              <w:t>10分</w:t>
            </w:r>
          </w:p>
        </w:tc>
        <w:tc>
          <w:tcPr>
            <w:tcW w:w="7231" w:type="dxa"/>
            <w:gridSpan w:val="2"/>
            <w:tcBorders>
              <w:tl2br w:val="nil"/>
              <w:tr2bl w:val="nil"/>
            </w:tcBorders>
            <w:tcMar>
              <w:top w:w="15" w:type="dxa"/>
              <w:left w:w="15" w:type="dxa"/>
              <w:bottom w:w="15" w:type="dxa"/>
              <w:right w:w="15" w:type="dxa"/>
            </w:tcMar>
            <w:vAlign w:val="center"/>
          </w:tcPr>
          <w:p>
            <w:pPr>
              <w:spacing w:line="276" w:lineRule="auto"/>
              <w:rPr>
                <w:rFonts w:ascii="宋体" w:hAnsi="宋体" w:cs="宋体"/>
                <w:color w:val="FF0000"/>
                <w:kern w:val="0"/>
                <w:szCs w:val="21"/>
              </w:rPr>
            </w:pPr>
            <w:r>
              <w:rPr>
                <w:rFonts w:hint="eastAsia" w:ascii="宋体" w:hAnsi="宋体" w:cs="宋体"/>
                <w:kern w:val="0"/>
                <w:szCs w:val="21"/>
              </w:rPr>
              <w:t>根据对各投标人提供的本项目组织架构、安全生产制度及应急预案</w:t>
            </w:r>
            <w:r>
              <w:rPr>
                <w:rFonts w:hint="eastAsia" w:ascii="宋体" w:hAnsi="宋体" w:cs="宋体"/>
                <w:kern w:val="0"/>
                <w:szCs w:val="21"/>
                <w:lang w:val="en-US" w:eastAsia="zh-CN"/>
              </w:rPr>
              <w:t>等</w:t>
            </w:r>
            <w:r>
              <w:rPr>
                <w:rFonts w:hint="eastAsia" w:ascii="宋体" w:hAnsi="宋体" w:cs="宋体"/>
                <w:kern w:val="0"/>
                <w:szCs w:val="21"/>
              </w:rPr>
              <w:t>横向比较进行综合评议：优得10分，良得5分，一般得2分。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jc w:val="center"/>
        </w:trPr>
        <w:tc>
          <w:tcPr>
            <w:tcW w:w="704" w:type="dxa"/>
            <w:tcBorders>
              <w:tl2br w:val="nil"/>
              <w:tr2bl w:val="nil"/>
            </w:tcBorders>
            <w:vAlign w:val="center"/>
          </w:tcPr>
          <w:p>
            <w:pPr>
              <w:pStyle w:val="22"/>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76" w:lineRule="auto"/>
              <w:rPr>
                <w:color w:val="FF0000"/>
                <w:highlight w:val="yellow"/>
              </w:rPr>
            </w:pPr>
            <w:r>
              <w:rPr>
                <w:rFonts w:hint="eastAsia" w:ascii="宋体" w:hAnsi="宋体" w:cs="宋体"/>
                <w:kern w:val="0"/>
                <w:szCs w:val="21"/>
              </w:rPr>
              <w:t>人员配置</w:t>
            </w:r>
          </w:p>
        </w:tc>
        <w:tc>
          <w:tcPr>
            <w:tcW w:w="709" w:type="dxa"/>
            <w:tcBorders>
              <w:tl2br w:val="nil"/>
              <w:tr2bl w:val="nil"/>
            </w:tcBorders>
            <w:tcMar>
              <w:top w:w="15" w:type="dxa"/>
              <w:left w:w="15" w:type="dxa"/>
              <w:bottom w:w="15" w:type="dxa"/>
              <w:right w:w="15" w:type="dxa"/>
            </w:tcMar>
            <w:vAlign w:val="center"/>
          </w:tcPr>
          <w:p>
            <w:pPr>
              <w:spacing w:line="276" w:lineRule="auto"/>
              <w:rPr>
                <w:rFonts w:ascii="宋体" w:hAnsi="宋体"/>
                <w:color w:val="FF0000"/>
                <w:szCs w:val="21"/>
              </w:rPr>
            </w:pPr>
            <w:r>
              <w:rPr>
                <w:rFonts w:hint="eastAsia" w:ascii="宋体" w:hAnsi="宋体" w:cs="宋体"/>
                <w:kern w:val="0"/>
                <w:szCs w:val="21"/>
              </w:rPr>
              <w:t>10分</w:t>
            </w:r>
          </w:p>
        </w:tc>
        <w:tc>
          <w:tcPr>
            <w:tcW w:w="7231" w:type="dxa"/>
            <w:gridSpan w:val="2"/>
            <w:tcBorders>
              <w:tl2br w:val="nil"/>
              <w:tr2bl w:val="nil"/>
            </w:tcBorders>
            <w:tcMar>
              <w:top w:w="15" w:type="dxa"/>
              <w:left w:w="15" w:type="dxa"/>
              <w:bottom w:w="15" w:type="dxa"/>
              <w:right w:w="15" w:type="dxa"/>
            </w:tcMar>
            <w:vAlign w:val="center"/>
          </w:tcPr>
          <w:p>
            <w:pPr>
              <w:tabs>
                <w:tab w:val="left" w:pos="615"/>
                <w:tab w:val="left" w:pos="898"/>
              </w:tabs>
              <w:spacing w:line="276" w:lineRule="auto"/>
              <w:rPr>
                <w:rStyle w:val="19"/>
                <w:rFonts w:hint="eastAsia"/>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投标人指定的本项目负责人具有建筑工程专业建造师一级执业资格证书且注册（或聘用）企业为投标单位的，得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val="en-US" w:eastAsia="zh-CN"/>
              </w:rPr>
              <w:t>；</w:t>
            </w:r>
            <w:r>
              <w:rPr>
                <w:rFonts w:hint="eastAsia" w:ascii="宋体" w:hAnsi="宋体" w:cs="宋体"/>
                <w:kern w:val="0"/>
                <w:szCs w:val="21"/>
              </w:rPr>
              <w:t>具有建筑工程专业建造师</w:t>
            </w:r>
            <w:r>
              <w:rPr>
                <w:rFonts w:hint="eastAsia" w:ascii="宋体" w:hAnsi="宋体" w:cs="宋体"/>
                <w:kern w:val="0"/>
                <w:szCs w:val="21"/>
                <w:lang w:val="en-US" w:eastAsia="zh-CN"/>
              </w:rPr>
              <w:t>二</w:t>
            </w:r>
            <w:r>
              <w:rPr>
                <w:rFonts w:hint="eastAsia" w:ascii="宋体" w:hAnsi="宋体" w:cs="宋体"/>
                <w:kern w:val="0"/>
                <w:szCs w:val="21"/>
              </w:rPr>
              <w:t>级执业资格证书</w:t>
            </w:r>
            <w:r>
              <w:rPr>
                <w:rStyle w:val="19"/>
                <w:rFonts w:hint="eastAsia"/>
                <w:lang w:val="en-US" w:eastAsia="zh-CN"/>
              </w:rPr>
              <w:t>得2分。</w:t>
            </w:r>
          </w:p>
          <w:p>
            <w:pPr>
              <w:tabs>
                <w:tab w:val="left" w:pos="615"/>
                <w:tab w:val="left" w:pos="898"/>
              </w:tabs>
              <w:spacing w:line="276" w:lineRule="auto"/>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投标人项目技术人员具有</w:t>
            </w:r>
            <w:r>
              <w:rPr>
                <w:rFonts w:hint="eastAsia" w:ascii="宋体" w:hAnsi="宋体" w:cs="宋体"/>
                <w:kern w:val="0"/>
                <w:szCs w:val="21"/>
                <w:lang w:val="en-US" w:eastAsia="zh-CN"/>
              </w:rPr>
              <w:t>建筑</w:t>
            </w:r>
            <w:r>
              <w:rPr>
                <w:rFonts w:hint="eastAsia" w:ascii="宋体" w:hAnsi="宋体" w:cs="宋体"/>
                <w:kern w:val="0"/>
                <w:szCs w:val="21"/>
              </w:rPr>
              <w:t>相关专业工程师证书</w:t>
            </w:r>
            <w:r>
              <w:rPr>
                <w:rFonts w:hint="eastAsia" w:ascii="宋体" w:hAnsi="宋体" w:cs="宋体"/>
                <w:kern w:val="0"/>
                <w:szCs w:val="21"/>
                <w:lang w:val="en-US" w:eastAsia="zh-CN"/>
              </w:rPr>
              <w:t>的</w:t>
            </w:r>
            <w:r>
              <w:rPr>
                <w:rFonts w:hint="eastAsia" w:ascii="宋体" w:hAnsi="宋体" w:cs="宋体"/>
                <w:kern w:val="0"/>
                <w:szCs w:val="21"/>
              </w:rPr>
              <w:t>，每一</w:t>
            </w:r>
            <w:r>
              <w:rPr>
                <w:rFonts w:hint="eastAsia" w:ascii="宋体" w:hAnsi="宋体" w:cs="宋体"/>
                <w:kern w:val="0"/>
                <w:szCs w:val="21"/>
                <w:lang w:val="en-US" w:eastAsia="zh-CN"/>
              </w:rPr>
              <w:t>人</w:t>
            </w:r>
            <w:r>
              <w:rPr>
                <w:rFonts w:hint="eastAsia" w:ascii="宋体" w:hAnsi="宋体" w:cs="宋体"/>
                <w:kern w:val="0"/>
                <w:szCs w:val="21"/>
              </w:rPr>
              <w:t>得</w:t>
            </w:r>
            <w:r>
              <w:rPr>
                <w:rFonts w:hint="eastAsia" w:ascii="宋体" w:hAnsi="宋体" w:cs="宋体"/>
                <w:kern w:val="0"/>
                <w:szCs w:val="21"/>
                <w:lang w:val="en-US" w:eastAsia="zh-CN"/>
              </w:rPr>
              <w:t>2</w:t>
            </w:r>
            <w:r>
              <w:rPr>
                <w:rFonts w:hint="eastAsia" w:ascii="宋体" w:hAnsi="宋体" w:cs="宋体"/>
                <w:kern w:val="0"/>
                <w:szCs w:val="21"/>
              </w:rPr>
              <w:t>分，最高得</w:t>
            </w:r>
            <w:r>
              <w:rPr>
                <w:rFonts w:hint="eastAsia" w:ascii="宋体" w:hAnsi="宋体" w:cs="宋体"/>
                <w:kern w:val="0"/>
                <w:szCs w:val="21"/>
                <w:lang w:val="en-US" w:eastAsia="zh-CN"/>
              </w:rPr>
              <w:t>4</w:t>
            </w:r>
            <w:r>
              <w:rPr>
                <w:rFonts w:hint="eastAsia" w:ascii="宋体" w:hAnsi="宋体" w:cs="宋体"/>
                <w:kern w:val="0"/>
                <w:szCs w:val="21"/>
              </w:rPr>
              <w:t>分。</w:t>
            </w:r>
          </w:p>
          <w:p>
            <w:pPr>
              <w:pStyle w:val="2"/>
              <w:ind w:left="0"/>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投标人拟派人员</w:t>
            </w:r>
            <w:r>
              <w:rPr>
                <w:rFonts w:hint="eastAsia" w:ascii="宋体" w:hAnsi="宋体" w:cs="宋体"/>
                <w:szCs w:val="21"/>
                <w:lang w:val="en-US" w:eastAsia="zh-CN"/>
              </w:rPr>
              <w:t>持有有效安全员证书的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p>
          <w:p>
            <w:pPr>
              <w:spacing w:line="276" w:lineRule="auto"/>
              <w:rPr>
                <w:rFonts w:ascii="宋体" w:hAnsi="宋体" w:cs="宋体"/>
                <w:kern w:val="0"/>
                <w:szCs w:val="21"/>
              </w:rPr>
            </w:pPr>
            <w:r>
              <w:rPr>
                <w:rFonts w:hint="eastAsia" w:ascii="宋体" w:hAnsi="宋体" w:cs="宋体"/>
                <w:kern w:val="0"/>
                <w:szCs w:val="21"/>
              </w:rPr>
              <w:t>说明：</w:t>
            </w:r>
          </w:p>
          <w:p>
            <w:pPr>
              <w:pStyle w:val="37"/>
              <w:spacing w:line="276" w:lineRule="auto"/>
              <w:ind w:firstLine="0"/>
              <w:rPr>
                <w:rFonts w:ascii="宋体" w:hAnsi="宋体" w:cs="宋体"/>
                <w:kern w:val="0"/>
                <w:szCs w:val="21"/>
              </w:rPr>
            </w:pPr>
            <w:r>
              <w:rPr>
                <w:rFonts w:hint="eastAsia" w:ascii="宋体" w:hAnsi="宋体" w:cs="宋体"/>
                <w:kern w:val="0"/>
                <w:szCs w:val="21"/>
              </w:rPr>
              <w:t>（1）提供相应人员资格证明文件和最近3个月</w:t>
            </w:r>
            <w:r>
              <w:rPr>
                <w:rFonts w:hint="eastAsia" w:ascii="宋体" w:hAnsi="宋体" w:cs="宋体"/>
                <w:kern w:val="0"/>
                <w:szCs w:val="21"/>
                <w:lang w:val="en-US" w:eastAsia="zh-CN"/>
              </w:rPr>
              <w:t>投标人为其缴纳的</w:t>
            </w:r>
            <w:r>
              <w:rPr>
                <w:rFonts w:ascii="宋体" w:hAnsi="宋体" w:cs="宋体"/>
                <w:kern w:val="0"/>
                <w:szCs w:val="21"/>
              </w:rPr>
              <w:t>社保清单证明，如开标日上一个月的社保材料因社保部门原因暂时无法取得，则可以往前顺推一个月，</w:t>
            </w:r>
            <w:r>
              <w:rPr>
                <w:rFonts w:hint="eastAsia" w:ascii="宋体" w:hAnsi="宋体" w:cs="宋体"/>
                <w:kern w:val="0"/>
                <w:szCs w:val="21"/>
              </w:rPr>
              <w:t>社保证明须同时加盖投标人公章。（未按要求提供或提供不清晰导致专家无法判断的不得分，原件备查）</w:t>
            </w:r>
          </w:p>
          <w:p>
            <w:pPr>
              <w:pStyle w:val="37"/>
              <w:spacing w:line="276" w:lineRule="auto"/>
              <w:ind w:firstLine="0"/>
              <w:rPr>
                <w:rFonts w:ascii="宋体" w:hAnsi="宋体" w:cs="宋体"/>
                <w:color w:val="FF0000"/>
                <w:kern w:val="0"/>
                <w:szCs w:val="21"/>
              </w:rPr>
            </w:pPr>
            <w:r>
              <w:rPr>
                <w:rFonts w:hint="eastAsia" w:ascii="宋体" w:hAnsi="宋体" w:cs="宋体"/>
                <w:kern w:val="0"/>
                <w:szCs w:val="21"/>
              </w:rPr>
              <w:t>（2）投标人须提供相关人员证书复印件，加盖公章，否则不得分，同一人不得重复计分。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9778" w:type="dxa"/>
            <w:gridSpan w:val="5"/>
            <w:tcBorders>
              <w:tl2br w:val="nil"/>
              <w:tr2bl w:val="nil"/>
            </w:tcBorders>
            <w:vAlign w:val="center"/>
          </w:tcPr>
          <w:p>
            <w:pPr>
              <w:jc w:val="center"/>
              <w:rPr>
                <w:rFonts w:ascii="宋体" w:hAnsi="宋体"/>
                <w:b/>
                <w:szCs w:val="21"/>
              </w:rPr>
            </w:pPr>
            <w:r>
              <w:rPr>
                <w:rFonts w:hint="eastAsia" w:ascii="宋体" w:hAnsi="宋体"/>
                <w:b/>
                <w:szCs w:val="21"/>
              </w:rPr>
              <w:t>价格评议项（40</w:t>
            </w:r>
            <w:r>
              <w:rPr>
                <w:rFonts w:ascii="宋体" w:hAnsi="宋体"/>
                <w:b/>
                <w:szCs w:val="21"/>
              </w:rPr>
              <w:t>分）</w:t>
            </w:r>
          </w:p>
          <w:p>
            <w:pPr>
              <w:pStyle w:val="2"/>
              <w:spacing w:after="0" w:line="240" w:lineRule="auto"/>
              <w:ind w:left="-2" w:leftChars="-1" w:firstLine="29" w:firstLineChars="15"/>
              <w:jc w:val="center"/>
              <w:rPr>
                <w:rFonts w:hint="eastAsia"/>
              </w:rPr>
            </w:pPr>
            <w:r>
              <w:rPr>
                <w:rFonts w:hint="eastAsia"/>
                <w:b/>
                <w:bCs/>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blCellSpacing w:w="0" w:type="dxa"/>
          <w:jc w:val="center"/>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9074"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940"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 w:hRule="atLeast"/>
          <w:tblCellSpacing w:w="0" w:type="dxa"/>
          <w:jc w:val="center"/>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940"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 w:hRule="atLeast"/>
          <w:tblCellSpacing w:w="0" w:type="dxa"/>
          <w:jc w:val="center"/>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940"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377"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sym w:font="Wingdings 2" w:char="00A3"/>
            </w:r>
            <w:r>
              <w:rPr>
                <w:rFonts w:hint="eastAsia" w:ascii="宋体" w:hAnsi="宋体"/>
                <w:szCs w:val="21"/>
              </w:rPr>
              <w:t>固定乘积法</w:t>
            </w:r>
          </w:p>
        </w:tc>
        <w:tc>
          <w:tcPr>
            <w:tcW w:w="6377" w:type="dxa"/>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价格得分=（1-A×｜1-投标报价/Z｜）×M</w:t>
            </w:r>
          </w:p>
          <w:p>
            <w:pPr>
              <w:numPr>
                <w:ilvl w:val="0"/>
                <w:numId w:val="21"/>
              </w:numPr>
              <w:autoSpaceDE w:val="0"/>
              <w:autoSpaceDN w:val="0"/>
              <w:adjustRightInd w:val="0"/>
              <w:snapToGrid w:val="0"/>
              <w:jc w:val="left"/>
              <w:rPr>
                <w:rStyle w:val="19"/>
                <w:rFonts w:ascii="宋体" w:hAnsi="宋体"/>
              </w:rPr>
            </w:pPr>
            <w:r>
              <w:rPr>
                <w:rStyle w:val="19"/>
                <w:rFonts w:hint="eastAsia" w:ascii="宋体" w:hAnsi="宋体"/>
              </w:rPr>
              <w:t xml:space="preserve">M= </w:t>
            </w:r>
            <w:r>
              <w:rPr>
                <w:rFonts w:hint="eastAsia" w:ascii="宋体" w:hAnsi="宋体"/>
                <w:color w:val="FF0000"/>
                <w:szCs w:val="21"/>
              </w:rPr>
              <w:t>4</w:t>
            </w:r>
            <w:r>
              <w:rPr>
                <w:rFonts w:ascii="宋体" w:hAnsi="宋体"/>
                <w:color w:val="FF0000"/>
                <w:szCs w:val="21"/>
              </w:rPr>
              <w:t>0</w:t>
            </w:r>
            <w:r>
              <w:rPr>
                <w:rStyle w:val="19"/>
                <w:rFonts w:hint="eastAsia" w:ascii="宋体" w:hAnsi="宋体"/>
              </w:rPr>
              <w:t xml:space="preserve"> （价格评价分项满分值），Z为本次招标最佳报价（即基准价）；</w:t>
            </w:r>
          </w:p>
          <w:p>
            <w:pPr>
              <w:numPr>
                <w:ilvl w:val="0"/>
                <w:numId w:val="21"/>
              </w:numPr>
              <w:autoSpaceDE w:val="0"/>
              <w:autoSpaceDN w:val="0"/>
              <w:adjustRightInd w:val="0"/>
              <w:snapToGrid w:val="0"/>
              <w:jc w:val="left"/>
              <w:rPr>
                <w:rStyle w:val="19"/>
                <w:rFonts w:ascii="宋体" w:hAnsi="宋体"/>
              </w:rPr>
            </w:pPr>
            <w:r>
              <w:rPr>
                <w:rStyle w:val="19"/>
                <w:rFonts w:hint="eastAsia" w:ascii="宋体" w:hAnsi="宋体"/>
              </w:rPr>
              <w:t>A为价格调整系数，当投标报价低于本次招标最佳报价（即基准价）时，A=0.5；当投标报价高于次招标最佳报价时，取A=1；</w:t>
            </w:r>
          </w:p>
          <w:p>
            <w:pPr>
              <w:numPr>
                <w:ilvl w:val="0"/>
                <w:numId w:val="21"/>
              </w:numPr>
              <w:jc w:val="left"/>
              <w:rPr>
                <w:rFonts w:ascii="宋体" w:cs="宋体"/>
                <w:kern w:val="0"/>
                <w:szCs w:val="21"/>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 w:hRule="atLeast"/>
          <w:tblCellSpacing w:w="0" w:type="dxa"/>
          <w:jc w:val="center"/>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377"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32"/>
          <w:szCs w:val="32"/>
        </w:rPr>
      </w:pPr>
      <w:bookmarkStart w:id="56" w:name="_Toc280"/>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深圳会展中心</w:t>
      </w:r>
      <w:r>
        <w:rPr>
          <w:rFonts w:hint="eastAsia" w:ascii="方正小标宋简体" w:hAnsi="方正小标宋简体" w:eastAsia="方正小标宋简体" w:cs="方正小标宋简体"/>
          <w:b/>
          <w:bCs/>
          <w:kern w:val="0"/>
          <w:sz w:val="36"/>
          <w:szCs w:val="36"/>
          <w:lang w:val="en-US" w:eastAsia="zh-CN"/>
        </w:rPr>
        <w:t>地下餐饮区</w:t>
      </w:r>
      <w:r>
        <w:rPr>
          <w:rFonts w:hint="eastAsia" w:ascii="方正小标宋简体" w:hAnsi="方正小标宋简体" w:eastAsia="方正小标宋简体" w:cs="方正小标宋简体"/>
          <w:b/>
          <w:bCs/>
          <w:kern w:val="0"/>
          <w:sz w:val="36"/>
          <w:szCs w:val="36"/>
        </w:rPr>
        <w:t>天花维修</w:t>
      </w:r>
    </w:p>
    <w:p>
      <w:pPr>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项目合同</w:t>
      </w:r>
    </w:p>
    <w:p>
      <w:pPr>
        <w:jc w:val="center"/>
        <w:rPr>
          <w:rFonts w:ascii="方正小标宋简体" w:hAnsi="方正小标宋简体" w:eastAsia="方正小标宋简体" w:cs="方正小标宋简体"/>
          <w:b/>
          <w:bCs/>
          <w:kern w:val="0"/>
          <w:sz w:val="21"/>
          <w:szCs w:val="21"/>
        </w:rPr>
      </w:pPr>
      <w:r>
        <w:rPr>
          <w:rFonts w:hint="eastAsia" w:ascii="方正小标宋简体" w:hAnsi="方正小标宋简体" w:eastAsia="方正小标宋简体" w:cs="方正小标宋简体"/>
          <w:b/>
          <w:bCs/>
          <w:kern w:val="0"/>
          <w:szCs w:val="21"/>
        </w:rPr>
        <w:t>（仅供参考）</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甲    方：</w:t>
      </w:r>
      <w:r>
        <w:rPr>
          <w:rFonts w:ascii="仿宋" w:hAnsi="仿宋" w:eastAsia="仿宋" w:cs="Times New Roman"/>
          <w:sz w:val="24"/>
        </w:rPr>
        <w:t xml:space="preserve"> </w:t>
      </w:r>
      <w:r>
        <w:rPr>
          <w:rFonts w:hint="eastAsia" w:ascii="仿宋" w:hAnsi="仿宋" w:eastAsia="仿宋" w:cs="Times New Roman"/>
          <w:sz w:val="24"/>
        </w:rPr>
        <w:t xml:space="preserve">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法定代表人：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联 系 人：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联系电话：</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地    址：</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开户银行： </w:t>
      </w:r>
      <w:r>
        <w:rPr>
          <w:rFonts w:ascii="仿宋" w:hAnsi="仿宋" w:eastAsia="仿宋" w:cs="Times New Roman"/>
          <w:sz w:val="24"/>
        </w:rPr>
        <w:t xml:space="preserve">     </w:t>
      </w:r>
      <w:r>
        <w:rPr>
          <w:rFonts w:hint="eastAsia" w:ascii="仿宋" w:hAnsi="仿宋" w:eastAsia="仿宋" w:cs="Times New Roman"/>
          <w:sz w:val="24"/>
        </w:rPr>
        <w:t xml:space="preserve">                  </w:t>
      </w:r>
      <w:r>
        <w:rPr>
          <w:rFonts w:ascii="仿宋" w:hAnsi="仿宋" w:eastAsia="仿宋" w:cs="Times New Roman"/>
          <w:sz w:val="24"/>
        </w:rPr>
        <w:t xml:space="preserve"> </w:t>
      </w:r>
      <w:r>
        <w:rPr>
          <w:rFonts w:hint="eastAsia" w:ascii="仿宋" w:hAnsi="仿宋" w:eastAsia="仿宋" w:cs="Times New Roman"/>
          <w:sz w:val="24"/>
        </w:rPr>
        <w:t xml:space="preserve">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银行帐号：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                                  </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乙    方：</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法定代表人：</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联 系 人：</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联系电话：</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地    址：</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开户银行：</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银行帐户：</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经甲、乙双方友好协商，确定由甲方委托乙方承接深圳会展中心*****项目，为明确双方的权利义务，保障双方的利益，在甲、乙双方自愿以及完全清楚本合同条款的基础上，根据《中华人民共和国民法典》及行业有关规定，签订本合同。</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一、工程概况及范围</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（一）工程名称：</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（二）工程地点：深圳会展中心。</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（三）工程内容：</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（四）工程工期:</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（五）承包方式：</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 施工要求</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（一）本次涉及会展中心</w:t>
      </w:r>
      <w:r>
        <w:rPr>
          <w:rFonts w:hint="eastAsia" w:ascii="仿宋" w:hAnsi="仿宋" w:eastAsia="仿宋" w:cs="Times New Roman"/>
          <w:sz w:val="24"/>
          <w:lang w:val="en-US" w:eastAsia="zh-CN"/>
        </w:rPr>
        <w:t>地下餐饮区</w:t>
      </w:r>
      <w:r>
        <w:rPr>
          <w:rFonts w:hint="eastAsia" w:ascii="仿宋" w:hAnsi="仿宋" w:eastAsia="仿宋" w:cs="Times New Roman"/>
          <w:sz w:val="24"/>
        </w:rPr>
        <w:t>天花维修。</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（二）天花和龙骨材质不低于招标文件要求，且现场安装凭证牢固。</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（三）消防设施更换需要专业持证人员进行，避免造成消防设备的损坏。</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（四）拆除需要恢复的设备设施，安装前应对原有固件进行检查发现有隐患应进行加固处理。</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（五）乙方应注重现场的文明施工，对施工区域的施工垃圾自行清除。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（六）乙方应对现场施工作业人员的安全负全部责任，对所有违章作业现象应予以制止，甲方有权制止现场违规作业现象。</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（七）本项目施工现场为经营性场所，须根据现场经营现状开展工作，不得影响现场经营，如有影响现场经营现象，须停止作业，待经营业务完毕后方可开工。 </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三、双方工作</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（一）甲方工作</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1.免费提供施工现场的临时用水用电，乙方须指定专人负责现场临时用水用电的安全。</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2.负责对工程质量、进度进行监督检查，办理验收、变更、登记手续和其他相关事宜。</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（二）乙方工作</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1.乙方须按甲方的要求办理相关的进场施工手续，遵守甲方相关管理规定，保证施工安全。</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2.乙方有义务保证在不破坏原有成品的前提下施工，如有损坏乙方需无条件修复完好。</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3.乙方应当妥善做好施工现场保护和垃圾清运等工作。</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4.所有施工、材料进出等不得影响甲方正常经营生产。</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5.乙方进场前必须与甲方签署安全协议书。</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6.各分项工程施工质量应符合相关国家质量标准和规范，由于乙方施工质量或工艺和材料造成的质量问题，乙方负全部责任，并且免费进行返工直至验收合格。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7.本工程施工现场为经营性场所，须根据现场经营现状或设备运行状况开展工作，施工时不得影响现场经营或设备的安全运行，如可能影响现场经营或设备安全运行时，必须停止作业，待经营业务结束后方可施工。</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8.乙方在施工期间须严格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员工、第三方的伤害）。如有上述意外发生，均与甲方无关，如因发生人损纠纷甲方承担相应责任，有权事后要求全额追偿，乙方应无条件承担。</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9.乙方在施工期间应严格遵守深圳会展中心管理规定，因乙方在施工生产过程中违反有关安全操作规程和消防法，导致发生安全或火灾事故，乙方承担由此引发的一切责任和经济损失。</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10.乙方施工人员必须具有相应工种的作业资格证书后方可从事相应的工作，施工人员的数量应与工作量相适应。</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四、工程验收及保修</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 xml:space="preserve">（一）施工完毕后7个工作日内由甲方组织相关人员进行验收。 </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甲方将根据项目相关国家标准规范进行验收，如验收不合格，经整改后，另行验收，整改费用由乙方承担。整改后仍不合格，甲方可要求乙方继续整改，整改费用由乙方承担，也可要求乙方离场并赔偿不合格项目的损失。</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三）本工程保修责任期自竣工验收合格之日起*年，保修期内由于工程施工或工艺质量原因造成的损坏，由乙方免费进行维修更换，甲方不再支付其他费用。由于甲方或不可抗拒因素造成的损坏，可委托乙方进行维修更换，费用可另行结算。</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五、工程价款及付款</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（一）本项目合同价为：********（小写：￥000000）</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（二）本工程自完工并经甲方书面验收合格后，乙方开具全额增值税发票，甲方向乙方支付本项目合同款的97%，剩余3%款项保修责任期满后工程无质量和遗留问题后支付（不计利息）。</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六、违约条款</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（一）合同任何一方，不能全面履行合同条款或无正当理由单方提出终止合同，均属违约。违约造成的经济损失由违约方承担，同时违约方须向对方支付合同总金额10％作为违约金。</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（二）由履行本合同发生的争议，由双方协商解决，协商未果，可以起诉至工程所在地（深圳市福田区）有管辖权的人民法院。</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七、其他</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（一）本合同未尽事宜，双方另行协商解决。</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（二）本合同的签署地为广东省深圳市。</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（三）本合同一式柒份，甲方持伍份，乙方持贰份，自双方代表签字，加盖公章即时生效，具有同等法律效力。</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（四）本工程招标标书和投标书作为合同的附件，与合同具有同等法律效力。</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五）本合同载明的联系方式（包括联系地址、联系人、联系电话）为双方约定的联系方式，若有变动，应提前书面告知对方，否则该联系方式为双方法定的送达和联系方式，一经发送至上述地址即视为送达。（以下无正文）</w:t>
      </w:r>
    </w:p>
    <w:p>
      <w:pPr>
        <w:autoSpaceDE w:val="0"/>
        <w:autoSpaceDN w:val="0"/>
        <w:adjustRightInd w:val="0"/>
        <w:snapToGrid w:val="0"/>
        <w:spacing w:line="340" w:lineRule="exact"/>
        <w:ind w:firstLine="480" w:firstLineChars="200"/>
        <w:jc w:val="left"/>
        <w:rPr>
          <w:rFonts w:ascii="仿宋" w:hAnsi="仿宋" w:eastAsia="仿宋" w:cs="Times New Roman"/>
          <w:sz w:val="24"/>
        </w:rPr>
      </w:pPr>
    </w:p>
    <w:p>
      <w:pPr>
        <w:autoSpaceDE w:val="0"/>
        <w:autoSpaceDN w:val="0"/>
        <w:adjustRightInd w:val="0"/>
        <w:snapToGrid w:val="0"/>
        <w:spacing w:line="340" w:lineRule="exact"/>
        <w:ind w:firstLine="480" w:firstLineChars="200"/>
        <w:jc w:val="left"/>
        <w:rPr>
          <w:rFonts w:hint="eastAsia" w:ascii="仿宋" w:hAnsi="仿宋" w:eastAsia="仿宋" w:cs="Times New Roman"/>
          <w:sz w:val="24"/>
        </w:rPr>
      </w:pPr>
      <w:r>
        <w:rPr>
          <w:rFonts w:hint="eastAsia" w:ascii="仿宋" w:hAnsi="仿宋" w:eastAsia="仿宋" w:cs="Times New Roman"/>
          <w:sz w:val="24"/>
        </w:rPr>
        <w:t>甲方：                              乙方：</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代表：                              代表：</w:t>
      </w:r>
    </w:p>
    <w:p>
      <w:pPr>
        <w:autoSpaceDE w:val="0"/>
        <w:autoSpaceDN w:val="0"/>
        <w:adjustRightInd w:val="0"/>
        <w:snapToGrid w:val="0"/>
        <w:spacing w:line="340" w:lineRule="exact"/>
        <w:ind w:firstLine="480" w:firstLineChars="200"/>
        <w:jc w:val="left"/>
        <w:rPr>
          <w:rFonts w:ascii="仿宋" w:hAnsi="仿宋" w:eastAsia="仿宋" w:cs="Times New Roman"/>
          <w:sz w:val="24"/>
        </w:rPr>
      </w:pPr>
      <w:r>
        <w:rPr>
          <w:rFonts w:hint="eastAsia" w:ascii="仿宋" w:hAnsi="仿宋" w:eastAsia="仿宋" w:cs="Times New Roman"/>
          <w:sz w:val="24"/>
        </w:rPr>
        <w:t>联系电话：                          联系电话：</w:t>
      </w:r>
    </w:p>
    <w:p>
      <w:pPr>
        <w:autoSpaceDE w:val="0"/>
        <w:autoSpaceDN w:val="0"/>
        <w:adjustRightInd w:val="0"/>
        <w:snapToGrid w:val="0"/>
        <w:spacing w:line="340" w:lineRule="exact"/>
        <w:ind w:firstLine="480" w:firstLineChars="200"/>
        <w:jc w:val="left"/>
        <w:rPr>
          <w:rFonts w:ascii="宋体" w:hAnsi="宋体" w:cs="仿宋"/>
          <w:b/>
          <w:bCs/>
          <w:szCs w:val="21"/>
        </w:rPr>
      </w:pPr>
      <w:r>
        <w:rPr>
          <w:rFonts w:hint="eastAsia" w:ascii="仿宋" w:hAnsi="仿宋" w:eastAsia="仿宋" w:cs="Times New Roman"/>
          <w:sz w:val="24"/>
        </w:rPr>
        <w:t>甲方公章：                          乙方公章：</w:t>
      </w: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7" w:name="_Toc18175"/>
      <w:r>
        <w:rPr>
          <w:rFonts w:hint="eastAsia"/>
          <w:b/>
          <w:sz w:val="32"/>
          <w:szCs w:val="32"/>
        </w:rPr>
        <w:t>第五部分：参考附件</w:t>
      </w:r>
      <w:bookmarkEnd w:id="57"/>
    </w:p>
    <w:p>
      <w:pPr>
        <w:spacing w:line="0" w:lineRule="atLeast"/>
        <w:outlineLvl w:val="1"/>
        <w:rPr>
          <w:rFonts w:ascii="宋体" w:hAnsi="宋体"/>
        </w:rPr>
      </w:pPr>
      <w:bookmarkStart w:id="58" w:name="_Toc6746"/>
      <w:r>
        <w:rPr>
          <w:rFonts w:hint="eastAsia" w:ascii="宋体" w:hAnsi="宋体"/>
          <w:szCs w:val="21"/>
        </w:rPr>
        <w:t>附件1：</w:t>
      </w:r>
      <w:r>
        <w:rPr>
          <w:rFonts w:hint="eastAsia" w:ascii="宋体" w:hAnsi="宋体"/>
        </w:rPr>
        <w:t>报名回函</w:t>
      </w:r>
      <w:bookmarkEnd w:id="58"/>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9" w:name="_Toc24265"/>
      <w:r>
        <w:rPr>
          <w:rFonts w:hint="eastAsia" w:ascii="宋体" w:hAnsi="宋体"/>
          <w:szCs w:val="21"/>
        </w:rPr>
        <w:t>附件2：投标函</w:t>
      </w:r>
      <w:bookmarkEnd w:id="5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0" w:name="_Toc3305"/>
      <w:r>
        <w:rPr>
          <w:rFonts w:hint="eastAsia" w:ascii="宋体" w:hAnsi="宋体"/>
          <w:szCs w:val="21"/>
        </w:rPr>
        <w:t>附件3：投标一览表</w:t>
      </w:r>
      <w:bookmarkEnd w:id="6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1"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1"/>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2" w:name="_Toc11122"/>
      <w:r>
        <w:rPr>
          <w:rFonts w:hint="eastAsia" w:ascii="宋体" w:hAnsi="宋体"/>
          <w:szCs w:val="21"/>
        </w:rPr>
        <w:t>附件4：考察证明</w:t>
      </w:r>
      <w:bookmarkEnd w:id="62"/>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3"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4"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4"/>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3"/>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5" w:name="_Toc17293"/>
      <w:r>
        <w:rPr>
          <w:rFonts w:hint="eastAsia" w:ascii="宋体" w:hAnsi="宋体"/>
          <w:szCs w:val="21"/>
        </w:rPr>
        <w:t>附件5：技术服务响应/偏离表</w:t>
      </w:r>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18"/>
      <w:r>
        <w:rPr>
          <w:rFonts w:hint="eastAsia" w:ascii="方正小标宋_GBK" w:hAnsi="方正小标宋_GBK" w:eastAsia="方正小标宋_GBK"/>
          <w:b/>
          <w:sz w:val="32"/>
          <w:szCs w:val="32"/>
        </w:rPr>
        <w:t>技术服务响应/偏离表</w:t>
      </w:r>
      <w:bookmarkEnd w:id="66"/>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7" w:name="_Hlk127434997"/>
      <w:bookmarkStart w:id="68" w:name="_Toc211243320"/>
      <w:r>
        <w:rPr>
          <w:rFonts w:hint="eastAsia" w:ascii="仿宋" w:hAnsi="仿宋" w:eastAsia="仿宋"/>
          <w:sz w:val="30"/>
          <w:szCs w:val="30"/>
        </w:rPr>
        <w:t>法定代表人或其授权委托人（签字或盖章）：</w:t>
      </w:r>
      <w:bookmarkEnd w:id="67"/>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8"/>
      <w:bookmarkStart w:id="69" w:name="_Toc246480945"/>
      <w:bookmarkStart w:id="70" w:name="_Toc236803114"/>
      <w:r>
        <w:rPr>
          <w:rFonts w:ascii="仿宋" w:hAnsi="仿宋" w:eastAsia="仿宋"/>
          <w:sz w:val="28"/>
          <w:szCs w:val="28"/>
        </w:rPr>
        <w:br w:type="page"/>
      </w:r>
    </w:p>
    <w:p>
      <w:pPr>
        <w:spacing w:line="0" w:lineRule="atLeast"/>
        <w:outlineLvl w:val="1"/>
        <w:rPr>
          <w:rFonts w:ascii="宋体" w:hAnsi="宋体"/>
          <w:szCs w:val="21"/>
        </w:rPr>
      </w:pPr>
      <w:bookmarkStart w:id="71" w:name="_Toc5323"/>
      <w:r>
        <w:rPr>
          <w:rFonts w:hint="eastAsia" w:ascii="宋体" w:hAnsi="宋体"/>
          <w:szCs w:val="21"/>
        </w:rPr>
        <w:t>附件6：商务条款响应/偏离表</w:t>
      </w:r>
      <w:bookmarkEnd w:id="69"/>
      <w:bookmarkEnd w:id="70"/>
      <w:bookmarkEnd w:id="7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2" w:name="_Toc211248420"/>
      <w:r>
        <w:rPr>
          <w:rFonts w:hint="eastAsia" w:ascii="方正小标宋_GBK" w:hAnsi="方正小标宋_GBK" w:eastAsia="方正小标宋_GBK"/>
          <w:b/>
          <w:sz w:val="32"/>
          <w:szCs w:val="32"/>
        </w:rPr>
        <w:t>商务条款响应/偏离表</w:t>
      </w:r>
      <w:bookmarkEnd w:id="72"/>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3" w:name="_Toc478387764"/>
      <w:bookmarkStart w:id="74" w:name="_Toc395883088"/>
      <w:bookmarkStart w:id="75" w:name="_Toc236803111"/>
      <w:r>
        <w:rPr>
          <w:rFonts w:ascii="仿宋" w:hAnsi="仿宋" w:eastAsia="仿宋"/>
          <w:sz w:val="28"/>
          <w:szCs w:val="28"/>
        </w:rPr>
        <w:br w:type="page"/>
      </w:r>
    </w:p>
    <w:p>
      <w:pPr>
        <w:spacing w:line="0" w:lineRule="atLeast"/>
        <w:outlineLvl w:val="1"/>
        <w:rPr>
          <w:rFonts w:ascii="宋体" w:hAnsi="宋体"/>
          <w:szCs w:val="21"/>
        </w:rPr>
      </w:pPr>
      <w:bookmarkStart w:id="76" w:name="_Toc13906"/>
      <w:r>
        <w:rPr>
          <w:rFonts w:hint="eastAsia" w:ascii="宋体" w:hAnsi="宋体"/>
          <w:szCs w:val="21"/>
        </w:rPr>
        <w:t>附件7：报价一览表（货物）</w:t>
      </w:r>
      <w:r>
        <w:rPr>
          <w:rFonts w:hint="eastAsia" w:ascii="宋体" w:hAnsi="宋体"/>
          <w:color w:val="FF0000"/>
          <w:szCs w:val="21"/>
        </w:rPr>
        <w:t>（本项目不适用）</w:t>
      </w:r>
      <w:bookmarkEnd w:id="76"/>
    </w:p>
    <w:bookmarkEnd w:id="73"/>
    <w:bookmarkEnd w:id="74"/>
    <w:bookmarkEnd w:id="75"/>
    <w:p>
      <w:pPr>
        <w:spacing w:before="120" w:after="240"/>
        <w:jc w:val="center"/>
        <w:rPr>
          <w:rFonts w:ascii="宋体" w:hAnsi="宋体"/>
          <w:b/>
          <w:sz w:val="32"/>
          <w:szCs w:val="32"/>
        </w:rPr>
      </w:pPr>
      <w:bookmarkStart w:id="77" w:name="_Toc211248412"/>
      <w:r>
        <w:rPr>
          <w:rFonts w:hint="eastAsia" w:ascii="方正小标宋_GBK" w:hAnsi="方正小标宋_GBK" w:eastAsia="方正小标宋_GBK"/>
          <w:b/>
          <w:sz w:val="32"/>
          <w:szCs w:val="32"/>
        </w:rPr>
        <w:t>报价一览表</w:t>
      </w:r>
      <w:bookmarkEnd w:id="77"/>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2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8" w:name="_Toc82095917"/>
      <w:bookmarkStart w:id="79"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8"/>
    <w:bookmarkEnd w:id="79"/>
    <w:p>
      <w:pPr>
        <w:spacing w:line="0" w:lineRule="atLeast"/>
        <w:outlineLvl w:val="1"/>
        <w:rPr>
          <w:rFonts w:ascii="宋体" w:hAnsi="宋体"/>
          <w:szCs w:val="21"/>
        </w:rPr>
      </w:pPr>
      <w:bookmarkStart w:id="80" w:name="_Toc11306"/>
      <w:r>
        <w:rPr>
          <w:rFonts w:hint="eastAsia" w:ascii="宋体" w:hAnsi="宋体"/>
          <w:szCs w:val="21"/>
        </w:rPr>
        <w:t>附件8：报价一览表（服务）</w:t>
      </w:r>
      <w:r>
        <w:rPr>
          <w:rFonts w:hint="eastAsia" w:ascii="宋体" w:hAnsi="宋体"/>
          <w:color w:val="FF0000"/>
          <w:szCs w:val="21"/>
        </w:rPr>
        <w:t>（本项目不适用）</w:t>
      </w:r>
      <w:bookmarkEnd w:id="80"/>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1" w:name="_Toc11465"/>
      <w:r>
        <w:rPr>
          <w:rFonts w:hint="eastAsia" w:ascii="宋体" w:hAnsi="宋体"/>
          <w:szCs w:val="21"/>
        </w:rPr>
        <w:t>附件9：报价一览表（工程）</w:t>
      </w:r>
      <w:bookmarkEnd w:id="81"/>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2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2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2" w:name="_Toc28711"/>
      <w:r>
        <w:rPr>
          <w:rFonts w:hint="eastAsia" w:ascii="宋体" w:hAnsi="宋体"/>
          <w:szCs w:val="21"/>
        </w:rPr>
        <w:t>附件10：法定代表人证明书</w:t>
      </w:r>
      <w:bookmarkEnd w:id="8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3" w:name="_Toc21325"/>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3"/>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2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2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2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4" w:name="_Toc27467"/>
      <w:r>
        <w:rPr>
          <w:rFonts w:hint="eastAsia" w:ascii="宋体" w:hAnsi="宋体"/>
          <w:szCs w:val="21"/>
        </w:rPr>
        <w:t>附件</w:t>
      </w:r>
      <w:r>
        <w:rPr>
          <w:rFonts w:ascii="宋体" w:hAnsi="宋体"/>
          <w:szCs w:val="21"/>
        </w:rPr>
        <w:t>1</w:t>
      </w:r>
      <w:r>
        <w:rPr>
          <w:rFonts w:hint="eastAsia" w:ascii="宋体" w:hAnsi="宋体"/>
          <w:szCs w:val="21"/>
        </w:rPr>
        <w:t>2：经营业绩一览表</w:t>
      </w:r>
      <w:bookmarkEnd w:id="84"/>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5" w:name="_Toc17269"/>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5"/>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6" w:name="_Toc32341"/>
      <w:r>
        <w:rPr>
          <w:rFonts w:ascii="仿宋" w:hAnsi="仿宋" w:eastAsia="仿宋"/>
          <w:sz w:val="28"/>
          <w:szCs w:val="28"/>
        </w:rPr>
        <w:br w:type="page"/>
      </w:r>
    </w:p>
    <w:p>
      <w:pPr>
        <w:spacing w:line="0" w:lineRule="atLeast"/>
        <w:outlineLvl w:val="1"/>
        <w:rPr>
          <w:rFonts w:ascii="宋体" w:hAnsi="宋体"/>
          <w:szCs w:val="21"/>
        </w:rPr>
      </w:pPr>
      <w:bookmarkStart w:id="87" w:name="_Toc27958"/>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6"/>
      <w:bookmarkEnd w:id="87"/>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8" w:name="_Toc100848654"/>
      <w:bookmarkStart w:id="89" w:name="_Toc24864"/>
      <w:r>
        <w:rPr>
          <w:rFonts w:hint="eastAsia" w:ascii="宋体" w:hAnsi="宋体"/>
        </w:rPr>
        <w:t>附件15：投标文件密码</w:t>
      </w:r>
      <w:bookmarkEnd w:id="88"/>
      <w:r>
        <w:rPr>
          <w:rFonts w:hint="eastAsia" w:ascii="宋体" w:hAnsi="宋体"/>
        </w:rPr>
        <w:t>单</w:t>
      </w:r>
      <w:bookmarkEnd w:id="89"/>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0"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0"/>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33"/>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33"/>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1"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1"/>
    </w:p>
    <w:p>
      <w:pPr>
        <w:pStyle w:val="11"/>
      </w:pPr>
    </w:p>
    <w:sectPr>
      <w:footerReference r:id="rId5" w:type="default"/>
      <w:pgSz w:w="11906" w:h="16838"/>
      <w:pgMar w:top="1134" w:right="1800" w:bottom="993" w:left="1800" w:header="851" w:footer="409"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2" w:name="_Hlk116546062"/>
    <w:bookmarkStart w:id="93"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2"/>
    <w:bookmarkEnd w:id="9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FDD3CDAC"/>
    <w:multiLevelType w:val="singleLevel"/>
    <w:tmpl w:val="FDD3CDAC"/>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305886"/>
    <w:multiLevelType w:val="singleLevel"/>
    <w:tmpl w:val="21305886"/>
    <w:lvl w:ilvl="0" w:tentative="0">
      <w:start w:val="1"/>
      <w:numFmt w:val="decimal"/>
      <w:lvlText w:val="（%1）"/>
      <w:lvlJc w:val="left"/>
      <w:pPr>
        <w:ind w:left="420" w:hanging="420"/>
      </w:pPr>
      <w:rPr>
        <w:rFonts w:hint="eastAsia"/>
      </w:rPr>
    </w:lvl>
  </w:abstractNum>
  <w:abstractNum w:abstractNumId="1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E10C89"/>
    <w:multiLevelType w:val="singleLevel"/>
    <w:tmpl w:val="28E10C89"/>
    <w:lvl w:ilvl="0" w:tentative="0">
      <w:start w:val="1"/>
      <w:numFmt w:val="decimal"/>
      <w:suff w:val="space"/>
      <w:lvlText w:val="%1."/>
      <w:lvlJc w:val="left"/>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B130338"/>
    <w:multiLevelType w:val="multilevel"/>
    <w:tmpl w:val="3B1303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472A6882"/>
    <w:multiLevelType w:val="multilevel"/>
    <w:tmpl w:val="472A688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0">
    <w:nsid w:val="7B4A4E0C"/>
    <w:multiLevelType w:val="singleLevel"/>
    <w:tmpl w:val="7B4A4E0C"/>
    <w:lvl w:ilvl="0" w:tentative="0">
      <w:start w:val="1"/>
      <w:numFmt w:val="decimal"/>
      <w:lvlText w:val="（%1）"/>
      <w:lvlJc w:val="left"/>
      <w:pPr>
        <w:ind w:left="421" w:hanging="420"/>
      </w:pPr>
      <w:rPr>
        <w:rFonts w:hint="default"/>
        <w:color w:val="auto"/>
        <w:highlight w:val="none"/>
      </w:rPr>
    </w:lvl>
  </w:abstractNum>
  <w:abstractNum w:abstractNumId="31">
    <w:nsid w:val="7ED17433"/>
    <w:multiLevelType w:val="singleLevel"/>
    <w:tmpl w:val="7ED17433"/>
    <w:lvl w:ilvl="0" w:tentative="0">
      <w:start w:val="1"/>
      <w:numFmt w:val="decimal"/>
      <w:lvlText w:val="（%1）"/>
      <w:lvlJc w:val="left"/>
      <w:pPr>
        <w:ind w:left="420" w:hanging="420"/>
      </w:pPr>
      <w:rPr>
        <w:rFonts w:hint="default"/>
        <w:color w:val="auto"/>
      </w:rPr>
    </w:lvl>
  </w:abstractNum>
  <w:num w:numId="1">
    <w:abstractNumId w:val="26"/>
  </w:num>
  <w:num w:numId="2">
    <w:abstractNumId w:val="29"/>
  </w:num>
  <w:num w:numId="3">
    <w:abstractNumId w:val="19"/>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21"/>
  </w:num>
  <w:num w:numId="9">
    <w:abstractNumId w:val="9"/>
  </w:num>
  <w:num w:numId="10">
    <w:abstractNumId w:val="30"/>
  </w:num>
  <w:num w:numId="11">
    <w:abstractNumId w:val="31"/>
  </w:num>
  <w:num w:numId="12">
    <w:abstractNumId w:val="13"/>
  </w:num>
  <w:num w:numId="13">
    <w:abstractNumId w:val="2"/>
  </w:num>
  <w:num w:numId="14">
    <w:abstractNumId w:val="16"/>
  </w:num>
  <w:num w:numId="15">
    <w:abstractNumId w:val="7"/>
  </w:num>
  <w:num w:numId="16">
    <w:abstractNumId w:val="11"/>
  </w:num>
  <w:num w:numId="17">
    <w:abstractNumId w:val="4"/>
  </w:num>
  <w:num w:numId="18">
    <w:abstractNumId w:val="23"/>
  </w:num>
  <w:num w:numId="19">
    <w:abstractNumId w:val="20"/>
  </w:num>
  <w:num w:numId="20">
    <w:abstractNumId w:val="18"/>
  </w:num>
  <w:num w:numId="21">
    <w:abstractNumId w:val="0"/>
  </w:num>
  <w:num w:numId="22">
    <w:abstractNumId w:val="3"/>
  </w:num>
  <w:num w:numId="23">
    <w:abstractNumId w:val="6"/>
  </w:num>
  <w:num w:numId="24">
    <w:abstractNumId w:val="5"/>
  </w:num>
  <w:num w:numId="25">
    <w:abstractNumId w:val="28"/>
  </w:num>
  <w:num w:numId="26">
    <w:abstractNumId w:val="22"/>
  </w:num>
  <w:num w:numId="27">
    <w:abstractNumId w:val="17"/>
  </w:num>
  <w:num w:numId="28">
    <w:abstractNumId w:val="14"/>
  </w:num>
  <w:num w:numId="29">
    <w:abstractNumId w:val="24"/>
  </w:num>
  <w:num w:numId="30">
    <w:abstractNumId w:val="12"/>
  </w:num>
  <w:num w:numId="31">
    <w:abstractNumId w:val="8"/>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3A1CC8"/>
    <w:rsid w:val="06856661"/>
    <w:rsid w:val="077B4608"/>
    <w:rsid w:val="07BB74B6"/>
    <w:rsid w:val="07D7576E"/>
    <w:rsid w:val="08493DEA"/>
    <w:rsid w:val="086E4EC9"/>
    <w:rsid w:val="0A6317CB"/>
    <w:rsid w:val="0B36617C"/>
    <w:rsid w:val="0B734A64"/>
    <w:rsid w:val="0CDE01F2"/>
    <w:rsid w:val="0DC825D4"/>
    <w:rsid w:val="0DD201F4"/>
    <w:rsid w:val="0F4526B6"/>
    <w:rsid w:val="0F68103B"/>
    <w:rsid w:val="10091618"/>
    <w:rsid w:val="10D13D58"/>
    <w:rsid w:val="152B64B8"/>
    <w:rsid w:val="15740DA4"/>
    <w:rsid w:val="195A6BC0"/>
    <w:rsid w:val="1C5670DA"/>
    <w:rsid w:val="1D340047"/>
    <w:rsid w:val="1F7074E6"/>
    <w:rsid w:val="227A4EED"/>
    <w:rsid w:val="228D0750"/>
    <w:rsid w:val="24786106"/>
    <w:rsid w:val="25A5748F"/>
    <w:rsid w:val="25BE1EBF"/>
    <w:rsid w:val="25D85A3C"/>
    <w:rsid w:val="267E19B6"/>
    <w:rsid w:val="26E95967"/>
    <w:rsid w:val="28585B21"/>
    <w:rsid w:val="2A1D36D7"/>
    <w:rsid w:val="2B9E3425"/>
    <w:rsid w:val="2BD84FDD"/>
    <w:rsid w:val="2BFA4386"/>
    <w:rsid w:val="2CD73EA3"/>
    <w:rsid w:val="2D845ED0"/>
    <w:rsid w:val="2E8355B3"/>
    <w:rsid w:val="2EAB6E76"/>
    <w:rsid w:val="2EE12BD2"/>
    <w:rsid w:val="30381F4F"/>
    <w:rsid w:val="34A05B77"/>
    <w:rsid w:val="34E00D83"/>
    <w:rsid w:val="35462584"/>
    <w:rsid w:val="367A0862"/>
    <w:rsid w:val="37097428"/>
    <w:rsid w:val="38AC36F6"/>
    <w:rsid w:val="394A3FAD"/>
    <w:rsid w:val="39C92311"/>
    <w:rsid w:val="3AAD7F79"/>
    <w:rsid w:val="3B001218"/>
    <w:rsid w:val="3B991A52"/>
    <w:rsid w:val="3BB26AC4"/>
    <w:rsid w:val="3C35255B"/>
    <w:rsid w:val="3D3679ED"/>
    <w:rsid w:val="3F5640E8"/>
    <w:rsid w:val="408D7227"/>
    <w:rsid w:val="40B97491"/>
    <w:rsid w:val="41407E51"/>
    <w:rsid w:val="416718EC"/>
    <w:rsid w:val="439D7A21"/>
    <w:rsid w:val="43D97719"/>
    <w:rsid w:val="447267E8"/>
    <w:rsid w:val="44E431E5"/>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A7D5C64"/>
    <w:rsid w:val="5E8307E5"/>
    <w:rsid w:val="60475C3F"/>
    <w:rsid w:val="60785544"/>
    <w:rsid w:val="60A60070"/>
    <w:rsid w:val="61A26997"/>
    <w:rsid w:val="622C21AB"/>
    <w:rsid w:val="62D00ABF"/>
    <w:rsid w:val="640C25AF"/>
    <w:rsid w:val="6541126B"/>
    <w:rsid w:val="683A303D"/>
    <w:rsid w:val="68E97B63"/>
    <w:rsid w:val="6A5B2F9C"/>
    <w:rsid w:val="6B1E605C"/>
    <w:rsid w:val="6C5E0507"/>
    <w:rsid w:val="6C6B5505"/>
    <w:rsid w:val="6CF92FED"/>
    <w:rsid w:val="6DF67C63"/>
    <w:rsid w:val="6E3F209B"/>
    <w:rsid w:val="6ED02117"/>
    <w:rsid w:val="725336E8"/>
    <w:rsid w:val="74783A1C"/>
    <w:rsid w:val="74AB354D"/>
    <w:rsid w:val="74B05132"/>
    <w:rsid w:val="750D4315"/>
    <w:rsid w:val="76C52AAF"/>
    <w:rsid w:val="76E063E5"/>
    <w:rsid w:val="772A35DE"/>
    <w:rsid w:val="77914EBD"/>
    <w:rsid w:val="781B5752"/>
    <w:rsid w:val="798425C1"/>
    <w:rsid w:val="79A35F22"/>
    <w:rsid w:val="79BF662E"/>
    <w:rsid w:val="7A751935"/>
    <w:rsid w:val="7B2952F2"/>
    <w:rsid w:val="7B9310E7"/>
    <w:rsid w:val="7C85240B"/>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5">
    <w:name w:val="font11"/>
    <w:basedOn w:val="16"/>
    <w:qFormat/>
    <w:uiPriority w:val="0"/>
    <w:rPr>
      <w:rFonts w:hint="eastAsia" w:ascii="宋体" w:hAnsi="宋体" w:eastAsia="宋体" w:cs="宋体"/>
      <w:color w:val="000000"/>
      <w:sz w:val="20"/>
      <w:szCs w:val="20"/>
      <w:u w:val="none"/>
    </w:rPr>
  </w:style>
  <w:style w:type="character" w:customStyle="1" w:styleId="36">
    <w:name w:val="font31"/>
    <w:basedOn w:val="16"/>
    <w:qFormat/>
    <w:uiPriority w:val="0"/>
    <w:rPr>
      <w:rFonts w:hint="eastAsia" w:ascii="宋体" w:hAnsi="宋体" w:eastAsia="宋体" w:cs="宋体"/>
      <w:color w:val="000000"/>
      <w:sz w:val="22"/>
      <w:szCs w:val="22"/>
      <w:u w:val="none"/>
    </w:rPr>
  </w:style>
  <w:style w:type="paragraph" w:customStyle="1" w:styleId="37">
    <w:name w:val="彩色列表 - 着色 1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34</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2023-10-18T01:18:57Z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