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深圳会展中心第二十五届高交会中国高新技术论坛场地规划、搭建与会议服务采购项目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ascii="方正小标宋简体" w:hAnsi="方正小标宋_GBK" w:eastAsia="方正小标宋简体" w:cs="方正小标宋_GBK"/>
          <w:b/>
          <w:sz w:val="32"/>
          <w:szCs w:val="32"/>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刘徐华</w:t>
            </w:r>
          </w:p>
          <w:p>
            <w:pPr>
              <w:wordWrap w:val="0"/>
              <w:autoSpaceDE w:val="0"/>
              <w:autoSpaceDN w:val="0"/>
              <w:adjustRightInd w:val="0"/>
              <w:snapToGrid w:val="0"/>
              <w:rPr>
                <w:rFonts w:hint="eastAsia" w:ascii="宋体" w:hAnsi="宋体"/>
                <w:szCs w:val="21"/>
                <w:lang w:val="en-US" w:eastAsia="zh-CN"/>
              </w:rPr>
            </w:pPr>
            <w:r>
              <w:rPr>
                <w:rFonts w:hint="eastAsia" w:ascii="宋体" w:hAnsi="宋体"/>
                <w:szCs w:val="21"/>
              </w:rPr>
              <w:t>电话：</w:t>
            </w:r>
            <w:r>
              <w:rPr>
                <w:rFonts w:ascii="宋体" w:hAnsi="宋体"/>
                <w:szCs w:val="21"/>
              </w:rPr>
              <w:t>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w:t>
            </w:r>
            <w:r>
              <w:rPr>
                <w:rFonts w:ascii="宋体" w:hAnsi="宋体"/>
                <w:szCs w:val="21"/>
              </w:rPr>
              <w:t>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ascii="宋体" w:hAnsi="宋体"/>
                <w:szCs w:val="21"/>
              </w:rPr>
              <w:t>@</w:t>
            </w:r>
            <w:r>
              <w:rPr>
                <w:rFonts w:hint="eastAsia" w:ascii="宋体" w:hAnsi="宋体"/>
                <w:szCs w:val="21"/>
                <w:lang w:val="en-US" w:eastAsia="zh-CN"/>
              </w:rPr>
              <w:t>c</w:t>
            </w:r>
            <w:r>
              <w:rPr>
                <w:rFonts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深圳会展中心第二十五届高交会中国高新技术论坛场地规划、搭建与会议服务采购项目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szCs w:val="21"/>
              </w:rPr>
            </w:pPr>
            <w:r>
              <w:rPr>
                <w:rFonts w:hint="eastAsia" w:ascii="宋体" w:hAnsi="宋体"/>
                <w:iCs/>
                <w:szCs w:val="21"/>
              </w:rPr>
              <w:t>为保证做好第二十五届高交会中国高新技术论坛会议场地及相关功能区的设计、搭建及会议服务，拟开展本采购项目。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w:t>
            </w:r>
            <w:r>
              <w:rPr>
                <w:rFonts w:ascii="宋体" w:hAnsi="宋体"/>
                <w:szCs w:val="21"/>
              </w:rPr>
              <w:t>/工期</w:t>
            </w:r>
          </w:p>
        </w:tc>
        <w:tc>
          <w:tcPr>
            <w:tcW w:w="7029" w:type="dxa"/>
            <w:vAlign w:val="center"/>
          </w:tcPr>
          <w:p>
            <w:pPr>
              <w:autoSpaceDE w:val="0"/>
              <w:autoSpaceDN w:val="0"/>
              <w:adjustRightInd w:val="0"/>
              <w:snapToGrid w:val="0"/>
              <w:rPr>
                <w:rFonts w:ascii="宋体" w:hAnsi="宋体"/>
                <w:szCs w:val="21"/>
              </w:rPr>
            </w:pPr>
            <w:r>
              <w:rPr>
                <w:rFonts w:ascii="宋体" w:hAnsi="宋体"/>
                <w:szCs w:val="21"/>
              </w:rPr>
              <w:t>_</w:t>
            </w:r>
            <w:r>
              <w:rPr>
                <w:rFonts w:ascii="宋体" w:hAnsi="宋体"/>
                <w:szCs w:val="21"/>
                <w:u w:val="single"/>
              </w:rPr>
              <w:t>30</w:t>
            </w:r>
            <w:r>
              <w:rPr>
                <w:rFonts w:ascii="宋体" w:hAnsi="宋体"/>
                <w:szCs w:val="21"/>
              </w:rPr>
              <w:t>_</w:t>
            </w:r>
            <w:r>
              <w:rPr>
                <w:rFonts w:hint="eastAsia" w:ascii="宋体" w:hAnsi="宋体"/>
                <w:szCs w:val="21"/>
              </w:rPr>
              <w:t>天（</w:t>
            </w:r>
            <w:r>
              <w:rPr>
                <w:rFonts w:hint="eastAsia" w:ascii="宋体" w:hAnsi="宋体"/>
                <w:szCs w:val="21"/>
                <w:u w:val="single"/>
              </w:rPr>
              <w:t>单位必须为“天”，如有前提条件的，请在此括号中予以说明</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w:t>
            </w:r>
            <w:r>
              <w:rPr>
                <w:rFonts w:ascii="宋体" w:hAnsi="宋体"/>
                <w:szCs w:val="21"/>
              </w:rPr>
              <w:t>(文件获取）开始时间</w:t>
            </w:r>
          </w:p>
        </w:tc>
        <w:tc>
          <w:tcPr>
            <w:tcW w:w="7029" w:type="dxa"/>
            <w:vAlign w:val="center"/>
          </w:tcPr>
          <w:p>
            <w:pPr>
              <w:autoSpaceDE w:val="0"/>
              <w:autoSpaceDN w:val="0"/>
              <w:adjustRightInd w:val="0"/>
              <w:snapToGrid w:val="0"/>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https://cg.szcec.com/sharing/XM3B2dJrK</w:t>
            </w:r>
            <w:r>
              <w:rPr>
                <w:rFonts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ascii="宋体" w:hAnsi="宋体"/>
                <w:szCs w:val="21"/>
              </w:rPr>
              <w:t>:</w:t>
            </w:r>
            <w:r>
              <w:fldChar w:fldCharType="begin"/>
            </w:r>
            <w:r>
              <w:instrText xml:space="preserve"> HYPERLINK "https://www.szcec.com/News/index/id/256.html" </w:instrText>
            </w:r>
            <w:r>
              <w:fldChar w:fldCharType="separate"/>
            </w:r>
            <w:r>
              <w:rPr>
                <w:rStyle w:val="19"/>
                <w:rFonts w:ascii="宋体" w:hAnsi="宋体"/>
                <w:color w:val="auto"/>
                <w:szCs w:val="21"/>
              </w:rPr>
              <w:t>https://www.szcec.com/News/index/id/256.html</w:t>
            </w:r>
            <w:r>
              <w:rPr>
                <w:rStyle w:val="19"/>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w:t>
            </w:r>
            <w:r>
              <w:rPr>
                <w:rFonts w:ascii="宋体" w:hAnsi="宋体"/>
                <w:szCs w:val="21"/>
              </w:rPr>
              <w:t>(文件获取）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t>
            </w:r>
            <w:r>
              <w:rPr>
                <w:rFonts w:ascii="宋体" w:hAnsi="宋体"/>
                <w:szCs w:val="21"/>
              </w:rPr>
              <w:t>WPS版）文件</w:t>
            </w:r>
            <w:r>
              <w:rPr>
                <w:rFonts w:hint="eastAsia" w:ascii="宋体" w:hAnsi="宋体"/>
                <w:szCs w:val="21"/>
              </w:rPr>
              <w:t>加密形式上传至</w:t>
            </w:r>
            <w:r>
              <w:rPr>
                <w:rFonts w:hint="eastAsia" w:ascii="宋体" w:hAnsi="宋体"/>
                <w:bCs/>
                <w:color w:val="FF0000"/>
                <w:highlight w:val="yellow"/>
              </w:rPr>
              <w:t>https://cg.szcec.com/sharing/HMcwiTGpq</w:t>
            </w:r>
            <w:r>
              <w:rPr>
                <w:rFonts w:hint="eastAsia" w:ascii="宋体" w:hAnsi="宋体"/>
                <w:bCs/>
              </w:rPr>
              <w:t>，</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t>
            </w:r>
            <w:r>
              <w:rPr>
                <w:rFonts w:ascii="宋体" w:hAnsi="宋体" w:eastAsia="宋体"/>
                <w:szCs w:val="21"/>
              </w:rPr>
              <w:t>Word/WPS版）</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t>
            </w:r>
            <w:r>
              <w:rPr>
                <w:rFonts w:ascii="宋体" w:hAnsi="宋体" w:eastAsia="宋体"/>
                <w:szCs w:val="21"/>
              </w:rPr>
              <w:t>Word/WPS版）文件仅供评标时搜索文件内容之用而不作为评审依据。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30</w:t>
            </w:r>
            <w:r>
              <w:rPr>
                <w:rFonts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Cs/>
                <w:color w:val="FF0000"/>
                <w:highlight w:val="yellow"/>
                <w:lang w:val="en-US" w:eastAsia="zh-CN"/>
              </w:rPr>
              <w:t>430637031</w:t>
            </w:r>
            <w:r>
              <w:rPr>
                <w:rFonts w:hint="eastAsia" w:ascii="宋体" w:hAnsi="宋体"/>
                <w:szCs w:val="21"/>
              </w:rPr>
              <w:t>（免密，入会前必须改名为“</w:t>
            </w:r>
            <w:r>
              <w:rPr>
                <w:rFonts w:hint="eastAsia" w:ascii="宋体" w:hAnsi="宋体"/>
                <w:b/>
                <w:bCs/>
                <w:szCs w:val="21"/>
              </w:rPr>
              <w:t>公司简称</w:t>
            </w:r>
            <w:r>
              <w:rPr>
                <w:rFonts w:ascii="宋体" w:hAnsi="宋体"/>
                <w:b/>
                <w:bCs/>
                <w:szCs w:val="21"/>
              </w:rPr>
              <w:t>+姓名</w:t>
            </w:r>
            <w:r>
              <w:rPr>
                <w:rFonts w:hint="eastAsia" w:ascii="宋体" w:hAnsi="宋体"/>
                <w:szCs w:val="21"/>
              </w:rPr>
              <w:t>”</w:t>
            </w:r>
            <w:r>
              <w:rPr>
                <w:rFonts w:ascii="宋体" w:hAnsi="宋体"/>
                <w:szCs w:val="21"/>
              </w:rPr>
              <w:t>,会议期间</w:t>
            </w:r>
            <w:r>
              <w:rPr>
                <w:rFonts w:hint="eastAsia" w:ascii="宋体" w:hAnsi="宋体"/>
                <w:b/>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https://cg.szcec.com/sharing/2OWZl72RW</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□接受，应满足下列要求：</w:t>
            </w:r>
            <w:r>
              <w:rPr>
                <w:rFonts w:ascii="宋体" w:hAnsi="宋体" w:cstheme="minorBid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□不组织</w:t>
            </w:r>
            <w:r>
              <w:rPr>
                <w:rFonts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52"/>
            </w:r>
            <w:r>
              <w:rPr>
                <w:rFonts w:hint="eastAsia" w:ascii="宋体" w:hAnsi="宋体" w:cstheme="minorBidi"/>
                <w:kern w:val="0"/>
                <w:szCs w:val="21"/>
              </w:rPr>
              <w:t>组织，踏勘要求：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ascii="宋体" w:hAnsi="宋体" w:cs="Segoe UI Symbol"/>
                <w:kern w:val="0"/>
                <w:szCs w:val="21"/>
              </w:rPr>
              <w:sym w:font="Wingdings 2" w:char="0052"/>
            </w: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ascii="宋体" w:hAnsi="宋体"/>
                <w:szCs w:val="21"/>
              </w:rPr>
              <w:t>202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00</w:t>
            </w:r>
            <w:r>
              <w:rPr>
                <w:rFonts w:ascii="宋体" w:hAnsi="宋体"/>
                <w:szCs w:val="21"/>
              </w:rPr>
              <w:t>（北京时间）</w:t>
            </w:r>
            <w:r>
              <w:rPr>
                <w:rFonts w:hint="eastAsia" w:ascii="宋体" w:hAnsi="宋体" w:eastAsia="宋体"/>
                <w:kern w:val="0"/>
                <w:szCs w:val="21"/>
              </w:rPr>
              <w:t>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踏勘联系人：燕小姐</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w:t>
            </w:r>
            <w:r>
              <w:rPr>
                <w:rFonts w:ascii="宋体" w:hAnsi="宋体" w:eastAsia="宋体"/>
                <w:kern w:val="0"/>
                <w:szCs w:val="21"/>
              </w:rPr>
              <w:t>0755-82848729</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集合地点：深圳市福田区福华三路</w:t>
            </w:r>
            <w:r>
              <w:rPr>
                <w:rFonts w:ascii="宋体" w:hAnsi="宋体" w:eastAsia="宋体"/>
                <w:kern w:val="0"/>
                <w:szCs w:val="21"/>
              </w:rPr>
              <w:t>111号深圳会展中心313C</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kern w:val="0"/>
                <w:szCs w:val="21"/>
              </w:rPr>
            </w:pPr>
            <w:bookmarkStart w:id="99" w:name="_GoBack"/>
            <w:bookmarkEnd w:id="99"/>
            <w:r>
              <w:rPr>
                <w:rFonts w:hint="eastAsia" w:ascii="宋体" w:hAnsi="宋体" w:eastAsia="宋体" w:cs="Segoe UI Symbol"/>
                <w:kern w:val="0"/>
                <w:szCs w:val="21"/>
                <w:lang w:eastAsia="zh-CN"/>
              </w:rPr>
              <w:sym w:font="Wingdings 2" w:char="0052"/>
            </w:r>
            <w:r>
              <w:rPr>
                <w:rFonts w:ascii="宋体" w:hAnsi="宋体" w:eastAsia="宋体" w:cs="Segoe UI Symbol"/>
                <w:kern w:val="0"/>
                <w:szCs w:val="21"/>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 xml:space="preserve"> / </w:t>
            </w:r>
            <w:r>
              <w:rPr>
                <w:rFonts w:hint="eastAsia" w:ascii="宋体" w:hAnsi="宋体" w:eastAsia="宋体" w:cs="Segoe UI Symbol"/>
                <w:kern w:val="0"/>
                <w:szCs w:val="21"/>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4590"/>
      <w:bookmarkEnd w:id="7"/>
      <w:bookmarkStart w:id="8" w:name="_Toc82591925"/>
      <w:bookmarkEnd w:id="8"/>
      <w:bookmarkStart w:id="9" w:name="_Toc82685543"/>
      <w:bookmarkEnd w:id="9"/>
      <w:bookmarkStart w:id="10" w:name="_Toc82684704"/>
      <w:bookmarkEnd w:id="10"/>
      <w:bookmarkStart w:id="11" w:name="_Toc82684588"/>
      <w:bookmarkEnd w:id="11"/>
      <w:bookmarkStart w:id="12" w:name="_Toc82684705"/>
      <w:bookmarkEnd w:id="12"/>
      <w:bookmarkStart w:id="13" w:name="_Toc82591927"/>
      <w:bookmarkEnd w:id="13"/>
      <w:bookmarkStart w:id="14" w:name="_Toc82591926"/>
      <w:bookmarkEnd w:id="14"/>
      <w:bookmarkStart w:id="15" w:name="_Toc82685540"/>
      <w:bookmarkEnd w:id="15"/>
      <w:bookmarkStart w:id="16" w:name="_Toc82685542"/>
      <w:bookmarkEnd w:id="16"/>
      <w:bookmarkStart w:id="17" w:name="_Toc82684589"/>
      <w:bookmarkEnd w:id="17"/>
      <w:bookmarkStart w:id="18" w:name="_Toc82685541"/>
      <w:bookmarkEnd w:id="18"/>
      <w:bookmarkStart w:id="19" w:name="_Toc82591928"/>
      <w:bookmarkEnd w:id="19"/>
      <w:bookmarkStart w:id="20" w:name="_Toc82684703"/>
      <w:bookmarkEnd w:id="20"/>
      <w:bookmarkStart w:id="21" w:name="_Toc82684706"/>
      <w:bookmarkEnd w:id="21"/>
      <w:bookmarkStart w:id="22" w:name="_Toc82684591"/>
      <w:bookmarkEnd w:id="22"/>
      <w:bookmarkStart w:id="23" w:name="_Toc116550346"/>
      <w:r>
        <w:rPr>
          <w:rFonts w:hint="eastAsia" w:ascii="宋体" w:hAnsi="宋体"/>
          <w:b/>
          <w:szCs w:val="21"/>
        </w:rPr>
        <w:t>特别说明</w:t>
      </w:r>
      <w:bookmarkEnd w:id="23"/>
    </w:p>
    <w:p>
      <w:pPr>
        <w:pStyle w:val="23"/>
        <w:numPr>
          <w:ilvl w:val="0"/>
          <w:numId w:val="9"/>
        </w:numPr>
        <w:spacing w:line="360" w:lineRule="auto"/>
        <w:ind w:left="0" w:firstLine="420" w:firstLineChars="0"/>
        <w:rPr>
          <w:rFonts w:ascii="宋体" w:hAnsi="宋体" w:eastAsia="宋体" w:cs="宋体"/>
          <w:szCs w:val="21"/>
        </w:rPr>
      </w:pPr>
      <w:bookmarkStart w:id="24" w:name="_Toc517278751"/>
      <w:bookmarkStart w:id="25" w:name="_Toc45028463"/>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9"/>
      <w:bookmarkEnd w:id="27"/>
      <w:bookmarkStart w:id="28" w:name="_Toc82591986"/>
      <w:bookmarkEnd w:id="28"/>
      <w:bookmarkStart w:id="29" w:name="_Toc82591985"/>
      <w:bookmarkEnd w:id="29"/>
      <w:bookmarkStart w:id="30" w:name="_Toc82591987"/>
      <w:bookmarkEnd w:id="30"/>
      <w:bookmarkStart w:id="31" w:name="_Toc82685545"/>
      <w:bookmarkEnd w:id="31"/>
      <w:bookmarkStart w:id="32" w:name="_Toc82591930"/>
      <w:bookmarkEnd w:id="32"/>
      <w:bookmarkStart w:id="33" w:name="_Toc82684593"/>
      <w:bookmarkEnd w:id="33"/>
      <w:bookmarkStart w:id="34" w:name="_Toc82591988"/>
      <w:bookmarkEnd w:id="34"/>
      <w:bookmarkStart w:id="35" w:name="_Toc82684708"/>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现场考察证明（如有）</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5"/>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ascii="宋体" w:hAnsi="宋体" w:cs="仿宋_GB2312"/>
                <w:szCs w:val="21"/>
              </w:rPr>
              <w:t>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rPr>
                <w:rFonts w:ascii="宋体" w:hAnsi="宋体" w:cs="宋体"/>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pPr>
            <w:r>
              <w:rPr>
                <w:rFonts w:hint="eastAsia"/>
              </w:rPr>
              <w:t>本项目报价以人民币为结算币种，《投标一览表》应包含税率、税额、税前及税后总金额。</w:t>
            </w:r>
          </w:p>
          <w:p>
            <w:pPr>
              <w:numPr>
                <w:ilvl w:val="0"/>
                <w:numId w:val="11"/>
              </w:numPr>
              <w:tabs>
                <w:tab w:val="left" w:pos="531"/>
              </w:tabs>
              <w:snapToGrid w:val="0"/>
              <w:ind w:left="0" w:firstLine="0"/>
            </w:pPr>
            <w:r>
              <w:rPr>
                <w:rFonts w:hint="eastAsia" w:ascii="宋体" w:hAnsi="宋体"/>
                <w:bCs/>
                <w:szCs w:val="21"/>
              </w:rPr>
              <w:t>本项目需要根据附件1</w:t>
            </w:r>
            <w:r>
              <w:rPr>
                <w:rFonts w:hint="eastAsia" w:ascii="宋体" w:hAnsi="宋体"/>
                <w:szCs w:val="22"/>
              </w:rPr>
              <w:t>：《项目服务清单》内容</w:t>
            </w:r>
            <w:r>
              <w:rPr>
                <w:rFonts w:hint="eastAsia" w:ascii="宋体" w:hAnsi="宋体"/>
                <w:bCs/>
                <w:szCs w:val="21"/>
              </w:rPr>
              <w:t>进行各分项报价及预设方案总价。</w:t>
            </w:r>
          </w:p>
          <w:p>
            <w:pPr>
              <w:numPr>
                <w:ilvl w:val="0"/>
                <w:numId w:val="11"/>
              </w:numPr>
              <w:tabs>
                <w:tab w:val="left" w:pos="531"/>
              </w:tabs>
              <w:snapToGrid w:val="0"/>
              <w:ind w:left="0" w:firstLine="0"/>
            </w:pPr>
            <w:r>
              <w:rPr>
                <w:rFonts w:hint="eastAsia"/>
              </w:rPr>
              <w:t>投标报价不得出现可选择性的报价，</w:t>
            </w:r>
            <w:r>
              <w:t>含有备选方案的报价将导致废标。</w:t>
            </w:r>
          </w:p>
          <w:p>
            <w:pPr>
              <w:numPr>
                <w:ilvl w:val="0"/>
                <w:numId w:val="11"/>
              </w:numPr>
              <w:tabs>
                <w:tab w:val="left" w:pos="531"/>
              </w:tabs>
              <w:snapToGrid w:val="0"/>
              <w:ind w:left="0" w:firstLine="0"/>
            </w:pPr>
            <w:r>
              <w:rPr>
                <w:rFonts w:hint="eastAsia"/>
              </w:rPr>
              <w:t>投标报价包括但不限于设计费、材料费、搭建费、设备设施（含租赁）费、施工费、管理费、人工费、交通运输费、安全措施费、保险及税费等完成本项目所需的全部费用。招标人不再支付其他任何费用。</w:t>
            </w:r>
          </w:p>
          <w:p>
            <w:pPr>
              <w:numPr>
                <w:ilvl w:val="0"/>
                <w:numId w:val="11"/>
              </w:numPr>
              <w:tabs>
                <w:tab w:val="left" w:pos="531"/>
              </w:tabs>
              <w:snapToGrid w:val="0"/>
              <w:ind w:left="0" w:firstLine="0"/>
            </w:pPr>
            <w:r>
              <w:rPr>
                <w:rFonts w:hint="eastAsia"/>
              </w:rPr>
              <w:t>本项目搭建类需按照设备或物料单价进行报价，现场服务类需按照天数或场次（半天为一场）单价进行报价，结算时以实际为准。</w:t>
            </w:r>
          </w:p>
          <w:p>
            <w:pPr>
              <w:numPr>
                <w:ilvl w:val="0"/>
                <w:numId w:val="11"/>
              </w:numPr>
              <w:tabs>
                <w:tab w:val="left" w:pos="531"/>
              </w:tabs>
              <w:snapToGrid w:val="0"/>
              <w:ind w:left="0" w:firstLine="0"/>
            </w:pPr>
            <w:r>
              <w:rPr>
                <w:rFonts w:hint="eastAsia" w:ascii="宋体" w:hAnsi="宋体"/>
                <w:bCs/>
                <w:szCs w:val="21"/>
              </w:rPr>
              <w:t>本项目为预设方案，如因各种原因方案需调整，所涉及内容未在项目服务清单报价中的，需经过投标人与招标人商议后确定价格。若是项目服务清单报价中涉及的项目内容产生数量上的调整，则按项目服务清单报价中的单价执行；若是项目清单报价中涉及的项目内容产生技术规格或工艺上的调整，则需经过投标人与招标人商议后确定价格。项目最终结算金额为项目最终实施方案经双方确认后的实际实施费用，且该金额不超本项目控制金额。</w:t>
            </w:r>
          </w:p>
          <w:p>
            <w:pPr>
              <w:tabs>
                <w:tab w:val="left" w:pos="531"/>
              </w:tabs>
              <w:snapToGrid w:val="0"/>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rPr>
            </w:pPr>
            <w:r>
              <w:rPr>
                <w:rFonts w:hint="eastAsia" w:ascii="宋体" w:hAnsi="宋体" w:cs="宋体"/>
                <w:color w:val="auto"/>
                <w:szCs w:val="21"/>
              </w:rPr>
              <w:t>本项目采购控制金额为人民币</w:t>
            </w:r>
            <w:r>
              <w:rPr>
                <w:rFonts w:ascii="宋体" w:hAnsi="宋体"/>
                <w:color w:val="auto"/>
                <w:szCs w:val="21"/>
              </w:rPr>
              <w:t>94</w:t>
            </w:r>
            <w:r>
              <w:rPr>
                <w:rFonts w:ascii="宋体" w:hAnsi="宋体" w:cs="宋体"/>
                <w:color w:val="auto"/>
                <w:szCs w:val="21"/>
              </w:rPr>
              <w:t>万元（含税）</w:t>
            </w:r>
            <w:r>
              <w:rPr>
                <w:rFonts w:hint="eastAsia" w:ascii="宋体" w:hAnsi="宋体" w:cs="宋体"/>
                <w:color w:val="auto"/>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szCs w:val="21"/>
              </w:rPr>
            </w:pPr>
            <w:r>
              <w:rPr>
                <w:rFonts w:hint="eastAsia" w:ascii="宋体" w:hAnsi="宋体" w:cs="宋体"/>
                <w:color w:val="auto"/>
                <w:szCs w:val="21"/>
              </w:rPr>
              <w:t>投标人须有近五年（</w:t>
            </w:r>
            <w:r>
              <w:rPr>
                <w:rFonts w:hint="eastAsia" w:ascii="宋体" w:hAnsi="宋体"/>
                <w:color w:val="auto"/>
                <w:szCs w:val="21"/>
              </w:rPr>
              <w:t>自2</w:t>
            </w:r>
            <w:r>
              <w:rPr>
                <w:rFonts w:ascii="宋体" w:hAnsi="宋体"/>
                <w:color w:val="auto"/>
                <w:szCs w:val="21"/>
              </w:rPr>
              <w:t>0</w:t>
            </w:r>
            <w:r>
              <w:rPr>
                <w:rFonts w:hint="eastAsia" w:ascii="宋体" w:hAnsi="宋体"/>
                <w:color w:val="auto"/>
                <w:szCs w:val="21"/>
              </w:rPr>
              <w:t>18年1月1日至本项目招标公告发布之日止）承接过在深圳举办的会议活动项目案例，</w:t>
            </w:r>
            <w:r>
              <w:rPr>
                <w:rFonts w:hint="eastAsia" w:ascii="宋体" w:hAnsi="宋体" w:cs="仿宋_GB2312"/>
                <w:color w:val="auto"/>
                <w:szCs w:val="21"/>
              </w:rPr>
              <w:t>项目内容需包含活动会场设计搭建及现场服务等</w:t>
            </w:r>
            <w:r>
              <w:rPr>
                <w:rFonts w:ascii="宋体" w:hAnsi="宋体" w:cs="宋体"/>
                <w:color w:val="auto"/>
                <w:szCs w:val="21"/>
              </w:rPr>
              <w:t>（提供</w:t>
            </w:r>
            <w:r>
              <w:rPr>
                <w:rFonts w:hint="eastAsia" w:ascii="宋体" w:hAnsi="宋体" w:cs="宋体"/>
                <w:color w:val="auto"/>
                <w:szCs w:val="21"/>
              </w:rPr>
              <w:t>案例清单及</w:t>
            </w:r>
            <w:r>
              <w:rPr>
                <w:rFonts w:ascii="宋体" w:hAnsi="宋体" w:cs="宋体"/>
                <w:color w:val="auto"/>
                <w:szCs w:val="21"/>
              </w:rPr>
              <w:t>合同关键页复印件</w:t>
            </w:r>
            <w:r>
              <w:rPr>
                <w:rFonts w:hint="eastAsia" w:ascii="宋体" w:hAnsi="宋体" w:cs="宋体"/>
                <w:color w:val="auto"/>
                <w:szCs w:val="21"/>
              </w:rPr>
              <w:t>或扫描件</w:t>
            </w:r>
            <w:r>
              <w:rPr>
                <w:rFonts w:ascii="宋体" w:hAnsi="宋体" w:cs="宋体"/>
                <w:color w:val="auto"/>
                <w:szCs w:val="21"/>
              </w:rPr>
              <w:t>加盖公章,合同关键页包含但不限于项目名称、业主方名称、合同主要内容、签订时间、履约地点、甲乙双方盖章等信息）</w:t>
            </w:r>
            <w:r>
              <w:rPr>
                <w:rFonts w:hint="eastAsia" w:ascii="宋体" w:hAnsi="宋体" w:cs="宋体"/>
                <w:color w:val="auto"/>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付款及结算方式</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olor w:val="auto"/>
              </w:rPr>
              <w:t>本项目付款方式共分二个阶段：</w:t>
            </w:r>
          </w:p>
          <w:p>
            <w:pPr>
              <w:pStyle w:val="23"/>
              <w:numPr>
                <w:ilvl w:val="0"/>
                <w:numId w:val="12"/>
              </w:numPr>
              <w:ind w:firstLineChars="0"/>
              <w:rPr>
                <w:rFonts w:ascii="宋体" w:hAnsi="宋体" w:eastAsia="宋体"/>
                <w:color w:val="auto"/>
              </w:rPr>
            </w:pPr>
            <w:r>
              <w:rPr>
                <w:rFonts w:hint="eastAsia" w:ascii="宋体" w:hAnsi="宋体" w:eastAsia="宋体"/>
                <w:color w:val="auto"/>
              </w:rPr>
              <w:t>第一阶段：签订本项目合同后，中标人按照项目要求提交相应成果文件（包括但不限于会场整体搭建方案、平面设计图，以及现场会务执行方案等）并经采购人认可后，中标人可提出付款申请并提供等额合法增值税专用发票，以及该笔款项有效的银行保函或国企担保函，招标人在收齐付款申请资料后，向中标人支付合同价的</w:t>
            </w:r>
            <w:r>
              <w:rPr>
                <w:rFonts w:ascii="宋体" w:hAnsi="宋体" w:eastAsia="宋体"/>
                <w:color w:val="auto"/>
              </w:rPr>
              <w:t>25%</w:t>
            </w:r>
            <w:r>
              <w:rPr>
                <w:rFonts w:hint="eastAsia" w:ascii="宋体" w:hAnsi="宋体" w:eastAsia="宋体"/>
                <w:color w:val="auto"/>
              </w:rPr>
              <w:t>（含增值税）作为项目预付款。</w:t>
            </w:r>
          </w:p>
          <w:p>
            <w:pPr>
              <w:pStyle w:val="23"/>
              <w:numPr>
                <w:ilvl w:val="0"/>
                <w:numId w:val="12"/>
              </w:numPr>
              <w:ind w:firstLineChars="0"/>
              <w:rPr>
                <w:rFonts w:ascii="宋体" w:hAnsi="宋体" w:eastAsia="宋体"/>
                <w:color w:val="auto"/>
              </w:rPr>
            </w:pPr>
            <w:r>
              <w:rPr>
                <w:rFonts w:hint="eastAsia" w:ascii="宋体" w:hAnsi="宋体" w:eastAsia="宋体"/>
                <w:color w:val="auto"/>
              </w:rPr>
              <w:t>第二阶段：</w:t>
            </w:r>
            <w:r>
              <w:rPr>
                <w:rFonts w:hint="eastAsia" w:ascii="宋体" w:hAnsi="宋体" w:eastAsia="宋体" w:cs="宋体"/>
                <w:color w:val="auto"/>
                <w:szCs w:val="21"/>
              </w:rPr>
              <w:t>在第二十五届高交会结束且该项目工作全部完成后将进行项目整体验收，经招标人认可后并以经双方确认签署的</w:t>
            </w:r>
            <w:r>
              <w:rPr>
                <w:rFonts w:ascii="宋体" w:hAnsi="宋体" w:eastAsia="宋体" w:cs="宋体"/>
                <w:color w:val="auto"/>
                <w:szCs w:val="21"/>
              </w:rPr>
              <w:t>“</w:t>
            </w:r>
            <w:r>
              <w:rPr>
                <w:rFonts w:hint="eastAsia" w:ascii="宋体" w:hAnsi="宋体" w:eastAsia="宋体" w:cs="宋体"/>
                <w:color w:val="auto"/>
                <w:szCs w:val="21"/>
              </w:rPr>
              <w:t>验收结算确认单</w:t>
            </w:r>
            <w:r>
              <w:rPr>
                <w:rFonts w:ascii="宋体" w:hAnsi="宋体" w:eastAsia="宋体" w:cs="宋体"/>
                <w:color w:val="auto"/>
                <w:szCs w:val="21"/>
              </w:rPr>
              <w:t>”</w:t>
            </w:r>
            <w:r>
              <w:rPr>
                <w:rFonts w:hint="eastAsia" w:ascii="宋体" w:hAnsi="宋体" w:eastAsia="宋体" w:cs="宋体"/>
                <w:color w:val="auto"/>
                <w:szCs w:val="21"/>
              </w:rPr>
              <w:t>为依据，</w:t>
            </w:r>
            <w:r>
              <w:rPr>
                <w:rFonts w:hint="eastAsia" w:ascii="宋体" w:hAnsi="宋体" w:eastAsia="宋体"/>
                <w:color w:val="auto"/>
              </w:rPr>
              <w:t>中标人可提出付款申请并提供等额合法增值税专用发票，招标人在收到全部付款申请资料后，向中标人支付项目总金额的全部剩余款项（含增值税）（如有违反合同要求的情况则按合同规定执行。结算工作详细事宜以合同条款为准）。</w:t>
            </w:r>
          </w:p>
          <w:p>
            <w:pPr>
              <w:pStyle w:val="23"/>
              <w:numPr>
                <w:ilvl w:val="0"/>
                <w:numId w:val="12"/>
              </w:numPr>
              <w:ind w:firstLineChars="0"/>
              <w:rPr>
                <w:rFonts w:ascii="宋体" w:hAnsi="宋体" w:eastAsia="宋体"/>
                <w:color w:val="auto"/>
              </w:rPr>
            </w:pPr>
            <w:r>
              <w:rPr>
                <w:rFonts w:hint="eastAsia" w:ascii="宋体" w:hAnsi="宋体" w:eastAsia="宋体"/>
                <w:color w:val="auto"/>
              </w:rPr>
              <w:t>如有因为高交会安排调整造成的活动天数、场次、设备物料使用、现场服务需求等方面的调整，结算时按报价单价和实际情况结算。</w:t>
            </w:r>
          </w:p>
          <w:p>
            <w:pPr>
              <w:pStyle w:val="23"/>
              <w:ind w:firstLine="0" w:firstLineChars="0"/>
              <w:rPr>
                <w:rFonts w:ascii="宋体" w:eastAsia="宋体"/>
                <w:color w:val="auto"/>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ascii="宋体" w:hAnsi="宋体" w:cs="宋体"/>
                <w:szCs w:val="21"/>
              </w:rPr>
              <w:t>双方都有责任对对方提供的技术、资料数据及商业秘密保密。未经对方同意，任何一方不得以任何形式向第三方泄露本项目资料或在项目中接触到的资料，不得将其用于履行本合同之外的其他用途。</w:t>
            </w:r>
            <w:r>
              <w:rPr>
                <w:rFonts w:hint="eastAsia" w:ascii="宋体" w:hAnsi="宋体" w:cs="宋体"/>
                <w:szCs w:val="21"/>
              </w:rPr>
              <w:t>投标人</w:t>
            </w:r>
            <w:r>
              <w:rPr>
                <w:rFonts w:ascii="宋体" w:hAnsi="宋体" w:cs="宋体"/>
                <w:szCs w:val="21"/>
              </w:rPr>
              <w:t>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szCs w:val="21"/>
              </w:rPr>
            </w:pPr>
            <w:r>
              <w:rPr>
                <w:rFonts w:hint="eastAsia" w:ascii="宋体" w:hAnsi="宋体" w:cs="宋体"/>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numPr>
                <w:ilvl w:val="0"/>
                <w:numId w:val="13"/>
              </w:numPr>
              <w:tabs>
                <w:tab w:val="left" w:pos="531"/>
              </w:tabs>
              <w:snapToGrid w:val="0"/>
              <w:ind w:firstLineChars="0"/>
              <w:rPr>
                <w:rFonts w:ascii="宋体" w:hAnsi="宋体" w:eastAsia="宋体" w:cs="宋体"/>
                <w:szCs w:val="21"/>
              </w:rPr>
            </w:pPr>
            <w:r>
              <w:rPr>
                <w:rFonts w:hint="eastAsia" w:ascii="宋体" w:hAnsi="宋体" w:eastAsia="宋体"/>
              </w:rPr>
              <w:t>本项目执行期间，由于政策变化、疫情、地震、水灾、风灾、战争等不可抗力原因导致项目终止或中止，使本项目不能按照合同约定继续履行，</w:t>
            </w:r>
            <w:r>
              <w:rPr>
                <w:rFonts w:hint="eastAsia" w:ascii="宋体" w:hAnsi="宋体" w:eastAsia="宋体" w:cs="宋体"/>
                <w:szCs w:val="21"/>
              </w:rPr>
              <w:t>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3"/>
              <w:numPr>
                <w:ilvl w:val="0"/>
                <w:numId w:val="13"/>
              </w:numPr>
              <w:tabs>
                <w:tab w:val="left" w:pos="531"/>
              </w:tabs>
              <w:snapToGrid w:val="0"/>
              <w:ind w:firstLineChars="0"/>
              <w:rPr>
                <w:rFonts w:ascii="宋体" w:hAnsi="宋体" w:cs="宋体"/>
                <w:szCs w:val="21"/>
              </w:rPr>
            </w:pPr>
            <w:r>
              <w:rPr>
                <w:rFonts w:hint="eastAsia" w:ascii="宋体" w:hAnsi="宋体" w:eastAsia="宋体" w:cs="宋体"/>
                <w:szCs w:val="21"/>
              </w:rPr>
              <w:t>如因不可抗力导致第二十五届高交会会期或其它相关事项发生变动时，投标人须无条件配合调整相关服务（如增减服务内容、延期等），同时签订相应的补充协议。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服务要求</w:t>
            </w:r>
          </w:p>
        </w:tc>
        <w:tc>
          <w:tcPr>
            <w:tcW w:w="743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4"/>
              </w:numPr>
              <w:tabs>
                <w:tab w:val="left" w:pos="531"/>
              </w:tabs>
              <w:snapToGrid w:val="0"/>
              <w:ind w:firstLine="0"/>
              <w:rPr>
                <w:rFonts w:ascii="宋体" w:hAnsi="宋体" w:cs="宋体"/>
                <w:b/>
                <w:bCs/>
                <w:szCs w:val="21"/>
              </w:rPr>
            </w:pPr>
            <w:r>
              <w:rPr>
                <w:rFonts w:hint="eastAsia" w:ascii="宋体" w:hAnsi="宋体" w:cs="宋体"/>
                <w:b/>
                <w:bCs/>
                <w:szCs w:val="21"/>
              </w:rPr>
              <w:t>项目要素：</w:t>
            </w:r>
          </w:p>
          <w:p>
            <w:pPr>
              <w:tabs>
                <w:tab w:val="left" w:pos="531"/>
              </w:tabs>
              <w:snapToGrid w:val="0"/>
              <w:ind w:left="420"/>
              <w:rPr>
                <w:rFonts w:ascii="宋体" w:hAnsi="宋体" w:cs="宋体"/>
                <w:szCs w:val="21"/>
              </w:rPr>
            </w:pPr>
            <w:r>
              <w:rPr>
                <w:rFonts w:hint="eastAsia" w:ascii="宋体" w:hAnsi="宋体" w:cs="宋体"/>
                <w:szCs w:val="21"/>
              </w:rPr>
              <w:t>活动名称：第二十五届高交会中国高新技术论坛</w:t>
            </w:r>
          </w:p>
          <w:p>
            <w:pPr>
              <w:tabs>
                <w:tab w:val="left" w:pos="531"/>
              </w:tabs>
              <w:snapToGrid w:val="0"/>
              <w:ind w:left="420"/>
              <w:rPr>
                <w:rFonts w:ascii="宋体" w:hAnsi="宋体" w:cs="宋体"/>
                <w:szCs w:val="21"/>
              </w:rPr>
            </w:pPr>
            <w:r>
              <w:rPr>
                <w:rFonts w:hint="eastAsia" w:ascii="宋体" w:hAnsi="宋体" w:cs="宋体"/>
                <w:szCs w:val="21"/>
              </w:rPr>
              <w:t>举办时间：</w:t>
            </w:r>
            <w:r>
              <w:rPr>
                <w:rFonts w:ascii="宋体" w:hAnsi="宋体" w:cs="宋体"/>
                <w:szCs w:val="21"/>
              </w:rPr>
              <w:t>2023</w:t>
            </w:r>
            <w:r>
              <w:rPr>
                <w:rFonts w:hint="eastAsia" w:ascii="宋体" w:hAnsi="宋体" w:cs="宋体"/>
                <w:szCs w:val="21"/>
              </w:rPr>
              <w:t>年</w:t>
            </w:r>
            <w:r>
              <w:rPr>
                <w:rFonts w:ascii="宋体" w:hAnsi="宋体" w:cs="宋体"/>
                <w:szCs w:val="21"/>
              </w:rPr>
              <w:t>11月15-17</w:t>
            </w:r>
            <w:r>
              <w:rPr>
                <w:rFonts w:hint="eastAsia" w:ascii="宋体" w:hAnsi="宋体" w:cs="宋体"/>
                <w:szCs w:val="21"/>
              </w:rPr>
              <w:t>日（以实际为准）</w:t>
            </w:r>
          </w:p>
          <w:p>
            <w:pPr>
              <w:tabs>
                <w:tab w:val="left" w:pos="531"/>
              </w:tabs>
              <w:snapToGrid w:val="0"/>
              <w:ind w:left="420"/>
              <w:rPr>
                <w:rFonts w:ascii="宋体" w:hAnsi="宋体" w:cs="宋体"/>
                <w:szCs w:val="21"/>
              </w:rPr>
            </w:pPr>
            <w:r>
              <w:rPr>
                <w:rFonts w:hint="eastAsia" w:ascii="宋体" w:hAnsi="宋体" w:cs="宋体"/>
                <w:szCs w:val="21"/>
              </w:rPr>
              <w:t>举办地点：深圳会展中心</w:t>
            </w:r>
            <w:r>
              <w:rPr>
                <w:rFonts w:ascii="宋体" w:hAnsi="宋体" w:cs="宋体"/>
                <w:szCs w:val="21"/>
              </w:rPr>
              <w:t>5楼</w:t>
            </w:r>
            <w:r>
              <w:rPr>
                <w:rFonts w:hint="eastAsia" w:ascii="宋体" w:hAnsi="宋体" w:cs="宋体"/>
                <w:szCs w:val="21"/>
              </w:rPr>
              <w:t>梅花厅（主会场）、茶花厅（签到区、茶歇休息区）</w:t>
            </w:r>
          </w:p>
          <w:p>
            <w:pPr>
              <w:tabs>
                <w:tab w:val="left" w:pos="531"/>
              </w:tabs>
              <w:snapToGrid w:val="0"/>
              <w:ind w:left="420"/>
              <w:rPr>
                <w:rFonts w:ascii="宋体" w:hAnsi="宋体" w:cs="宋体"/>
                <w:szCs w:val="21"/>
              </w:rPr>
            </w:pPr>
          </w:p>
          <w:p>
            <w:pPr>
              <w:numPr>
                <w:ilvl w:val="0"/>
                <w:numId w:val="14"/>
              </w:numPr>
              <w:tabs>
                <w:tab w:val="left" w:pos="531"/>
              </w:tabs>
              <w:snapToGrid w:val="0"/>
              <w:ind w:firstLine="0"/>
              <w:rPr>
                <w:rFonts w:ascii="宋体" w:hAnsi="宋体" w:cs="宋体"/>
                <w:b/>
                <w:bCs/>
                <w:szCs w:val="21"/>
              </w:rPr>
            </w:pPr>
            <w:r>
              <w:rPr>
                <w:rFonts w:hint="eastAsia" w:ascii="宋体" w:hAnsi="宋体" w:cs="宋体"/>
                <w:b/>
                <w:bCs/>
                <w:szCs w:val="21"/>
              </w:rPr>
              <w:t>服务内容：</w:t>
            </w:r>
          </w:p>
          <w:p>
            <w:pPr>
              <w:tabs>
                <w:tab w:val="left" w:pos="531"/>
              </w:tabs>
              <w:snapToGrid w:val="0"/>
              <w:rPr>
                <w:rFonts w:ascii="宋体" w:hAnsi="宋体" w:cs="宋体"/>
                <w:szCs w:val="21"/>
              </w:rPr>
            </w:pPr>
            <w:r>
              <w:rPr>
                <w:rFonts w:hint="eastAsia" w:ascii="宋体" w:hAnsi="宋体" w:cs="宋体"/>
                <w:szCs w:val="21"/>
              </w:rPr>
              <w:t>本项目服务内容包括第二十五届高交会中国高新技术论坛会场规划、搭建与会议服务相关内容，具体如下：</w:t>
            </w:r>
          </w:p>
          <w:p>
            <w:pPr>
              <w:widowControl/>
              <w:numPr>
                <w:ilvl w:val="0"/>
                <w:numId w:val="15"/>
              </w:numPr>
              <w:tabs>
                <w:tab w:val="left" w:pos="531"/>
              </w:tabs>
              <w:snapToGrid w:val="0"/>
              <w:ind w:firstLine="0"/>
              <w:jc w:val="left"/>
              <w:rPr>
                <w:rFonts w:ascii="宋体" w:hAnsi="宋体" w:cs="宋体"/>
                <w:szCs w:val="21"/>
              </w:rPr>
            </w:pPr>
            <w:r>
              <w:rPr>
                <w:rFonts w:hint="eastAsia" w:ascii="宋体" w:hAnsi="宋体" w:cs="宋体"/>
                <w:b/>
                <w:bCs/>
                <w:szCs w:val="21"/>
              </w:rPr>
              <w:t>设计与搭建类</w:t>
            </w:r>
          </w:p>
          <w:p>
            <w:pPr>
              <w:widowControl/>
              <w:numPr>
                <w:ilvl w:val="0"/>
                <w:numId w:val="16"/>
              </w:numPr>
              <w:tabs>
                <w:tab w:val="left" w:pos="531"/>
              </w:tabs>
              <w:snapToGrid w:val="0"/>
              <w:jc w:val="left"/>
              <w:rPr>
                <w:rFonts w:ascii="宋体" w:hAnsi="宋体" w:cs="宋体"/>
                <w:szCs w:val="21"/>
              </w:rPr>
            </w:pPr>
            <w:r>
              <w:rPr>
                <w:rFonts w:hint="eastAsia" w:ascii="宋体" w:hAnsi="宋体" w:cs="宋体"/>
                <w:b/>
                <w:bCs/>
                <w:szCs w:val="21"/>
              </w:rPr>
              <w:t>论坛主会场（梅花厅）：</w:t>
            </w:r>
            <w:r>
              <w:rPr>
                <w:rFonts w:hint="eastAsia" w:ascii="宋体" w:hAnsi="宋体" w:cs="宋体"/>
                <w:szCs w:val="21"/>
              </w:rPr>
              <w:t>舞台、舞美布置及周边装置设置等（含演讲台、</w:t>
            </w:r>
            <w:r>
              <w:rPr>
                <w:rFonts w:ascii="宋体" w:hAnsi="宋体" w:cs="宋体"/>
                <w:szCs w:val="21"/>
              </w:rPr>
              <w:t>LED大屏、返送屏等舞台周边设备）、灯光系统、音响系统；控台包装的视觉设计与布置搭建；媒体拍摄台；其他会场</w:t>
            </w:r>
            <w:r>
              <w:rPr>
                <w:rFonts w:hint="eastAsia" w:ascii="宋体" w:hAnsi="宋体" w:cs="宋体"/>
                <w:szCs w:val="21"/>
              </w:rPr>
              <w:t>相关设施设备租赁包括但不限于：头戴麦、笔记本电脑、麦牌、电脑贴、专业长距离翻页器等。</w:t>
            </w:r>
          </w:p>
          <w:p>
            <w:pPr>
              <w:widowControl/>
              <w:numPr>
                <w:ilvl w:val="0"/>
                <w:numId w:val="16"/>
              </w:numPr>
              <w:tabs>
                <w:tab w:val="left" w:pos="531"/>
              </w:tabs>
              <w:snapToGrid w:val="0"/>
              <w:jc w:val="left"/>
              <w:rPr>
                <w:rFonts w:ascii="宋体" w:hAnsi="宋体" w:cs="宋体"/>
                <w:szCs w:val="21"/>
              </w:rPr>
            </w:pPr>
            <w:r>
              <w:rPr>
                <w:rFonts w:hint="eastAsia" w:ascii="宋体" w:hAnsi="宋体" w:cs="宋体"/>
                <w:b/>
                <w:bCs/>
                <w:szCs w:val="21"/>
              </w:rPr>
              <w:t>论坛茶歇休息区（茶花厅）：</w:t>
            </w:r>
            <w:r>
              <w:rPr>
                <w:rFonts w:hint="eastAsia" w:ascii="宋体" w:hAnsi="宋体" w:cs="宋体"/>
                <w:szCs w:val="21"/>
              </w:rPr>
              <w:t>茶歇区屏风、沙发茶几、吧台、高脚桌椅及围档等。</w:t>
            </w:r>
          </w:p>
          <w:p>
            <w:pPr>
              <w:widowControl/>
              <w:numPr>
                <w:ilvl w:val="0"/>
                <w:numId w:val="16"/>
              </w:numPr>
              <w:tabs>
                <w:tab w:val="left" w:pos="531"/>
              </w:tabs>
              <w:snapToGrid w:val="0"/>
              <w:jc w:val="left"/>
              <w:rPr>
                <w:rFonts w:ascii="宋体" w:hAnsi="宋体" w:cs="宋体"/>
                <w:szCs w:val="21"/>
              </w:rPr>
            </w:pPr>
            <w:r>
              <w:rPr>
                <w:rFonts w:hint="eastAsia" w:ascii="宋体" w:hAnsi="宋体" w:cs="宋体"/>
                <w:b/>
                <w:bCs/>
                <w:szCs w:val="21"/>
              </w:rPr>
              <w:t>签到区与外围氛围营造（茶花厅）：</w:t>
            </w:r>
            <w:r>
              <w:rPr>
                <w:rFonts w:hint="eastAsia" w:ascii="宋体" w:hAnsi="宋体" w:cs="宋体"/>
                <w:szCs w:val="21"/>
              </w:rPr>
              <w:t>签到处服务台及背景板、论坛形象背景板、签到接待背景、入口门楼、字母屏等装置的视觉设计与布置搭建。</w:t>
            </w:r>
          </w:p>
          <w:p>
            <w:pPr>
              <w:widowControl/>
              <w:numPr>
                <w:ilvl w:val="0"/>
                <w:numId w:val="16"/>
              </w:numPr>
              <w:tabs>
                <w:tab w:val="left" w:pos="531"/>
              </w:tabs>
              <w:snapToGrid w:val="0"/>
              <w:jc w:val="left"/>
              <w:rPr>
                <w:rFonts w:ascii="宋体" w:hAnsi="宋体" w:cs="宋体"/>
                <w:szCs w:val="21"/>
              </w:rPr>
            </w:pPr>
            <w:r>
              <w:rPr>
                <w:rFonts w:hint="eastAsia"/>
              </w:rPr>
              <w:t>所有项目设计必须以第二十五届《高交会视觉识别系统应用规范手册》为执行标准，不得偏离其规范和风格。整体设计要符合第二十五届高交会的理念和特征，充分、统一、规范的体现第二十五届高交会形象风格。</w:t>
            </w:r>
          </w:p>
          <w:p>
            <w:pPr>
              <w:widowControl/>
              <w:numPr>
                <w:ilvl w:val="0"/>
                <w:numId w:val="16"/>
              </w:numPr>
              <w:tabs>
                <w:tab w:val="left" w:pos="531"/>
              </w:tabs>
              <w:snapToGrid w:val="0"/>
              <w:jc w:val="left"/>
              <w:rPr>
                <w:rFonts w:ascii="宋体" w:hAnsi="宋体" w:cs="宋体"/>
                <w:szCs w:val="21"/>
              </w:rPr>
            </w:pPr>
            <w:r>
              <w:rPr>
                <w:rFonts w:hint="eastAsia"/>
              </w:rPr>
              <w:t>所有搭建类内容应在入场搭建前不少于</w:t>
            </w:r>
            <w:r>
              <w:t>10</w:t>
            </w:r>
            <w:r>
              <w:rPr>
                <w:rFonts w:hint="eastAsia"/>
              </w:rPr>
              <w:t>天内出具相应的图稿、施工图纸且必须标注其尺寸、材质、工艺等，且均需符合采购方安全需求。</w:t>
            </w:r>
          </w:p>
          <w:p>
            <w:pPr>
              <w:widowControl/>
              <w:numPr>
                <w:ilvl w:val="0"/>
                <w:numId w:val="16"/>
              </w:numPr>
              <w:tabs>
                <w:tab w:val="left" w:pos="531"/>
              </w:tabs>
              <w:snapToGrid w:val="0"/>
              <w:jc w:val="left"/>
              <w:rPr>
                <w:rFonts w:ascii="宋体" w:hAnsi="宋体" w:cs="宋体"/>
                <w:szCs w:val="21"/>
              </w:rPr>
            </w:pPr>
            <w:r>
              <w:rPr>
                <w:rFonts w:hint="eastAsia" w:ascii="宋体" w:hAnsi="宋体"/>
                <w:szCs w:val="21"/>
              </w:rPr>
              <w:t>入场搭建前签署安全责任书，提前完成进场手续的申办（卸货车证、施工证等）。</w:t>
            </w:r>
          </w:p>
          <w:p>
            <w:pPr>
              <w:widowControl/>
              <w:numPr>
                <w:ilvl w:val="0"/>
                <w:numId w:val="16"/>
              </w:numPr>
              <w:tabs>
                <w:tab w:val="left" w:pos="531"/>
              </w:tabs>
              <w:snapToGrid w:val="0"/>
              <w:jc w:val="left"/>
              <w:rPr>
                <w:rFonts w:ascii="宋体" w:hAnsi="宋体" w:cs="宋体"/>
                <w:szCs w:val="21"/>
              </w:rPr>
            </w:pPr>
            <w:r>
              <w:rPr>
                <w:rFonts w:hint="eastAsia" w:ascii="宋体" w:hAnsi="宋体"/>
                <w:szCs w:val="21"/>
              </w:rPr>
              <w:t>把控进场时间进度，确保在安全条件下保质保量的按前期规划完成所有会议设备及会务相关的搭建，安排好所有的会议现场布置，预留给招标人充分的彩排时间。</w:t>
            </w:r>
          </w:p>
          <w:p>
            <w:pPr>
              <w:widowControl/>
              <w:numPr>
                <w:ilvl w:val="0"/>
                <w:numId w:val="15"/>
              </w:numPr>
              <w:tabs>
                <w:tab w:val="left" w:pos="531"/>
              </w:tabs>
              <w:snapToGrid w:val="0"/>
              <w:ind w:firstLine="0"/>
              <w:jc w:val="left"/>
              <w:rPr>
                <w:rFonts w:ascii="宋体" w:hAnsi="宋体" w:cs="宋体"/>
                <w:szCs w:val="21"/>
              </w:rPr>
            </w:pPr>
            <w:r>
              <w:rPr>
                <w:rFonts w:hint="eastAsia" w:ascii="宋体" w:hAnsi="宋体" w:cs="宋体"/>
                <w:b/>
                <w:bCs/>
                <w:szCs w:val="21"/>
              </w:rPr>
              <w:t>现场服务类</w:t>
            </w:r>
          </w:p>
          <w:p>
            <w:pPr>
              <w:widowControl/>
              <w:numPr>
                <w:ilvl w:val="0"/>
                <w:numId w:val="17"/>
              </w:numPr>
              <w:tabs>
                <w:tab w:val="left" w:pos="531"/>
              </w:tabs>
              <w:snapToGrid w:val="0"/>
              <w:jc w:val="left"/>
              <w:rPr>
                <w:rFonts w:ascii="宋体" w:hAnsi="宋体" w:cs="宋体"/>
                <w:szCs w:val="21"/>
              </w:rPr>
            </w:pPr>
            <w:r>
              <w:rPr>
                <w:rFonts w:hint="eastAsia" w:ascii="宋体" w:hAnsi="宋体" w:cs="宋体"/>
                <w:b/>
                <w:bCs/>
                <w:szCs w:val="21"/>
              </w:rPr>
              <w:t>同声传译：</w:t>
            </w:r>
            <w:r>
              <w:rPr>
                <w:rFonts w:hint="eastAsia" w:ascii="宋体" w:hAnsi="宋体" w:cs="宋体"/>
                <w:szCs w:val="21"/>
              </w:rPr>
              <w:t>提供</w:t>
            </w:r>
            <w:r>
              <w:rPr>
                <w:rFonts w:ascii="宋体" w:hAnsi="宋体" w:cs="宋体"/>
                <w:szCs w:val="21"/>
              </w:rPr>
              <w:t>3天5场论坛的中英同声传译服务（包括每场译员2名、同传间</w:t>
            </w:r>
            <w:r>
              <w:rPr>
                <w:rFonts w:hint="eastAsia" w:ascii="宋体" w:hAnsi="宋体" w:cs="宋体"/>
                <w:szCs w:val="21"/>
              </w:rPr>
              <w:t>搭建、每场论坛约</w:t>
            </w:r>
            <w:r>
              <w:rPr>
                <w:rFonts w:ascii="宋体" w:hAnsi="宋体" w:cs="宋体"/>
                <w:szCs w:val="21"/>
              </w:rPr>
              <w:t>300</w:t>
            </w:r>
            <w:r>
              <w:rPr>
                <w:rFonts w:hint="eastAsia" w:ascii="宋体" w:hAnsi="宋体" w:cs="宋体"/>
                <w:szCs w:val="21"/>
              </w:rPr>
              <w:t>套</w:t>
            </w:r>
            <w:r>
              <w:rPr>
                <w:rFonts w:ascii="宋体" w:hAnsi="宋体" w:cs="宋体"/>
                <w:szCs w:val="21"/>
              </w:rPr>
              <w:t>同传设备）；</w:t>
            </w:r>
          </w:p>
          <w:p>
            <w:pPr>
              <w:widowControl/>
              <w:numPr>
                <w:ilvl w:val="0"/>
                <w:numId w:val="17"/>
              </w:numPr>
              <w:tabs>
                <w:tab w:val="left" w:pos="531"/>
              </w:tabs>
              <w:snapToGrid w:val="0"/>
              <w:jc w:val="left"/>
              <w:rPr>
                <w:rFonts w:ascii="宋体" w:hAnsi="宋体" w:cs="宋体"/>
                <w:szCs w:val="21"/>
              </w:rPr>
            </w:pPr>
            <w:r>
              <w:rPr>
                <w:rFonts w:hint="eastAsia" w:ascii="宋体" w:hAnsi="宋体" w:cs="宋体"/>
                <w:b/>
                <w:bCs/>
                <w:szCs w:val="21"/>
              </w:rPr>
              <w:t>速记服务：</w:t>
            </w:r>
            <w:r>
              <w:rPr>
                <w:rFonts w:ascii="宋体" w:hAnsi="宋体" w:cs="宋体"/>
                <w:szCs w:val="21"/>
              </w:rPr>
              <w:t>3天5场论坛，每场速记人员1名及设备；</w:t>
            </w:r>
            <w:r>
              <w:rPr>
                <w:rFonts w:hint="eastAsia" w:ascii="宋体" w:hAnsi="宋体" w:cs="宋体"/>
                <w:szCs w:val="21"/>
              </w:rPr>
              <w:t>要求在每场论坛结束后半小时内提交速记稿。在论坛结束后一周内提交经校对修改过的完整速记稿件，错误率不超过1%。</w:t>
            </w:r>
          </w:p>
          <w:p>
            <w:pPr>
              <w:widowControl/>
              <w:numPr>
                <w:ilvl w:val="0"/>
                <w:numId w:val="17"/>
              </w:numPr>
              <w:tabs>
                <w:tab w:val="left" w:pos="531"/>
              </w:tabs>
              <w:snapToGrid w:val="0"/>
              <w:jc w:val="left"/>
              <w:rPr>
                <w:rFonts w:ascii="宋体" w:hAnsi="宋体" w:cs="宋体"/>
                <w:szCs w:val="21"/>
              </w:rPr>
            </w:pPr>
            <w:r>
              <w:rPr>
                <w:rFonts w:hint="eastAsia" w:ascii="宋体" w:hAnsi="宋体" w:cs="宋体"/>
                <w:b/>
                <w:bCs/>
                <w:szCs w:val="21"/>
              </w:rPr>
              <w:t>图片摄影：</w:t>
            </w:r>
            <w:r>
              <w:rPr>
                <w:rFonts w:ascii="宋体" w:hAnsi="宋体" w:cs="宋体"/>
                <w:szCs w:val="21"/>
              </w:rPr>
              <w:t>3天5场论坛的图片记录</w:t>
            </w:r>
            <w:r>
              <w:rPr>
                <w:rFonts w:hint="eastAsia" w:ascii="宋体" w:hAnsi="宋体" w:cs="宋体"/>
                <w:szCs w:val="21"/>
              </w:rPr>
              <w:t>，</w:t>
            </w:r>
            <w:r>
              <w:rPr>
                <w:rFonts w:ascii="宋体" w:hAnsi="宋体" w:cs="宋体"/>
                <w:szCs w:val="21"/>
              </w:rPr>
              <w:t>每</w:t>
            </w:r>
            <w:r>
              <w:rPr>
                <w:rFonts w:hint="eastAsia" w:ascii="宋体" w:hAnsi="宋体" w:cs="宋体"/>
                <w:szCs w:val="21"/>
              </w:rPr>
              <w:t>场论坛</w:t>
            </w:r>
            <w:r>
              <w:rPr>
                <w:rFonts w:ascii="宋体" w:hAnsi="宋体" w:cs="宋体"/>
                <w:szCs w:val="21"/>
              </w:rPr>
              <w:t>2名摄影师</w:t>
            </w:r>
            <w:r>
              <w:rPr>
                <w:rFonts w:hint="eastAsia" w:ascii="宋体" w:hAnsi="宋体" w:cs="宋体"/>
                <w:szCs w:val="21"/>
              </w:rPr>
              <w:t>全程跟拍，图片实时上传至云相册。</w:t>
            </w:r>
          </w:p>
          <w:p>
            <w:pPr>
              <w:widowControl/>
              <w:tabs>
                <w:tab w:val="left" w:pos="531"/>
              </w:tabs>
              <w:snapToGrid w:val="0"/>
              <w:ind w:left="425"/>
              <w:jc w:val="left"/>
            </w:pPr>
            <w:r>
              <w:rPr>
                <w:rFonts w:hint="eastAsia"/>
              </w:rPr>
              <w:t>拍摄内容与要求：①论坛会场内、外的各种场景布置的全景和局部进行拍摄；②对论坛的重要参会人员和演讲嘉宾进行人像抓拍，包括在贵宾休息室、演讲过程中等多个重要场合的人物表现等。③表现各个会场场景布置的全景和局部区域；观众视角和台上视角全景；④对论坛的重要参会人员和演讲嘉宾以及现场观众进行远、全、中、近、特各个景别及角度分别拍摄，保证后期使用；⑤照片像素在300dpi以上，每场论坛活动结束后半小时内中选单位应精选部分场景及当场次全部演讲嘉宾的摄影照片。</w:t>
            </w:r>
          </w:p>
          <w:p>
            <w:pPr>
              <w:widowControl/>
              <w:numPr>
                <w:ilvl w:val="0"/>
                <w:numId w:val="17"/>
              </w:numPr>
              <w:tabs>
                <w:tab w:val="left" w:pos="531"/>
              </w:tabs>
              <w:snapToGrid w:val="0"/>
              <w:jc w:val="left"/>
              <w:rPr>
                <w:rFonts w:ascii="宋体" w:hAnsi="宋体" w:cs="宋体"/>
                <w:szCs w:val="21"/>
              </w:rPr>
            </w:pPr>
            <w:bookmarkStart w:id="38" w:name="_Hlk148368083"/>
            <w:r>
              <w:rPr>
                <w:rFonts w:hint="eastAsia" w:ascii="宋体" w:hAnsi="宋体" w:cs="宋体"/>
                <w:b/>
                <w:bCs/>
                <w:szCs w:val="21"/>
              </w:rPr>
              <w:t>视频摄像及线上直播：</w:t>
            </w:r>
            <w:r>
              <w:rPr>
                <w:rFonts w:ascii="宋体" w:hAnsi="宋体" w:cs="宋体"/>
                <w:szCs w:val="21"/>
              </w:rPr>
              <w:t>3天5场论坛</w:t>
            </w:r>
            <w:r>
              <w:rPr>
                <w:rFonts w:hint="eastAsia" w:ascii="宋体" w:hAnsi="宋体" w:cs="宋体"/>
                <w:szCs w:val="21"/>
              </w:rPr>
              <w:t>全程视频拍摄记录、线上直播及</w:t>
            </w:r>
            <w:r>
              <w:rPr>
                <w:rFonts w:ascii="宋体" w:hAnsi="宋体" w:cs="宋体"/>
                <w:szCs w:val="21"/>
              </w:rPr>
              <w:t>1条会后短</w:t>
            </w:r>
            <w:r>
              <w:rPr>
                <w:rFonts w:hint="eastAsia" w:ascii="宋体" w:hAnsi="宋体" w:cs="宋体"/>
                <w:szCs w:val="21"/>
              </w:rPr>
              <w:t>片</w:t>
            </w:r>
            <w:r>
              <w:rPr>
                <w:rFonts w:ascii="宋体" w:hAnsi="宋体" w:cs="宋体"/>
                <w:szCs w:val="21"/>
              </w:rPr>
              <w:t>的制作</w:t>
            </w:r>
            <w:r>
              <w:rPr>
                <w:rFonts w:hint="eastAsia" w:ascii="宋体" w:hAnsi="宋体" w:cs="宋体"/>
                <w:szCs w:val="21"/>
              </w:rPr>
              <w:t>。</w:t>
            </w:r>
          </w:p>
          <w:p>
            <w:pPr>
              <w:widowControl/>
              <w:tabs>
                <w:tab w:val="left" w:pos="531"/>
              </w:tabs>
              <w:snapToGrid w:val="0"/>
              <w:ind w:left="425"/>
              <w:jc w:val="left"/>
              <w:rPr>
                <w:rFonts w:ascii="宋体" w:hAnsi="宋体" w:cs="宋体"/>
                <w:szCs w:val="21"/>
              </w:rPr>
            </w:pPr>
            <w:r>
              <w:rPr>
                <w:rFonts w:hint="eastAsia" w:ascii="宋体" w:hAnsi="宋体" w:cs="宋体"/>
                <w:szCs w:val="21"/>
              </w:rPr>
              <w:t>拍摄内容与要求：</w:t>
            </w:r>
          </w:p>
          <w:p>
            <w:pPr>
              <w:widowControl/>
              <w:tabs>
                <w:tab w:val="left" w:pos="531"/>
              </w:tabs>
              <w:snapToGrid w:val="0"/>
              <w:ind w:left="425"/>
              <w:jc w:val="left"/>
              <w:rPr>
                <w:rFonts w:ascii="宋体" w:hAnsi="宋体" w:cs="宋体"/>
                <w:szCs w:val="21"/>
              </w:rPr>
            </w:pPr>
            <w:r>
              <w:rPr>
                <w:rFonts w:hint="eastAsia" w:ascii="宋体" w:hAnsi="宋体" w:cs="宋体"/>
                <w:szCs w:val="21"/>
              </w:rPr>
              <w:t>①</w:t>
            </w:r>
            <w:r>
              <w:rPr>
                <w:rFonts w:ascii="宋体" w:hAnsi="宋体" w:cs="宋体"/>
                <w:szCs w:val="21"/>
              </w:rPr>
              <w:t>每</w:t>
            </w:r>
            <w:r>
              <w:rPr>
                <w:rFonts w:hint="eastAsia" w:ascii="宋体" w:hAnsi="宋体" w:cs="宋体"/>
                <w:szCs w:val="21"/>
              </w:rPr>
              <w:t>场论坛至少3</w:t>
            </w:r>
            <w:r>
              <w:rPr>
                <w:rFonts w:ascii="宋体" w:hAnsi="宋体" w:cs="宋体"/>
                <w:szCs w:val="21"/>
              </w:rPr>
              <w:t>个机位拍摄</w:t>
            </w:r>
            <w:r>
              <w:rPr>
                <w:rFonts w:hint="eastAsia" w:ascii="宋体" w:hAnsi="宋体" w:cs="宋体"/>
                <w:szCs w:val="21"/>
              </w:rPr>
              <w:t>，配备导播台及导播，保证演讲台全景、PPT、演讲嘉宾中近景、观众席等不同场景及镜头之间切换；</w:t>
            </w:r>
          </w:p>
          <w:p>
            <w:pPr>
              <w:widowControl/>
              <w:tabs>
                <w:tab w:val="left" w:pos="531"/>
              </w:tabs>
              <w:snapToGrid w:val="0"/>
              <w:ind w:left="425"/>
              <w:jc w:val="left"/>
              <w:rPr>
                <w:rFonts w:ascii="宋体" w:hAnsi="宋体" w:cs="宋体"/>
                <w:szCs w:val="21"/>
              </w:rPr>
            </w:pPr>
            <w:r>
              <w:rPr>
                <w:rFonts w:hint="eastAsia" w:ascii="宋体" w:hAnsi="宋体" w:cs="宋体"/>
                <w:szCs w:val="21"/>
              </w:rPr>
              <w:t>②</w:t>
            </w:r>
            <w:r>
              <w:rPr>
                <w:rFonts w:hint="eastAsia" w:ascii="宋体" w:hAnsi="宋体" w:cs="宋体"/>
                <w:bCs/>
                <w:szCs w:val="21"/>
              </w:rPr>
              <w:t>现场拍摄画面须实时直播，</w:t>
            </w:r>
            <w:r>
              <w:rPr>
                <w:rFonts w:hint="eastAsia" w:ascii="宋体" w:hAnsi="宋体" w:cs="宋体"/>
                <w:szCs w:val="21"/>
              </w:rPr>
              <w:t>并配有相关字幕；</w:t>
            </w:r>
            <w:r>
              <w:rPr>
                <w:rFonts w:hint="eastAsia" w:ascii="宋体" w:hAnsi="宋体" w:cs="宋体"/>
                <w:bCs/>
                <w:szCs w:val="21"/>
              </w:rPr>
              <w:t>投标人需提供一个可供网络实时直播的平台，并将直播链接（提供PC端及移动端版本）通过高交会官网及微信视频号播放；需设计并制作直播页封面、片头、静止画面、字幕等直播元素</w:t>
            </w:r>
            <w:r>
              <w:rPr>
                <w:rFonts w:hint="eastAsia" w:ascii="宋体" w:hAnsi="宋体" w:cs="宋体"/>
                <w:szCs w:val="21"/>
              </w:rPr>
              <w:t>。</w:t>
            </w:r>
          </w:p>
          <w:p>
            <w:pPr>
              <w:widowControl/>
              <w:tabs>
                <w:tab w:val="left" w:pos="531"/>
              </w:tabs>
              <w:snapToGrid w:val="0"/>
              <w:ind w:left="425"/>
              <w:jc w:val="left"/>
              <w:rPr>
                <w:rFonts w:ascii="宋体" w:hAnsi="宋体" w:cs="宋体"/>
                <w:szCs w:val="21"/>
              </w:rPr>
            </w:pPr>
            <w:r>
              <w:rPr>
                <w:rFonts w:hint="eastAsia" w:ascii="宋体" w:hAnsi="宋体" w:cs="宋体"/>
                <w:szCs w:val="21"/>
              </w:rPr>
              <w:t>③直播期间，投标人须通过技术手段最大限度确保网络视频直播的清晰度与流畅性。同时确保避免直播观看高峰期因并发量过多而造成系统崩溃。</w:t>
            </w:r>
          </w:p>
          <w:p>
            <w:pPr>
              <w:widowControl/>
              <w:tabs>
                <w:tab w:val="left" w:pos="531"/>
              </w:tabs>
              <w:snapToGrid w:val="0"/>
              <w:ind w:left="425"/>
              <w:jc w:val="left"/>
              <w:rPr>
                <w:rFonts w:ascii="宋体" w:hAnsi="宋体" w:cs="宋体"/>
                <w:szCs w:val="21"/>
              </w:rPr>
            </w:pPr>
            <w:r>
              <w:rPr>
                <w:rFonts w:hint="eastAsia" w:ascii="宋体" w:hAnsi="宋体" w:cs="宋体"/>
                <w:szCs w:val="21"/>
              </w:rPr>
              <w:t>直播结束后，须在相关的视频页面保留至少一年的视频回放功能，并提供相关的页面浏览数据信息。</w:t>
            </w:r>
          </w:p>
          <w:p>
            <w:pPr>
              <w:widowControl/>
              <w:tabs>
                <w:tab w:val="left" w:pos="531"/>
              </w:tabs>
              <w:snapToGrid w:val="0"/>
              <w:ind w:left="425"/>
              <w:jc w:val="left"/>
              <w:rPr>
                <w:rFonts w:ascii="宋体" w:hAnsi="宋体" w:cs="宋体"/>
                <w:szCs w:val="21"/>
              </w:rPr>
            </w:pPr>
            <w:r>
              <w:rPr>
                <w:rFonts w:hint="eastAsia" w:ascii="宋体" w:hAnsi="宋体" w:cs="宋体"/>
                <w:szCs w:val="21"/>
              </w:rPr>
              <w:t>④直播过程中，如出现突发状况需终止个别嘉宾演讲，投标人须按双方约定的应急预案播放插播画面以保障直播的流畅性。</w:t>
            </w:r>
          </w:p>
          <w:p>
            <w:pPr>
              <w:widowControl/>
              <w:tabs>
                <w:tab w:val="left" w:pos="531"/>
              </w:tabs>
              <w:snapToGrid w:val="0"/>
              <w:ind w:left="425"/>
              <w:jc w:val="left"/>
              <w:rPr>
                <w:rFonts w:ascii="宋体" w:hAnsi="宋体" w:cs="宋体"/>
                <w:szCs w:val="21"/>
              </w:rPr>
            </w:pPr>
            <w:r>
              <w:rPr>
                <w:rFonts w:hint="eastAsia" w:ascii="宋体" w:hAnsi="宋体" w:cs="宋体"/>
                <w:szCs w:val="21"/>
              </w:rPr>
              <w:t>⑤在会后按采购人需求根据拍摄素材剪辑一条1</w:t>
            </w:r>
            <w:r>
              <w:rPr>
                <w:rFonts w:ascii="宋体" w:hAnsi="宋体" w:cs="宋体"/>
                <w:szCs w:val="21"/>
              </w:rPr>
              <w:t>-2</w:t>
            </w:r>
            <w:r>
              <w:rPr>
                <w:rFonts w:hint="eastAsia" w:ascii="宋体" w:hAnsi="宋体" w:cs="宋体"/>
                <w:szCs w:val="21"/>
              </w:rPr>
              <w:t>分钟的活动短片。</w:t>
            </w:r>
          </w:p>
          <w:p>
            <w:pPr>
              <w:widowControl/>
              <w:tabs>
                <w:tab w:val="left" w:pos="531"/>
              </w:tabs>
              <w:snapToGrid w:val="0"/>
              <w:ind w:left="425"/>
              <w:jc w:val="left"/>
              <w:rPr>
                <w:rFonts w:ascii="宋体" w:hAnsi="宋体" w:cs="宋体"/>
                <w:szCs w:val="21"/>
              </w:rPr>
            </w:pPr>
            <w:r>
              <w:rPr>
                <w:rFonts w:hint="eastAsia" w:ascii="宋体" w:hAnsi="宋体" w:cs="宋体"/>
                <w:szCs w:val="21"/>
              </w:rPr>
              <w:t>⑥活动结束后，所有原片须按照论坛场次剪辑制作，并配合招标人的需求对视频原片进行片段剪辑（如某位嘉宾的演讲片段）。</w:t>
            </w:r>
          </w:p>
          <w:p>
            <w:pPr>
              <w:widowControl/>
              <w:tabs>
                <w:tab w:val="left" w:pos="531"/>
              </w:tabs>
              <w:snapToGrid w:val="0"/>
              <w:ind w:left="425"/>
              <w:jc w:val="left"/>
              <w:rPr>
                <w:rFonts w:ascii="宋体" w:hAnsi="宋体" w:cs="宋体"/>
                <w:szCs w:val="21"/>
              </w:rPr>
            </w:pPr>
            <w:r>
              <w:rPr>
                <w:rFonts w:hint="eastAsia" w:ascii="宋体" w:hAnsi="宋体" w:cs="宋体"/>
                <w:szCs w:val="21"/>
              </w:rPr>
              <w:t>⑦所有剪辑制作成品及拍摄原始素材须在高交会结束后15个工作日内交付，以移动硬盘的方式全部移交招标人。</w:t>
            </w:r>
          </w:p>
          <w:bookmarkEnd w:id="38"/>
          <w:p>
            <w:pPr>
              <w:widowControl/>
              <w:numPr>
                <w:ilvl w:val="0"/>
                <w:numId w:val="17"/>
              </w:numPr>
              <w:tabs>
                <w:tab w:val="left" w:pos="531"/>
              </w:tabs>
              <w:snapToGrid w:val="0"/>
              <w:jc w:val="left"/>
              <w:rPr>
                <w:rFonts w:ascii="宋体" w:hAnsi="宋体" w:cs="宋体"/>
                <w:color w:val="FF0000"/>
                <w:szCs w:val="21"/>
              </w:rPr>
            </w:pPr>
            <w:r>
              <w:rPr>
                <w:rFonts w:hint="eastAsia" w:ascii="宋体" w:hAnsi="宋体" w:cs="宋体"/>
                <w:b/>
                <w:bCs/>
                <w:szCs w:val="21"/>
              </w:rPr>
              <w:t>其他现场会务：</w:t>
            </w:r>
            <w:r>
              <w:rPr>
                <w:rFonts w:hint="eastAsia" w:ascii="宋体" w:hAnsi="宋体" w:cs="宋体"/>
                <w:szCs w:val="21"/>
              </w:rPr>
              <w:t>投标人需配备现场执行服务人员，包括但不限于现场负责人、控台师、音响师、灯光师等。会前</w:t>
            </w:r>
            <w:r>
              <w:rPr>
                <w:rFonts w:hint="eastAsia" w:ascii="宋体" w:hAnsi="宋体"/>
                <w:szCs w:val="21"/>
              </w:rPr>
              <w:t>彩排期间及每天活动结束后，需根据招标人要求安排所有设备调试人员、现场执行人员等全程配合彩排工作。</w:t>
            </w:r>
          </w:p>
          <w:p>
            <w:pPr>
              <w:widowControl/>
              <w:tabs>
                <w:tab w:val="left" w:pos="531"/>
              </w:tabs>
              <w:snapToGrid w:val="0"/>
              <w:jc w:val="left"/>
              <w:rPr>
                <w:rFonts w:ascii="宋体" w:hAnsi="宋体" w:cs="宋体"/>
                <w:color w:val="FF0000"/>
                <w:szCs w:val="21"/>
              </w:rPr>
            </w:pPr>
            <w:r>
              <w:rPr>
                <w:rFonts w:hint="eastAsia" w:ascii="宋体" w:hAnsi="宋体" w:cs="宋体"/>
                <w:b/>
                <w:bCs/>
                <w:szCs w:val="21"/>
              </w:rPr>
              <w:t>（三）</w:t>
            </w:r>
            <w:r>
              <w:rPr>
                <w:rFonts w:hint="eastAsia" w:ascii="宋体" w:hAnsi="宋体"/>
                <w:szCs w:val="22"/>
              </w:rPr>
              <w:t>本项目主要实施内容请参考附件</w:t>
            </w:r>
            <w:r>
              <w:rPr>
                <w:rFonts w:ascii="宋体" w:hAnsi="宋体"/>
                <w:szCs w:val="22"/>
              </w:rPr>
              <w:t>1：《项目服务清单》，投标人所提供实施方案不得低于项目服务清单要求。后续正式实施内容以投标人投标实施方案及双方最终确认为准。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tabs>
                <w:tab w:val="left" w:pos="531"/>
              </w:tabs>
              <w:snapToGrid w:val="0"/>
              <w:ind w:firstLine="0"/>
              <w:jc w:val="left"/>
            </w:pPr>
            <w:r>
              <w:rPr>
                <w:rFonts w:hint="eastAsia"/>
                <w:b/>
                <w:bCs/>
              </w:rPr>
              <w:t>项目总负责人：</w:t>
            </w:r>
            <w:r>
              <w:rPr>
                <w:rFonts w:hint="eastAsia"/>
              </w:rPr>
              <w:t>投标人须为本项目指定项目总负责人1名，负责项目履约、质量、安全、进度跟进、协调等一切事务，且在本项目执行期间不得同时兼任其它项目。</w:t>
            </w:r>
            <w:r>
              <w:rPr>
                <w:rFonts w:hint="eastAsia" w:ascii="宋体" w:hAnsi="宋体"/>
              </w:rPr>
              <w:t>须提交包括但不限于姓名、职务、联系方式、</w:t>
            </w:r>
            <w:r>
              <w:rPr>
                <w:rFonts w:hint="eastAsia"/>
              </w:rPr>
              <w:t>个人简历、</w:t>
            </w:r>
            <w:r>
              <w:rPr>
                <w:rFonts w:hint="eastAsia" w:ascii="宋体" w:hAnsi="宋体"/>
              </w:rPr>
              <w:t>身份证复印件以及社保部门出具的近</w:t>
            </w:r>
            <w:r>
              <w:rPr>
                <w:rFonts w:ascii="宋体" w:hAnsi="宋体"/>
              </w:rPr>
              <w:t>3</w:t>
            </w:r>
            <w:r>
              <w:rPr>
                <w:rFonts w:hint="eastAsia" w:ascii="宋体" w:hAnsi="宋体"/>
              </w:rPr>
              <w:t>个月由投标人为其缴纳社保的证明文件，所有文件均需加盖投标人公章。</w:t>
            </w:r>
          </w:p>
          <w:p>
            <w:pPr>
              <w:widowControl/>
              <w:numPr>
                <w:ilvl w:val="0"/>
                <w:numId w:val="18"/>
              </w:numPr>
              <w:tabs>
                <w:tab w:val="left" w:pos="531"/>
              </w:tabs>
              <w:snapToGrid w:val="0"/>
              <w:ind w:firstLine="0"/>
              <w:jc w:val="left"/>
            </w:pPr>
            <w:r>
              <w:rPr>
                <w:rFonts w:hint="eastAsia"/>
                <w:b/>
                <w:bCs/>
              </w:rPr>
              <w:t>核心团队成员：</w:t>
            </w:r>
            <w:r>
              <w:rPr>
                <w:rFonts w:hint="eastAsia"/>
              </w:rPr>
              <w:t>投标人为本项目配备的核心成员总人数不少于6人，包括但不限于现场协调人1人，设计师1人，音响师1人，灯光师1人，控台师1人，专职安全员1人，具体要求：</w:t>
            </w:r>
          </w:p>
          <w:p>
            <w:pPr>
              <w:widowControl/>
              <w:numPr>
                <w:ilvl w:val="0"/>
                <w:numId w:val="19"/>
              </w:numPr>
              <w:tabs>
                <w:tab w:val="left" w:pos="531"/>
              </w:tabs>
              <w:snapToGrid w:val="0"/>
              <w:jc w:val="left"/>
            </w:pPr>
            <w:r>
              <w:rPr>
                <w:rFonts w:hint="eastAsia"/>
                <w:b/>
                <w:bCs/>
              </w:rPr>
              <w:t>现场协调人：</w:t>
            </w:r>
            <w:r>
              <w:t>投标人须为本项目指派</w:t>
            </w:r>
            <w:r>
              <w:rPr>
                <w:rFonts w:hint="eastAsia"/>
              </w:rPr>
              <w:t>现场协调人1人，负责跟进协调论坛现场的具体执行及统筹事务（可与项目负责人为同1人），且在本项目执行期间不得同时兼任其它项目。投标人需提供相应人员名单，包括但不限于姓名、职务、联系方式、身份证复印件以及社保部门出具的近</w:t>
            </w:r>
            <w:r>
              <w:t>3</w:t>
            </w:r>
            <w:r>
              <w:rPr>
                <w:rFonts w:hint="eastAsia"/>
              </w:rPr>
              <w:t>个月由投标人为其缴纳社保的证明文件，所有文件均需加盖投标人公章。</w:t>
            </w:r>
          </w:p>
          <w:p>
            <w:pPr>
              <w:widowControl/>
              <w:numPr>
                <w:ilvl w:val="0"/>
                <w:numId w:val="19"/>
              </w:numPr>
              <w:tabs>
                <w:tab w:val="left" w:pos="531"/>
              </w:tabs>
              <w:snapToGrid w:val="0"/>
              <w:jc w:val="left"/>
            </w:pPr>
            <w:r>
              <w:rPr>
                <w:b/>
                <w:bCs/>
              </w:rPr>
              <w:t>设计师：</w:t>
            </w:r>
            <w:r>
              <w:t>投标人须为本项目指派专业专职设计师（设计类专业毕业，专科及以上学历且从事设计师的工作人员，非职业设计师不得纳入其中）至少1人</w:t>
            </w:r>
            <w:r>
              <w:rPr>
                <w:rFonts w:hint="eastAsia"/>
              </w:rPr>
              <w:t>。</w:t>
            </w:r>
            <w:r>
              <w:t>投标人须提供相应人员</w:t>
            </w:r>
            <w:r>
              <w:rPr>
                <w:rFonts w:hint="eastAsia"/>
              </w:rPr>
              <w:t>名单与资料</w:t>
            </w:r>
            <w:r>
              <w:t>，包括但不限于个人简历、学历证书复印件</w:t>
            </w:r>
            <w:r>
              <w:rPr>
                <w:rFonts w:hint="eastAsia"/>
              </w:rPr>
              <w:t>等，所有文件均需加盖投标人公章</w:t>
            </w:r>
            <w:r>
              <w:t>。</w:t>
            </w:r>
          </w:p>
          <w:p>
            <w:pPr>
              <w:widowControl/>
              <w:numPr>
                <w:ilvl w:val="0"/>
                <w:numId w:val="19"/>
              </w:numPr>
              <w:tabs>
                <w:tab w:val="left" w:pos="531"/>
              </w:tabs>
              <w:snapToGrid w:val="0"/>
              <w:jc w:val="left"/>
            </w:pPr>
            <w:r>
              <w:rPr>
                <w:rFonts w:hint="eastAsia"/>
                <w:b/>
                <w:bCs/>
              </w:rPr>
              <w:t>专职安全员：</w:t>
            </w:r>
            <w:r>
              <w:rPr>
                <w:rFonts w:hint="eastAsia"/>
              </w:rPr>
              <w:t>投标人须为本项目配备专职安全员至少1人，负责本项目实施期间的施工安全管理并做好施工人员及服务人员的安全生产管理工作。</w:t>
            </w:r>
            <w:r>
              <w:rPr>
                <w:rFonts w:hint="eastAsia" w:ascii="宋体" w:hAnsi="宋体"/>
              </w:rPr>
              <w:t>投标人需提供相应人员名单，包括但不限于身份证复印件、</w:t>
            </w:r>
            <w:r>
              <w:rPr>
                <w:rFonts w:hint="eastAsia" w:ascii="宋体" w:hAnsi="宋体"/>
                <w:szCs w:val="21"/>
              </w:rPr>
              <w:t>有效安全员资格证复印件（如有），</w:t>
            </w:r>
            <w:r>
              <w:rPr>
                <w:rFonts w:hint="eastAsia"/>
              </w:rPr>
              <w:t>所有文件均需加盖投标人公章。</w:t>
            </w:r>
          </w:p>
          <w:p>
            <w:pPr>
              <w:widowControl/>
              <w:numPr>
                <w:ilvl w:val="0"/>
                <w:numId w:val="19"/>
              </w:numPr>
              <w:tabs>
                <w:tab w:val="left" w:pos="531"/>
              </w:tabs>
              <w:snapToGrid w:val="0"/>
              <w:jc w:val="left"/>
            </w:pPr>
            <w:r>
              <w:rPr>
                <w:rFonts w:hint="eastAsia"/>
                <w:b/>
                <w:bCs/>
              </w:rPr>
              <w:t>设备技术人员：</w:t>
            </w:r>
            <w:r>
              <w:rPr>
                <w:rFonts w:hint="eastAsia"/>
              </w:rPr>
              <w:t>主会场场地须配置专职设备技术人员至少3人（包括但不限于音响师1人、灯光师1人、控台师1人），负责现场音响系统、灯光系统、LED屏及周边设备等会议设备的调试、操作及维护。</w:t>
            </w:r>
          </w:p>
          <w:p>
            <w:pPr>
              <w:widowControl/>
              <w:numPr>
                <w:ilvl w:val="255"/>
                <w:numId w:val="0"/>
              </w:numPr>
              <w:tabs>
                <w:tab w:val="left" w:pos="531"/>
              </w:tabs>
              <w:snapToGrid w:val="0"/>
              <w:jc w:val="left"/>
            </w:pPr>
          </w:p>
          <w:p>
            <w:pPr>
              <w:widowControl/>
              <w:numPr>
                <w:ilvl w:val="0"/>
                <w:numId w:val="18"/>
              </w:numPr>
              <w:tabs>
                <w:tab w:val="left" w:pos="531"/>
              </w:tabs>
              <w:snapToGrid w:val="0"/>
              <w:ind w:firstLine="0"/>
              <w:jc w:val="left"/>
              <w:rPr>
                <w:b/>
                <w:bCs/>
              </w:rPr>
            </w:pPr>
            <w:r>
              <w:rPr>
                <w:rFonts w:hint="eastAsia"/>
                <w:b/>
                <w:bCs/>
              </w:rPr>
              <w:t>其他现场服务人员：</w:t>
            </w:r>
          </w:p>
          <w:p>
            <w:pPr>
              <w:widowControl/>
              <w:numPr>
                <w:ilvl w:val="0"/>
                <w:numId w:val="20"/>
              </w:numPr>
              <w:tabs>
                <w:tab w:val="left" w:pos="531"/>
              </w:tabs>
              <w:snapToGrid w:val="0"/>
              <w:jc w:val="left"/>
            </w:pPr>
            <w:r>
              <w:rPr>
                <w:rFonts w:hint="eastAsia"/>
              </w:rPr>
              <w:t>中英同声传译译员：会期</w:t>
            </w:r>
            <w:r>
              <w:t>3</w:t>
            </w:r>
            <w:r>
              <w:rPr>
                <w:rFonts w:hint="eastAsia"/>
              </w:rPr>
              <w:t>天</w:t>
            </w:r>
            <w:r>
              <w:t>5</w:t>
            </w:r>
            <w:r>
              <w:rPr>
                <w:rFonts w:hint="eastAsia"/>
              </w:rPr>
              <w:t>场论坛，每场提供译员</w:t>
            </w:r>
            <w:r>
              <w:t>2</w:t>
            </w:r>
            <w:r>
              <w:rPr>
                <w:rFonts w:hint="eastAsia"/>
              </w:rPr>
              <w:t>名。</w:t>
            </w:r>
          </w:p>
          <w:p>
            <w:pPr>
              <w:widowControl/>
              <w:numPr>
                <w:ilvl w:val="0"/>
                <w:numId w:val="20"/>
              </w:numPr>
              <w:tabs>
                <w:tab w:val="left" w:pos="531"/>
              </w:tabs>
              <w:snapToGrid w:val="0"/>
              <w:jc w:val="left"/>
            </w:pPr>
            <w:r>
              <w:rPr>
                <w:rFonts w:hint="eastAsia"/>
              </w:rPr>
              <w:t>速记员：会期3天5场论坛，每场提供速记员1名。</w:t>
            </w:r>
          </w:p>
          <w:p>
            <w:pPr>
              <w:widowControl/>
              <w:numPr>
                <w:ilvl w:val="0"/>
                <w:numId w:val="20"/>
              </w:numPr>
              <w:tabs>
                <w:tab w:val="left" w:pos="531"/>
              </w:tabs>
              <w:snapToGrid w:val="0"/>
              <w:jc w:val="left"/>
            </w:pPr>
            <w:r>
              <w:rPr>
                <w:rFonts w:hint="eastAsia"/>
              </w:rPr>
              <w:t>摄影师：会期3天5场论坛，每场提供摄影师2名。</w:t>
            </w:r>
          </w:p>
          <w:p>
            <w:pPr>
              <w:widowControl/>
              <w:numPr>
                <w:ilvl w:val="0"/>
                <w:numId w:val="20"/>
              </w:numPr>
              <w:tabs>
                <w:tab w:val="left" w:pos="531"/>
              </w:tabs>
              <w:snapToGrid w:val="0"/>
              <w:jc w:val="left"/>
            </w:pPr>
            <w:r>
              <w:rPr>
                <w:rFonts w:hint="eastAsia"/>
              </w:rPr>
              <w:t>导播及摄像师：会期3天5场论坛，每场提供导播及摄像师共3-4名。</w:t>
            </w:r>
          </w:p>
          <w:p>
            <w:pPr>
              <w:widowControl/>
              <w:numPr>
                <w:ilvl w:val="255"/>
                <w:numId w:val="0"/>
              </w:numPr>
              <w:tabs>
                <w:tab w:val="left" w:pos="531"/>
              </w:tabs>
              <w:snapToGrid w:val="0"/>
              <w:ind w:firstLine="420" w:firstLineChars="200"/>
              <w:jc w:val="left"/>
            </w:pPr>
            <w:r>
              <w:rPr>
                <w:rFonts w:hint="eastAsia"/>
              </w:rPr>
              <w:t>以上服务人员，投标人须于活动前不少于10天之内提供相应名单及相关资料，供采购人选择并确认。</w:t>
            </w:r>
          </w:p>
          <w:p>
            <w:pPr>
              <w:widowControl/>
              <w:numPr>
                <w:ilvl w:val="255"/>
                <w:numId w:val="0"/>
              </w:numPr>
              <w:tabs>
                <w:tab w:val="left" w:pos="531"/>
              </w:tabs>
              <w:snapToGrid w:val="0"/>
              <w:jc w:val="left"/>
            </w:pPr>
          </w:p>
          <w:p>
            <w:pPr>
              <w:widowControl/>
              <w:numPr>
                <w:ilvl w:val="0"/>
                <w:numId w:val="18"/>
              </w:numPr>
              <w:tabs>
                <w:tab w:val="left" w:pos="531"/>
              </w:tabs>
              <w:snapToGrid w:val="0"/>
              <w:ind w:firstLine="0"/>
              <w:jc w:val="left"/>
            </w:pPr>
            <w:r>
              <w:rPr>
                <w:rFonts w:hint="eastAsia"/>
                <w:b/>
                <w:bCs/>
              </w:rPr>
              <w:t>其他要求：</w:t>
            </w:r>
          </w:p>
          <w:p>
            <w:pPr>
              <w:widowControl/>
              <w:numPr>
                <w:ilvl w:val="0"/>
                <w:numId w:val="21"/>
              </w:numPr>
              <w:tabs>
                <w:tab w:val="left" w:pos="531"/>
              </w:tabs>
              <w:snapToGrid w:val="0"/>
            </w:pPr>
            <w:r>
              <w:rPr>
                <w:rFonts w:hint="eastAsia"/>
              </w:rPr>
              <w:t>对于投标人为执行本项目所投入的非投标人企业自有人员，投标人需自行承担</w:t>
            </w:r>
            <w:r>
              <w:rPr>
                <w:rFonts w:hint="eastAsia"/>
                <w:color w:val="auto"/>
              </w:rPr>
              <w:t>其工资、意外伤害保险、餐饮交通补贴</w:t>
            </w:r>
            <w:r>
              <w:rPr>
                <w:rFonts w:hint="eastAsia"/>
              </w:rPr>
              <w:t>等；并保证对该类工作人员进行相关培训，包括但不仅限于服务技能、安全要求、应急要求等，并在入场前提供培训记录。</w:t>
            </w:r>
          </w:p>
          <w:p>
            <w:pPr>
              <w:widowControl/>
              <w:numPr>
                <w:ilvl w:val="0"/>
                <w:numId w:val="21"/>
              </w:numPr>
              <w:tabs>
                <w:tab w:val="left" w:pos="531"/>
              </w:tabs>
              <w:snapToGrid w:val="0"/>
            </w:pPr>
            <w:r>
              <w:rPr>
                <w:rFonts w:hint="eastAsia"/>
              </w:rPr>
              <w:t>拟投入本项目的总负责人及核心成员一经确定，未经采购人同意不得随意更换。如确有需要更换，需提前书面告知采购人，并经采购人同意后方可更换。</w:t>
            </w:r>
          </w:p>
          <w:p>
            <w:pPr>
              <w:widowControl/>
              <w:numPr>
                <w:ilvl w:val="0"/>
                <w:numId w:val="21"/>
              </w:numPr>
              <w:tabs>
                <w:tab w:val="left" w:pos="531"/>
              </w:tabs>
              <w:snapToGrid w:val="0"/>
            </w:pPr>
            <w:r>
              <w:rPr>
                <w:rFonts w:hint="eastAsia"/>
              </w:rPr>
              <w:t>投标人应无条件配合采购人需求，安排团队核心成员（包括但不限于现场负责人、设计师等）到招标人指定的办公场所进行驻点服务，具体人选与驻场时间由双方协商而定。</w:t>
            </w:r>
          </w:p>
          <w:p>
            <w:pPr>
              <w:widowControl/>
              <w:numPr>
                <w:ilvl w:val="0"/>
                <w:numId w:val="21"/>
              </w:numPr>
              <w:tabs>
                <w:tab w:val="left" w:pos="531"/>
              </w:tabs>
              <w:snapToGrid w:val="0"/>
              <w:rPr>
                <w:color w:val="FF0000"/>
              </w:rPr>
            </w:pPr>
            <w:r>
              <w:rPr>
                <w:rFonts w:hint="eastAsia"/>
              </w:rPr>
              <w:t>投标人应按照招标人要求，安排相应核心团队成员、现场服务人员等配合采购人彩排、活动前踩点等需求。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highlight w:val="yellow"/>
              </w:rPr>
            </w:pPr>
            <w:r>
              <w:rPr>
                <w:rFonts w:hint="eastAsia" w:ascii="宋体" w:hAnsi="宋体"/>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ind w:firstLine="0" w:firstLineChars="0"/>
              <w:rPr>
                <w:rFonts w:ascii="宋体" w:hAnsi="宋体" w:eastAsia="宋体"/>
                <w:color w:val="FF0000"/>
              </w:rPr>
            </w:pPr>
            <w:r>
              <w:rPr>
                <w:rFonts w:hint="eastAsia" w:ascii="宋体" w:hAnsi="宋体" w:eastAsia="宋体"/>
              </w:rPr>
              <w:t>投标人需针对本项目工作，就上述要求的实现提供包括但不限于具体服务措施、设计方案、施工计划、人员配备情况、应急预案、服务承诺等服务方案。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widowControl/>
              <w:numPr>
                <w:ilvl w:val="0"/>
                <w:numId w:val="22"/>
              </w:numPr>
              <w:tabs>
                <w:tab w:val="left" w:pos="531"/>
              </w:tabs>
              <w:snapToGrid w:val="0"/>
              <w:ind w:right="30" w:firstLineChars="0"/>
              <w:jc w:val="left"/>
              <w:rPr>
                <w:rFonts w:ascii="宋体" w:hAnsi="宋体" w:eastAsia="宋体"/>
                <w:szCs w:val="21"/>
              </w:rPr>
            </w:pPr>
            <w:r>
              <w:rPr>
                <w:rFonts w:hint="eastAsia" w:ascii="宋体" w:hAnsi="宋体" w:eastAsia="宋体"/>
                <w:szCs w:val="21"/>
              </w:rPr>
              <w:t>具体的设计方案须在中标通知书发出后</w:t>
            </w:r>
            <w:r>
              <w:rPr>
                <w:rFonts w:ascii="宋体" w:hAnsi="宋体" w:eastAsia="宋体"/>
                <w:szCs w:val="21"/>
              </w:rPr>
              <w:t>3</w:t>
            </w:r>
            <w:r>
              <w:rPr>
                <w:rFonts w:hint="eastAsia" w:ascii="宋体" w:hAnsi="宋体" w:eastAsia="宋体"/>
                <w:szCs w:val="21"/>
              </w:rPr>
              <w:t>个日历天内提供给招标人；经招标人提出修改意见后，</w:t>
            </w:r>
            <w:r>
              <w:rPr>
                <w:rFonts w:ascii="宋体" w:hAnsi="宋体" w:eastAsia="宋体"/>
                <w:szCs w:val="21"/>
              </w:rPr>
              <w:t>2</w:t>
            </w:r>
            <w:r>
              <w:rPr>
                <w:rFonts w:hint="eastAsia" w:ascii="宋体" w:hAnsi="宋体" w:eastAsia="宋体"/>
                <w:szCs w:val="21"/>
              </w:rPr>
              <w:t>个日历天内提供修改方案；最终施工方案需在第二十五届高交会正式开幕前</w:t>
            </w:r>
            <w:r>
              <w:rPr>
                <w:rFonts w:ascii="宋体" w:hAnsi="宋体" w:eastAsia="宋体"/>
                <w:szCs w:val="21"/>
              </w:rPr>
              <w:t>7</w:t>
            </w:r>
            <w:r>
              <w:rPr>
                <w:rFonts w:hint="eastAsia" w:ascii="宋体" w:hAnsi="宋体" w:eastAsia="宋体"/>
                <w:szCs w:val="21"/>
              </w:rPr>
              <w:t>个日历天前定稿，并交由招标人确认。</w:t>
            </w:r>
          </w:p>
          <w:p>
            <w:pPr>
              <w:pStyle w:val="23"/>
              <w:widowControl/>
              <w:numPr>
                <w:ilvl w:val="0"/>
                <w:numId w:val="22"/>
              </w:numPr>
              <w:tabs>
                <w:tab w:val="left" w:pos="531"/>
              </w:tabs>
              <w:snapToGrid w:val="0"/>
              <w:ind w:right="30" w:firstLineChars="0"/>
              <w:jc w:val="left"/>
              <w:rPr>
                <w:rFonts w:ascii="宋体" w:hAnsi="宋体" w:eastAsia="宋体"/>
                <w:szCs w:val="21"/>
              </w:rPr>
            </w:pPr>
            <w:r>
              <w:rPr>
                <w:rFonts w:hint="eastAsia" w:ascii="宋体" w:hAnsi="宋体" w:eastAsia="宋体" w:cs="宋体"/>
              </w:rPr>
              <w:t>本项目现场施工搭建及设备设施布置安装相关部分完成并通过初步验收的时间为</w:t>
            </w:r>
            <w:r>
              <w:rPr>
                <w:rFonts w:ascii="宋体" w:hAnsi="宋体" w:eastAsia="宋体" w:cs="宋体"/>
              </w:rPr>
              <w:t>2023</w:t>
            </w:r>
            <w:r>
              <w:rPr>
                <w:rFonts w:hint="eastAsia" w:ascii="宋体" w:hAnsi="宋体" w:eastAsia="宋体" w:cs="宋体"/>
              </w:rPr>
              <w:t>年</w:t>
            </w:r>
            <w:r>
              <w:rPr>
                <w:rFonts w:ascii="宋体" w:hAnsi="宋体" w:eastAsia="宋体" w:cs="宋体"/>
              </w:rPr>
              <w:t>11</w:t>
            </w:r>
            <w:r>
              <w:rPr>
                <w:rFonts w:hint="eastAsia" w:ascii="宋体" w:hAnsi="宋体" w:eastAsia="宋体" w:cs="宋体"/>
              </w:rPr>
              <w:t>月</w:t>
            </w:r>
            <w:r>
              <w:rPr>
                <w:rFonts w:ascii="宋体" w:hAnsi="宋体" w:eastAsia="宋体" w:cs="宋体"/>
              </w:rPr>
              <w:t>13</w:t>
            </w:r>
            <w:r>
              <w:rPr>
                <w:rFonts w:hint="eastAsia" w:ascii="宋体" w:hAnsi="宋体" w:eastAsia="宋体" w:cs="宋体"/>
              </w:rPr>
              <w:t>日（或第二十五届高交会开幕前</w:t>
            </w:r>
            <w:r>
              <w:rPr>
                <w:rFonts w:ascii="宋体" w:hAnsi="宋体" w:eastAsia="宋体" w:cs="宋体"/>
              </w:rPr>
              <w:t>2</w:t>
            </w:r>
            <w:r>
              <w:rPr>
                <w:rFonts w:hint="eastAsia" w:ascii="宋体" w:hAnsi="宋体" w:eastAsia="宋体" w:cs="宋体"/>
              </w:rPr>
              <w:t>天）</w:t>
            </w:r>
            <w:r>
              <w:rPr>
                <w:rFonts w:ascii="宋体" w:hAnsi="宋体" w:eastAsia="宋体" w:cs="宋体"/>
              </w:rPr>
              <w:t>17:00</w:t>
            </w:r>
            <w:r>
              <w:rPr>
                <w:rFonts w:hint="eastAsia" w:ascii="宋体" w:hAnsi="宋体" w:eastAsia="宋体" w:cs="宋体"/>
              </w:rPr>
              <w:t>前；如需整改，最终验收时间为</w:t>
            </w:r>
            <w:r>
              <w:rPr>
                <w:rFonts w:ascii="宋体" w:hAnsi="宋体" w:eastAsia="宋体" w:cs="宋体"/>
              </w:rPr>
              <w:t>2023</w:t>
            </w:r>
            <w:r>
              <w:rPr>
                <w:rFonts w:hint="eastAsia" w:ascii="宋体" w:hAnsi="宋体" w:eastAsia="宋体" w:cs="宋体"/>
              </w:rPr>
              <w:t>年</w:t>
            </w:r>
            <w:r>
              <w:rPr>
                <w:rFonts w:ascii="宋体" w:hAnsi="宋体" w:eastAsia="宋体" w:cs="宋体"/>
              </w:rPr>
              <w:t>11</w:t>
            </w:r>
            <w:r>
              <w:rPr>
                <w:rFonts w:hint="eastAsia" w:ascii="宋体" w:hAnsi="宋体" w:eastAsia="宋体" w:cs="宋体"/>
              </w:rPr>
              <w:t>月</w:t>
            </w:r>
            <w:r>
              <w:rPr>
                <w:rFonts w:ascii="宋体" w:hAnsi="宋体" w:eastAsia="宋体" w:cs="宋体"/>
              </w:rPr>
              <w:t>14</w:t>
            </w:r>
            <w:r>
              <w:rPr>
                <w:rFonts w:hint="eastAsia" w:ascii="宋体" w:hAnsi="宋体" w:eastAsia="宋体" w:cs="宋体"/>
              </w:rPr>
              <w:t>日（或第二十五届高交会开幕前</w:t>
            </w:r>
            <w:r>
              <w:rPr>
                <w:rFonts w:ascii="宋体" w:hAnsi="宋体" w:eastAsia="宋体" w:cs="宋体"/>
              </w:rPr>
              <w:t>1</w:t>
            </w:r>
            <w:r>
              <w:rPr>
                <w:rFonts w:hint="eastAsia" w:ascii="宋体" w:hAnsi="宋体" w:eastAsia="宋体" w:cs="宋体"/>
              </w:rPr>
              <w:t>天）</w:t>
            </w:r>
            <w:r>
              <w:rPr>
                <w:rFonts w:ascii="宋体" w:hAnsi="宋体" w:eastAsia="宋体" w:cs="宋体"/>
              </w:rPr>
              <w:t>12:00</w:t>
            </w:r>
            <w:r>
              <w:rPr>
                <w:rFonts w:hint="eastAsia" w:ascii="宋体" w:hAnsi="宋体" w:eastAsia="宋体" w:cs="宋体"/>
              </w:rPr>
              <w:t>前。</w:t>
            </w:r>
          </w:p>
          <w:p>
            <w:pPr>
              <w:pStyle w:val="23"/>
              <w:widowControl/>
              <w:numPr>
                <w:ilvl w:val="0"/>
                <w:numId w:val="22"/>
              </w:numPr>
              <w:tabs>
                <w:tab w:val="left" w:pos="531"/>
              </w:tabs>
              <w:snapToGrid w:val="0"/>
              <w:ind w:right="30" w:firstLineChars="0"/>
              <w:jc w:val="left"/>
              <w:rPr>
                <w:rFonts w:ascii="宋体" w:hAnsi="宋体" w:eastAsia="宋体"/>
                <w:szCs w:val="21"/>
              </w:rPr>
            </w:pPr>
            <w:r>
              <w:rPr>
                <w:rFonts w:hint="eastAsia" w:ascii="宋体" w:hAnsi="宋体" w:eastAsia="宋体" w:cs="宋体"/>
              </w:rPr>
              <w:t>本项目现场施工搭建及设备设施布置安装相关部分使用日期至本届高交会结束（即</w:t>
            </w:r>
            <w:r>
              <w:rPr>
                <w:rFonts w:ascii="宋体" w:hAnsi="宋体" w:eastAsia="宋体" w:cs="宋体"/>
              </w:rPr>
              <w:t>2023</w:t>
            </w:r>
            <w:r>
              <w:rPr>
                <w:rFonts w:hint="eastAsia" w:ascii="宋体" w:hAnsi="宋体" w:eastAsia="宋体" w:cs="宋体"/>
              </w:rPr>
              <w:t>年11月19日）；其他现场服务（包括但不限于同传、速记、摄影摄像等）使用日期为高交会中国高新技术论坛举办的三天（即</w:t>
            </w:r>
            <w:r>
              <w:rPr>
                <w:rFonts w:ascii="宋体" w:hAnsi="宋体" w:cs="宋体"/>
                <w:szCs w:val="21"/>
              </w:rPr>
              <w:t>2023</w:t>
            </w:r>
            <w:r>
              <w:rPr>
                <w:rFonts w:hint="eastAsia" w:ascii="宋体" w:hAnsi="宋体" w:cs="宋体"/>
                <w:szCs w:val="21"/>
              </w:rPr>
              <w:t>年</w:t>
            </w:r>
            <w:r>
              <w:rPr>
                <w:rFonts w:ascii="宋体" w:hAnsi="宋体" w:cs="宋体"/>
                <w:szCs w:val="21"/>
              </w:rPr>
              <w:t>11月15-17</w:t>
            </w:r>
            <w:r>
              <w:rPr>
                <w:rFonts w:hint="eastAsia" w:ascii="宋体" w:hAnsi="宋体" w:cs="宋体"/>
                <w:szCs w:val="21"/>
              </w:rPr>
              <w:t>日）。</w:t>
            </w:r>
          </w:p>
          <w:p>
            <w:pPr>
              <w:pStyle w:val="23"/>
              <w:widowControl/>
              <w:numPr>
                <w:ilvl w:val="0"/>
                <w:numId w:val="22"/>
              </w:numPr>
              <w:tabs>
                <w:tab w:val="left" w:pos="531"/>
              </w:tabs>
              <w:snapToGrid w:val="0"/>
              <w:ind w:right="30" w:firstLineChars="0"/>
              <w:jc w:val="left"/>
              <w:rPr>
                <w:rFonts w:ascii="宋体" w:hAnsi="宋体" w:eastAsia="宋体"/>
                <w:szCs w:val="21"/>
              </w:rPr>
            </w:pPr>
            <w:r>
              <w:rPr>
                <w:rFonts w:hint="eastAsia" w:ascii="宋体" w:hAnsi="宋体" w:eastAsia="宋体"/>
                <w:szCs w:val="21"/>
              </w:rPr>
              <w:t>第二十五届高交会展览结束当天（2023年11月19日）17:30以后，可开始进行拆除撤离工作，拆除撤离工作时间为展览结束当天17:30-24:00。需将现场所有搭建物、设备设施、各类垃圾等撤离完毕，恢复场馆原貌。</w:t>
            </w:r>
          </w:p>
          <w:p>
            <w:pPr>
              <w:pStyle w:val="23"/>
              <w:widowControl/>
              <w:numPr>
                <w:ilvl w:val="0"/>
                <w:numId w:val="22"/>
              </w:numPr>
              <w:snapToGrid w:val="0"/>
              <w:ind w:right="30" w:firstLineChars="0"/>
              <w:jc w:val="left"/>
              <w:rPr>
                <w:rFonts w:ascii="宋体" w:hAnsi="宋体"/>
                <w:szCs w:val="21"/>
              </w:rPr>
            </w:pPr>
            <w:r>
              <w:rPr>
                <w:rFonts w:hint="eastAsia" w:ascii="宋体" w:hAnsi="宋体" w:eastAsia="宋体"/>
                <w:szCs w:val="21"/>
              </w:rPr>
              <w:t>以上所有时间节点均为计划时间，具体时间节点皆以第二十五届高交会最终确定的展期时间和布撤展时间安排为准。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widowControl/>
              <w:numPr>
                <w:ilvl w:val="0"/>
                <w:numId w:val="23"/>
              </w:numPr>
              <w:tabs>
                <w:tab w:val="left" w:pos="531"/>
              </w:tabs>
              <w:snapToGrid w:val="0"/>
              <w:ind w:right="30" w:firstLineChars="0"/>
              <w:jc w:val="left"/>
              <w:rPr>
                <w:rFonts w:ascii="宋体" w:hAnsi="宋体" w:eastAsia="宋体"/>
                <w:szCs w:val="21"/>
              </w:rPr>
            </w:pPr>
            <w:r>
              <w:rPr>
                <w:rFonts w:hint="eastAsia" w:ascii="宋体" w:hAnsi="宋体" w:eastAsia="宋体"/>
                <w:szCs w:val="21"/>
              </w:rPr>
              <w:t>投标人在完成本项目设计、</w:t>
            </w:r>
            <w:r>
              <w:rPr>
                <w:rFonts w:hint="eastAsia" w:ascii="宋体" w:hAnsi="宋体" w:eastAsia="宋体" w:cs="宋体"/>
              </w:rPr>
              <w:t>搭建及附属设备设施安装，应主动联系招标人申请现场核验，现场服务等</w:t>
            </w:r>
            <w:r>
              <w:rPr>
                <w:rFonts w:hint="eastAsia" w:ascii="宋体" w:hAnsi="宋体" w:eastAsia="宋体"/>
                <w:szCs w:val="21"/>
              </w:rPr>
              <w:t>全部内容并</w:t>
            </w:r>
            <w:r>
              <w:rPr>
                <w:rFonts w:hint="eastAsia" w:ascii="宋体" w:hAnsi="宋体" w:eastAsia="宋体" w:cs="宋体"/>
              </w:rPr>
              <w:t>在展会结束完成对搭建拆除，设备设施撤场、完成现场清洁</w:t>
            </w:r>
            <w:r>
              <w:rPr>
                <w:rFonts w:hint="eastAsia" w:ascii="宋体" w:hAnsi="宋体" w:eastAsia="宋体"/>
                <w:szCs w:val="21"/>
              </w:rPr>
              <w:t>后，主动向招标人递交书面验收申请及验收报告，招标人根据相关国家标准、行业标准及本项目合同等内容及要求对本项目进行验收。</w:t>
            </w:r>
          </w:p>
          <w:p>
            <w:pPr>
              <w:pStyle w:val="23"/>
              <w:widowControl/>
              <w:numPr>
                <w:ilvl w:val="0"/>
                <w:numId w:val="23"/>
              </w:numPr>
              <w:tabs>
                <w:tab w:val="left" w:pos="531"/>
              </w:tabs>
              <w:snapToGrid w:val="0"/>
              <w:ind w:right="30" w:firstLineChars="0"/>
              <w:jc w:val="left"/>
              <w:rPr>
                <w:rFonts w:ascii="宋体" w:hAnsi="宋体" w:eastAsia="宋体"/>
                <w:szCs w:val="21"/>
              </w:rPr>
            </w:pPr>
            <w:r>
              <w:rPr>
                <w:rFonts w:hint="eastAsia" w:ascii="宋体" w:hAnsi="宋体" w:eastAsia="宋体"/>
              </w:rPr>
              <w:t>施工过程中存在不符合要求或验收不通过的，中标单位必须按照要求立即整改、无条件返工直至符合要求并验收合格。</w:t>
            </w:r>
            <w:r>
              <w:rPr>
                <w:rFonts w:hint="eastAsia" w:ascii="宋体" w:hAnsi="宋体" w:eastAsia="宋体" w:cs="宋体"/>
              </w:rPr>
              <w:t>如出现中标人原因超期情况，扣除合同总金额的</w:t>
            </w:r>
            <w:r>
              <w:rPr>
                <w:rFonts w:ascii="宋体" w:hAnsi="宋体" w:eastAsia="宋体" w:cs="宋体"/>
              </w:rPr>
              <w:t>10%。</w:t>
            </w:r>
          </w:p>
          <w:p>
            <w:pPr>
              <w:pStyle w:val="23"/>
              <w:widowControl/>
              <w:numPr>
                <w:ilvl w:val="0"/>
                <w:numId w:val="23"/>
              </w:numPr>
              <w:tabs>
                <w:tab w:val="left" w:pos="531"/>
              </w:tabs>
              <w:snapToGrid w:val="0"/>
              <w:ind w:right="30" w:firstLineChars="0"/>
              <w:jc w:val="left"/>
              <w:rPr>
                <w:rFonts w:ascii="宋体" w:hAnsi="宋体" w:eastAsia="宋体"/>
                <w:szCs w:val="21"/>
              </w:rPr>
            </w:pPr>
            <w:r>
              <w:rPr>
                <w:rFonts w:hint="eastAsia" w:ascii="宋体" w:hAnsi="宋体" w:eastAsia="宋体"/>
                <w:szCs w:val="21"/>
              </w:rPr>
              <w:t>如搭建施工项目实际施工效果与双方确认的设计方案产生偏差，将根据偏差程度扣除该项目合同总金额的</w:t>
            </w:r>
            <w:r>
              <w:rPr>
                <w:rFonts w:ascii="宋体" w:hAnsi="宋体" w:eastAsia="宋体"/>
                <w:szCs w:val="21"/>
              </w:rPr>
              <w:t>5%</w:t>
            </w:r>
            <w:r>
              <w:rPr>
                <w:rFonts w:hint="eastAsia" w:ascii="宋体" w:hAnsi="宋体" w:eastAsia="宋体"/>
                <w:szCs w:val="21"/>
              </w:rPr>
              <w:t>—</w:t>
            </w:r>
            <w:r>
              <w:rPr>
                <w:rFonts w:ascii="宋体" w:hAnsi="宋体" w:eastAsia="宋体"/>
                <w:szCs w:val="21"/>
              </w:rPr>
              <w:t>15%</w:t>
            </w:r>
            <w:r>
              <w:rPr>
                <w:rFonts w:hint="eastAsia" w:ascii="宋体" w:hAnsi="宋体" w:eastAsia="宋体"/>
                <w:szCs w:val="21"/>
              </w:rPr>
              <w:t>的款项。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cs="宋体"/>
                <w:szCs w:val="21"/>
              </w:rPr>
              <w:t>应急措施</w:t>
            </w:r>
          </w:p>
        </w:tc>
        <w:tc>
          <w:tcPr>
            <w:tcW w:w="7438" w:type="dxa"/>
            <w:tcBorders>
              <w:top w:val="single" w:color="auto" w:sz="4" w:space="0"/>
              <w:left w:val="single" w:color="auto" w:sz="4" w:space="0"/>
              <w:bottom w:val="single" w:color="auto" w:sz="4" w:space="0"/>
              <w:right w:val="single" w:color="auto" w:sz="4" w:space="0"/>
            </w:tcBorders>
            <w:vAlign w:val="center"/>
          </w:tcPr>
          <w:p>
            <w:pPr>
              <w:rPr>
                <w:color w:val="FF0000"/>
                <w:highlight w:val="yellow"/>
              </w:rPr>
            </w:pPr>
            <w:r>
              <w:rPr>
                <w:rFonts w:hint="eastAsia" w:ascii="宋体" w:hAnsi="宋体"/>
                <w:color w:val="000000" w:themeColor="text1"/>
                <w:szCs w:val="21"/>
                <w14:textFill>
                  <w14:solidFill>
                    <w14:schemeClr w14:val="tx1"/>
                  </w14:solidFill>
                </w14:textFill>
              </w:rPr>
              <w:t>投标人应提供针对突发事件的应急预案，包括但不仅限于突发事件的处置方案、应急人员配置、紧急沟通机制（包括联络人、联络汇报方式及渠道等）、突发事件的预防措施等，以确保及时妥善处理各项突发事件，确保项目顺利进行，保障当事人的生命财产安全。招标人提出改善需求时，中标人应根据《服务承诺表》在承诺时间内做出紧急处理，提出方案并解决处理完毕。如有达不到需求或无法解决问题需要招标人处理的情况出现，则招标人解决问题所产生的一切费用需要中标人承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cs="宋体"/>
                <w:szCs w:val="21"/>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rPr>
                <w:color w:val="FF0000"/>
                <w:highlight w:val="yellow"/>
              </w:rPr>
            </w:pPr>
            <w:r>
              <w:rPr>
                <w:rFonts w:hint="eastAsia" w:ascii="宋体" w:hAnsi="宋体"/>
                <w:color w:val="000000" w:themeColor="text1"/>
                <w:szCs w:val="22"/>
                <w14:textFill>
                  <w14:solidFill>
                    <w14:schemeClr w14:val="tx1"/>
                  </w14:solidFill>
                </w14:textFill>
              </w:rPr>
              <w:t>双方都有责任对对方提供的技术、资料数据及商业秘密保密。未经对方同意，任何一方不得以任何形式向第三方泄露本项目资料或在项目中接触到的资料，不得将其用于履行本合同之外的其他用途。中标人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安全管理要求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numPr>
                <w:ilvl w:val="0"/>
                <w:numId w:val="24"/>
              </w:numPr>
              <w:tabs>
                <w:tab w:val="left" w:pos="531"/>
              </w:tabs>
              <w:snapToGrid w:val="0"/>
              <w:ind w:firstLineChars="0"/>
              <w:rPr>
                <w:rFonts w:ascii="宋体" w:hAnsi="宋体" w:eastAsia="宋体"/>
              </w:rPr>
            </w:pPr>
            <w:r>
              <w:rPr>
                <w:rFonts w:hint="eastAsia" w:ascii="宋体" w:hAnsi="宋体" w:eastAsia="宋体"/>
              </w:rPr>
              <w:t>投标人须建立安全责任制，工作人员须遵守国家、所属地政府及深圳会展中心和高交会组委会的相关规章制度，采取有效的措施保障现场的安全、维护现场的正常工作秩序，在服务过程中要做好人员、成品、半成品及设备设施等的保护。确保服务过程中不出现人身安全事故、火灾事故和财产损失等重大安全事故。如因中标人管理不善、组织不力或监管缺失等造成安全责任事故及财产损失的由中标人负全部责任。入场搭建前中标人必须与招标人签署《安全生产责任书》。</w:t>
            </w:r>
          </w:p>
          <w:p>
            <w:pPr>
              <w:pStyle w:val="23"/>
              <w:numPr>
                <w:ilvl w:val="0"/>
                <w:numId w:val="24"/>
              </w:numPr>
              <w:tabs>
                <w:tab w:val="left" w:pos="531"/>
              </w:tabs>
              <w:snapToGrid w:val="0"/>
              <w:ind w:firstLineChars="0"/>
              <w:rPr>
                <w:rFonts w:ascii="宋体" w:hAnsi="宋体" w:eastAsia="宋体"/>
              </w:rPr>
            </w:pPr>
            <w:r>
              <w:rPr>
                <w:rFonts w:hint="eastAsia" w:ascii="宋体" w:hAnsi="宋体" w:eastAsia="宋体"/>
              </w:rPr>
              <w:t>作业人员必须经过全面的入场安全教育，并审核相关证件后才能上岗作业。进入施工现场必须戴好合格的安全帽，系紧下颚带，锁好带扣，高处作业必须规范使用安全带，安全带系挂牢固，严格遵守高挂低用的要求。</w:t>
            </w:r>
          </w:p>
          <w:p>
            <w:pPr>
              <w:pStyle w:val="23"/>
              <w:numPr>
                <w:ilvl w:val="0"/>
                <w:numId w:val="24"/>
              </w:numPr>
              <w:tabs>
                <w:tab w:val="left" w:pos="531"/>
              </w:tabs>
              <w:snapToGrid w:val="0"/>
              <w:ind w:firstLineChars="0"/>
              <w:rPr>
                <w:rFonts w:ascii="宋体" w:hAnsi="宋体" w:eastAsia="宋体"/>
              </w:rPr>
            </w:pPr>
            <w:r>
              <w:rPr>
                <w:rFonts w:hint="eastAsia" w:ascii="宋体" w:hAnsi="宋体" w:eastAsia="宋体"/>
              </w:rPr>
              <w:t>进入施工现场禁止吸烟，禁止酒后作业，禁止追逐打闹，禁止串岗，禁止操作与自己无关的机械设备，严格遵守各项安全操作规程和劳动纪律。</w:t>
            </w:r>
          </w:p>
          <w:p>
            <w:pPr>
              <w:pStyle w:val="23"/>
              <w:numPr>
                <w:ilvl w:val="0"/>
                <w:numId w:val="24"/>
              </w:numPr>
              <w:tabs>
                <w:tab w:val="left" w:pos="531"/>
              </w:tabs>
              <w:snapToGrid w:val="0"/>
              <w:ind w:firstLineChars="0"/>
              <w:rPr>
                <w:rFonts w:ascii="宋体" w:hAnsi="宋体" w:eastAsia="宋体"/>
              </w:rPr>
            </w:pPr>
            <w:r>
              <w:rPr>
                <w:rFonts w:hint="eastAsia" w:ascii="宋体" w:hAnsi="宋体" w:eastAsia="宋体"/>
              </w:rPr>
              <w:t>在第二十五届高交会期间，中标人须对项目范围内所有物料、设施等进行现场维护巡查，并保证其正常运行与使用，如出现受损、移位等情况须及时按照采购人的要求和中标单位提交的《安全事故应急预案》，要求及时处理。</w:t>
            </w:r>
          </w:p>
          <w:p>
            <w:pPr>
              <w:pStyle w:val="23"/>
              <w:numPr>
                <w:ilvl w:val="0"/>
                <w:numId w:val="24"/>
              </w:numPr>
              <w:tabs>
                <w:tab w:val="left" w:pos="531"/>
              </w:tabs>
              <w:snapToGrid w:val="0"/>
              <w:ind w:firstLineChars="0"/>
              <w:rPr>
                <w:rFonts w:ascii="宋体" w:hAnsi="宋体" w:eastAsia="宋体"/>
              </w:rPr>
            </w:pPr>
            <w:r>
              <w:rPr>
                <w:rFonts w:hint="eastAsia" w:ascii="宋体" w:hAnsi="宋体" w:eastAsia="宋体"/>
              </w:rPr>
              <w:t>中标人应及时将所有搭建物拆除撤离干净，自行清楚施工现场的垃圾，并恢复场馆原貌。不得在场馆现场遗留废弃物料与设施设备，不得有污损场馆本体及其附属设施、现场其他设备设施的行为。如有，采购人及场馆方则依据深圳会展中心《展馆使用管理规定》等相关条款处理。</w:t>
            </w:r>
          </w:p>
          <w:p>
            <w:pPr>
              <w:pStyle w:val="23"/>
              <w:numPr>
                <w:ilvl w:val="0"/>
                <w:numId w:val="24"/>
              </w:numPr>
              <w:tabs>
                <w:tab w:val="left" w:pos="531"/>
              </w:tabs>
              <w:snapToGrid w:val="0"/>
              <w:ind w:firstLineChars="0"/>
              <w:rPr>
                <w:rFonts w:ascii="宋体" w:hAnsi="宋体"/>
              </w:rPr>
            </w:pPr>
            <w:r>
              <w:rPr>
                <w:rFonts w:hint="eastAsia" w:ascii="宋体" w:hAnsi="宋体" w:eastAsia="宋体"/>
              </w:rPr>
              <w:t>如出现疫情情况，作业人员须根据相关防疫要求做好防疫措施。</w:t>
            </w:r>
          </w:p>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numPr>
                <w:ilvl w:val="0"/>
                <w:numId w:val="25"/>
              </w:numPr>
              <w:ind w:firstLineChars="0"/>
              <w:rPr>
                <w:rFonts w:ascii="宋体" w:hAnsi="宋体" w:eastAsia="宋体"/>
                <w:color w:val="000000" w:themeColor="text1"/>
                <w:szCs w:val="22"/>
                <w14:textFill>
                  <w14:solidFill>
                    <w14:schemeClr w14:val="tx1"/>
                  </w14:solidFill>
                </w14:textFill>
              </w:rPr>
            </w:pPr>
            <w:r>
              <w:rPr>
                <w:rFonts w:hint="eastAsia" w:ascii="宋体" w:hAnsi="宋体" w:eastAsia="宋体"/>
                <w:color w:val="000000" w:themeColor="text1"/>
                <w:szCs w:val="22"/>
                <w14:textFill>
                  <w14:solidFill>
                    <w14:schemeClr w14:val="tx1"/>
                  </w14:solidFill>
                </w14:textFill>
              </w:rPr>
              <w:t>本项目的设计成果所有权归招标人所有。</w:t>
            </w:r>
          </w:p>
          <w:p>
            <w:pPr>
              <w:pStyle w:val="23"/>
              <w:numPr>
                <w:ilvl w:val="0"/>
                <w:numId w:val="25"/>
              </w:numPr>
              <w:ind w:firstLineChars="0"/>
              <w:rPr>
                <w:rFonts w:ascii="宋体" w:hAnsi="宋体" w:eastAsia="宋体"/>
                <w:color w:val="000000" w:themeColor="text1"/>
                <w:szCs w:val="22"/>
                <w14:textFill>
                  <w14:solidFill>
                    <w14:schemeClr w14:val="tx1"/>
                  </w14:solidFill>
                </w14:textFill>
              </w:rPr>
            </w:pPr>
            <w:r>
              <w:rPr>
                <w:rFonts w:hint="eastAsia" w:ascii="宋体" w:hAnsi="宋体" w:eastAsia="宋体"/>
                <w:color w:val="000000" w:themeColor="text1"/>
                <w:szCs w:val="22"/>
                <w14:textFill>
                  <w14:solidFill>
                    <w14:schemeClr w14:val="tx1"/>
                  </w14:solidFill>
                </w14:textFill>
              </w:rPr>
              <w:t>投标人应保证设计成果及其采用的所有素材的原创性或拥有合法知识产权。如因中标人原因导致招标人被第三方主张有关知识产权或其他权利的，由中标人自行承担全部责任；若因此给招标人造成损失的，中标人还须承担赔偿责任。（需提供知识产权归属和原创承诺书并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rPr>
          <w:rFonts w:ascii="宋体" w:hAnsi="宋体"/>
          <w:b/>
          <w:szCs w:val="21"/>
        </w:rPr>
      </w:pPr>
      <w:bookmarkStart w:id="39" w:name="_Toc82684600"/>
      <w:bookmarkEnd w:id="39"/>
      <w:bookmarkStart w:id="40" w:name="_Toc82684715"/>
      <w:bookmarkEnd w:id="40"/>
      <w:bookmarkStart w:id="41" w:name="_Toc82685552"/>
      <w:bookmarkEnd w:id="41"/>
      <w:bookmarkStart w:id="42" w:name="_Toc82591996"/>
      <w:bookmarkEnd w:id="42"/>
      <w:bookmarkStart w:id="43" w:name="_Toc116550349"/>
      <w:r>
        <w:rPr>
          <w:rFonts w:hint="eastAsia" w:ascii="宋体" w:hAnsi="宋体"/>
          <w:b/>
          <w:szCs w:val="21"/>
        </w:rPr>
        <w:br w:type="page"/>
      </w:r>
    </w:p>
    <w:p>
      <w:pPr>
        <w:numPr>
          <w:ilvl w:val="0"/>
          <w:numId w:val="1"/>
        </w:numPr>
        <w:jc w:val="left"/>
        <w:outlineLvl w:val="1"/>
        <w:rPr>
          <w:rFonts w:ascii="宋体" w:hAnsi="宋体"/>
          <w:b/>
          <w:szCs w:val="21"/>
        </w:rPr>
      </w:pPr>
      <w:r>
        <w:rPr>
          <w:rFonts w:hint="eastAsia" w:ascii="宋体" w:hAnsi="宋体"/>
          <w:b/>
          <w:szCs w:val="21"/>
        </w:rPr>
        <w:t>其他项目说明资料</w:t>
      </w:r>
      <w:bookmarkEnd w:id="43"/>
    </w:p>
    <w:p>
      <w:pPr>
        <w:spacing w:before="156" w:beforeLines="50" w:line="300" w:lineRule="auto"/>
        <w:ind w:firstLine="482"/>
        <w:rPr>
          <w:rFonts w:ascii="仿宋_GB2312" w:hAnsi="宋体" w:eastAsia="仿宋_GB2312"/>
          <w:b/>
          <w:sz w:val="32"/>
          <w:szCs w:val="28"/>
        </w:rPr>
      </w:pPr>
      <w:r>
        <w:rPr>
          <w:rFonts w:ascii="仿宋_GB2312" w:hAnsi="宋体" w:eastAsia="仿宋_GB2312"/>
          <w:b/>
          <w:sz w:val="32"/>
          <w:szCs w:val="28"/>
        </w:rPr>
        <w:t>附件1：</w:t>
      </w:r>
      <w:r>
        <w:rPr>
          <w:rFonts w:hint="eastAsia" w:ascii="仿宋_GB2312" w:hAnsi="宋体" w:eastAsia="仿宋_GB2312"/>
          <w:b/>
          <w:sz w:val="32"/>
          <w:szCs w:val="28"/>
        </w:rPr>
        <w:t>项目服务清单（预设方案）</w:t>
      </w:r>
    </w:p>
    <w:tbl>
      <w:tblPr>
        <w:tblStyle w:val="1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2551"/>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8" w:type="dxa"/>
            <w:vAlign w:val="center"/>
          </w:tcPr>
          <w:p>
            <w:pPr>
              <w:spacing w:line="240" w:lineRule="atLeast"/>
              <w:jc w:val="center"/>
              <w:rPr>
                <w:rFonts w:ascii="宋体" w:hAnsi="宋体"/>
                <w:szCs w:val="22"/>
              </w:rPr>
            </w:pPr>
            <w:r>
              <w:rPr>
                <w:rFonts w:hint="eastAsia" w:ascii="宋体" w:hAnsi="宋体"/>
                <w:szCs w:val="22"/>
              </w:rPr>
              <w:t>类别</w:t>
            </w:r>
          </w:p>
        </w:tc>
        <w:tc>
          <w:tcPr>
            <w:tcW w:w="992" w:type="dxa"/>
          </w:tcPr>
          <w:p>
            <w:pPr>
              <w:spacing w:line="240" w:lineRule="atLeast"/>
              <w:jc w:val="center"/>
              <w:rPr>
                <w:rFonts w:ascii="宋体" w:hAnsi="宋体"/>
                <w:szCs w:val="22"/>
              </w:rPr>
            </w:pPr>
            <w:r>
              <w:rPr>
                <w:rFonts w:hint="eastAsia" w:ascii="宋体" w:hAnsi="宋体"/>
                <w:szCs w:val="22"/>
              </w:rPr>
              <w:t>序号</w:t>
            </w:r>
          </w:p>
        </w:tc>
        <w:tc>
          <w:tcPr>
            <w:tcW w:w="2551" w:type="dxa"/>
            <w:vAlign w:val="center"/>
          </w:tcPr>
          <w:p>
            <w:pPr>
              <w:spacing w:line="240" w:lineRule="atLeast"/>
              <w:jc w:val="center"/>
              <w:rPr>
                <w:rFonts w:ascii="宋体" w:hAnsi="宋体"/>
                <w:szCs w:val="22"/>
              </w:rPr>
            </w:pPr>
            <w:r>
              <w:rPr>
                <w:rFonts w:hint="eastAsia" w:ascii="宋体" w:hAnsi="宋体"/>
                <w:szCs w:val="22"/>
              </w:rPr>
              <w:t>项目内容</w:t>
            </w:r>
          </w:p>
        </w:tc>
        <w:tc>
          <w:tcPr>
            <w:tcW w:w="4395" w:type="dxa"/>
            <w:vAlign w:val="center"/>
          </w:tcPr>
          <w:p>
            <w:pPr>
              <w:spacing w:line="240" w:lineRule="atLeast"/>
              <w:jc w:val="center"/>
              <w:rPr>
                <w:rFonts w:ascii="宋体" w:hAnsi="宋体"/>
                <w:szCs w:val="22"/>
              </w:rPr>
            </w:pPr>
            <w:r>
              <w:rPr>
                <w:rFonts w:hint="eastAsia" w:ascii="宋体" w:hAnsi="宋体"/>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签到区布置</w:t>
            </w:r>
          </w:p>
        </w:tc>
        <w:tc>
          <w:tcPr>
            <w:tcW w:w="992" w:type="dxa"/>
          </w:tcPr>
          <w:p>
            <w:pPr>
              <w:spacing w:line="240" w:lineRule="atLeast"/>
              <w:jc w:val="center"/>
              <w:rPr>
                <w:rFonts w:ascii="宋体" w:hAnsi="宋体"/>
                <w:szCs w:val="22"/>
              </w:rPr>
            </w:pPr>
            <w:r>
              <w:rPr>
                <w:rFonts w:hint="eastAsia" w:ascii="宋体" w:hAnsi="宋体"/>
                <w:szCs w:val="22"/>
              </w:rPr>
              <w:t>1</w:t>
            </w:r>
          </w:p>
        </w:tc>
        <w:tc>
          <w:tcPr>
            <w:tcW w:w="2551" w:type="dxa"/>
            <w:vAlign w:val="center"/>
          </w:tcPr>
          <w:p>
            <w:pPr>
              <w:spacing w:line="240" w:lineRule="atLeast"/>
              <w:jc w:val="center"/>
              <w:rPr>
                <w:rFonts w:ascii="宋体" w:hAnsi="宋体"/>
                <w:szCs w:val="22"/>
              </w:rPr>
            </w:pPr>
            <w:r>
              <w:rPr>
                <w:rFonts w:hint="eastAsia" w:ascii="宋体" w:hAnsi="宋体"/>
                <w:szCs w:val="22"/>
              </w:rPr>
              <w:t>签到服务台</w:t>
            </w:r>
          </w:p>
        </w:tc>
        <w:tc>
          <w:tcPr>
            <w:tcW w:w="4395" w:type="dxa"/>
            <w:vAlign w:val="center"/>
          </w:tcPr>
          <w:p>
            <w:pPr>
              <w:widowControl/>
              <w:jc w:val="left"/>
              <w:rPr>
                <w:rFonts w:ascii="宋体" w:hAnsi="宋体"/>
                <w:szCs w:val="22"/>
              </w:rPr>
            </w:pPr>
            <w:r>
              <w:rPr>
                <w:rFonts w:hint="eastAsia" w:ascii="宋体" w:hAnsi="宋体"/>
                <w:szCs w:val="22"/>
              </w:rPr>
              <w:t>桁架+高清黑底喷绘，根据场地合理规划尺寸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p>
        </w:tc>
        <w:tc>
          <w:tcPr>
            <w:tcW w:w="2551" w:type="dxa"/>
            <w:vAlign w:val="center"/>
          </w:tcPr>
          <w:p>
            <w:pPr>
              <w:spacing w:line="240" w:lineRule="atLeast"/>
              <w:jc w:val="center"/>
              <w:rPr>
                <w:rFonts w:ascii="宋体" w:hAnsi="宋体"/>
                <w:szCs w:val="22"/>
              </w:rPr>
            </w:pPr>
            <w:r>
              <w:rPr>
                <w:rFonts w:hint="eastAsia" w:ascii="宋体" w:hAnsi="宋体"/>
                <w:szCs w:val="22"/>
              </w:rPr>
              <w:t>签到接待背景板</w:t>
            </w:r>
          </w:p>
        </w:tc>
        <w:tc>
          <w:tcPr>
            <w:tcW w:w="4395" w:type="dxa"/>
            <w:vAlign w:val="center"/>
          </w:tcPr>
          <w:p>
            <w:pPr>
              <w:widowControl/>
              <w:jc w:val="left"/>
              <w:rPr>
                <w:rFonts w:ascii="宋体" w:hAnsi="宋体"/>
                <w:szCs w:val="22"/>
              </w:rPr>
            </w:pPr>
            <w:r>
              <w:rPr>
                <w:rFonts w:hint="eastAsia" w:ascii="宋体" w:hAnsi="宋体"/>
                <w:szCs w:val="22"/>
              </w:rPr>
              <w:t>桁架+高清黑底喷绘，根据场地合理规划尺寸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p>
        </w:tc>
        <w:tc>
          <w:tcPr>
            <w:tcW w:w="2551" w:type="dxa"/>
            <w:vAlign w:val="center"/>
          </w:tcPr>
          <w:p>
            <w:pPr>
              <w:spacing w:line="240" w:lineRule="atLeast"/>
              <w:jc w:val="center"/>
              <w:rPr>
                <w:rFonts w:ascii="宋体" w:hAnsi="宋体"/>
                <w:szCs w:val="22"/>
              </w:rPr>
            </w:pPr>
            <w:r>
              <w:rPr>
                <w:rFonts w:hint="eastAsia" w:ascii="宋体" w:hAnsi="宋体"/>
                <w:szCs w:val="22"/>
              </w:rPr>
              <w:t>论坛形象背景板</w:t>
            </w:r>
          </w:p>
        </w:tc>
        <w:tc>
          <w:tcPr>
            <w:tcW w:w="4395" w:type="dxa"/>
            <w:vAlign w:val="center"/>
          </w:tcPr>
          <w:p>
            <w:pPr>
              <w:widowControl/>
              <w:jc w:val="left"/>
              <w:rPr>
                <w:rFonts w:ascii="宋体" w:hAnsi="宋体"/>
                <w:szCs w:val="22"/>
              </w:rPr>
            </w:pPr>
            <w:r>
              <w:rPr>
                <w:rFonts w:hint="eastAsia" w:ascii="宋体" w:hAnsi="宋体"/>
                <w:szCs w:val="22"/>
              </w:rPr>
              <w:t>桁架+高清黑底喷绘，根据场地合理规划尺寸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4</w:t>
            </w:r>
          </w:p>
        </w:tc>
        <w:tc>
          <w:tcPr>
            <w:tcW w:w="2551" w:type="dxa"/>
            <w:vAlign w:val="center"/>
          </w:tcPr>
          <w:p>
            <w:pPr>
              <w:spacing w:line="240" w:lineRule="atLeast"/>
              <w:jc w:val="center"/>
              <w:rPr>
                <w:rFonts w:ascii="宋体" w:hAnsi="宋体"/>
                <w:szCs w:val="22"/>
              </w:rPr>
            </w:pPr>
            <w:r>
              <w:rPr>
                <w:rFonts w:hint="eastAsia" w:ascii="宋体" w:hAnsi="宋体"/>
                <w:szCs w:val="22"/>
              </w:rPr>
              <w:t>字母屏</w:t>
            </w:r>
          </w:p>
        </w:tc>
        <w:tc>
          <w:tcPr>
            <w:tcW w:w="4395" w:type="dxa"/>
            <w:vAlign w:val="center"/>
          </w:tcPr>
          <w:p>
            <w:pPr>
              <w:widowControl/>
              <w:jc w:val="left"/>
              <w:rPr>
                <w:rFonts w:ascii="宋体" w:hAnsi="宋体"/>
                <w:szCs w:val="22"/>
              </w:rPr>
            </w:pPr>
            <w:r>
              <w:rPr>
                <w:rFonts w:hint="eastAsia" w:ascii="宋体" w:hAnsi="宋体"/>
                <w:szCs w:val="22"/>
              </w:rPr>
              <w:t>根据场地合理规划材质尺寸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茶歇区</w:t>
            </w:r>
          </w:p>
        </w:tc>
        <w:tc>
          <w:tcPr>
            <w:tcW w:w="992" w:type="dxa"/>
          </w:tcPr>
          <w:p>
            <w:pPr>
              <w:spacing w:line="240" w:lineRule="atLeast"/>
              <w:jc w:val="center"/>
              <w:rPr>
                <w:rFonts w:ascii="宋体" w:hAnsi="宋体"/>
                <w:szCs w:val="22"/>
              </w:rPr>
            </w:pPr>
            <w:r>
              <w:rPr>
                <w:rFonts w:hint="eastAsia" w:ascii="宋体" w:hAnsi="宋体"/>
                <w:szCs w:val="22"/>
              </w:rPr>
              <w:t>5</w:t>
            </w:r>
          </w:p>
        </w:tc>
        <w:tc>
          <w:tcPr>
            <w:tcW w:w="2551" w:type="dxa"/>
            <w:vAlign w:val="center"/>
          </w:tcPr>
          <w:p>
            <w:pPr>
              <w:spacing w:line="240" w:lineRule="atLeast"/>
              <w:jc w:val="center"/>
              <w:rPr>
                <w:rFonts w:ascii="宋体" w:hAnsi="宋体"/>
                <w:szCs w:val="22"/>
              </w:rPr>
            </w:pPr>
            <w:r>
              <w:rPr>
                <w:rFonts w:hint="eastAsia" w:ascii="宋体" w:hAnsi="宋体"/>
                <w:szCs w:val="22"/>
              </w:rPr>
              <w:t>屏风</w:t>
            </w:r>
          </w:p>
        </w:tc>
        <w:tc>
          <w:tcPr>
            <w:tcW w:w="4395" w:type="dxa"/>
            <w:vAlign w:val="center"/>
          </w:tcPr>
          <w:p>
            <w:pPr>
              <w:widowControl/>
              <w:jc w:val="left"/>
              <w:rPr>
                <w:rFonts w:ascii="宋体" w:hAnsi="宋体"/>
                <w:szCs w:val="22"/>
              </w:rPr>
            </w:pPr>
            <w:r>
              <w:rPr>
                <w:rFonts w:hint="eastAsia" w:ascii="宋体" w:hAnsi="宋体"/>
                <w:szCs w:val="22"/>
              </w:rPr>
              <w:t>桁架+高清黑底喷绘，双画面，根据场地合理规划尺寸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6</w:t>
            </w:r>
          </w:p>
        </w:tc>
        <w:tc>
          <w:tcPr>
            <w:tcW w:w="2551" w:type="dxa"/>
            <w:vAlign w:val="center"/>
          </w:tcPr>
          <w:p>
            <w:pPr>
              <w:spacing w:line="240" w:lineRule="atLeast"/>
              <w:jc w:val="center"/>
              <w:rPr>
                <w:rFonts w:ascii="宋体" w:hAnsi="宋体"/>
                <w:szCs w:val="22"/>
              </w:rPr>
            </w:pPr>
            <w:r>
              <w:rPr>
                <w:rFonts w:hint="eastAsia" w:ascii="宋体" w:hAnsi="宋体"/>
                <w:szCs w:val="22"/>
              </w:rPr>
              <w:t>沙发茶几</w:t>
            </w:r>
          </w:p>
        </w:tc>
        <w:tc>
          <w:tcPr>
            <w:tcW w:w="4395" w:type="dxa"/>
            <w:vAlign w:val="center"/>
          </w:tcPr>
          <w:p>
            <w:pPr>
              <w:widowControl/>
              <w:jc w:val="left"/>
              <w:rPr>
                <w:rFonts w:ascii="宋体" w:hAnsi="宋体"/>
                <w:szCs w:val="22"/>
              </w:rPr>
            </w:pPr>
            <w:r>
              <w:rPr>
                <w:rFonts w:hint="eastAsia" w:ascii="宋体" w:hAnsi="宋体"/>
                <w:szCs w:val="22"/>
              </w:rPr>
              <w:t>单人沙发+方形小茶几，暂定1</w:t>
            </w:r>
            <w:r>
              <w:rPr>
                <w:rFonts w:ascii="宋体" w:hAnsi="宋体"/>
                <w:szCs w:val="22"/>
              </w:rPr>
              <w:t>6</w:t>
            </w:r>
            <w:r>
              <w:rPr>
                <w:rFonts w:hint="eastAsia" w:ascii="宋体" w:hAnsi="宋体"/>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7</w:t>
            </w:r>
          </w:p>
        </w:tc>
        <w:tc>
          <w:tcPr>
            <w:tcW w:w="2551" w:type="dxa"/>
            <w:vAlign w:val="center"/>
          </w:tcPr>
          <w:p>
            <w:pPr>
              <w:spacing w:line="240" w:lineRule="atLeast"/>
              <w:jc w:val="center"/>
              <w:rPr>
                <w:rFonts w:ascii="宋体" w:hAnsi="宋体"/>
                <w:szCs w:val="22"/>
              </w:rPr>
            </w:pPr>
            <w:r>
              <w:rPr>
                <w:rFonts w:hint="eastAsia" w:ascii="宋体" w:hAnsi="宋体"/>
                <w:szCs w:val="22"/>
              </w:rPr>
              <w:t>洽谈吧桌椅</w:t>
            </w:r>
          </w:p>
        </w:tc>
        <w:tc>
          <w:tcPr>
            <w:tcW w:w="4395" w:type="dxa"/>
            <w:vAlign w:val="center"/>
          </w:tcPr>
          <w:p>
            <w:pPr>
              <w:widowControl/>
              <w:jc w:val="left"/>
              <w:rPr>
                <w:rFonts w:ascii="宋体" w:hAnsi="宋体"/>
                <w:szCs w:val="22"/>
              </w:rPr>
            </w:pPr>
            <w:r>
              <w:rPr>
                <w:rFonts w:hint="eastAsia" w:ascii="宋体" w:hAnsi="宋体"/>
                <w:szCs w:val="22"/>
              </w:rPr>
              <w:t>1桌+</w:t>
            </w:r>
            <w:r>
              <w:rPr>
                <w:rFonts w:ascii="宋体" w:hAnsi="宋体"/>
                <w:szCs w:val="22"/>
              </w:rPr>
              <w:t>4</w:t>
            </w:r>
            <w:r>
              <w:rPr>
                <w:rFonts w:hint="eastAsia" w:ascii="宋体" w:hAnsi="宋体"/>
                <w:szCs w:val="22"/>
              </w:rPr>
              <w:t>椅，暂定</w:t>
            </w:r>
            <w:r>
              <w:rPr>
                <w:rFonts w:ascii="宋体" w:hAnsi="宋体"/>
                <w:szCs w:val="22"/>
              </w:rPr>
              <w:t>5</w:t>
            </w:r>
            <w:r>
              <w:rPr>
                <w:rFonts w:hint="eastAsia" w:ascii="宋体" w:hAnsi="宋体"/>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8</w:t>
            </w:r>
          </w:p>
        </w:tc>
        <w:tc>
          <w:tcPr>
            <w:tcW w:w="2551" w:type="dxa"/>
            <w:vAlign w:val="center"/>
          </w:tcPr>
          <w:p>
            <w:pPr>
              <w:spacing w:line="240" w:lineRule="atLeast"/>
              <w:jc w:val="center"/>
              <w:rPr>
                <w:rFonts w:ascii="宋体" w:hAnsi="宋体"/>
                <w:szCs w:val="22"/>
              </w:rPr>
            </w:pPr>
            <w:r>
              <w:rPr>
                <w:rFonts w:hint="eastAsia" w:ascii="宋体" w:hAnsi="宋体"/>
                <w:szCs w:val="22"/>
              </w:rPr>
              <w:t>高脚吧台</w:t>
            </w:r>
          </w:p>
        </w:tc>
        <w:tc>
          <w:tcPr>
            <w:tcW w:w="4395" w:type="dxa"/>
            <w:vAlign w:val="center"/>
          </w:tcPr>
          <w:p>
            <w:pPr>
              <w:widowControl/>
              <w:jc w:val="left"/>
              <w:rPr>
                <w:rFonts w:ascii="宋体" w:hAnsi="宋体"/>
                <w:szCs w:val="22"/>
              </w:rPr>
            </w:pPr>
            <w:r>
              <w:rPr>
                <w:rFonts w:hint="eastAsia" w:ascii="宋体" w:hAnsi="宋体"/>
                <w:szCs w:val="22"/>
              </w:rPr>
              <w:t>1高脚桌+</w:t>
            </w:r>
            <w:r>
              <w:rPr>
                <w:rFonts w:ascii="宋体" w:hAnsi="宋体"/>
                <w:szCs w:val="22"/>
              </w:rPr>
              <w:t>3</w:t>
            </w:r>
            <w:r>
              <w:rPr>
                <w:rFonts w:hint="eastAsia" w:ascii="宋体" w:hAnsi="宋体"/>
                <w:szCs w:val="22"/>
              </w:rPr>
              <w:t>高脚椅，暂定2套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9</w:t>
            </w:r>
          </w:p>
        </w:tc>
        <w:tc>
          <w:tcPr>
            <w:tcW w:w="2551" w:type="dxa"/>
            <w:vAlign w:val="center"/>
          </w:tcPr>
          <w:p>
            <w:pPr>
              <w:spacing w:line="240" w:lineRule="atLeast"/>
              <w:jc w:val="center"/>
              <w:rPr>
                <w:rFonts w:ascii="宋体" w:hAnsi="宋体"/>
                <w:szCs w:val="22"/>
              </w:rPr>
            </w:pPr>
            <w:r>
              <w:rPr>
                <w:rFonts w:hint="eastAsia" w:ascii="宋体" w:hAnsi="宋体"/>
                <w:szCs w:val="22"/>
              </w:rPr>
              <w:t>茶歇台及围挡</w:t>
            </w:r>
          </w:p>
        </w:tc>
        <w:tc>
          <w:tcPr>
            <w:tcW w:w="4395" w:type="dxa"/>
            <w:vAlign w:val="center"/>
          </w:tcPr>
          <w:p>
            <w:pPr>
              <w:widowControl/>
              <w:jc w:val="left"/>
              <w:rPr>
                <w:rFonts w:ascii="宋体" w:hAnsi="宋体"/>
                <w:szCs w:val="22"/>
              </w:rPr>
            </w:pPr>
            <w:r>
              <w:rPr>
                <w:rFonts w:hint="eastAsia" w:ascii="宋体" w:hAnsi="宋体"/>
                <w:szCs w:val="22"/>
              </w:rPr>
              <w:t>长条吧台配白色桌布，围挡桁架+高清黑底喷绘，根据场地合理规划尺寸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会场舞台舞美</w:t>
            </w: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0</w:t>
            </w:r>
          </w:p>
        </w:tc>
        <w:tc>
          <w:tcPr>
            <w:tcW w:w="2551" w:type="dxa"/>
            <w:vAlign w:val="center"/>
          </w:tcPr>
          <w:p>
            <w:pPr>
              <w:spacing w:line="240" w:lineRule="atLeast"/>
              <w:jc w:val="center"/>
              <w:rPr>
                <w:rFonts w:ascii="宋体" w:hAnsi="宋体"/>
                <w:szCs w:val="22"/>
              </w:rPr>
            </w:pPr>
            <w:r>
              <w:rPr>
                <w:rFonts w:hint="eastAsia" w:ascii="宋体" w:hAnsi="宋体"/>
                <w:szCs w:val="22"/>
              </w:rPr>
              <w:t>基础舞台</w:t>
            </w:r>
          </w:p>
        </w:tc>
        <w:tc>
          <w:tcPr>
            <w:tcW w:w="4395" w:type="dxa"/>
            <w:vAlign w:val="center"/>
          </w:tcPr>
          <w:p>
            <w:pPr>
              <w:widowControl/>
              <w:jc w:val="left"/>
              <w:rPr>
                <w:rFonts w:ascii="宋体" w:hAnsi="宋体"/>
                <w:szCs w:val="22"/>
              </w:rPr>
            </w:pPr>
            <w:r>
              <w:rPr>
                <w:rFonts w:hint="eastAsia" w:ascii="宋体" w:hAnsi="宋体"/>
                <w:szCs w:val="22"/>
              </w:rPr>
              <w:t>标准舞台板+钢架+扣件，根据场地合理规划尺寸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1</w:t>
            </w:r>
          </w:p>
        </w:tc>
        <w:tc>
          <w:tcPr>
            <w:tcW w:w="2551" w:type="dxa"/>
            <w:vAlign w:val="center"/>
          </w:tcPr>
          <w:p>
            <w:pPr>
              <w:spacing w:line="240" w:lineRule="atLeast"/>
              <w:jc w:val="center"/>
              <w:rPr>
                <w:rFonts w:ascii="宋体" w:hAnsi="宋体"/>
                <w:szCs w:val="22"/>
              </w:rPr>
            </w:pPr>
            <w:r>
              <w:rPr>
                <w:rFonts w:hint="eastAsia" w:ascii="宋体" w:hAnsi="宋体"/>
                <w:szCs w:val="22"/>
              </w:rPr>
              <w:t>舞台地毯</w:t>
            </w:r>
          </w:p>
        </w:tc>
        <w:tc>
          <w:tcPr>
            <w:tcW w:w="4395" w:type="dxa"/>
            <w:vAlign w:val="center"/>
          </w:tcPr>
          <w:p>
            <w:pPr>
              <w:widowControl/>
              <w:jc w:val="left"/>
              <w:rPr>
                <w:rFonts w:ascii="宋体" w:hAnsi="宋体"/>
                <w:szCs w:val="22"/>
              </w:rPr>
            </w:pPr>
            <w:r>
              <w:rPr>
                <w:rFonts w:hint="eastAsia" w:ascii="宋体" w:hAnsi="宋体"/>
                <w:szCs w:val="22"/>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2</w:t>
            </w:r>
          </w:p>
        </w:tc>
        <w:tc>
          <w:tcPr>
            <w:tcW w:w="2551" w:type="dxa"/>
            <w:vAlign w:val="center"/>
          </w:tcPr>
          <w:p>
            <w:pPr>
              <w:spacing w:line="240" w:lineRule="atLeast"/>
              <w:jc w:val="center"/>
              <w:rPr>
                <w:rFonts w:ascii="宋体" w:hAnsi="宋体"/>
                <w:szCs w:val="22"/>
              </w:rPr>
            </w:pPr>
            <w:r>
              <w:rPr>
                <w:rFonts w:hint="eastAsia" w:ascii="宋体" w:hAnsi="宋体"/>
                <w:szCs w:val="22"/>
              </w:rPr>
              <w:t>舞台封边</w:t>
            </w:r>
          </w:p>
        </w:tc>
        <w:tc>
          <w:tcPr>
            <w:tcW w:w="4395" w:type="dxa"/>
            <w:vAlign w:val="center"/>
          </w:tcPr>
          <w:p>
            <w:pPr>
              <w:widowControl/>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3</w:t>
            </w:r>
          </w:p>
        </w:tc>
        <w:tc>
          <w:tcPr>
            <w:tcW w:w="2551" w:type="dxa"/>
            <w:vAlign w:val="center"/>
          </w:tcPr>
          <w:p>
            <w:pPr>
              <w:spacing w:line="240" w:lineRule="atLeast"/>
              <w:jc w:val="center"/>
              <w:rPr>
                <w:rFonts w:ascii="宋体" w:hAnsi="宋体"/>
                <w:szCs w:val="22"/>
              </w:rPr>
            </w:pPr>
            <w:r>
              <w:rPr>
                <w:rFonts w:hint="eastAsia" w:ascii="宋体" w:hAnsi="宋体"/>
                <w:szCs w:val="22"/>
              </w:rPr>
              <w:t>舞台口斜屏</w:t>
            </w:r>
          </w:p>
        </w:tc>
        <w:tc>
          <w:tcPr>
            <w:tcW w:w="4395" w:type="dxa"/>
            <w:vAlign w:val="center"/>
          </w:tcPr>
          <w:p>
            <w:pPr>
              <w:widowControl/>
              <w:jc w:val="left"/>
              <w:rPr>
                <w:rFonts w:ascii="宋体" w:hAnsi="宋体"/>
                <w:szCs w:val="22"/>
              </w:rPr>
            </w:pPr>
            <w:r>
              <w:rPr>
                <w:rFonts w:hint="eastAsia" w:ascii="宋体" w:hAnsi="宋体"/>
                <w:szCs w:val="22"/>
              </w:rPr>
              <w:t>P</w:t>
            </w:r>
            <w:r>
              <w:rPr>
                <w:rFonts w:ascii="宋体" w:hAnsi="宋体"/>
                <w:szCs w:val="22"/>
              </w:rPr>
              <w:t>3</w:t>
            </w:r>
            <w:r>
              <w:rPr>
                <w:rFonts w:hint="eastAsia" w:ascii="宋体" w:hAnsi="宋体"/>
                <w:szCs w:val="22"/>
              </w:rPr>
              <w:t>室内高清屏，高清。尺寸根据舞台合理规划。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4</w:t>
            </w:r>
          </w:p>
        </w:tc>
        <w:tc>
          <w:tcPr>
            <w:tcW w:w="2551" w:type="dxa"/>
            <w:vAlign w:val="center"/>
          </w:tcPr>
          <w:p>
            <w:pPr>
              <w:spacing w:line="240" w:lineRule="atLeast"/>
              <w:jc w:val="center"/>
              <w:rPr>
                <w:rFonts w:ascii="宋体" w:hAnsi="宋体"/>
                <w:szCs w:val="22"/>
              </w:rPr>
            </w:pPr>
            <w:r>
              <w:rPr>
                <w:rFonts w:hint="eastAsia" w:ascii="宋体" w:hAnsi="宋体"/>
                <w:szCs w:val="22"/>
              </w:rPr>
              <w:t>舞台两侧台阶</w:t>
            </w:r>
          </w:p>
        </w:tc>
        <w:tc>
          <w:tcPr>
            <w:tcW w:w="4395" w:type="dxa"/>
            <w:vAlign w:val="center"/>
          </w:tcPr>
          <w:p>
            <w:pPr>
              <w:widowControl/>
              <w:jc w:val="left"/>
              <w:rPr>
                <w:rFonts w:ascii="宋体" w:hAnsi="宋体"/>
                <w:szCs w:val="22"/>
              </w:rPr>
            </w:pPr>
            <w:r>
              <w:rPr>
                <w:rFonts w:hint="eastAsia" w:ascii="宋体" w:hAnsi="宋体"/>
                <w:szCs w:val="22"/>
              </w:rPr>
              <w:t>需包含舞台左、右两侧台阶，钢木结构，尺寸根据舞台合理规划。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5</w:t>
            </w:r>
          </w:p>
        </w:tc>
        <w:tc>
          <w:tcPr>
            <w:tcW w:w="2551" w:type="dxa"/>
            <w:vAlign w:val="center"/>
          </w:tcPr>
          <w:p>
            <w:pPr>
              <w:spacing w:line="240" w:lineRule="atLeast"/>
              <w:jc w:val="center"/>
              <w:rPr>
                <w:rFonts w:ascii="宋体" w:hAnsi="宋体"/>
                <w:szCs w:val="22"/>
              </w:rPr>
            </w:pPr>
            <w:r>
              <w:rPr>
                <w:rFonts w:hint="eastAsia" w:ascii="宋体" w:hAnsi="宋体"/>
                <w:szCs w:val="22"/>
              </w:rPr>
              <w:t>演讲台</w:t>
            </w:r>
          </w:p>
        </w:tc>
        <w:tc>
          <w:tcPr>
            <w:tcW w:w="4395" w:type="dxa"/>
            <w:vAlign w:val="center"/>
          </w:tcPr>
          <w:p>
            <w:pPr>
              <w:widowControl/>
              <w:jc w:val="left"/>
              <w:rPr>
                <w:rFonts w:ascii="宋体" w:hAnsi="宋体"/>
                <w:szCs w:val="22"/>
              </w:rPr>
            </w:pPr>
            <w:r>
              <w:rPr>
                <w:rFonts w:hint="eastAsia" w:ascii="宋体" w:hAnsi="宋体"/>
                <w:szCs w:val="22"/>
              </w:rPr>
              <w:t>需定制，外表根据VI包边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会场LED设备</w:t>
            </w: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6</w:t>
            </w:r>
          </w:p>
        </w:tc>
        <w:tc>
          <w:tcPr>
            <w:tcW w:w="2551" w:type="dxa"/>
            <w:vAlign w:val="center"/>
          </w:tcPr>
          <w:p>
            <w:pPr>
              <w:spacing w:line="240" w:lineRule="atLeast"/>
              <w:jc w:val="center"/>
              <w:rPr>
                <w:rFonts w:ascii="宋体" w:hAnsi="宋体"/>
                <w:szCs w:val="22"/>
              </w:rPr>
            </w:pPr>
            <w:r>
              <w:rPr>
                <w:rFonts w:hint="eastAsia" w:ascii="宋体" w:hAnsi="宋体"/>
                <w:szCs w:val="22"/>
              </w:rPr>
              <w:t>舞台LED屏幕</w:t>
            </w:r>
          </w:p>
        </w:tc>
        <w:tc>
          <w:tcPr>
            <w:tcW w:w="4395" w:type="dxa"/>
            <w:vAlign w:val="center"/>
          </w:tcPr>
          <w:p>
            <w:pPr>
              <w:widowControl/>
              <w:jc w:val="left"/>
              <w:rPr>
                <w:rFonts w:ascii="宋体" w:hAnsi="宋体"/>
                <w:szCs w:val="22"/>
              </w:rPr>
            </w:pPr>
            <w:r>
              <w:rPr>
                <w:rFonts w:hint="eastAsia" w:ascii="宋体" w:hAnsi="宋体"/>
                <w:szCs w:val="22"/>
              </w:rPr>
              <w:t>暂定尺寸为3</w:t>
            </w:r>
            <w:r>
              <w:rPr>
                <w:rFonts w:ascii="宋体" w:hAnsi="宋体"/>
                <w:szCs w:val="22"/>
              </w:rPr>
              <w:t>0</w:t>
            </w:r>
            <w:r>
              <w:rPr>
                <w:rFonts w:hint="eastAsia" w:ascii="宋体" w:hAnsi="宋体"/>
                <w:szCs w:val="22"/>
              </w:rPr>
              <w:t>m</w:t>
            </w:r>
            <w:r>
              <w:rPr>
                <w:rFonts w:ascii="宋体" w:hAnsi="宋体"/>
                <w:szCs w:val="22"/>
              </w:rPr>
              <w:t>*6</w:t>
            </w:r>
            <w:r>
              <w:rPr>
                <w:rFonts w:hint="eastAsia" w:ascii="宋体" w:hAnsi="宋体"/>
                <w:szCs w:val="22"/>
              </w:rPr>
              <w:t>m。P</w:t>
            </w:r>
            <w:r>
              <w:rPr>
                <w:rFonts w:ascii="宋体" w:hAnsi="宋体"/>
                <w:szCs w:val="22"/>
              </w:rPr>
              <w:t>3</w:t>
            </w:r>
            <w:r>
              <w:rPr>
                <w:rFonts w:hint="eastAsia" w:ascii="宋体" w:hAnsi="宋体"/>
                <w:szCs w:val="22"/>
              </w:rPr>
              <w:t>室内高清屏，需为两年内的屏幕，屏幕坏点在3（含）个以内。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7</w:t>
            </w:r>
          </w:p>
        </w:tc>
        <w:tc>
          <w:tcPr>
            <w:tcW w:w="2551" w:type="dxa"/>
            <w:vAlign w:val="center"/>
          </w:tcPr>
          <w:p>
            <w:pPr>
              <w:spacing w:line="240" w:lineRule="atLeast"/>
              <w:jc w:val="center"/>
              <w:rPr>
                <w:rFonts w:ascii="宋体" w:hAnsi="宋体"/>
                <w:szCs w:val="22"/>
              </w:rPr>
            </w:pPr>
            <w:r>
              <w:rPr>
                <w:rFonts w:hint="eastAsia" w:ascii="宋体" w:hAnsi="宋体"/>
                <w:szCs w:val="22"/>
              </w:rPr>
              <w:t>液晶电视返送屏</w:t>
            </w:r>
          </w:p>
        </w:tc>
        <w:tc>
          <w:tcPr>
            <w:tcW w:w="4395" w:type="dxa"/>
            <w:vAlign w:val="center"/>
          </w:tcPr>
          <w:p>
            <w:pPr>
              <w:widowControl/>
              <w:jc w:val="left"/>
              <w:rPr>
                <w:rFonts w:ascii="宋体" w:hAnsi="宋体"/>
                <w:szCs w:val="22"/>
              </w:rPr>
            </w:pPr>
            <w:r>
              <w:rPr>
                <w:rFonts w:hint="eastAsia" w:ascii="宋体" w:hAnsi="宋体"/>
                <w:szCs w:val="22"/>
              </w:rPr>
              <w:t>6</w:t>
            </w:r>
            <w:r>
              <w:rPr>
                <w:rFonts w:ascii="宋体" w:hAnsi="宋体"/>
                <w:szCs w:val="22"/>
              </w:rPr>
              <w:t>0</w:t>
            </w:r>
            <w:r>
              <w:rPr>
                <w:rFonts w:hint="eastAsia" w:ascii="宋体" w:hAnsi="宋体"/>
                <w:szCs w:val="22"/>
              </w:rPr>
              <w:t>英寸，2台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8</w:t>
            </w:r>
          </w:p>
        </w:tc>
        <w:tc>
          <w:tcPr>
            <w:tcW w:w="2551" w:type="dxa"/>
            <w:vAlign w:val="center"/>
          </w:tcPr>
          <w:p>
            <w:pPr>
              <w:spacing w:line="240" w:lineRule="atLeast"/>
              <w:jc w:val="center"/>
              <w:rPr>
                <w:rFonts w:ascii="宋体" w:hAnsi="宋体"/>
                <w:szCs w:val="22"/>
              </w:rPr>
            </w:pPr>
            <w:r>
              <w:rPr>
                <w:rFonts w:hint="eastAsia" w:ascii="宋体" w:hAnsi="宋体"/>
                <w:szCs w:val="22"/>
              </w:rPr>
              <w:t>PPT播放电脑</w:t>
            </w:r>
          </w:p>
        </w:tc>
        <w:tc>
          <w:tcPr>
            <w:tcW w:w="4395" w:type="dxa"/>
            <w:vAlign w:val="center"/>
          </w:tcPr>
          <w:p>
            <w:pPr>
              <w:widowControl/>
              <w:jc w:val="left"/>
              <w:rPr>
                <w:rFonts w:ascii="宋体" w:hAnsi="宋体"/>
                <w:szCs w:val="22"/>
              </w:rPr>
            </w:pPr>
            <w:r>
              <w:rPr>
                <w:rFonts w:hint="eastAsia" w:ascii="宋体" w:hAnsi="宋体"/>
                <w:szCs w:val="22"/>
              </w:rPr>
              <w:t>至少3台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1</w:t>
            </w:r>
            <w:r>
              <w:rPr>
                <w:rFonts w:ascii="宋体" w:hAnsi="宋体"/>
                <w:szCs w:val="22"/>
              </w:rPr>
              <w:t>9</w:t>
            </w:r>
          </w:p>
        </w:tc>
        <w:tc>
          <w:tcPr>
            <w:tcW w:w="2551" w:type="dxa"/>
            <w:vAlign w:val="center"/>
          </w:tcPr>
          <w:p>
            <w:pPr>
              <w:spacing w:line="240" w:lineRule="atLeast"/>
              <w:jc w:val="center"/>
              <w:rPr>
                <w:rFonts w:ascii="宋体" w:hAnsi="宋体"/>
                <w:szCs w:val="22"/>
              </w:rPr>
            </w:pPr>
            <w:r>
              <w:rPr>
                <w:rFonts w:hint="eastAsia" w:ascii="宋体" w:hAnsi="宋体"/>
                <w:szCs w:val="22"/>
              </w:rPr>
              <w:t>专业长距离翻页器</w:t>
            </w:r>
          </w:p>
        </w:tc>
        <w:tc>
          <w:tcPr>
            <w:tcW w:w="4395" w:type="dxa"/>
            <w:vAlign w:val="center"/>
          </w:tcPr>
          <w:p>
            <w:pPr>
              <w:widowControl/>
              <w:jc w:val="left"/>
              <w:rPr>
                <w:rFonts w:ascii="宋体" w:hAnsi="宋体"/>
                <w:szCs w:val="22"/>
              </w:rPr>
            </w:pPr>
            <w:r>
              <w:rPr>
                <w:rFonts w:hint="eastAsia" w:ascii="宋体" w:hAnsi="宋体"/>
                <w:szCs w:val="22"/>
              </w:rPr>
              <w:t>至少1个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0</w:t>
            </w:r>
          </w:p>
        </w:tc>
        <w:tc>
          <w:tcPr>
            <w:tcW w:w="2551" w:type="dxa"/>
            <w:vAlign w:val="center"/>
          </w:tcPr>
          <w:p>
            <w:pPr>
              <w:spacing w:line="240" w:lineRule="atLeast"/>
              <w:jc w:val="center"/>
              <w:rPr>
                <w:rFonts w:ascii="宋体" w:hAnsi="宋体"/>
                <w:szCs w:val="22"/>
              </w:rPr>
            </w:pPr>
            <w:r>
              <w:rPr>
                <w:rFonts w:hint="eastAsia" w:ascii="宋体" w:hAnsi="宋体"/>
                <w:szCs w:val="22"/>
              </w:rPr>
              <w:t>其他LED相关周边设备、器材、物料等</w:t>
            </w:r>
          </w:p>
        </w:tc>
        <w:tc>
          <w:tcPr>
            <w:tcW w:w="4395" w:type="dxa"/>
            <w:vAlign w:val="center"/>
          </w:tcPr>
          <w:p>
            <w:pPr>
              <w:widowControl/>
              <w:jc w:val="left"/>
              <w:rPr>
                <w:rFonts w:ascii="宋体" w:hAnsi="宋体"/>
                <w:szCs w:val="22"/>
              </w:rPr>
            </w:pPr>
            <w:r>
              <w:rPr>
                <w:rFonts w:hint="eastAsia" w:ascii="宋体" w:hAnsi="宋体"/>
                <w:szCs w:val="22"/>
              </w:rPr>
              <w:t>合理配置LED处理控台、切换台、视频处理器、电缆线材、配电箱等相关周边设备器材等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会场灯光设备</w:t>
            </w: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1</w:t>
            </w:r>
          </w:p>
        </w:tc>
        <w:tc>
          <w:tcPr>
            <w:tcW w:w="2551" w:type="dxa"/>
            <w:vAlign w:val="center"/>
          </w:tcPr>
          <w:p>
            <w:pPr>
              <w:spacing w:line="240" w:lineRule="atLeast"/>
              <w:jc w:val="center"/>
              <w:rPr>
                <w:rFonts w:ascii="宋体" w:hAnsi="宋体"/>
                <w:szCs w:val="22"/>
              </w:rPr>
            </w:pPr>
            <w:r>
              <w:rPr>
                <w:rFonts w:hint="eastAsia" w:ascii="宋体" w:hAnsi="宋体"/>
                <w:szCs w:val="22"/>
              </w:rPr>
              <w:t>全套舞台及会场灯光设备及控制系统</w:t>
            </w:r>
          </w:p>
        </w:tc>
        <w:tc>
          <w:tcPr>
            <w:tcW w:w="4395" w:type="dxa"/>
            <w:vAlign w:val="center"/>
          </w:tcPr>
          <w:p>
            <w:pPr>
              <w:widowControl/>
              <w:jc w:val="left"/>
              <w:rPr>
                <w:rFonts w:ascii="宋体" w:hAnsi="宋体"/>
                <w:szCs w:val="22"/>
              </w:rPr>
            </w:pPr>
            <w:r>
              <w:rPr>
                <w:rFonts w:hint="eastAsia" w:ascii="宋体" w:hAnsi="宋体"/>
                <w:szCs w:val="22"/>
              </w:rPr>
              <w:t>需按现场合理配置面光、侧光、追光、辅助光等相应灯光设备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2</w:t>
            </w:r>
          </w:p>
        </w:tc>
        <w:tc>
          <w:tcPr>
            <w:tcW w:w="2551" w:type="dxa"/>
            <w:vAlign w:val="center"/>
          </w:tcPr>
          <w:p>
            <w:pPr>
              <w:spacing w:line="240" w:lineRule="atLeast"/>
              <w:jc w:val="center"/>
              <w:rPr>
                <w:rFonts w:ascii="宋体" w:hAnsi="宋体"/>
                <w:szCs w:val="22"/>
              </w:rPr>
            </w:pPr>
            <w:r>
              <w:rPr>
                <w:rFonts w:hint="eastAsia" w:ascii="宋体" w:hAnsi="宋体"/>
                <w:szCs w:val="22"/>
              </w:rPr>
              <w:t>其他灯光周边设备、器材、物料等</w:t>
            </w:r>
          </w:p>
        </w:tc>
        <w:tc>
          <w:tcPr>
            <w:tcW w:w="4395" w:type="dxa"/>
            <w:vAlign w:val="center"/>
          </w:tcPr>
          <w:p>
            <w:pPr>
              <w:widowControl/>
              <w:jc w:val="left"/>
              <w:rPr>
                <w:rFonts w:ascii="宋体" w:hAnsi="宋体"/>
                <w:szCs w:val="22"/>
              </w:rPr>
            </w:pPr>
            <w:r>
              <w:rPr>
                <w:rFonts w:hint="eastAsia"/>
              </w:rPr>
              <w:t>数码调光台等控制设备、灯材及灯光线材、灯架等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会场音响设备</w:t>
            </w: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3</w:t>
            </w:r>
          </w:p>
        </w:tc>
        <w:tc>
          <w:tcPr>
            <w:tcW w:w="2551" w:type="dxa"/>
            <w:vAlign w:val="center"/>
          </w:tcPr>
          <w:p>
            <w:pPr>
              <w:spacing w:line="240" w:lineRule="atLeast"/>
              <w:jc w:val="center"/>
              <w:rPr>
                <w:rFonts w:ascii="宋体" w:hAnsi="宋体"/>
                <w:szCs w:val="22"/>
              </w:rPr>
            </w:pPr>
            <w:r>
              <w:rPr>
                <w:rFonts w:hint="eastAsia" w:ascii="宋体" w:hAnsi="宋体"/>
                <w:szCs w:val="22"/>
              </w:rPr>
              <w:t>全套舞台及会场扩音设备及控制系统</w:t>
            </w:r>
          </w:p>
        </w:tc>
        <w:tc>
          <w:tcPr>
            <w:tcW w:w="4395" w:type="dxa"/>
            <w:vAlign w:val="center"/>
          </w:tcPr>
          <w:p>
            <w:pPr>
              <w:widowControl/>
              <w:jc w:val="left"/>
              <w:rPr>
                <w:rFonts w:ascii="宋体" w:hAnsi="宋体"/>
                <w:szCs w:val="22"/>
              </w:rPr>
            </w:pPr>
            <w:r>
              <w:rPr>
                <w:rFonts w:hint="eastAsia" w:ascii="宋体" w:hAnsi="宋体"/>
                <w:szCs w:val="22"/>
              </w:rPr>
              <w:t>根据会场大小配置相应音响组设备及控制系统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4</w:t>
            </w:r>
          </w:p>
        </w:tc>
        <w:tc>
          <w:tcPr>
            <w:tcW w:w="2551" w:type="dxa"/>
            <w:vAlign w:val="center"/>
          </w:tcPr>
          <w:p>
            <w:pPr>
              <w:spacing w:line="240" w:lineRule="atLeast"/>
              <w:jc w:val="center"/>
              <w:rPr>
                <w:rFonts w:ascii="宋体" w:hAnsi="宋体"/>
                <w:szCs w:val="22"/>
              </w:rPr>
            </w:pPr>
            <w:r>
              <w:rPr>
                <w:rFonts w:hint="eastAsia" w:ascii="宋体" w:hAnsi="宋体"/>
                <w:szCs w:val="22"/>
              </w:rPr>
              <w:t>演讲台无线鹅颈麦</w:t>
            </w:r>
          </w:p>
        </w:tc>
        <w:tc>
          <w:tcPr>
            <w:tcW w:w="4395" w:type="dxa"/>
            <w:vAlign w:val="center"/>
          </w:tcPr>
          <w:p>
            <w:pPr>
              <w:widowControl/>
              <w:jc w:val="left"/>
              <w:rPr>
                <w:rFonts w:ascii="宋体" w:hAnsi="宋体"/>
                <w:szCs w:val="22"/>
              </w:rPr>
            </w:pPr>
            <w:r>
              <w:rPr>
                <w:rFonts w:hint="eastAsia" w:ascii="宋体" w:hAnsi="宋体"/>
                <w:szCs w:val="22"/>
              </w:rPr>
              <w:t>至少1个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5</w:t>
            </w:r>
          </w:p>
        </w:tc>
        <w:tc>
          <w:tcPr>
            <w:tcW w:w="2551" w:type="dxa"/>
            <w:vAlign w:val="center"/>
          </w:tcPr>
          <w:p>
            <w:pPr>
              <w:spacing w:line="240" w:lineRule="atLeast"/>
              <w:jc w:val="center"/>
              <w:rPr>
                <w:rFonts w:ascii="宋体" w:hAnsi="宋体"/>
                <w:szCs w:val="22"/>
              </w:rPr>
            </w:pPr>
            <w:r>
              <w:rPr>
                <w:rFonts w:hint="eastAsia" w:ascii="宋体" w:hAnsi="宋体"/>
                <w:szCs w:val="22"/>
              </w:rPr>
              <w:t>无线手持麦</w:t>
            </w:r>
          </w:p>
        </w:tc>
        <w:tc>
          <w:tcPr>
            <w:tcW w:w="4395" w:type="dxa"/>
            <w:vAlign w:val="center"/>
          </w:tcPr>
          <w:p>
            <w:pPr>
              <w:widowControl/>
              <w:jc w:val="left"/>
              <w:rPr>
                <w:rFonts w:ascii="宋体" w:hAnsi="宋体"/>
                <w:szCs w:val="22"/>
              </w:rPr>
            </w:pPr>
            <w:r>
              <w:rPr>
                <w:rFonts w:hint="eastAsia" w:ascii="宋体" w:hAnsi="宋体"/>
                <w:szCs w:val="22"/>
              </w:rPr>
              <w:t>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6</w:t>
            </w:r>
          </w:p>
        </w:tc>
        <w:tc>
          <w:tcPr>
            <w:tcW w:w="2551" w:type="dxa"/>
            <w:vAlign w:val="center"/>
          </w:tcPr>
          <w:p>
            <w:pPr>
              <w:spacing w:line="240" w:lineRule="atLeast"/>
              <w:jc w:val="center"/>
              <w:rPr>
                <w:rFonts w:ascii="宋体" w:hAnsi="宋体"/>
                <w:szCs w:val="22"/>
              </w:rPr>
            </w:pPr>
            <w:r>
              <w:rPr>
                <w:rFonts w:hint="eastAsia" w:ascii="宋体" w:hAnsi="宋体"/>
                <w:szCs w:val="22"/>
              </w:rPr>
              <w:t>无线头戴麦</w:t>
            </w:r>
          </w:p>
        </w:tc>
        <w:tc>
          <w:tcPr>
            <w:tcW w:w="4395" w:type="dxa"/>
            <w:vAlign w:val="center"/>
          </w:tcPr>
          <w:p>
            <w:pPr>
              <w:widowControl/>
              <w:jc w:val="left"/>
              <w:rPr>
                <w:rFonts w:ascii="宋体" w:hAnsi="宋体"/>
                <w:szCs w:val="22"/>
              </w:rPr>
            </w:pPr>
            <w:r>
              <w:rPr>
                <w:rFonts w:hint="eastAsia" w:ascii="宋体" w:hAnsi="宋体"/>
                <w:szCs w:val="22"/>
              </w:rPr>
              <w:t>至少2套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会场基础物料</w:t>
            </w: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7</w:t>
            </w:r>
          </w:p>
        </w:tc>
        <w:tc>
          <w:tcPr>
            <w:tcW w:w="2551" w:type="dxa"/>
            <w:vAlign w:val="center"/>
          </w:tcPr>
          <w:p>
            <w:pPr>
              <w:spacing w:line="240" w:lineRule="atLeast"/>
              <w:jc w:val="center"/>
              <w:rPr>
                <w:rFonts w:ascii="宋体" w:hAnsi="宋体"/>
                <w:szCs w:val="22"/>
              </w:rPr>
            </w:pPr>
            <w:r>
              <w:rPr>
                <w:rFonts w:hint="eastAsia" w:ascii="宋体" w:hAnsi="宋体"/>
                <w:szCs w:val="22"/>
              </w:rPr>
              <w:t>工作台（控台）包装</w:t>
            </w:r>
          </w:p>
        </w:tc>
        <w:tc>
          <w:tcPr>
            <w:tcW w:w="4395" w:type="dxa"/>
            <w:vAlign w:val="center"/>
          </w:tcPr>
          <w:p>
            <w:pPr>
              <w:widowControl/>
              <w:jc w:val="left"/>
              <w:rPr>
                <w:rFonts w:ascii="宋体" w:hAnsi="宋体"/>
                <w:szCs w:val="22"/>
              </w:rPr>
            </w:pPr>
            <w:r>
              <w:rPr>
                <w:rFonts w:hint="eastAsia" w:ascii="宋体" w:hAnsi="宋体"/>
                <w:szCs w:val="22"/>
              </w:rPr>
              <w:t>桁架+高清黑底喷绘，根据场地合理规划尺寸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8</w:t>
            </w:r>
          </w:p>
        </w:tc>
        <w:tc>
          <w:tcPr>
            <w:tcW w:w="2551" w:type="dxa"/>
            <w:vAlign w:val="center"/>
          </w:tcPr>
          <w:p>
            <w:pPr>
              <w:spacing w:line="240" w:lineRule="atLeast"/>
              <w:jc w:val="center"/>
              <w:rPr>
                <w:rFonts w:ascii="宋体" w:hAnsi="宋体"/>
                <w:szCs w:val="22"/>
              </w:rPr>
            </w:pPr>
            <w:r>
              <w:rPr>
                <w:rFonts w:hint="eastAsia" w:ascii="宋体" w:hAnsi="宋体"/>
                <w:szCs w:val="22"/>
              </w:rPr>
              <w:t>媒体拍摄舞台</w:t>
            </w:r>
          </w:p>
        </w:tc>
        <w:tc>
          <w:tcPr>
            <w:tcW w:w="4395" w:type="dxa"/>
            <w:vAlign w:val="center"/>
          </w:tcPr>
          <w:p>
            <w:pPr>
              <w:widowControl/>
              <w:jc w:val="left"/>
              <w:rPr>
                <w:rFonts w:ascii="宋体" w:hAnsi="宋体"/>
                <w:szCs w:val="22"/>
              </w:rPr>
            </w:pPr>
            <w:r>
              <w:rPr>
                <w:rFonts w:hint="eastAsia" w:ascii="宋体" w:hAnsi="宋体"/>
                <w:szCs w:val="22"/>
              </w:rPr>
              <w:t>根据场地合理规划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2</w:t>
            </w:r>
            <w:r>
              <w:rPr>
                <w:rFonts w:ascii="宋体" w:hAnsi="宋体"/>
                <w:szCs w:val="22"/>
              </w:rPr>
              <w:t>9</w:t>
            </w:r>
          </w:p>
        </w:tc>
        <w:tc>
          <w:tcPr>
            <w:tcW w:w="2551" w:type="dxa"/>
            <w:vAlign w:val="center"/>
          </w:tcPr>
          <w:p>
            <w:pPr>
              <w:spacing w:line="240" w:lineRule="atLeast"/>
              <w:jc w:val="center"/>
              <w:rPr>
                <w:rFonts w:ascii="宋体" w:hAnsi="宋体"/>
                <w:szCs w:val="22"/>
              </w:rPr>
            </w:pPr>
            <w:r>
              <w:rPr>
                <w:rFonts w:hint="eastAsia" w:ascii="宋体" w:hAnsi="宋体"/>
                <w:szCs w:val="22"/>
              </w:rPr>
              <w:t>麦牌、电脑贴等</w:t>
            </w:r>
          </w:p>
        </w:tc>
        <w:tc>
          <w:tcPr>
            <w:tcW w:w="4395" w:type="dxa"/>
            <w:vAlign w:val="center"/>
          </w:tcPr>
          <w:p>
            <w:pPr>
              <w:widowControl/>
              <w:jc w:val="left"/>
              <w:rPr>
                <w:rFonts w:ascii="宋体" w:hAnsi="宋体"/>
                <w:szCs w:val="22"/>
              </w:rPr>
            </w:pPr>
            <w:r>
              <w:rPr>
                <w:rFonts w:hint="eastAsia" w:ascii="宋体" w:hAnsi="宋体"/>
                <w:szCs w:val="22"/>
              </w:rPr>
              <w:t>根据实际需求配置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同声传译服务</w:t>
            </w: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0</w:t>
            </w:r>
          </w:p>
        </w:tc>
        <w:tc>
          <w:tcPr>
            <w:tcW w:w="2551" w:type="dxa"/>
            <w:vAlign w:val="center"/>
          </w:tcPr>
          <w:p>
            <w:pPr>
              <w:spacing w:line="240" w:lineRule="atLeast"/>
              <w:jc w:val="center"/>
              <w:rPr>
                <w:rFonts w:ascii="宋体" w:hAnsi="宋体"/>
                <w:szCs w:val="22"/>
              </w:rPr>
            </w:pPr>
            <w:r>
              <w:rPr>
                <w:rFonts w:hint="eastAsia" w:ascii="宋体" w:hAnsi="宋体"/>
                <w:szCs w:val="22"/>
              </w:rPr>
              <w:t>同传人员</w:t>
            </w:r>
          </w:p>
        </w:tc>
        <w:tc>
          <w:tcPr>
            <w:tcW w:w="4395" w:type="dxa"/>
            <w:vAlign w:val="center"/>
          </w:tcPr>
          <w:p>
            <w:pPr>
              <w:widowControl/>
              <w:jc w:val="left"/>
              <w:rPr>
                <w:rFonts w:ascii="宋体" w:hAnsi="宋体"/>
                <w:szCs w:val="22"/>
              </w:rPr>
            </w:pPr>
            <w:r>
              <w:rPr>
                <w:rFonts w:hint="eastAsia" w:ascii="宋体" w:hAnsi="宋体"/>
                <w:szCs w:val="22"/>
              </w:rPr>
              <w:t>3天5场论坛，每场需2名中英同声传译译员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1</w:t>
            </w:r>
          </w:p>
        </w:tc>
        <w:tc>
          <w:tcPr>
            <w:tcW w:w="2551" w:type="dxa"/>
            <w:vAlign w:val="center"/>
          </w:tcPr>
          <w:p>
            <w:pPr>
              <w:spacing w:line="240" w:lineRule="atLeast"/>
              <w:jc w:val="center"/>
              <w:rPr>
                <w:rFonts w:ascii="宋体" w:hAnsi="宋体"/>
                <w:szCs w:val="22"/>
              </w:rPr>
            </w:pPr>
            <w:r>
              <w:rPr>
                <w:rFonts w:hint="eastAsia" w:ascii="宋体" w:hAnsi="宋体"/>
                <w:szCs w:val="22"/>
              </w:rPr>
              <w:t>同传设备</w:t>
            </w:r>
          </w:p>
        </w:tc>
        <w:tc>
          <w:tcPr>
            <w:tcW w:w="4395" w:type="dxa"/>
            <w:vAlign w:val="center"/>
          </w:tcPr>
          <w:p>
            <w:pPr>
              <w:widowControl/>
              <w:jc w:val="left"/>
              <w:rPr>
                <w:rFonts w:ascii="宋体" w:hAnsi="宋体"/>
                <w:szCs w:val="22"/>
              </w:rPr>
            </w:pPr>
            <w:r>
              <w:rPr>
                <w:rFonts w:hint="eastAsia" w:ascii="宋体" w:hAnsi="宋体" w:cs="宋体"/>
                <w:szCs w:val="21"/>
              </w:rPr>
              <w:t>含</w:t>
            </w:r>
            <w:r>
              <w:rPr>
                <w:rFonts w:ascii="宋体" w:hAnsi="宋体" w:cs="宋体"/>
                <w:szCs w:val="21"/>
              </w:rPr>
              <w:t>同传</w:t>
            </w:r>
            <w:r>
              <w:rPr>
                <w:rFonts w:hint="eastAsia" w:ascii="宋体" w:hAnsi="宋体" w:cs="宋体"/>
                <w:szCs w:val="21"/>
              </w:rPr>
              <w:t>接收器等设备、每场论坛配备约</w:t>
            </w:r>
            <w:r>
              <w:rPr>
                <w:rFonts w:ascii="宋体" w:hAnsi="宋体" w:cs="宋体"/>
                <w:szCs w:val="21"/>
              </w:rPr>
              <w:t>300</w:t>
            </w:r>
            <w:r>
              <w:rPr>
                <w:rFonts w:hint="eastAsia" w:ascii="宋体" w:hAnsi="宋体" w:cs="宋体"/>
                <w:szCs w:val="21"/>
              </w:rPr>
              <w:t>套</w:t>
            </w:r>
            <w:r>
              <w:rPr>
                <w:rFonts w:ascii="宋体" w:hAnsi="宋体" w:cs="宋体"/>
                <w:szCs w:val="21"/>
              </w:rPr>
              <w:t>同传</w:t>
            </w:r>
            <w:r>
              <w:rPr>
                <w:rFonts w:hint="eastAsia" w:ascii="宋体" w:hAnsi="宋体" w:cs="宋体"/>
                <w:szCs w:val="21"/>
              </w:rPr>
              <w:t>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2</w:t>
            </w:r>
          </w:p>
        </w:tc>
        <w:tc>
          <w:tcPr>
            <w:tcW w:w="2551" w:type="dxa"/>
            <w:vAlign w:val="center"/>
          </w:tcPr>
          <w:p>
            <w:pPr>
              <w:spacing w:line="240" w:lineRule="atLeast"/>
              <w:jc w:val="center"/>
              <w:rPr>
                <w:rFonts w:ascii="宋体" w:hAnsi="宋体"/>
                <w:szCs w:val="22"/>
              </w:rPr>
            </w:pPr>
            <w:r>
              <w:rPr>
                <w:rFonts w:hint="eastAsia" w:ascii="宋体" w:hAnsi="宋体"/>
                <w:szCs w:val="22"/>
              </w:rPr>
              <w:t>同传间搭建</w:t>
            </w:r>
          </w:p>
        </w:tc>
        <w:tc>
          <w:tcPr>
            <w:tcW w:w="4395" w:type="dxa"/>
            <w:vAlign w:val="center"/>
          </w:tcPr>
          <w:p>
            <w:pPr>
              <w:widowControl/>
              <w:jc w:val="left"/>
              <w:rPr>
                <w:rFonts w:ascii="宋体" w:hAnsi="宋体" w:cs="宋体"/>
                <w:szCs w:val="21"/>
              </w:rPr>
            </w:pPr>
            <w:r>
              <w:rPr>
                <w:rFonts w:hint="eastAsia" w:ascii="宋体" w:hAnsi="宋体" w:cs="宋体"/>
                <w:szCs w:val="21"/>
              </w:rPr>
              <w:t>需在控台附近搭建同传间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Align w:val="center"/>
          </w:tcPr>
          <w:p>
            <w:pPr>
              <w:spacing w:line="240" w:lineRule="atLeast"/>
              <w:jc w:val="center"/>
              <w:rPr>
                <w:rFonts w:ascii="宋体" w:hAnsi="宋体"/>
                <w:szCs w:val="22"/>
              </w:rPr>
            </w:pPr>
            <w:r>
              <w:rPr>
                <w:rFonts w:hint="eastAsia" w:ascii="宋体" w:hAnsi="宋体"/>
                <w:szCs w:val="22"/>
              </w:rPr>
              <w:t>速记服务</w:t>
            </w: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3</w:t>
            </w:r>
          </w:p>
        </w:tc>
        <w:tc>
          <w:tcPr>
            <w:tcW w:w="2551" w:type="dxa"/>
            <w:vAlign w:val="center"/>
          </w:tcPr>
          <w:p>
            <w:pPr>
              <w:spacing w:line="240" w:lineRule="atLeast"/>
              <w:jc w:val="center"/>
              <w:rPr>
                <w:rFonts w:ascii="宋体" w:hAnsi="宋体"/>
                <w:szCs w:val="22"/>
              </w:rPr>
            </w:pPr>
            <w:r>
              <w:rPr>
                <w:rFonts w:hint="eastAsia" w:ascii="宋体" w:hAnsi="宋体"/>
                <w:szCs w:val="22"/>
              </w:rPr>
              <w:t>速记人员（含设备）</w:t>
            </w:r>
          </w:p>
        </w:tc>
        <w:tc>
          <w:tcPr>
            <w:tcW w:w="4395" w:type="dxa"/>
            <w:vAlign w:val="center"/>
          </w:tcPr>
          <w:p>
            <w:pPr>
              <w:widowControl/>
              <w:jc w:val="left"/>
              <w:rPr>
                <w:rFonts w:ascii="宋体" w:hAnsi="宋体"/>
                <w:szCs w:val="22"/>
              </w:rPr>
            </w:pPr>
            <w:r>
              <w:rPr>
                <w:rFonts w:hint="eastAsia" w:ascii="宋体" w:hAnsi="宋体"/>
                <w:szCs w:val="22"/>
              </w:rPr>
              <w:t>3天5场论坛，每场需1名速记人员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restart"/>
            <w:vAlign w:val="center"/>
          </w:tcPr>
          <w:p>
            <w:pPr>
              <w:spacing w:line="240" w:lineRule="atLeast"/>
              <w:jc w:val="center"/>
              <w:rPr>
                <w:rFonts w:ascii="宋体" w:hAnsi="宋体"/>
                <w:szCs w:val="22"/>
              </w:rPr>
            </w:pPr>
            <w:r>
              <w:rPr>
                <w:rFonts w:hint="eastAsia" w:ascii="宋体" w:hAnsi="宋体"/>
                <w:szCs w:val="22"/>
              </w:rPr>
              <w:t>摄影摄像及线上直播</w:t>
            </w: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4</w:t>
            </w:r>
          </w:p>
        </w:tc>
        <w:tc>
          <w:tcPr>
            <w:tcW w:w="2551" w:type="dxa"/>
            <w:vAlign w:val="center"/>
          </w:tcPr>
          <w:p>
            <w:pPr>
              <w:spacing w:line="240" w:lineRule="atLeast"/>
              <w:jc w:val="center"/>
              <w:rPr>
                <w:rFonts w:ascii="宋体" w:hAnsi="宋体"/>
                <w:szCs w:val="22"/>
              </w:rPr>
            </w:pPr>
            <w:r>
              <w:rPr>
                <w:rFonts w:hint="eastAsia" w:ascii="宋体" w:hAnsi="宋体" w:cs="宋体"/>
                <w:szCs w:val="21"/>
              </w:rPr>
              <w:t>图片拍摄</w:t>
            </w:r>
            <w:r>
              <w:rPr>
                <w:rFonts w:hint="eastAsia" w:ascii="宋体" w:hAnsi="宋体"/>
                <w:szCs w:val="22"/>
              </w:rPr>
              <w:t xml:space="preserve"> </w:t>
            </w:r>
          </w:p>
        </w:tc>
        <w:tc>
          <w:tcPr>
            <w:tcW w:w="4395" w:type="dxa"/>
            <w:vAlign w:val="center"/>
          </w:tcPr>
          <w:p>
            <w:pPr>
              <w:widowControl/>
              <w:jc w:val="left"/>
              <w:rPr>
                <w:rFonts w:ascii="宋体" w:hAnsi="宋体"/>
                <w:szCs w:val="22"/>
              </w:rPr>
            </w:pPr>
            <w:r>
              <w:rPr>
                <w:rFonts w:ascii="宋体" w:hAnsi="宋体" w:cs="宋体"/>
                <w:szCs w:val="21"/>
              </w:rPr>
              <w:t>3天5场论坛的图片记录</w:t>
            </w:r>
            <w:r>
              <w:rPr>
                <w:rFonts w:hint="eastAsia" w:ascii="宋体" w:hAnsi="宋体" w:cs="宋体"/>
                <w:szCs w:val="21"/>
              </w:rPr>
              <w:t>，</w:t>
            </w:r>
            <w:r>
              <w:rPr>
                <w:rFonts w:ascii="宋体" w:hAnsi="宋体" w:cs="宋体"/>
                <w:szCs w:val="21"/>
              </w:rPr>
              <w:t>每</w:t>
            </w:r>
            <w:r>
              <w:rPr>
                <w:rFonts w:hint="eastAsia" w:ascii="宋体" w:hAnsi="宋体" w:cs="宋体"/>
                <w:szCs w:val="21"/>
              </w:rPr>
              <w:t>场论坛</w:t>
            </w:r>
            <w:r>
              <w:rPr>
                <w:rFonts w:ascii="宋体" w:hAnsi="宋体" w:cs="宋体"/>
                <w:szCs w:val="21"/>
              </w:rPr>
              <w:t>2名摄影师</w:t>
            </w:r>
            <w:r>
              <w:rPr>
                <w:rFonts w:hint="eastAsia" w:ascii="宋体" w:hAnsi="宋体" w:cs="宋体"/>
                <w:szCs w:val="21"/>
              </w:rPr>
              <w:t>全程跟拍，图片实时上传至云相册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5</w:t>
            </w:r>
          </w:p>
        </w:tc>
        <w:tc>
          <w:tcPr>
            <w:tcW w:w="2551" w:type="dxa"/>
            <w:vAlign w:val="center"/>
          </w:tcPr>
          <w:p>
            <w:pPr>
              <w:spacing w:line="240" w:lineRule="atLeast"/>
              <w:jc w:val="center"/>
              <w:rPr>
                <w:rFonts w:ascii="宋体" w:hAnsi="宋体" w:cs="宋体"/>
                <w:szCs w:val="21"/>
              </w:rPr>
            </w:pPr>
            <w:r>
              <w:rPr>
                <w:rFonts w:hint="eastAsia" w:ascii="宋体" w:hAnsi="宋体" w:cs="宋体"/>
                <w:szCs w:val="21"/>
              </w:rPr>
              <w:t>视频摄像</w:t>
            </w:r>
          </w:p>
        </w:tc>
        <w:tc>
          <w:tcPr>
            <w:tcW w:w="4395" w:type="dxa"/>
            <w:vAlign w:val="center"/>
          </w:tcPr>
          <w:p>
            <w:pPr>
              <w:widowControl/>
              <w:jc w:val="left"/>
              <w:rPr>
                <w:rFonts w:ascii="宋体" w:hAnsi="宋体" w:cs="宋体"/>
                <w:szCs w:val="21"/>
              </w:rPr>
            </w:pPr>
            <w:r>
              <w:rPr>
                <w:rFonts w:ascii="宋体" w:hAnsi="宋体" w:cs="宋体"/>
                <w:szCs w:val="21"/>
              </w:rPr>
              <w:t>3天5场论坛</w:t>
            </w:r>
            <w:r>
              <w:rPr>
                <w:rFonts w:hint="eastAsia" w:ascii="宋体" w:hAnsi="宋体" w:cs="宋体"/>
                <w:szCs w:val="21"/>
              </w:rPr>
              <w:t>全程视频拍摄记录、至少3</w:t>
            </w:r>
            <w:r>
              <w:rPr>
                <w:rFonts w:ascii="宋体" w:hAnsi="宋体" w:cs="宋体"/>
                <w:szCs w:val="21"/>
              </w:rPr>
              <w:t>个</w:t>
            </w:r>
            <w:r>
              <w:rPr>
                <w:rFonts w:hint="eastAsia" w:ascii="宋体" w:hAnsi="宋体" w:cs="宋体"/>
                <w:szCs w:val="21"/>
              </w:rPr>
              <w:t>拍摄</w:t>
            </w:r>
            <w:r>
              <w:rPr>
                <w:rFonts w:ascii="宋体" w:hAnsi="宋体" w:cs="宋体"/>
                <w:szCs w:val="21"/>
              </w:rPr>
              <w:t>机位</w:t>
            </w:r>
            <w:r>
              <w:rPr>
                <w:rFonts w:hint="eastAsia" w:ascii="宋体" w:hAnsi="宋体" w:cs="宋体"/>
                <w:szCs w:val="21"/>
              </w:rPr>
              <w:t>，配备导播台及导播，保证演讲台、PPT、演讲嘉宾、观众席等不同场景及镜头之间切换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6</w:t>
            </w:r>
          </w:p>
        </w:tc>
        <w:tc>
          <w:tcPr>
            <w:tcW w:w="2551" w:type="dxa"/>
            <w:vAlign w:val="center"/>
          </w:tcPr>
          <w:p>
            <w:pPr>
              <w:spacing w:line="240" w:lineRule="atLeast"/>
              <w:jc w:val="center"/>
              <w:rPr>
                <w:rFonts w:ascii="宋体" w:hAnsi="宋体" w:cs="宋体"/>
                <w:szCs w:val="21"/>
              </w:rPr>
            </w:pPr>
            <w:r>
              <w:rPr>
                <w:rFonts w:hint="eastAsia" w:ascii="宋体" w:hAnsi="宋体" w:cs="宋体"/>
                <w:szCs w:val="21"/>
              </w:rPr>
              <w:t>线上直播</w:t>
            </w:r>
          </w:p>
        </w:tc>
        <w:tc>
          <w:tcPr>
            <w:tcW w:w="4395" w:type="dxa"/>
            <w:vAlign w:val="center"/>
          </w:tcPr>
          <w:p>
            <w:pPr>
              <w:widowControl/>
              <w:jc w:val="left"/>
              <w:rPr>
                <w:rFonts w:ascii="宋体" w:hAnsi="宋体" w:cs="宋体"/>
                <w:szCs w:val="21"/>
              </w:rPr>
            </w:pPr>
            <w:r>
              <w:rPr>
                <w:rFonts w:hint="eastAsia" w:ascii="宋体" w:hAnsi="宋体" w:cs="宋体"/>
                <w:bCs/>
                <w:szCs w:val="21"/>
              </w:rPr>
              <w:t>3天5场论坛实时直播，需提供一个可供网络实时直播的平台，并将直播链接通过高交会官网及微信视频号播放；需设计并制作直播页封面、片头、静止画面、字幕等直播元素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8" w:type="dxa"/>
            <w:vMerge w:val="continue"/>
            <w:vAlign w:val="center"/>
          </w:tcPr>
          <w:p>
            <w:pPr>
              <w:spacing w:line="240" w:lineRule="atLeast"/>
              <w:jc w:val="center"/>
              <w:rPr>
                <w:rFonts w:ascii="宋体" w:hAnsi="宋体"/>
                <w:szCs w:val="22"/>
              </w:rPr>
            </w:pPr>
          </w:p>
        </w:tc>
        <w:tc>
          <w:tcPr>
            <w:tcW w:w="992" w:type="dxa"/>
          </w:tcPr>
          <w:p>
            <w:pPr>
              <w:spacing w:line="240" w:lineRule="atLeast"/>
              <w:jc w:val="center"/>
              <w:rPr>
                <w:rFonts w:ascii="宋体" w:hAnsi="宋体"/>
                <w:szCs w:val="22"/>
              </w:rPr>
            </w:pPr>
            <w:r>
              <w:rPr>
                <w:rFonts w:hint="eastAsia" w:ascii="宋体" w:hAnsi="宋体"/>
                <w:szCs w:val="22"/>
              </w:rPr>
              <w:t>3</w:t>
            </w:r>
            <w:r>
              <w:rPr>
                <w:rFonts w:ascii="宋体" w:hAnsi="宋体"/>
                <w:szCs w:val="22"/>
              </w:rPr>
              <w:t>7</w:t>
            </w:r>
          </w:p>
        </w:tc>
        <w:tc>
          <w:tcPr>
            <w:tcW w:w="2551" w:type="dxa"/>
            <w:vAlign w:val="center"/>
          </w:tcPr>
          <w:p>
            <w:pPr>
              <w:spacing w:line="240" w:lineRule="atLeast"/>
              <w:jc w:val="center"/>
              <w:rPr>
                <w:rFonts w:ascii="宋体" w:hAnsi="宋体" w:cs="宋体"/>
                <w:szCs w:val="21"/>
              </w:rPr>
            </w:pPr>
            <w:r>
              <w:rPr>
                <w:rFonts w:hint="eastAsia" w:ascii="宋体" w:hAnsi="宋体" w:cs="宋体"/>
                <w:szCs w:val="21"/>
              </w:rPr>
              <w:t>快剪短片</w:t>
            </w:r>
          </w:p>
        </w:tc>
        <w:tc>
          <w:tcPr>
            <w:tcW w:w="4395" w:type="dxa"/>
            <w:vAlign w:val="center"/>
          </w:tcPr>
          <w:p>
            <w:pPr>
              <w:widowControl/>
              <w:jc w:val="left"/>
              <w:rPr>
                <w:rFonts w:ascii="宋体" w:hAnsi="宋体" w:cs="宋体"/>
                <w:szCs w:val="21"/>
              </w:rPr>
            </w:pPr>
            <w:r>
              <w:rPr>
                <w:rFonts w:hint="eastAsia" w:ascii="宋体" w:hAnsi="宋体" w:cs="宋体"/>
                <w:szCs w:val="21"/>
              </w:rPr>
              <w:t>根据拍摄素材剪辑一条1</w:t>
            </w:r>
            <w:r>
              <w:rPr>
                <w:rFonts w:ascii="宋体" w:hAnsi="宋体" w:cs="宋体"/>
                <w:szCs w:val="21"/>
              </w:rPr>
              <w:t>-2</w:t>
            </w:r>
            <w:r>
              <w:rPr>
                <w:rFonts w:hint="eastAsia" w:ascii="宋体" w:hAnsi="宋体" w:cs="宋体"/>
                <w:szCs w:val="21"/>
              </w:rPr>
              <w:t>分钟的活动短片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926" w:type="dxa"/>
            <w:gridSpan w:val="4"/>
            <w:vAlign w:val="center"/>
          </w:tcPr>
          <w:p>
            <w:pPr>
              <w:widowControl/>
              <w:jc w:val="left"/>
              <w:rPr>
                <w:rFonts w:ascii="宋体" w:hAnsi="宋体" w:cs="宋体"/>
                <w:szCs w:val="21"/>
              </w:rPr>
            </w:pPr>
            <w:r>
              <w:rPr>
                <w:rFonts w:hint="eastAsia" w:ascii="宋体" w:hAnsi="宋体" w:cs="宋体"/>
                <w:szCs w:val="21"/>
              </w:rPr>
              <w:t>说明：</w:t>
            </w:r>
          </w:p>
          <w:p>
            <w:pPr>
              <w:pStyle w:val="23"/>
              <w:widowControl/>
              <w:numPr>
                <w:ilvl w:val="0"/>
                <w:numId w:val="26"/>
              </w:numPr>
              <w:ind w:firstLineChars="0"/>
              <w:jc w:val="left"/>
              <w:rPr>
                <w:rFonts w:ascii="宋体" w:hAnsi="宋体" w:eastAsia="宋体" w:cs="宋体"/>
                <w:szCs w:val="21"/>
              </w:rPr>
            </w:pPr>
            <w:r>
              <w:rPr>
                <w:rFonts w:hint="eastAsia" w:ascii="宋体" w:hAnsi="宋体" w:eastAsia="宋体" w:cs="宋体"/>
                <w:szCs w:val="21"/>
              </w:rPr>
              <w:t>本项目搭建类需按照设备或物料单价进行报价，现场服务类需按照天数或场次（半天为一场）单价进行报价，结算时以实际为准。</w:t>
            </w:r>
          </w:p>
          <w:p>
            <w:pPr>
              <w:pStyle w:val="23"/>
              <w:widowControl/>
              <w:numPr>
                <w:ilvl w:val="0"/>
                <w:numId w:val="26"/>
              </w:numPr>
              <w:ind w:firstLineChars="0"/>
              <w:jc w:val="left"/>
              <w:rPr>
                <w:rFonts w:ascii="宋体" w:hAnsi="宋体" w:eastAsia="宋体" w:cs="宋体"/>
                <w:szCs w:val="21"/>
              </w:rPr>
            </w:pPr>
            <w:r>
              <w:rPr>
                <w:rFonts w:hint="eastAsia" w:ascii="宋体" w:hAnsi="宋体" w:eastAsia="宋体" w:cs="宋体"/>
                <w:szCs w:val="21"/>
              </w:rPr>
              <w:t>分项报价中需包含各项目内容所需的人工费用、设备调试费用、运输搬运费用、场地搭建、运行维护、撤场等完成本项目所需全部费用。</w:t>
            </w:r>
          </w:p>
          <w:p>
            <w:pPr>
              <w:pStyle w:val="23"/>
              <w:widowControl/>
              <w:numPr>
                <w:ilvl w:val="0"/>
                <w:numId w:val="26"/>
              </w:numPr>
              <w:ind w:firstLineChars="0"/>
              <w:jc w:val="left"/>
              <w:rPr>
                <w:rFonts w:ascii="宋体" w:hAnsi="宋体" w:eastAsia="宋体" w:cs="宋体"/>
                <w:szCs w:val="21"/>
              </w:rPr>
            </w:pPr>
            <w:r>
              <w:rPr>
                <w:rFonts w:hint="eastAsia" w:ascii="宋体" w:hAnsi="宋体" w:eastAsia="宋体" w:cs="宋体"/>
                <w:szCs w:val="21"/>
              </w:rPr>
              <w:t>投标人所提供实施方案不得低于项目服务清单要求。后续正式实施内容以投标人投标实施方案及双方最终确认为准。</w:t>
            </w:r>
          </w:p>
          <w:p>
            <w:pPr>
              <w:pStyle w:val="23"/>
              <w:widowControl/>
              <w:numPr>
                <w:ilvl w:val="0"/>
                <w:numId w:val="26"/>
              </w:numPr>
              <w:ind w:firstLineChars="0"/>
              <w:jc w:val="left"/>
              <w:rPr>
                <w:rFonts w:ascii="宋体" w:hAnsi="宋体" w:eastAsia="宋体" w:cs="宋体"/>
                <w:szCs w:val="21"/>
              </w:rPr>
            </w:pPr>
            <w:r>
              <w:rPr>
                <w:rFonts w:hint="eastAsia" w:ascii="宋体" w:hAnsi="宋体" w:eastAsia="宋体"/>
                <w:bCs/>
                <w:szCs w:val="21"/>
              </w:rPr>
              <w:t>本项目为预设方案。如因各种原因方案需调整，所涉及内容未在项目服务清单报价中的，需经过投标人与招标人商议后确定价格。若是项目服务清单报价中涉及的项目内容产生数量上的调整，则按项目服务清单报价中的单价执行；若是项目清单报价中涉及的项目内容产生技术规格或工艺上的调整，则需经过投标人与招标人商议后确定价格。项目最终结算金额为项目最终实施方案经双方确认后的实际实施费用，且该金额原则上不超本项目控制金额。</w:t>
            </w:r>
          </w:p>
          <w:p>
            <w:pPr>
              <w:pStyle w:val="23"/>
              <w:widowControl/>
              <w:numPr>
                <w:ilvl w:val="0"/>
                <w:numId w:val="26"/>
              </w:numPr>
              <w:tabs>
                <w:tab w:val="left" w:pos="531"/>
              </w:tabs>
              <w:snapToGrid w:val="0"/>
              <w:ind w:right="30" w:firstLineChars="0"/>
              <w:jc w:val="left"/>
              <w:rPr>
                <w:rFonts w:ascii="宋体" w:hAnsi="宋体" w:eastAsia="宋体"/>
                <w:szCs w:val="21"/>
              </w:rPr>
            </w:pPr>
            <w:r>
              <w:rPr>
                <w:rFonts w:hint="eastAsia" w:ascii="宋体" w:hAnsi="宋体" w:eastAsia="宋体" w:cs="宋体"/>
              </w:rPr>
              <w:t>本项目现场施工搭建及设备设施布置安装相关部分使用日期为会前彩排时段至本届高交会结束（即</w:t>
            </w:r>
            <w:r>
              <w:rPr>
                <w:rFonts w:ascii="宋体" w:hAnsi="宋体" w:eastAsia="宋体" w:cs="宋体"/>
              </w:rPr>
              <w:t>2023</w:t>
            </w:r>
            <w:r>
              <w:rPr>
                <w:rFonts w:hint="eastAsia" w:ascii="宋体" w:hAnsi="宋体" w:eastAsia="宋体" w:cs="宋体"/>
              </w:rPr>
              <w:t>年11月19日）；其他现场服务（包括但不限于同传、速记、摄影摄像等）使用日期为高交会中国高新技术论坛举办的三天（即</w:t>
            </w:r>
            <w:r>
              <w:rPr>
                <w:rFonts w:ascii="宋体" w:hAnsi="宋体" w:cs="宋体"/>
                <w:szCs w:val="21"/>
              </w:rPr>
              <w:t>2023</w:t>
            </w:r>
            <w:r>
              <w:rPr>
                <w:rFonts w:hint="eastAsia" w:ascii="宋体" w:hAnsi="宋体" w:cs="宋体"/>
                <w:szCs w:val="21"/>
              </w:rPr>
              <w:t>年</w:t>
            </w:r>
            <w:r>
              <w:rPr>
                <w:rFonts w:ascii="宋体" w:hAnsi="宋体" w:cs="宋体"/>
                <w:szCs w:val="21"/>
              </w:rPr>
              <w:t>11月15-17</w:t>
            </w:r>
            <w:r>
              <w:rPr>
                <w:rFonts w:hint="eastAsia" w:ascii="宋体" w:hAnsi="宋体" w:cs="宋体"/>
                <w:szCs w:val="21"/>
              </w:rPr>
              <w:t>日）。</w:t>
            </w:r>
          </w:p>
        </w:tc>
      </w:tr>
    </w:tbl>
    <w:p>
      <w:pPr>
        <w:pStyle w:val="12"/>
      </w:pPr>
    </w:p>
    <w:p>
      <w:pPr>
        <w:widowControl/>
        <w:jc w:val="left"/>
        <w:rPr>
          <w:rFonts w:ascii="方正小标宋_GBK" w:hAnsi="方正小标宋_GBK" w:eastAsia="方正小标宋_GBK"/>
          <w:b/>
          <w:sz w:val="32"/>
          <w:szCs w:val="32"/>
        </w:rPr>
      </w:pPr>
    </w:p>
    <w:p>
      <w:pPr>
        <w:widowControl/>
        <w:jc w:val="left"/>
        <w:rPr>
          <w:rFonts w:ascii="方正小标宋_GBK" w:hAnsi="方正小标宋_GBK" w:eastAsia="方正小标宋_GBK"/>
          <w:b/>
          <w:sz w:val="32"/>
          <w:szCs w:val="32"/>
        </w:rPr>
      </w:pPr>
      <w:r>
        <w:rPr>
          <w:rFonts w:ascii="方正小标宋_GBK" w:hAnsi="方正小标宋_GBK" w:eastAsia="方正小标宋_GBK"/>
          <w:b/>
          <w:sz w:val="32"/>
          <w:szCs w:val="32"/>
        </w:rPr>
        <w:br w:type="page"/>
      </w:r>
    </w:p>
    <w:p>
      <w:pPr>
        <w:widowControl/>
        <w:jc w:val="left"/>
        <w:rPr>
          <w:rFonts w:ascii="方正小标宋_GBK" w:hAnsi="方正小标宋_GBK" w:eastAsia="方正小标宋_GBK"/>
          <w:b/>
          <w:sz w:val="32"/>
          <w:szCs w:val="32"/>
        </w:rPr>
      </w:pPr>
      <w:r>
        <w:rPr>
          <w:rFonts w:hint="eastAsia" w:ascii="方正小标宋_GBK" w:hAnsi="方正小标宋_GBK" w:eastAsia="方正小标宋_GBK"/>
          <w:b/>
          <w:sz w:val="32"/>
          <w:szCs w:val="32"/>
        </w:rPr>
        <w:t>附件</w:t>
      </w:r>
      <w:r>
        <w:rPr>
          <w:rFonts w:ascii="方正小标宋_GBK" w:hAnsi="方正小标宋_GBK" w:eastAsia="方正小标宋_GBK"/>
          <w:b/>
          <w:sz w:val="32"/>
          <w:szCs w:val="32"/>
        </w:rPr>
        <w:t>2</w:t>
      </w:r>
      <w:r>
        <w:rPr>
          <w:rFonts w:hint="eastAsia" w:ascii="方正小标宋_GBK" w:hAnsi="方正小标宋_GBK" w:eastAsia="方正小标宋_GBK"/>
          <w:b/>
          <w:sz w:val="32"/>
          <w:szCs w:val="32"/>
        </w:rPr>
        <w:t>：会场平面图</w:t>
      </w:r>
    </w:p>
    <w:p>
      <w:pPr>
        <w:pStyle w:val="12"/>
        <w:jc w:val="center"/>
        <w:rPr>
          <w:sz w:val="32"/>
          <w:szCs w:val="40"/>
        </w:rPr>
      </w:pPr>
    </w:p>
    <w:p>
      <w:pPr>
        <w:pStyle w:val="12"/>
        <w:numPr>
          <w:ilvl w:val="0"/>
          <w:numId w:val="27"/>
        </w:numPr>
        <w:jc w:val="center"/>
        <w:rPr>
          <w:sz w:val="32"/>
          <w:szCs w:val="40"/>
        </w:rPr>
      </w:pPr>
      <w:r>
        <w:rPr>
          <w:rFonts w:hint="eastAsia"/>
          <w:sz w:val="32"/>
          <w:szCs w:val="40"/>
        </w:rPr>
        <w:t>论坛主会场（梅花厅）平面图</w:t>
      </w:r>
    </w:p>
    <w:p>
      <w:pPr>
        <w:pStyle w:val="12"/>
        <w:jc w:val="center"/>
        <w:rPr>
          <w:sz w:val="32"/>
          <w:szCs w:val="40"/>
        </w:rPr>
      </w:pPr>
      <w:r>
        <w:drawing>
          <wp:inline distT="0" distB="0" distL="0" distR="0">
            <wp:extent cx="5278120" cy="7086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8120" cy="7086600"/>
                    </a:xfrm>
                    <a:prstGeom prst="rect">
                      <a:avLst/>
                    </a:prstGeom>
                    <a:noFill/>
                    <a:ln>
                      <a:noFill/>
                    </a:ln>
                  </pic:spPr>
                </pic:pic>
              </a:graphicData>
            </a:graphic>
          </wp:inline>
        </w:drawing>
      </w:r>
    </w:p>
    <w:p>
      <w:pPr>
        <w:pStyle w:val="12"/>
        <w:ind w:left="720"/>
        <w:rPr>
          <w:sz w:val="32"/>
          <w:szCs w:val="40"/>
        </w:rPr>
      </w:pPr>
    </w:p>
    <w:p>
      <w:pPr>
        <w:pStyle w:val="12"/>
        <w:ind w:left="720"/>
        <w:rPr>
          <w:sz w:val="32"/>
          <w:szCs w:val="40"/>
        </w:rPr>
      </w:pPr>
    </w:p>
    <w:p>
      <w:pPr>
        <w:pStyle w:val="12"/>
        <w:numPr>
          <w:ilvl w:val="0"/>
          <w:numId w:val="27"/>
        </w:numPr>
        <w:jc w:val="center"/>
        <w:rPr>
          <w:sz w:val="32"/>
          <w:szCs w:val="40"/>
        </w:rPr>
      </w:pPr>
      <w:r>
        <w:rPr>
          <w:rFonts w:hint="eastAsia"/>
          <w:sz w:val="32"/>
          <w:szCs w:val="40"/>
        </w:rPr>
        <w:t>论坛茶歇区、签到区（茶花厅）平面图</w:t>
      </w:r>
    </w:p>
    <w:p>
      <w:pPr>
        <w:pStyle w:val="12"/>
        <w:widowControl/>
        <w:ind w:left="720"/>
        <w:rPr>
          <w:rFonts w:ascii="方正小标宋_GBK" w:hAnsi="方正小标宋_GBK" w:eastAsia="方正小标宋_GBK"/>
          <w:b/>
          <w:sz w:val="32"/>
          <w:szCs w:val="40"/>
        </w:rPr>
      </w:pPr>
      <w:r>
        <w:drawing>
          <wp:inline distT="0" distB="0" distL="0" distR="0">
            <wp:extent cx="5630545" cy="7559675"/>
            <wp:effectExtent l="0" t="0" r="825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31827" cy="7561500"/>
                    </a:xfrm>
                    <a:prstGeom prst="rect">
                      <a:avLst/>
                    </a:prstGeom>
                    <a:noFill/>
                    <a:ln>
                      <a:noFill/>
                    </a:ln>
                  </pic:spPr>
                </pic:pic>
              </a:graphicData>
            </a:graphic>
          </wp:inline>
        </w:drawing>
      </w:r>
    </w:p>
    <w:p>
      <w:pPr>
        <w:widowControl/>
        <w:jc w:val="left"/>
      </w:pPr>
      <w:r>
        <w:br w:type="page"/>
      </w:r>
      <w: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527685</wp:posOffset>
                </wp:positionV>
                <wp:extent cx="800100" cy="990600"/>
                <wp:effectExtent l="19050" t="19050" r="38100" b="38100"/>
                <wp:wrapNone/>
                <wp:docPr id="11" name="矩形 11"/>
                <wp:cNvGraphicFramePr/>
                <a:graphic xmlns:a="http://schemas.openxmlformats.org/drawingml/2006/main">
                  <a:graphicData uri="http://schemas.microsoft.com/office/word/2010/wordprocessingShape">
                    <wps:wsp>
                      <wps:cNvSpPr/>
                      <wps:spPr>
                        <a:xfrm>
                          <a:off x="0" y="0"/>
                          <a:ext cx="800100" cy="9906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41.55pt;height:78pt;width:63pt;z-index:251664384;v-text-anchor:middle;mso-width-relative:page;mso-height-relative:page;" filled="f" stroked="t" coordsize="21600,21600" o:gfxdata="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ALylDYAAAACQEAAA8AAAAAAAAA&#10;AQAgAAAAIgAAAGRycy9kb3ducmV2LnhtbFBLAQIUABQAAAAIAIdO4kBflRU7SgIAAH4EAAAOAAAA&#10;AAAAAAEAIAAAACcBAABkcnMvZTJvRG9jLnhtbFBLBQYAAAAABgAGAFkBAADjBQAAAAA=&#10;">
                <v:fill on="f" focussize="0,0"/>
                <v:stroke weight="4.5pt" color="#FF0000 [3204]" miterlimit="8"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661035</wp:posOffset>
                </wp:positionV>
                <wp:extent cx="533400" cy="209550"/>
                <wp:effectExtent l="19050" t="19050" r="38100" b="38100"/>
                <wp:wrapNone/>
                <wp:docPr id="1299545357" name="矩形 1299545357"/>
                <wp:cNvGraphicFramePr/>
                <a:graphic xmlns:a="http://schemas.openxmlformats.org/drawingml/2006/main">
                  <a:graphicData uri="http://schemas.microsoft.com/office/word/2010/wordprocessingShape">
                    <wps:wsp>
                      <wps:cNvSpPr/>
                      <wps:spPr>
                        <a:xfrm>
                          <a:off x="0" y="0"/>
                          <a:ext cx="533400" cy="20955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52.05pt;height:16.5pt;width:42pt;z-index:251666432;v-text-anchor:middle;mso-width-relative:page;mso-height-relative:page;" filled="f" stroked="t" coordsize="21600,21600" o:gfxdata="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tb19gA&#10;AAAKAQAADwAAAAAAAAABACAAAAAiAAAAZHJzL2Rvd25yZXYueG1sUEsBAhQAFAAAAAgAh07iQIDz&#10;rPNYAgAAjgQAAA4AAAAAAAAAAQAgAAAAJwEAAGRycy9lMm9Eb2MueG1sUEsFBgAAAAAGAAYAWQEA&#10;APEFAAAAAA==&#10;">
                <v:fill on="f" focussize="0,0"/>
                <v:stroke weight="4.5pt" color="#FF0000 [3204]" miterlimit="8"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1184910</wp:posOffset>
                </wp:positionV>
                <wp:extent cx="533400" cy="209550"/>
                <wp:effectExtent l="19050" t="19050" r="38100" b="38100"/>
                <wp:wrapNone/>
                <wp:docPr id="328623311" name="矩形 328623311"/>
                <wp:cNvGraphicFramePr/>
                <a:graphic xmlns:a="http://schemas.openxmlformats.org/drawingml/2006/main">
                  <a:graphicData uri="http://schemas.microsoft.com/office/word/2010/wordprocessingShape">
                    <wps:wsp>
                      <wps:cNvSpPr/>
                      <wps:spPr>
                        <a:xfrm>
                          <a:off x="0" y="0"/>
                          <a:ext cx="533400" cy="20955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93.3pt;height:16.5pt;width:42pt;z-index:251667456;v-text-anchor:middle;mso-width-relative:page;mso-height-relative:page;" filled="f" stroked="t" coordsize="21600,21600" o:gfxdata="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tEqLTYAAAA&#10;CgEAAA8AAAAAAAAAAQAgAAAAIgAAAGRycy9kb3ducmV2LnhtbFBLAQIUABQAAAAIAIdO4kCz2ZyU&#10;VgIAAIwEAAAOAAAAAAAAAAEAIAAAACcBAABkcnMvZTJvRG9jLnhtbFBLBQYAAAAABgAGAFkBAADv&#10;BQAAAAA=&#10;">
                <v:fill on="f" focussize="0,0"/>
                <v:stroke weight="4.5pt" color="#FF0000 [3204]" miterlimit="8" joinstyle="miter"/>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971550</wp:posOffset>
                </wp:positionH>
                <wp:positionV relativeFrom="paragraph">
                  <wp:posOffset>527685</wp:posOffset>
                </wp:positionV>
                <wp:extent cx="581025" cy="990600"/>
                <wp:effectExtent l="19050" t="19050" r="47625" b="38100"/>
                <wp:wrapNone/>
                <wp:docPr id="207242587" name="矩形 207242587"/>
                <wp:cNvGraphicFramePr/>
                <a:graphic xmlns:a="http://schemas.openxmlformats.org/drawingml/2006/main">
                  <a:graphicData uri="http://schemas.microsoft.com/office/word/2010/wordprocessingShape">
                    <wps:wsp>
                      <wps:cNvSpPr/>
                      <wps:spPr>
                        <a:xfrm>
                          <a:off x="0" y="0"/>
                          <a:ext cx="581025" cy="9906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5pt;margin-top:41.55pt;height:78pt;width:45.75pt;z-index:251665408;v-text-anchor:middle;mso-width-relative:page;mso-height-relative:page;" filled="f" stroked="t" coordsize="21600,21600" o:gfxdata="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DdE/2AAA&#10;AAoBAAAPAAAAAAAAAAEAIAAAACIAAABkcnMvZG93bnJldi54bWxQSwECFAAUAAAACACHTuJA0VgO&#10;KFcCAACMBAAADgAAAAAAAAABACAAAAAnAQAAZHJzL2Uyb0RvYy54bWxQSwUGAAAAAAYABgBZAQAA&#10;8AUAAAAA&#10;">
                <v:fill on="f" focussize="0,0"/>
                <v:stroke weight="4.5pt" color="#FF0000 [3204]" miterlimit="8" joinstyle="miter"/>
                <v:imagedata o:title=""/>
                <o:lock v:ext="edit" aspectratio="f"/>
              </v:rect>
            </w:pict>
          </mc:Fallback>
        </mc:AlternateContent>
      </w:r>
      <w:r>
        <w:drawing>
          <wp:anchor distT="0" distB="0" distL="114300" distR="114300" simplePos="0" relativeHeight="251663360" behindDoc="0" locked="0" layoutInCell="1" allowOverlap="1">
            <wp:simplePos x="0" y="0"/>
            <wp:positionH relativeFrom="column">
              <wp:posOffset>-1055370</wp:posOffset>
            </wp:positionH>
            <wp:positionV relativeFrom="paragraph">
              <wp:posOffset>89535</wp:posOffset>
            </wp:positionV>
            <wp:extent cx="7372350" cy="1859280"/>
            <wp:effectExtent l="0" t="0" r="0" b="762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372350" cy="1859280"/>
                    </a:xfrm>
                    <a:prstGeom prst="rect">
                      <a:avLst/>
                    </a:prstGeom>
                    <a:noFill/>
                    <a:ln>
                      <a:noFill/>
                    </a:ln>
                  </pic:spPr>
                </pic:pic>
              </a:graphicData>
            </a:graphic>
          </wp:anchor>
        </w:drawing>
      </w:r>
      <w:r>
        <w:br w:type="page"/>
      </w:r>
    </w:p>
    <w:p>
      <w:pPr>
        <w:pStyle w:val="12"/>
        <w:rPr>
          <w:rFonts w:ascii="宋体" w:eastAsia="宋体"/>
          <w:b/>
          <w:bCs/>
          <w:sz w:val="28"/>
          <w:szCs w:val="36"/>
        </w:rPr>
      </w:pPr>
      <w:r>
        <w:rPr>
          <w:rFonts w:hint="eastAsia" w:ascii="宋体" w:eastAsia="宋体"/>
          <w:b/>
          <w:bCs/>
          <w:sz w:val="28"/>
          <w:szCs w:val="36"/>
        </w:rPr>
        <w:t>附件</w:t>
      </w:r>
      <w:r>
        <w:rPr>
          <w:rFonts w:ascii="宋体" w:eastAsia="宋体"/>
          <w:b/>
          <w:bCs/>
          <w:sz w:val="28"/>
          <w:szCs w:val="36"/>
        </w:rPr>
        <w:t>3</w:t>
      </w:r>
      <w:r>
        <w:rPr>
          <w:rFonts w:hint="eastAsia" w:ascii="宋体" w:eastAsia="宋体"/>
          <w:b/>
          <w:bCs/>
          <w:sz w:val="28"/>
          <w:szCs w:val="36"/>
        </w:rPr>
        <w:t>：安全责任承诺书（参考）</w:t>
      </w:r>
    </w:p>
    <w:p>
      <w:pPr>
        <w:pStyle w:val="12"/>
        <w:rPr>
          <w:rFonts w:ascii="宋体" w:eastAsia="宋体"/>
        </w:rPr>
      </w:pPr>
    </w:p>
    <w:p>
      <w:pPr>
        <w:pStyle w:val="12"/>
        <w:spacing w:line="360" w:lineRule="auto"/>
        <w:jc w:val="center"/>
        <w:rPr>
          <w:rFonts w:ascii="宋体" w:eastAsia="宋体"/>
          <w:b/>
          <w:bCs/>
          <w:sz w:val="24"/>
          <w:szCs w:val="32"/>
        </w:rPr>
      </w:pPr>
      <w:r>
        <w:rPr>
          <w:rFonts w:hint="eastAsia" w:ascii="宋体" w:eastAsia="宋体"/>
          <w:b/>
          <w:bCs/>
          <w:sz w:val="24"/>
          <w:szCs w:val="32"/>
        </w:rPr>
        <w:t>深圳会展中心第二十五届高交会（消防、搭建结构）安全责任承诺书                         （适用：中国高新技术论坛合作单位）</w:t>
      </w:r>
    </w:p>
    <w:p>
      <w:pPr>
        <w:pStyle w:val="12"/>
        <w:spacing w:line="360" w:lineRule="auto"/>
        <w:ind w:firstLine="420" w:firstLineChars="200"/>
        <w:rPr>
          <w:rFonts w:ascii="宋体" w:eastAsia="宋体"/>
        </w:rPr>
      </w:pPr>
      <w:r>
        <w:rPr>
          <w:rFonts w:hint="eastAsia" w:ascii="宋体" w:eastAsia="宋体"/>
        </w:rPr>
        <w:t>为认真贯彻《中华人民共和国安全生产法》《中华人民共和国消防法》《大型群众性活动安全管理条例》和《机关、团体、企业、事业单位消防安全管理规定》等法律、法规，进一步落实深圳会展中心高交会安全责任，根据高交会中国高新技术论坛实际情况，确定中国高新技术论坛合作单位于高交会的消防和搭建结构安全责任如下：</w:t>
      </w:r>
    </w:p>
    <w:p>
      <w:pPr>
        <w:pStyle w:val="12"/>
        <w:spacing w:line="360" w:lineRule="auto"/>
        <w:ind w:firstLine="420" w:firstLineChars="200"/>
        <w:rPr>
          <w:rFonts w:ascii="宋体" w:eastAsia="宋体"/>
        </w:rPr>
      </w:pPr>
      <w:r>
        <w:rPr>
          <w:rFonts w:hint="eastAsia" w:ascii="宋体" w:eastAsia="宋体"/>
        </w:rPr>
        <w:t>根据中华人民共和国《消防法》第十三条、《公安部61号令》第十七条、公安部关于《群众性文化体育活动治安管理办法》第二条和深圳市公安局深公（治）字【2002】379号文件第三条第二款规定，确定高交会中国高新技术论坛合作单位法定代表人        （先生/小姐）自     年   月   日  时起至   年  月  日  时为第二十五届高交会中国高新技术论坛项目安全生产第一责任人，对第二十五届高交会中国高新技术论坛项目安全工作全面负责，项目期间发生的所有安全责任事故承担全部责任，论坛期间对发生的所有责任事故所产生的后果负责。</w:t>
      </w:r>
    </w:p>
    <w:p>
      <w:pPr>
        <w:pStyle w:val="12"/>
        <w:spacing w:line="360" w:lineRule="auto"/>
        <w:ind w:firstLine="420" w:firstLineChars="200"/>
        <w:rPr>
          <w:rFonts w:ascii="宋体" w:eastAsia="宋体"/>
        </w:rPr>
      </w:pPr>
      <w:r>
        <w:rPr>
          <w:rFonts w:hint="eastAsia" w:ascii="宋体" w:eastAsia="宋体"/>
        </w:rPr>
        <w:t>本合作单位一定认真履行展会安全管理职责，监督施工单位认真遵守国家及深圳市关于消防和安全生产的各项法律法规，确保施工单位不违反深圳会展中心管理有限责任公司关于消防安全和工程搭建安全的各项规章制度。</w:t>
      </w:r>
    </w:p>
    <w:p>
      <w:pPr>
        <w:pStyle w:val="12"/>
        <w:spacing w:line="360" w:lineRule="auto"/>
        <w:ind w:firstLine="420" w:firstLineChars="200"/>
        <w:rPr>
          <w:rFonts w:ascii="宋体" w:eastAsia="宋体"/>
        </w:rPr>
      </w:pPr>
      <w:r>
        <w:rPr>
          <w:rFonts w:hint="eastAsia" w:ascii="宋体" w:eastAsia="宋体"/>
        </w:rPr>
        <w:t>本合作单位一定逐级落实安全管理责任，确保进场施工前与施工单位签定《施工安全责任承诺书》，并抄送深圳会展中心管理有限责任公司一份。</w:t>
      </w:r>
    </w:p>
    <w:p>
      <w:pPr>
        <w:pStyle w:val="12"/>
        <w:spacing w:line="360" w:lineRule="auto"/>
        <w:ind w:firstLine="420" w:firstLineChars="200"/>
        <w:rPr>
          <w:rFonts w:ascii="宋体" w:eastAsia="宋体"/>
        </w:rPr>
      </w:pPr>
      <w:r>
        <w:rPr>
          <w:rFonts w:hint="eastAsia" w:ascii="宋体" w:eastAsia="宋体"/>
        </w:rPr>
        <w:t>本合作单位必将向施工单位告之深圳会展中心管理有限责任公司关于工程搭建的各项规定，并应在搭建前组织相关技术人员对所有工程图纸进行消防及结构安全审核。深圳会展中心管理有限责任公司有权依照相关工程搭建规定，对搭建不符合消防安全和结构安全的施工单位下达口头及书面整改通知，对拒不服从或未达到整改要求的施工单位将给予停工、停电直至清理出施工现场等措施。并对由此而产生的所有损失不承担任何责任。</w:t>
      </w:r>
    </w:p>
    <w:p>
      <w:pPr>
        <w:pStyle w:val="12"/>
        <w:spacing w:line="360" w:lineRule="auto"/>
        <w:ind w:firstLine="420" w:firstLineChars="200"/>
        <w:rPr>
          <w:rFonts w:ascii="宋体" w:eastAsia="宋体"/>
        </w:rPr>
      </w:pPr>
      <w:r>
        <w:rPr>
          <w:rFonts w:hint="eastAsia" w:ascii="宋体" w:eastAsia="宋体"/>
        </w:rPr>
        <w:t>本合作单位一定在论坛前施工期间和高交会持续期间设置专职安全管理人员，负责消防及工程搭建安全监督工作，定期组织消防和工程搭建安全检查，并负责消防和工程搭建安全宣传工作。</w:t>
      </w:r>
    </w:p>
    <w:p>
      <w:pPr>
        <w:pStyle w:val="12"/>
        <w:spacing w:line="360" w:lineRule="auto"/>
        <w:ind w:firstLine="420" w:firstLineChars="200"/>
        <w:rPr>
          <w:rFonts w:ascii="宋体" w:eastAsia="宋体"/>
        </w:rPr>
      </w:pPr>
      <w:r>
        <w:rPr>
          <w:rFonts w:hint="eastAsia" w:ascii="宋体" w:eastAsia="宋体"/>
        </w:rPr>
        <w:t>本合作单位一定配合深圳会展中心管理有限责任公司安排的工作人员，积极协助完成消防及施工安全监督检查工作，并对所发现问题提出的整改意见积极配合，督促施工单位完成整改工作。</w:t>
      </w:r>
    </w:p>
    <w:p>
      <w:pPr>
        <w:pStyle w:val="12"/>
        <w:spacing w:line="360" w:lineRule="auto"/>
        <w:ind w:firstLine="420" w:firstLineChars="200"/>
        <w:rPr>
          <w:rFonts w:ascii="宋体" w:eastAsia="宋体"/>
        </w:rPr>
      </w:pPr>
      <w:r>
        <w:rPr>
          <w:rFonts w:hint="eastAsia" w:ascii="宋体" w:eastAsia="宋体"/>
        </w:rPr>
        <w:t>本合作单位对涉及到本责任书中所引用的国家消防法律、法规和有关规章制度将认真学习，详细翻阅《中华人民共和国消防法》、公安部《机关、团体、企业、事业单位消防安全管理规定》、公安部《群众性文化体育活动治安管理办法》和深圳市公安局深公（治）【2002】379号文件规定。</w:t>
      </w:r>
    </w:p>
    <w:p>
      <w:pPr>
        <w:pStyle w:val="12"/>
        <w:spacing w:line="360" w:lineRule="auto"/>
        <w:rPr>
          <w:rFonts w:ascii="宋体" w:eastAsia="宋体"/>
        </w:rPr>
      </w:pPr>
    </w:p>
    <w:p>
      <w:pPr>
        <w:pStyle w:val="12"/>
        <w:spacing w:line="360" w:lineRule="auto"/>
        <w:rPr>
          <w:rFonts w:ascii="宋体" w:eastAsia="宋体"/>
        </w:rPr>
      </w:pPr>
    </w:p>
    <w:p>
      <w:pPr>
        <w:pStyle w:val="12"/>
        <w:spacing w:line="360" w:lineRule="auto"/>
        <w:rPr>
          <w:rFonts w:ascii="宋体" w:eastAsia="宋体"/>
        </w:rPr>
      </w:pPr>
      <w:r>
        <w:rPr>
          <w:rFonts w:hint="eastAsia" w:ascii="宋体" w:eastAsia="宋体"/>
        </w:rPr>
        <w:t>第二十五届高交会中国高新技术论坛合作单位：</w:t>
      </w:r>
    </w:p>
    <w:p>
      <w:pPr>
        <w:pStyle w:val="12"/>
        <w:spacing w:line="360" w:lineRule="auto"/>
        <w:rPr>
          <w:rFonts w:ascii="宋体" w:eastAsia="宋体"/>
        </w:rPr>
      </w:pPr>
      <w:r>
        <w:rPr>
          <w:rFonts w:hint="eastAsia" w:ascii="宋体" w:eastAsia="宋体"/>
        </w:rPr>
        <w:t>法定代表人（或委托代表人）：</w:t>
      </w:r>
    </w:p>
    <w:p>
      <w:pPr>
        <w:pStyle w:val="12"/>
        <w:spacing w:line="360" w:lineRule="auto"/>
        <w:rPr>
          <w:rFonts w:ascii="宋体" w:eastAsia="宋体"/>
        </w:rPr>
      </w:pPr>
      <w:r>
        <w:rPr>
          <w:rFonts w:hint="eastAsia" w:ascii="宋体" w:eastAsia="宋体"/>
        </w:rPr>
        <w:t>电  话：</w:t>
      </w:r>
    </w:p>
    <w:p>
      <w:pPr>
        <w:pStyle w:val="12"/>
        <w:spacing w:line="360" w:lineRule="auto"/>
        <w:rPr>
          <w:rFonts w:ascii="宋体" w:eastAsia="宋体"/>
        </w:rPr>
      </w:pPr>
      <w:r>
        <w:rPr>
          <w:rFonts w:hint="eastAsia" w:ascii="宋体" w:eastAsia="宋体"/>
        </w:rPr>
        <w:t>日  期：</w:t>
      </w:r>
    </w:p>
    <w:p>
      <w:pPr>
        <w:widowControl/>
        <w:spacing w:line="360" w:lineRule="auto"/>
        <w:jc w:val="left"/>
        <w:rPr>
          <w:rFonts w:ascii="方正小标宋_GBK" w:hAnsi="方正小标宋_GBK" w:eastAsia="方正小标宋_GBK"/>
          <w:b/>
          <w:sz w:val="32"/>
          <w:szCs w:val="32"/>
        </w:rPr>
      </w:pPr>
    </w:p>
    <w:p>
      <w:pPr>
        <w:widowControl/>
        <w:jc w:val="left"/>
        <w:rPr>
          <w:rFonts w:ascii="方正小标宋_GBK" w:hAnsi="方正小标宋_GBK" w:eastAsia="方正小标宋_GBK"/>
          <w:b/>
          <w:sz w:val="32"/>
          <w:szCs w:val="32"/>
        </w:rPr>
      </w:pPr>
      <w:r>
        <w:rPr>
          <w:rFonts w:ascii="方正小标宋_GBK" w:hAnsi="方正小标宋_GBK" w:eastAsia="方正小标宋_GBK"/>
          <w:b/>
          <w:sz w:val="32"/>
          <w:szCs w:val="32"/>
        </w:rPr>
        <w:br w:type="page"/>
      </w:r>
    </w:p>
    <w:p>
      <w:pPr>
        <w:widowControl/>
        <w:jc w:val="left"/>
        <w:rPr>
          <w:color w:val="FF0000"/>
          <w:highlight w:val="yellow"/>
        </w:rPr>
      </w:pP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2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16550352"/>
      <w:r>
        <w:rPr>
          <w:rFonts w:hint="eastAsia"/>
          <w:b/>
        </w:rPr>
        <w:t>评标阶段</w:t>
      </w:r>
      <w:bookmarkEnd w:id="49"/>
      <w:bookmarkEnd w:id="50"/>
    </w:p>
    <w:p>
      <w:pPr>
        <w:pStyle w:val="23"/>
        <w:numPr>
          <w:ilvl w:val="0"/>
          <w:numId w:val="2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30"/>
        </w:numPr>
        <w:spacing w:before="156" w:beforeLines="50"/>
        <w:jc w:val="left"/>
        <w:outlineLvl w:val="2"/>
        <w:rPr>
          <w:rStyle w:val="30"/>
          <w:rFonts w:ascii="宋体" w:hAnsi="宋体"/>
          <w:b/>
          <w:szCs w:val="21"/>
        </w:rPr>
      </w:pPr>
      <w:bookmarkStart w:id="53" w:name="_Toc116550355"/>
      <w:r>
        <w:rPr>
          <w:rStyle w:val="30"/>
          <w:rFonts w:hint="eastAsia" w:ascii="宋体" w:hAnsi="宋体"/>
          <w:b/>
          <w:bCs/>
          <w:szCs w:val="21"/>
        </w:rPr>
        <w:t>符合性检查</w:t>
      </w:r>
      <w:bookmarkEnd w:id="53"/>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rPr>
              <w:t>及法定代表人、被委托人身份证扫描件并加盖投标人公章；</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cs="仿宋"/>
                <w:szCs w:val="21"/>
              </w:rPr>
            </w:pPr>
            <w:r>
              <w:rPr>
                <w:rFonts w:hint="eastAsia" w:ascii="宋体" w:hAnsi="宋体" w:cs="仿宋"/>
                <w:szCs w:val="21"/>
              </w:rPr>
              <w:t>投标人是否提供以下证明文件：</w:t>
            </w:r>
          </w:p>
          <w:p>
            <w:pPr>
              <w:spacing w:line="360" w:lineRule="auto"/>
            </w:pPr>
            <w:r>
              <w:rPr>
                <w:rFonts w:hint="eastAsia"/>
              </w:rPr>
              <w:t>1</w:t>
            </w:r>
            <w:r>
              <w:t>.</w:t>
            </w: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t>www.creditchina.gov.cn</w:t>
            </w:r>
            <w:r>
              <w:rPr>
                <w:rFonts w:hint="eastAsia"/>
              </w:rPr>
              <w:t>“信用服务”栏查询“严重失信主体名单查询”、“经营异常名录信息查询”结果网页截图，并加盖投标人公章。被列入失信主体、经营异常的，将被拒绝参与本项目的采购活动。）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pPr>
            <w:r>
              <w:rPr>
                <w:rFonts w:hint="eastAsia"/>
              </w:rPr>
              <w:t>2</w:t>
            </w:r>
            <w:r>
              <w:t>.</w:t>
            </w: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rPr>
              <w:t>于</w:t>
            </w:r>
            <w:r>
              <w:rPr>
                <w:rFonts w:hint="eastAsia" w:ascii="宋体" w:hAnsi="宋体"/>
                <w:color w:val="auto"/>
                <w:szCs w:val="21"/>
              </w:rPr>
              <w:t>9</w:t>
            </w:r>
            <w:r>
              <w:rPr>
                <w:rFonts w:ascii="宋体" w:hAnsi="宋体"/>
                <w:color w:val="auto"/>
                <w:szCs w:val="21"/>
              </w:rPr>
              <w:t>4</w:t>
            </w:r>
            <w:r>
              <w:rPr>
                <w:rFonts w:ascii="宋体" w:hAnsi="宋体" w:cs="仿宋"/>
                <w:color w:val="auto"/>
                <w:szCs w:val="21"/>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30"/>
        </w:numPr>
        <w:spacing w:before="156" w:beforeLines="50"/>
        <w:jc w:val="left"/>
        <w:outlineLvl w:val="2"/>
        <w:rPr>
          <w:rStyle w:val="30"/>
          <w:rFonts w:ascii="宋体" w:hAnsi="宋体"/>
          <w:b/>
          <w:bCs/>
          <w:szCs w:val="21"/>
        </w:rPr>
      </w:pPr>
      <w:bookmarkStart w:id="54" w:name="_Toc116550356"/>
      <w:bookmarkStart w:id="55" w:name="_Toc114675512"/>
      <w:r>
        <w:rPr>
          <w:rStyle w:val="30"/>
          <w:rFonts w:hint="eastAsia" w:ascii="宋体" w:hAnsi="宋体"/>
          <w:b/>
          <w:bCs/>
          <w:szCs w:val="21"/>
        </w:rPr>
        <w:t>不可偏离项检查</w:t>
      </w:r>
      <w:bookmarkEnd w:id="54"/>
      <w:bookmarkEnd w:id="55"/>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30"/>
        </w:numPr>
        <w:spacing w:before="156" w:beforeLines="50"/>
        <w:jc w:val="left"/>
        <w:outlineLvl w:val="2"/>
        <w:rPr>
          <w:rFonts w:ascii="宋体" w:hAnsi="宋体"/>
          <w:b/>
          <w:bCs/>
          <w:szCs w:val="21"/>
        </w:rPr>
      </w:pPr>
      <w:bookmarkStart w:id="56" w:name="_Toc116550357"/>
      <w:bookmarkStart w:id="57" w:name="_Toc114675513"/>
      <w:r>
        <w:rPr>
          <w:rStyle w:val="30"/>
          <w:rFonts w:hint="eastAsia" w:ascii="宋体" w:hAnsi="宋体"/>
          <w:b/>
          <w:bCs/>
          <w:szCs w:val="21"/>
        </w:rPr>
        <w:t>综合评议指标表</w:t>
      </w:r>
      <w:bookmarkEnd w:id="56"/>
      <w:bookmarkEnd w:id="57"/>
    </w:p>
    <w:tbl>
      <w:tblPr>
        <w:tblStyle w:val="15"/>
        <w:tblpPr w:leftFromText="180" w:rightFromText="180" w:vertAnchor="text" w:horzAnchor="page" w:tblpX="1347" w:tblpY="1497"/>
        <w:tblOverlap w:val="never"/>
        <w:tblW w:w="935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351"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2</w:t>
            </w:r>
            <w:r>
              <w:rPr>
                <w:rFonts w:ascii="宋体" w:hAnsi="宋体"/>
                <w:szCs w:val="21"/>
              </w:rPr>
              <w:t>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3"/>
              <w:numPr>
                <w:ilvl w:val="0"/>
                <w:numId w:val="31"/>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履约评价及信誉情况</w:t>
            </w:r>
          </w:p>
        </w:tc>
        <w:tc>
          <w:tcPr>
            <w:tcW w:w="709" w:type="dxa"/>
            <w:tcMar>
              <w:top w:w="15" w:type="dxa"/>
              <w:left w:w="15" w:type="dxa"/>
              <w:bottom w:w="15" w:type="dxa"/>
              <w:right w:w="15" w:type="dxa"/>
            </w:tcMar>
            <w:vAlign w:val="center"/>
          </w:tcPr>
          <w:p>
            <w:pPr>
              <w:spacing w:line="360" w:lineRule="auto"/>
              <w:jc w:val="center"/>
            </w:pPr>
            <w:r>
              <w:rPr>
                <w:rFonts w:hint="eastAsia"/>
              </w:rPr>
              <w:t>5分</w:t>
            </w:r>
          </w:p>
        </w:tc>
        <w:tc>
          <w:tcPr>
            <w:tcW w:w="6804" w:type="dxa"/>
            <w:gridSpan w:val="2"/>
            <w:tcMar>
              <w:top w:w="15" w:type="dxa"/>
              <w:left w:w="15" w:type="dxa"/>
              <w:bottom w:w="15" w:type="dxa"/>
              <w:right w:w="15" w:type="dxa"/>
            </w:tcMar>
            <w:vAlign w:val="center"/>
          </w:tcPr>
          <w:p>
            <w:pPr>
              <w:pStyle w:val="12"/>
              <w:rPr>
                <w:rFonts w:ascii="宋体" w:eastAsia="宋体" w:cs="宋体"/>
              </w:rPr>
            </w:pPr>
            <w:r>
              <w:rPr>
                <w:rFonts w:hint="eastAsia" w:ascii="宋体" w:eastAsia="宋体" w:cs="宋体"/>
              </w:rPr>
              <w:t>根据投标人近五年（2</w:t>
            </w:r>
            <w:r>
              <w:rPr>
                <w:rFonts w:ascii="宋体" w:eastAsia="宋体" w:cs="宋体"/>
              </w:rPr>
              <w:t>018</w:t>
            </w:r>
            <w:r>
              <w:rPr>
                <w:rFonts w:hint="eastAsia" w:ascii="宋体" w:eastAsia="宋体" w:cs="宋体"/>
              </w:rPr>
              <w:t>年</w:t>
            </w:r>
            <w:r>
              <w:rPr>
                <w:rFonts w:ascii="宋体" w:eastAsia="宋体" w:cs="宋体"/>
              </w:rPr>
              <w:t>1</w:t>
            </w:r>
            <w:r>
              <w:rPr>
                <w:rFonts w:hint="eastAsia" w:ascii="宋体" w:eastAsia="宋体" w:cs="宋体"/>
              </w:rPr>
              <w:t>月1日到本项目招标公告发布之日止，以资料签发日期为准）承接会议活动项目，获得该项目主办方或业主方为其出具的履约评价书（评价为优或优秀或者满意的），或者获得会议活动主办方或上级主管单位授予的的感谢信、表扬信，或相关政府部门、行业协会授予证书、奖项等进行评议，每提交1份得1分，最高</w:t>
            </w:r>
            <w:r>
              <w:rPr>
                <w:rFonts w:ascii="宋体" w:eastAsia="宋体" w:cs="宋体"/>
              </w:rPr>
              <w:t>5</w:t>
            </w:r>
            <w:r>
              <w:rPr>
                <w:rFonts w:hint="eastAsia" w:ascii="宋体" w:eastAsia="宋体" w:cs="宋体"/>
              </w:rPr>
              <w:t>分。</w:t>
            </w:r>
          </w:p>
          <w:p>
            <w:pPr>
              <w:pStyle w:val="12"/>
              <w:rPr>
                <w:rFonts w:ascii="宋体" w:eastAsia="宋体" w:cs="宋体"/>
              </w:rPr>
            </w:pPr>
          </w:p>
          <w:p>
            <w:pPr>
              <w:pStyle w:val="12"/>
              <w:rPr>
                <w:rFonts w:ascii="宋体" w:eastAsia="宋体" w:cs="宋体"/>
              </w:rPr>
            </w:pPr>
            <w:r>
              <w:rPr>
                <w:rFonts w:hint="eastAsia" w:ascii="宋体" w:eastAsia="宋体" w:cs="宋体"/>
              </w:rPr>
              <w:t>说明：投标人须提供符合以上要求的履约评价或信誉情况的</w:t>
            </w:r>
            <w:r>
              <w:rPr>
                <w:rFonts w:hint="eastAsia" w:ascii="宋体" w:eastAsia="宋体" w:cs="宋体"/>
                <w:b/>
                <w:bCs/>
              </w:rPr>
              <w:t>汇总清单</w:t>
            </w:r>
            <w:r>
              <w:rPr>
                <w:rFonts w:hint="eastAsia" w:ascii="宋体" w:eastAsia="宋体" w:cs="宋体"/>
              </w:rPr>
              <w:t>及</w:t>
            </w:r>
            <w:r>
              <w:rPr>
                <w:rFonts w:hint="eastAsia" w:ascii="宋体" w:eastAsia="宋体" w:cs="宋体"/>
                <w:b/>
                <w:bCs/>
              </w:rPr>
              <w:t>证明文件复印件</w:t>
            </w:r>
            <w:r>
              <w:rPr>
                <w:rFonts w:hint="eastAsia" w:ascii="宋体" w:eastAsia="宋体" w:cs="宋体"/>
              </w:rPr>
              <w:t>（需加盖投标单位公章）。相关证明文件应体现项目名称、签发时间、签发主体名称及盖章等关键信息。同一项目且同一年份/届次的不同证明文件视作1份，不可重复计算得分。未提供证明资料、未按要求提供资料的或提供的相关证明文件因不清晰、不完整等原因无法判断的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3"/>
              <w:numPr>
                <w:ilvl w:val="0"/>
                <w:numId w:val="31"/>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同类业绩</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分</w:t>
            </w:r>
          </w:p>
        </w:tc>
        <w:tc>
          <w:tcPr>
            <w:tcW w:w="6804" w:type="dxa"/>
            <w:gridSpan w:val="2"/>
            <w:tcMar>
              <w:top w:w="15" w:type="dxa"/>
              <w:left w:w="15" w:type="dxa"/>
              <w:bottom w:w="15" w:type="dxa"/>
              <w:right w:w="15" w:type="dxa"/>
            </w:tcMar>
            <w:vAlign w:val="center"/>
          </w:tcPr>
          <w:p>
            <w:pPr>
              <w:tabs>
                <w:tab w:val="left" w:pos="531"/>
              </w:tabs>
              <w:snapToGrid w:val="0"/>
              <w:rPr>
                <w:rFonts w:ascii="宋体" w:hAnsi="宋体" w:cs="仿宋_GB2312"/>
                <w:szCs w:val="21"/>
              </w:rPr>
            </w:pPr>
            <w:r>
              <w:rPr>
                <w:rFonts w:hint="eastAsia" w:ascii="宋体" w:hAnsi="宋体"/>
                <w:szCs w:val="21"/>
              </w:rPr>
              <w:t>根据投标人提供的近五年（2</w:t>
            </w:r>
            <w:r>
              <w:rPr>
                <w:rFonts w:ascii="宋体" w:hAnsi="宋体"/>
                <w:szCs w:val="21"/>
              </w:rPr>
              <w:t>0</w:t>
            </w:r>
            <w:r>
              <w:rPr>
                <w:rFonts w:hint="eastAsia" w:ascii="宋体" w:hAnsi="宋体"/>
                <w:szCs w:val="21"/>
              </w:rPr>
              <w:t>18年1月1日至本项目招标公告发布之日止，以合同签订时间为准）承接过在深圳举办的会议活动项目，</w:t>
            </w:r>
            <w:r>
              <w:rPr>
                <w:rFonts w:hint="eastAsia" w:ascii="宋体" w:hAnsi="宋体" w:cs="仿宋_GB2312"/>
                <w:szCs w:val="21"/>
              </w:rPr>
              <w:t>且项目内容需包含活动会场设计搭建及现场服务的业绩合同进行评议：</w:t>
            </w:r>
          </w:p>
          <w:p>
            <w:pPr>
              <w:numPr>
                <w:ilvl w:val="0"/>
                <w:numId w:val="32"/>
              </w:numPr>
              <w:tabs>
                <w:tab w:val="left" w:pos="531"/>
              </w:tabs>
              <w:snapToGrid w:val="0"/>
              <w:rPr>
                <w:rFonts w:ascii="宋体" w:hAnsi="宋体"/>
                <w:szCs w:val="21"/>
              </w:rPr>
            </w:pPr>
            <w:r>
              <w:rPr>
                <w:rFonts w:hint="eastAsia" w:ascii="宋体" w:hAnsi="宋体"/>
                <w:szCs w:val="21"/>
              </w:rPr>
              <w:t>单个项目合同金额人民币100万元（含）以上的业绩合同，每提供一份得3分；</w:t>
            </w:r>
          </w:p>
          <w:p>
            <w:pPr>
              <w:numPr>
                <w:ilvl w:val="0"/>
                <w:numId w:val="32"/>
              </w:numPr>
              <w:tabs>
                <w:tab w:val="left" w:pos="531"/>
              </w:tabs>
              <w:snapToGrid w:val="0"/>
              <w:rPr>
                <w:rFonts w:ascii="宋体" w:hAnsi="宋体"/>
                <w:szCs w:val="21"/>
              </w:rPr>
            </w:pPr>
            <w:r>
              <w:rPr>
                <w:rFonts w:hint="eastAsia" w:ascii="宋体" w:hAnsi="宋体"/>
                <w:szCs w:val="21"/>
              </w:rPr>
              <w:t>单个项目合同金额人民币100万元以下，5</w:t>
            </w:r>
            <w:r>
              <w:rPr>
                <w:rFonts w:ascii="宋体" w:hAnsi="宋体"/>
                <w:szCs w:val="21"/>
              </w:rPr>
              <w:t>0</w:t>
            </w:r>
            <w:r>
              <w:rPr>
                <w:rFonts w:hint="eastAsia" w:ascii="宋体" w:hAnsi="宋体"/>
                <w:szCs w:val="21"/>
              </w:rPr>
              <w:t>万（含）以上的业绩合同，每提供一份得2分；</w:t>
            </w:r>
          </w:p>
          <w:p>
            <w:pPr>
              <w:numPr>
                <w:ilvl w:val="0"/>
                <w:numId w:val="32"/>
              </w:numPr>
              <w:tabs>
                <w:tab w:val="left" w:pos="531"/>
              </w:tabs>
              <w:snapToGrid w:val="0"/>
              <w:rPr>
                <w:rFonts w:ascii="宋体" w:hAnsi="宋体"/>
                <w:szCs w:val="21"/>
              </w:rPr>
            </w:pPr>
            <w:r>
              <w:rPr>
                <w:rFonts w:hint="eastAsia" w:ascii="宋体" w:hAnsi="宋体"/>
                <w:szCs w:val="21"/>
              </w:rPr>
              <w:t>单个项目合同金额人民币</w:t>
            </w:r>
            <w:r>
              <w:rPr>
                <w:rFonts w:ascii="宋体" w:hAnsi="宋体"/>
                <w:szCs w:val="21"/>
              </w:rPr>
              <w:t>50</w:t>
            </w:r>
            <w:r>
              <w:rPr>
                <w:rFonts w:hint="eastAsia" w:ascii="宋体" w:hAnsi="宋体"/>
                <w:szCs w:val="21"/>
              </w:rPr>
              <w:t>万以下的业绩合同，每提供一份得</w:t>
            </w:r>
            <w:r>
              <w:rPr>
                <w:rFonts w:ascii="宋体" w:hAnsi="宋体"/>
                <w:szCs w:val="21"/>
              </w:rPr>
              <w:t>1</w:t>
            </w:r>
            <w:r>
              <w:rPr>
                <w:rFonts w:hint="eastAsia" w:ascii="宋体" w:hAnsi="宋体"/>
                <w:szCs w:val="21"/>
              </w:rPr>
              <w:t>分；</w:t>
            </w:r>
          </w:p>
          <w:p>
            <w:pPr>
              <w:numPr>
                <w:ilvl w:val="0"/>
                <w:numId w:val="32"/>
              </w:numPr>
              <w:tabs>
                <w:tab w:val="left" w:pos="531"/>
              </w:tabs>
              <w:snapToGrid w:val="0"/>
              <w:rPr>
                <w:rFonts w:ascii="宋体" w:hAnsi="宋体"/>
                <w:szCs w:val="21"/>
              </w:rPr>
            </w:pPr>
            <w:r>
              <w:rPr>
                <w:rFonts w:hint="eastAsia" w:ascii="宋体" w:hAnsi="宋体"/>
                <w:szCs w:val="21"/>
              </w:rPr>
              <w:t>本项最高15分，合同业绩不重复计分，不满足以上评分要点的合同不得分。</w:t>
            </w:r>
          </w:p>
          <w:p>
            <w:pPr>
              <w:tabs>
                <w:tab w:val="left" w:pos="531"/>
              </w:tabs>
              <w:snapToGrid w:val="0"/>
              <w:rPr>
                <w:rFonts w:ascii="宋体" w:hAnsi="宋体"/>
                <w:szCs w:val="21"/>
              </w:rPr>
            </w:pPr>
          </w:p>
          <w:p>
            <w:pPr>
              <w:tabs>
                <w:tab w:val="left" w:pos="531"/>
              </w:tabs>
              <w:snapToGrid w:val="0"/>
              <w:rPr>
                <w:rFonts w:ascii="宋体" w:hAnsi="宋体"/>
                <w:szCs w:val="21"/>
              </w:rPr>
            </w:pPr>
            <w:r>
              <w:rPr>
                <w:rFonts w:hint="eastAsia" w:ascii="宋体" w:hAnsi="宋体"/>
                <w:szCs w:val="21"/>
              </w:rPr>
              <w:t>说明：投标人须提供能体现上述关键信息的合同复印件关键页及汇总项目清单并加盖投标人公章。（合同</w:t>
            </w:r>
            <w:r>
              <w:rPr>
                <w:rFonts w:hint="eastAsia" w:ascii="宋体" w:hAnsi="宋体" w:cs="仿宋_GB2312"/>
                <w:szCs w:val="21"/>
              </w:rPr>
              <w:t>关键页须体现项目名称、业主方名称、签订时间、履约地点、项目内容、合同金额、甲乙双方盖章等关键信息。</w:t>
            </w:r>
            <w:r>
              <w:rPr>
                <w:rFonts w:hint="eastAsia" w:ascii="宋体" w:hAnsi="宋体"/>
                <w:szCs w:val="21"/>
              </w:rPr>
              <w:t>）不清晰或不能证明上述要求的不得分。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647" w:type="dxa"/>
            <w:gridSpan w:val="4"/>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hint="eastAsia" w:ascii="宋体" w:hAnsi="宋体"/>
                <w:szCs w:val="21"/>
              </w:rPr>
              <w:t>4</w:t>
            </w:r>
            <w:r>
              <w:rPr>
                <w:rFonts w:ascii="宋体" w:hAnsi="宋体"/>
                <w:szCs w:val="21"/>
              </w:rPr>
              <w:t>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3"/>
              <w:numPr>
                <w:ilvl w:val="0"/>
                <w:numId w:val="3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项目理解及服务方案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18</w:t>
            </w:r>
            <w:r>
              <w:rPr>
                <w:rFonts w:hint="eastAsia" w:ascii="宋体" w:hAnsi="宋体"/>
                <w:szCs w:val="21"/>
              </w:rPr>
              <w:t>分</w:t>
            </w:r>
          </w:p>
        </w:tc>
        <w:tc>
          <w:tcPr>
            <w:tcW w:w="6804" w:type="dxa"/>
            <w:gridSpan w:val="2"/>
            <w:tcMar>
              <w:top w:w="15" w:type="dxa"/>
              <w:left w:w="15" w:type="dxa"/>
              <w:bottom w:w="15" w:type="dxa"/>
              <w:right w:w="15" w:type="dxa"/>
            </w:tcMar>
            <w:vAlign w:val="center"/>
          </w:tcPr>
          <w:p>
            <w:r>
              <w:rPr>
                <w:rFonts w:hint="eastAsia"/>
              </w:rPr>
              <w:t>根据投标人</w:t>
            </w:r>
            <w:r>
              <w:rPr>
                <w:rFonts w:hint="eastAsia" w:ascii="宋体" w:hAnsi="宋体"/>
                <w:bCs/>
                <w:szCs w:val="21"/>
              </w:rPr>
              <w:t>对项目要求的整体理解和服务整体规划</w:t>
            </w:r>
            <w:r>
              <w:rPr>
                <w:rFonts w:hint="eastAsia"/>
              </w:rPr>
              <w:t>进行综合评议：</w:t>
            </w:r>
          </w:p>
          <w:p>
            <w:pPr>
              <w:autoSpaceDE w:val="0"/>
              <w:autoSpaceDN w:val="0"/>
              <w:adjustRightInd w:val="0"/>
              <w:snapToGrid w:val="0"/>
              <w:spacing w:line="400" w:lineRule="exact"/>
              <w:jc w:val="left"/>
              <w:rPr>
                <w:rFonts w:ascii="宋体" w:hAnsi="宋体"/>
                <w:bCs/>
                <w:szCs w:val="21"/>
              </w:rPr>
            </w:pPr>
            <w:r>
              <w:rPr>
                <w:rFonts w:hint="eastAsia" w:ascii="宋体" w:hAnsi="宋体"/>
                <w:bCs/>
                <w:szCs w:val="21"/>
              </w:rPr>
              <w:t>（1）理解透彻、思路清晰，对整体项目进度的时间安排把控非常合理，能结合实际场地进行可行性规划，制定了详细规范的项目计划，为优得1</w:t>
            </w:r>
            <w:r>
              <w:rPr>
                <w:rFonts w:ascii="宋体" w:hAnsi="宋体"/>
                <w:bCs/>
                <w:szCs w:val="21"/>
              </w:rPr>
              <w:t>2-18</w:t>
            </w:r>
            <w:r>
              <w:rPr>
                <w:rFonts w:hint="eastAsia" w:ascii="宋体" w:hAnsi="宋体"/>
                <w:bCs/>
                <w:szCs w:val="21"/>
              </w:rPr>
              <w:t>分；</w:t>
            </w:r>
          </w:p>
          <w:p>
            <w:pPr>
              <w:autoSpaceDE w:val="0"/>
              <w:autoSpaceDN w:val="0"/>
              <w:adjustRightInd w:val="0"/>
              <w:snapToGrid w:val="0"/>
              <w:spacing w:line="400" w:lineRule="exact"/>
              <w:jc w:val="left"/>
              <w:rPr>
                <w:rFonts w:ascii="宋体" w:hAnsi="宋体"/>
                <w:bCs/>
                <w:szCs w:val="21"/>
              </w:rPr>
            </w:pPr>
            <w:r>
              <w:rPr>
                <w:rFonts w:hint="eastAsia" w:ascii="宋体" w:hAnsi="宋体"/>
                <w:bCs/>
                <w:szCs w:val="21"/>
              </w:rPr>
              <w:t>（2）理解较到位、总体思路较清晰，整体项目进度的时间安排把控基本合理，能结合实际场地，服务内容安排基本明确，制定了详细的项目计划，为良得</w:t>
            </w:r>
            <w:r>
              <w:rPr>
                <w:rFonts w:ascii="宋体" w:hAnsi="宋体"/>
                <w:bCs/>
                <w:szCs w:val="21"/>
              </w:rPr>
              <w:t>6-11</w:t>
            </w:r>
            <w:r>
              <w:rPr>
                <w:rFonts w:hint="eastAsia" w:ascii="宋体" w:hAnsi="宋体"/>
                <w:bCs/>
                <w:szCs w:val="21"/>
              </w:rPr>
              <w:t>分；</w:t>
            </w:r>
          </w:p>
          <w:p>
            <w:pPr>
              <w:autoSpaceDE w:val="0"/>
              <w:autoSpaceDN w:val="0"/>
              <w:adjustRightInd w:val="0"/>
              <w:snapToGrid w:val="0"/>
              <w:spacing w:line="400" w:lineRule="exact"/>
              <w:jc w:val="left"/>
              <w:rPr>
                <w:rFonts w:ascii="宋体" w:hAnsi="宋体"/>
                <w:bCs/>
                <w:szCs w:val="21"/>
              </w:rPr>
            </w:pPr>
            <w:r>
              <w:rPr>
                <w:rFonts w:hint="eastAsia" w:ascii="宋体" w:hAnsi="宋体"/>
                <w:bCs/>
                <w:szCs w:val="21"/>
              </w:rPr>
              <w:t>（3）整体方案内容及时间把控一般，较少结合实际场地，服务内容安排不明确，项目计划不太具体，得</w:t>
            </w:r>
            <w:r>
              <w:rPr>
                <w:rFonts w:ascii="宋体" w:hAnsi="宋体"/>
                <w:bCs/>
                <w:szCs w:val="21"/>
              </w:rPr>
              <w:t>1-5</w:t>
            </w:r>
            <w:r>
              <w:rPr>
                <w:rFonts w:hint="eastAsia" w:ascii="宋体" w:hAnsi="宋体"/>
                <w:bCs/>
                <w:szCs w:val="21"/>
              </w:rPr>
              <w:t>分；</w:t>
            </w:r>
          </w:p>
          <w:p>
            <w:pPr>
              <w:widowControl/>
              <w:spacing w:line="360" w:lineRule="auto"/>
              <w:ind w:right="30"/>
              <w:jc w:val="left"/>
              <w:rPr>
                <w:rFonts w:ascii="宋体" w:hAnsi="宋体" w:cs="宋体"/>
                <w:kern w:val="0"/>
                <w:szCs w:val="21"/>
              </w:rPr>
            </w:pPr>
            <w:r>
              <w:rPr>
                <w:rFonts w:hint="eastAsia" w:ascii="宋体" w:hAnsi="宋体"/>
                <w:bCs/>
                <w:szCs w:val="21"/>
              </w:rPr>
              <w:t>（4）理解出现严重偏差，时间计划、服务内容规划完全不满足，不得分。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3"/>
              <w:numPr>
                <w:ilvl w:val="0"/>
                <w:numId w:val="3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项目人员</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分</w:t>
            </w:r>
          </w:p>
        </w:tc>
        <w:tc>
          <w:tcPr>
            <w:tcW w:w="6804" w:type="dxa"/>
            <w:gridSpan w:val="2"/>
            <w:tcMar>
              <w:top w:w="15" w:type="dxa"/>
              <w:left w:w="15" w:type="dxa"/>
              <w:bottom w:w="15" w:type="dxa"/>
              <w:right w:w="15" w:type="dxa"/>
            </w:tcMar>
            <w:vAlign w:val="center"/>
          </w:tcPr>
          <w:p>
            <w:pPr>
              <w:jc w:val="left"/>
              <w:rPr>
                <w:rFonts w:ascii="宋体" w:hAnsi="宋体"/>
              </w:rPr>
            </w:pPr>
            <w:r>
              <w:rPr>
                <w:rFonts w:hint="eastAsia" w:ascii="宋体" w:hAnsi="宋体"/>
              </w:rPr>
              <w:t>根据为本项目配备的负责人及整体团队配备情况综合比较进行评分。</w:t>
            </w:r>
          </w:p>
          <w:p>
            <w:pPr>
              <w:pStyle w:val="23"/>
              <w:numPr>
                <w:ilvl w:val="0"/>
                <w:numId w:val="34"/>
              </w:numPr>
              <w:ind w:left="0" w:firstLine="0" w:firstLineChars="0"/>
              <w:jc w:val="left"/>
              <w:rPr>
                <w:rFonts w:ascii="宋体" w:hAnsi="宋体" w:eastAsia="宋体"/>
              </w:rPr>
            </w:pPr>
            <w:r>
              <w:rPr>
                <w:rFonts w:hint="eastAsia" w:ascii="宋体" w:hAnsi="宋体" w:eastAsia="宋体" w:cs="宋体"/>
                <w:szCs w:val="21"/>
              </w:rPr>
              <w:t>根据投标人为本项目指定的项目负责人的相关经验以及管理过的典型项目案例与本项目的匹配度等进行综合比较，优得</w:t>
            </w:r>
            <w:r>
              <w:rPr>
                <w:rFonts w:ascii="宋体" w:hAnsi="宋体" w:eastAsia="宋体" w:cs="宋体"/>
                <w:szCs w:val="21"/>
              </w:rPr>
              <w:t>5-6</w:t>
            </w:r>
            <w:r>
              <w:rPr>
                <w:rFonts w:hint="eastAsia" w:ascii="宋体" w:hAnsi="宋体" w:eastAsia="宋体" w:cs="宋体"/>
                <w:szCs w:val="21"/>
              </w:rPr>
              <w:t>分，良好得</w:t>
            </w:r>
            <w:r>
              <w:rPr>
                <w:rFonts w:ascii="宋体" w:hAnsi="宋体" w:eastAsia="宋体" w:cs="宋体"/>
                <w:szCs w:val="21"/>
              </w:rPr>
              <w:t>3-4</w:t>
            </w:r>
            <w:r>
              <w:rPr>
                <w:rFonts w:hint="eastAsia" w:ascii="宋体" w:hAnsi="宋体" w:eastAsia="宋体" w:cs="宋体"/>
                <w:szCs w:val="21"/>
              </w:rPr>
              <w:t>分，一般得</w:t>
            </w:r>
            <w:r>
              <w:rPr>
                <w:rFonts w:ascii="宋体" w:hAnsi="宋体" w:eastAsia="宋体" w:cs="宋体"/>
                <w:szCs w:val="21"/>
              </w:rPr>
              <w:t>1-2</w:t>
            </w:r>
            <w:r>
              <w:rPr>
                <w:rFonts w:hint="eastAsia" w:ascii="宋体" w:hAnsi="宋体" w:eastAsia="宋体" w:cs="宋体"/>
                <w:szCs w:val="21"/>
              </w:rPr>
              <w:t>分，</w:t>
            </w:r>
            <w:r>
              <w:rPr>
                <w:rFonts w:hint="eastAsia" w:ascii="宋体" w:eastAsia="宋体" w:cs="宋体"/>
                <w:kern w:val="0"/>
                <w:szCs w:val="21"/>
              </w:rPr>
              <w:t>差或缺失不得分</w:t>
            </w:r>
            <w:r>
              <w:rPr>
                <w:rFonts w:hint="eastAsia" w:ascii="宋体" w:hAnsi="宋体" w:eastAsia="宋体" w:cs="宋体"/>
                <w:szCs w:val="21"/>
              </w:rPr>
              <w:t>。</w:t>
            </w:r>
          </w:p>
          <w:p>
            <w:pPr>
              <w:pStyle w:val="23"/>
              <w:numPr>
                <w:ilvl w:val="0"/>
                <w:numId w:val="34"/>
              </w:numPr>
              <w:ind w:left="0" w:firstLine="0" w:firstLineChars="0"/>
              <w:jc w:val="left"/>
              <w:rPr>
                <w:rFonts w:ascii="宋体" w:hAnsi="宋体" w:eastAsia="宋体"/>
              </w:rPr>
            </w:pPr>
            <w:r>
              <w:rPr>
                <w:rFonts w:hint="eastAsia" w:ascii="宋体" w:hAnsi="宋体" w:eastAsia="宋体"/>
              </w:rPr>
              <w:t>根据投标人拟派的主要人员配备情况、岗位设置、责任分配的合理性进行综合比较，优得</w:t>
            </w:r>
            <w:r>
              <w:rPr>
                <w:rFonts w:ascii="宋体" w:hAnsi="宋体" w:eastAsia="宋体"/>
              </w:rPr>
              <w:t>5-6</w:t>
            </w:r>
            <w:r>
              <w:rPr>
                <w:rFonts w:hint="eastAsia" w:ascii="宋体" w:hAnsi="宋体" w:eastAsia="宋体"/>
              </w:rPr>
              <w:t>分，</w:t>
            </w:r>
            <w:r>
              <w:rPr>
                <w:rFonts w:hint="eastAsia" w:ascii="宋体" w:hAnsi="宋体" w:eastAsia="宋体" w:cs="宋体"/>
                <w:kern w:val="0"/>
                <w:szCs w:val="21"/>
              </w:rPr>
              <w:t>良好</w:t>
            </w:r>
            <w:r>
              <w:rPr>
                <w:rFonts w:hint="eastAsia" w:ascii="宋体" w:hAnsi="宋体" w:eastAsia="宋体"/>
              </w:rPr>
              <w:t>得</w:t>
            </w:r>
            <w:r>
              <w:rPr>
                <w:rFonts w:ascii="宋体" w:hAnsi="宋体" w:eastAsia="宋体"/>
              </w:rPr>
              <w:t>3-4</w:t>
            </w:r>
            <w:r>
              <w:rPr>
                <w:rFonts w:hint="eastAsia" w:ascii="宋体" w:hAnsi="宋体" w:eastAsia="宋体"/>
              </w:rPr>
              <w:t>分，一般得</w:t>
            </w:r>
            <w:r>
              <w:rPr>
                <w:rFonts w:ascii="宋体" w:hAnsi="宋体" w:eastAsia="宋体"/>
              </w:rPr>
              <w:t>1-2</w:t>
            </w:r>
            <w:r>
              <w:rPr>
                <w:rFonts w:hint="eastAsia" w:ascii="宋体" w:hAnsi="宋体" w:eastAsia="宋体"/>
              </w:rPr>
              <w:t>分，不符合项目要求或缺失不得分。</w:t>
            </w:r>
          </w:p>
          <w:p>
            <w:pPr>
              <w:jc w:val="left"/>
              <w:rPr>
                <w:rFonts w:ascii="宋体" w:hAnsi="宋体"/>
              </w:rPr>
            </w:pPr>
            <w:r>
              <w:rPr>
                <w:rFonts w:hint="eastAsia" w:ascii="宋体" w:hAnsi="宋体"/>
              </w:rPr>
              <w:t>说明：</w:t>
            </w:r>
          </w:p>
          <w:p>
            <w:pPr>
              <w:pStyle w:val="23"/>
              <w:numPr>
                <w:ilvl w:val="0"/>
                <w:numId w:val="35"/>
              </w:numPr>
              <w:ind w:left="0" w:firstLine="0" w:firstLineChars="0"/>
              <w:jc w:val="left"/>
              <w:rPr>
                <w:rFonts w:ascii="宋体" w:hAnsi="宋体" w:eastAsia="宋体"/>
              </w:rPr>
            </w:pPr>
            <w:r>
              <w:rPr>
                <w:rFonts w:hint="eastAsia" w:ascii="宋体" w:hAnsi="宋体" w:eastAsia="宋体" w:cs="宋体"/>
                <w:kern w:val="0"/>
                <w:szCs w:val="21"/>
              </w:rPr>
              <w:t>投标人需提供所指定的本项目负责人的相关资历经验的证明文件（包括但不仅限于姓名、职务、身份证、工作履历、由投标人所购买的近三个月社保清单证明或与投标人签署的有效劳务合同关键页复印件等）</w:t>
            </w:r>
            <w:r>
              <w:rPr>
                <w:rFonts w:hint="eastAsia" w:ascii="宋体" w:hAnsi="宋体" w:eastAsia="宋体" w:cs="宋体"/>
                <w:szCs w:val="21"/>
              </w:rPr>
              <w:t>并加盖投标人公章。</w:t>
            </w:r>
          </w:p>
          <w:p>
            <w:pPr>
              <w:pStyle w:val="23"/>
              <w:numPr>
                <w:ilvl w:val="0"/>
                <w:numId w:val="35"/>
              </w:numPr>
              <w:ind w:left="0" w:firstLine="0" w:firstLineChars="0"/>
              <w:jc w:val="left"/>
              <w:rPr>
                <w:rFonts w:ascii="宋体" w:hAnsi="宋体" w:eastAsia="宋体"/>
              </w:rPr>
            </w:pPr>
            <w:r>
              <w:rPr>
                <w:rFonts w:hint="eastAsia" w:ascii="宋体" w:hAnsi="宋体" w:eastAsia="宋体"/>
              </w:rPr>
              <w:t>投标人须根据本项目需求提供详细、可行的人员分配方案。核心团队成员提供名单及岗位配置。</w:t>
            </w:r>
          </w:p>
          <w:p>
            <w:pPr>
              <w:widowControl/>
              <w:spacing w:line="360" w:lineRule="auto"/>
              <w:ind w:right="30"/>
              <w:jc w:val="left"/>
              <w:rPr>
                <w:rFonts w:ascii="宋体" w:hAnsi="宋体" w:cs="宋体"/>
                <w:kern w:val="0"/>
                <w:szCs w:val="21"/>
              </w:rPr>
            </w:pPr>
            <w:r>
              <w:rPr>
                <w:rFonts w:hint="eastAsia" w:ascii="宋体" w:hAnsi="宋体" w:cs="宋体"/>
                <w:szCs w:val="21"/>
              </w:rPr>
              <w:t>未提供有效证明文件或证明文件不清晰无法辨识评审内容的不得分。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3"/>
              <w:numPr>
                <w:ilvl w:val="0"/>
                <w:numId w:val="3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应急预案及服务承诺</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0分</w:t>
            </w:r>
          </w:p>
        </w:tc>
        <w:tc>
          <w:tcPr>
            <w:tcW w:w="6804" w:type="dxa"/>
            <w:gridSpan w:val="2"/>
            <w:tcMar>
              <w:top w:w="15" w:type="dxa"/>
              <w:left w:w="15" w:type="dxa"/>
              <w:bottom w:w="15" w:type="dxa"/>
              <w:right w:w="15" w:type="dxa"/>
            </w:tcMar>
            <w:vAlign w:val="center"/>
          </w:tcPr>
          <w:p>
            <w:pPr>
              <w:widowControl/>
              <w:jc w:val="left"/>
              <w:rPr>
                <w:rFonts w:ascii="宋体" w:hAnsi="宋体" w:cs="宋体"/>
                <w:kern w:val="0"/>
                <w:szCs w:val="21"/>
              </w:rPr>
            </w:pPr>
            <w:r>
              <w:rPr>
                <w:rFonts w:hint="eastAsia" w:ascii="宋体" w:hAnsi="宋体"/>
              </w:rPr>
              <w:t>根据投标人提供的应急预案及服务承诺情况综合比较进行评分。</w:t>
            </w:r>
          </w:p>
          <w:p>
            <w:pPr>
              <w:pStyle w:val="23"/>
              <w:widowControl/>
              <w:numPr>
                <w:ilvl w:val="0"/>
                <w:numId w:val="36"/>
              </w:numPr>
              <w:ind w:left="0" w:firstLine="0" w:firstLineChars="0"/>
              <w:jc w:val="left"/>
              <w:rPr>
                <w:rFonts w:ascii="宋体" w:hAnsi="宋体" w:eastAsia="宋体" w:cs="宋体"/>
                <w:kern w:val="0"/>
                <w:szCs w:val="21"/>
              </w:rPr>
            </w:pPr>
            <w:r>
              <w:rPr>
                <w:rFonts w:hint="eastAsia" w:ascii="宋体" w:hAnsi="宋体" w:eastAsia="宋体" w:cs="宋体"/>
                <w:kern w:val="0"/>
                <w:szCs w:val="21"/>
              </w:rPr>
              <w:t>根据应急预案中突发事件应对措施、安全保卫措施等要点，以全面性、合理性、可行性为依据，优秀得4</w:t>
            </w:r>
            <w:r>
              <w:rPr>
                <w:rFonts w:ascii="宋体" w:hAnsi="宋体" w:eastAsia="宋体" w:cs="宋体"/>
                <w:kern w:val="0"/>
                <w:szCs w:val="21"/>
              </w:rPr>
              <w:t>-</w:t>
            </w:r>
            <w:r>
              <w:rPr>
                <w:rFonts w:hint="eastAsia" w:ascii="宋体" w:hAnsi="宋体" w:eastAsia="宋体" w:cs="宋体"/>
                <w:kern w:val="0"/>
                <w:szCs w:val="21"/>
              </w:rPr>
              <w:t>5分，良得2</w:t>
            </w:r>
            <w:r>
              <w:rPr>
                <w:rFonts w:ascii="宋体" w:hAnsi="宋体" w:eastAsia="宋体" w:cs="宋体"/>
                <w:kern w:val="0"/>
                <w:szCs w:val="21"/>
              </w:rPr>
              <w:t>-</w:t>
            </w:r>
            <w:r>
              <w:rPr>
                <w:rFonts w:hint="eastAsia" w:ascii="宋体" w:hAnsi="宋体" w:eastAsia="宋体" w:cs="宋体"/>
                <w:kern w:val="0"/>
                <w:szCs w:val="21"/>
              </w:rPr>
              <w:t>3分，一般得</w:t>
            </w:r>
            <w:r>
              <w:rPr>
                <w:rFonts w:ascii="宋体" w:hAnsi="宋体" w:eastAsia="宋体" w:cs="宋体"/>
                <w:kern w:val="0"/>
                <w:szCs w:val="21"/>
              </w:rPr>
              <w:t>1</w:t>
            </w:r>
            <w:r>
              <w:rPr>
                <w:rFonts w:hint="eastAsia" w:ascii="宋体" w:hAnsi="宋体" w:eastAsia="宋体" w:cs="宋体"/>
                <w:kern w:val="0"/>
                <w:szCs w:val="21"/>
              </w:rPr>
              <w:t>分，差或未提及不得分。</w:t>
            </w:r>
          </w:p>
          <w:p>
            <w:pPr>
              <w:pStyle w:val="23"/>
              <w:widowControl/>
              <w:numPr>
                <w:ilvl w:val="0"/>
                <w:numId w:val="36"/>
              </w:numPr>
              <w:ind w:left="0" w:firstLine="0" w:firstLineChars="0"/>
              <w:jc w:val="left"/>
              <w:rPr>
                <w:rFonts w:ascii="宋体" w:hAnsi="宋体" w:cs="宋体"/>
                <w:kern w:val="0"/>
                <w:szCs w:val="21"/>
              </w:rPr>
            </w:pPr>
            <w:r>
              <w:rPr>
                <w:rFonts w:hint="eastAsia" w:ascii="宋体" w:hAnsi="宋体" w:eastAsia="宋体" w:cs="宋体"/>
                <w:kern w:val="0"/>
                <w:szCs w:val="21"/>
              </w:rPr>
              <w:t>根据投标人承诺的服务进行综合评议，承诺的内容越全面，响应度越高，得分越高：优秀得</w:t>
            </w:r>
            <w:r>
              <w:rPr>
                <w:rFonts w:ascii="宋体" w:hAnsi="宋体" w:eastAsia="宋体" w:cs="宋体"/>
                <w:kern w:val="0"/>
                <w:szCs w:val="21"/>
              </w:rPr>
              <w:t>4-5</w:t>
            </w:r>
            <w:r>
              <w:rPr>
                <w:rFonts w:hint="eastAsia" w:ascii="宋体" w:hAnsi="宋体" w:eastAsia="宋体" w:cs="宋体"/>
                <w:kern w:val="0"/>
                <w:szCs w:val="21"/>
              </w:rPr>
              <w:t>分，良好得</w:t>
            </w:r>
            <w:r>
              <w:rPr>
                <w:rFonts w:ascii="宋体" w:hAnsi="宋体" w:eastAsia="宋体" w:cs="宋体"/>
                <w:kern w:val="0"/>
                <w:szCs w:val="21"/>
              </w:rPr>
              <w:t>2-3</w:t>
            </w:r>
            <w:r>
              <w:rPr>
                <w:rFonts w:hint="eastAsia" w:ascii="宋体" w:hAnsi="宋体" w:eastAsia="宋体" w:cs="宋体"/>
                <w:kern w:val="0"/>
                <w:szCs w:val="21"/>
              </w:rPr>
              <w:t>分，一般得</w:t>
            </w:r>
            <w:r>
              <w:rPr>
                <w:rFonts w:ascii="宋体" w:hAnsi="宋体" w:eastAsia="宋体" w:cs="宋体"/>
                <w:kern w:val="0"/>
                <w:szCs w:val="21"/>
              </w:rPr>
              <w:t>1</w:t>
            </w:r>
            <w:r>
              <w:rPr>
                <w:rFonts w:hint="eastAsia" w:ascii="宋体" w:hAnsi="宋体" w:eastAsia="宋体" w:cs="宋体"/>
                <w:kern w:val="0"/>
                <w:szCs w:val="21"/>
              </w:rPr>
              <w:t>分，差或未提及不得分。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351" w:type="dxa"/>
            <w:gridSpan w:val="5"/>
          </w:tcPr>
          <w:p>
            <w:pPr>
              <w:jc w:val="center"/>
              <w:rPr>
                <w:b/>
                <w:bCs/>
              </w:rPr>
            </w:pPr>
            <w:r>
              <w:rPr>
                <w:rFonts w:hint="eastAsia"/>
                <w:b/>
                <w:bCs/>
              </w:rPr>
              <w:t>价格评议项（4</w:t>
            </w:r>
            <w:r>
              <w:rPr>
                <w:b/>
                <w:bCs/>
              </w:rPr>
              <w:t>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w:t>
            </w:r>
            <w:r>
              <w:rPr>
                <w:rFonts w:ascii="宋体" w:hAnsi="宋体"/>
                <w:szCs w:val="21"/>
              </w:rPr>
              <w:t>n家时，去掉一个最高和最低报价后的算术平均值乘以</w:t>
            </w:r>
            <w:r>
              <w:rPr>
                <w:rFonts w:ascii="宋体" w:hAnsi="宋体"/>
                <w:szCs w:val="21"/>
                <w:u w:val="single"/>
              </w:rPr>
              <w:t xml:space="preserve">    </w:t>
            </w:r>
            <w:r>
              <w:rPr>
                <w:rFonts w:hint="eastAsia" w:ascii="宋体" w:hAnsi="宋体"/>
                <w:szCs w:val="21"/>
              </w:rPr>
              <w:t>％。当有效投标报价少于</w:t>
            </w:r>
            <w:r>
              <w:rPr>
                <w:rFonts w:ascii="宋体" w:hAnsi="宋体"/>
                <w:szCs w:val="21"/>
              </w:rPr>
              <w:t>n（含）家时，则以所有有效投标报价的算术平均值乘以</w:t>
            </w:r>
            <w:r>
              <w:rPr>
                <w:rFonts w:ascii="宋体" w:hAnsi="宋体"/>
                <w:szCs w:val="21"/>
                <w:u w:val="single"/>
              </w:rPr>
              <w:t xml:space="preserve">    </w:t>
            </w:r>
            <w:r>
              <w:rPr>
                <w:rFonts w:hint="eastAsia" w:ascii="宋体" w:hAnsi="宋体"/>
                <w:szCs w:val="21"/>
              </w:rPr>
              <w:t>％。</w:t>
            </w:r>
            <w:r>
              <w:rPr>
                <w:rFonts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t>□取所有有效投标报价算术平均值。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lang w:eastAsia="zh-CN"/>
              </w:rPr>
              <w:sym w:font="Wingdings 2" w:char="0052"/>
            </w:r>
            <w:r>
              <w:rPr>
                <w:rFonts w:ascii="宋体" w:hAnsi="宋体"/>
                <w:szCs w:val="21"/>
              </w:rPr>
              <w:t>以所有有效投标报价中的最低价为基准价。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w:t>
            </w:r>
            <w:r>
              <w:rPr>
                <w:rFonts w:ascii="宋体" w:hAnsi="宋体"/>
                <w:szCs w:val="21"/>
              </w:rPr>
              <w:t>=M-[（｜投标价格-基准价｜/基准价）*100/N]*</w:t>
            </w:r>
            <w:r>
              <w:rPr>
                <w:rFonts w:hint="eastAsia" w:ascii="宋体" w:hAnsi="宋体"/>
                <w:szCs w:val="21"/>
              </w:rPr>
              <w:t>扣分值</w:t>
            </w:r>
          </w:p>
          <w:p>
            <w:pPr>
              <w:autoSpaceDE w:val="0"/>
              <w:autoSpaceDN w:val="0"/>
              <w:adjustRightInd w:val="0"/>
              <w:snapToGrid w:val="0"/>
              <w:jc w:val="left"/>
              <w:rPr>
                <w:rFonts w:ascii="宋体" w:hAnsi="宋体"/>
                <w:szCs w:val="21"/>
              </w:rPr>
            </w:pPr>
            <w:r>
              <w:rPr>
                <w:rFonts w:ascii="宋体" w:hAnsi="宋体"/>
                <w:szCs w:val="21"/>
              </w:rPr>
              <w:t>M=</w:t>
            </w:r>
            <w:r>
              <w:rPr>
                <w:rFonts w:ascii="宋体" w:hAnsi="宋体"/>
                <w:szCs w:val="21"/>
                <w:u w:val="single"/>
              </w:rPr>
              <w:t xml:space="preserve">    </w:t>
            </w:r>
            <w:r>
              <w:rPr>
                <w:rFonts w:hint="eastAsia" w:ascii="宋体" w:hAnsi="宋体"/>
                <w:szCs w:val="21"/>
              </w:rPr>
              <w:t>（价格评价分项满分值），</w:t>
            </w:r>
            <w:r>
              <w:rPr>
                <w:rFonts w:ascii="宋体" w:hAnsi="宋体"/>
                <w:szCs w:val="21"/>
              </w:rPr>
              <w:t>N=</w:t>
            </w:r>
            <w:r>
              <w:rPr>
                <w:rFonts w:ascii="宋体" w:hAnsi="宋体"/>
                <w:szCs w:val="21"/>
                <w:u w:val="single"/>
              </w:rPr>
              <w:t xml:space="preserve">    </w:t>
            </w:r>
            <w:r>
              <w:rPr>
                <w:rFonts w:hint="eastAsia" w:ascii="宋体" w:hAnsi="宋体"/>
                <w:szCs w:val="21"/>
              </w:rPr>
              <w:t>，投标价格每高于</w:t>
            </w:r>
            <w:r>
              <w:rPr>
                <w:rFonts w:ascii="宋体" w:hAnsi="宋体"/>
                <w:szCs w:val="21"/>
              </w:rPr>
              <w:t>N％时，扣</w:t>
            </w:r>
            <w:r>
              <w:rPr>
                <w:rFonts w:ascii="宋体" w:hAnsi="宋体"/>
                <w:szCs w:val="21"/>
                <w:u w:val="single"/>
              </w:rPr>
              <w:t xml:space="preserve">    </w:t>
            </w:r>
            <w:r>
              <w:rPr>
                <w:rFonts w:hint="eastAsia" w:ascii="宋体" w:hAnsi="宋体"/>
                <w:szCs w:val="21"/>
              </w:rPr>
              <w:t>分；每低于</w:t>
            </w:r>
            <w:r>
              <w:rPr>
                <w:rFonts w:ascii="宋体" w:hAnsi="宋体"/>
                <w:szCs w:val="21"/>
              </w:rPr>
              <w:t>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cs="宋体"/>
                <w:kern w:val="0"/>
                <w:szCs w:val="21"/>
              </w:rPr>
            </w:pPr>
            <w:r>
              <w:rPr>
                <w:rFonts w:ascii="Segoe UI Symbol" w:hAnsi="Segoe UI Symbol" w:cs="Segoe UI Symbol"/>
                <w:szCs w:val="21"/>
              </w:rPr>
              <w:t>☑</w:t>
            </w:r>
            <w:r>
              <w:rPr>
                <w:rFonts w:hint="eastAsia" w:ascii="宋体" w:hAnsi="宋体"/>
                <w:szCs w:val="21"/>
              </w:rPr>
              <w:t>固定乘积法</w:t>
            </w:r>
          </w:p>
        </w:tc>
        <w:tc>
          <w:tcPr>
            <w:tcW w:w="5950" w:type="dxa"/>
            <w:vAlign w:val="center"/>
          </w:tcPr>
          <w:p>
            <w:pPr>
              <w:autoSpaceDE w:val="0"/>
              <w:autoSpaceDN w:val="0"/>
              <w:adjustRightInd w:val="0"/>
              <w:snapToGrid w:val="0"/>
              <w:jc w:val="left"/>
              <w:rPr>
                <w:rStyle w:val="20"/>
                <w:rFonts w:ascii="宋体" w:hAnsi="宋体"/>
              </w:rPr>
            </w:pPr>
            <w:r>
              <w:rPr>
                <w:rStyle w:val="20"/>
                <w:rFonts w:hint="eastAsia" w:ascii="宋体" w:hAnsi="宋体"/>
              </w:rPr>
              <w:t>价格得分</w:t>
            </w:r>
            <w:r>
              <w:rPr>
                <w:rStyle w:val="20"/>
                <w:rFonts w:ascii="宋体" w:hAnsi="宋体"/>
              </w:rPr>
              <w:t>=（1-A×｜1-投标报价/Z｜）×M</w:t>
            </w:r>
          </w:p>
          <w:p>
            <w:pPr>
              <w:numPr>
                <w:ilvl w:val="0"/>
                <w:numId w:val="37"/>
              </w:numPr>
              <w:autoSpaceDE w:val="0"/>
              <w:autoSpaceDN w:val="0"/>
              <w:adjustRightInd w:val="0"/>
              <w:snapToGrid w:val="0"/>
              <w:jc w:val="left"/>
              <w:rPr>
                <w:rStyle w:val="20"/>
                <w:rFonts w:ascii="宋体" w:hAnsi="宋体"/>
              </w:rPr>
            </w:pPr>
            <w:r>
              <w:rPr>
                <w:rStyle w:val="20"/>
                <w:rFonts w:ascii="宋体" w:hAnsi="宋体"/>
              </w:rPr>
              <w:t xml:space="preserve">M= </w:t>
            </w:r>
            <w:r>
              <w:rPr>
                <w:rStyle w:val="20"/>
                <w:rFonts w:hint="eastAsia" w:ascii="宋体" w:hAnsi="宋体"/>
              </w:rPr>
              <w:t>40</w:t>
            </w:r>
            <w:r>
              <w:rPr>
                <w:rStyle w:val="20"/>
                <w:rFonts w:ascii="宋体" w:hAnsi="宋体"/>
              </w:rPr>
              <w:t xml:space="preserve"> （价格评价分项满分值），Z为本次招标基准价；</w:t>
            </w:r>
          </w:p>
          <w:p>
            <w:pPr>
              <w:numPr>
                <w:ilvl w:val="0"/>
                <w:numId w:val="37"/>
              </w:numPr>
              <w:autoSpaceDE w:val="0"/>
              <w:autoSpaceDN w:val="0"/>
              <w:adjustRightInd w:val="0"/>
              <w:snapToGrid w:val="0"/>
              <w:jc w:val="left"/>
              <w:rPr>
                <w:rStyle w:val="20"/>
                <w:rFonts w:ascii="宋体" w:hAnsi="宋体"/>
              </w:rPr>
            </w:pPr>
            <w:r>
              <w:rPr>
                <w:rStyle w:val="20"/>
                <w:rFonts w:ascii="宋体" w:hAnsi="宋体"/>
              </w:rPr>
              <w:t>A为价格调整系数，当投标报价低于本次招标最佳报价（即基准价）时，A=0.5；当投标报价高于次招标基准价时，取A=1；</w:t>
            </w:r>
          </w:p>
          <w:p>
            <w:pPr>
              <w:numPr>
                <w:ilvl w:val="0"/>
                <w:numId w:val="37"/>
              </w:numPr>
              <w:jc w:val="left"/>
              <w:rPr>
                <w:rFonts w:ascii="宋体" w:cs="宋体"/>
                <w:kern w:val="0"/>
                <w:szCs w:val="21"/>
              </w:rPr>
            </w:pPr>
            <w:r>
              <w:rPr>
                <w:rStyle w:val="20"/>
                <w:rFonts w:hint="eastAsia" w:ascii="宋体" w:hAnsi="宋体"/>
              </w:rPr>
              <w:t>计算分数时四舍五入取小数点后两位，当价格分＜</w:t>
            </w:r>
            <w:r>
              <w:rPr>
                <w:rStyle w:val="20"/>
                <w:rFonts w:ascii="宋体" w:hAnsi="宋体"/>
              </w:rPr>
              <w:t>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t>□其他</w:t>
            </w:r>
            <w:r>
              <w:rPr>
                <w:rFonts w:ascii="宋体" w:hAnsi="宋体"/>
                <w:szCs w:val="21"/>
              </w:rPr>
              <w:t>方法</w:t>
            </w:r>
          </w:p>
        </w:tc>
        <w:tc>
          <w:tcPr>
            <w:tcW w:w="5950" w:type="dxa"/>
            <w:vAlign w:val="center"/>
          </w:tcPr>
          <w:p>
            <w:pPr>
              <w:spacing w:line="240" w:lineRule="atLeast"/>
              <w:jc w:val="center"/>
              <w:rPr>
                <w:rFonts w:ascii="宋体" w:cs="宋体"/>
                <w:kern w:val="0"/>
                <w:szCs w:val="21"/>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4"/>
        <w:numPr>
          <w:ilvl w:val="0"/>
          <w:numId w:val="4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4"/>
        <w:numPr>
          <w:ilvl w:val="0"/>
          <w:numId w:val="4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4"/>
        <w:numPr>
          <w:ilvl w:val="0"/>
          <w:numId w:val="4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4"/>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4"/>
        <w:numPr>
          <w:ilvl w:val="0"/>
          <w:numId w:val="4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4"/>
        <w:numPr>
          <w:ilvl w:val="0"/>
          <w:numId w:val="40"/>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4"/>
        <w:numPr>
          <w:ilvl w:val="0"/>
          <w:numId w:val="4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4"/>
        <w:numPr>
          <w:ilvl w:val="0"/>
          <w:numId w:val="4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4"/>
        <w:numPr>
          <w:ilvl w:val="0"/>
          <w:numId w:val="4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4"/>
        <w:numPr>
          <w:ilvl w:val="0"/>
          <w:numId w:val="4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4"/>
        <w:numPr>
          <w:ilvl w:val="0"/>
          <w:numId w:val="43"/>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4"/>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3"/>
        <w:numPr>
          <w:ilvl w:val="1"/>
          <w:numId w:val="44"/>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3"/>
        <w:numPr>
          <w:ilvl w:val="0"/>
          <w:numId w:val="45"/>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3"/>
        <w:numPr>
          <w:ilvl w:val="0"/>
          <w:numId w:val="45"/>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3"/>
        <w:numPr>
          <w:ilvl w:val="1"/>
          <w:numId w:val="4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3"/>
        <w:numPr>
          <w:ilvl w:val="0"/>
          <w:numId w:val="46"/>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3"/>
        <w:numPr>
          <w:ilvl w:val="0"/>
          <w:numId w:val="46"/>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3"/>
        <w:numPr>
          <w:ilvl w:val="0"/>
          <w:numId w:val="46"/>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4"/>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4"/>
        <w:numPr>
          <w:ilvl w:val="0"/>
          <w:numId w:val="47"/>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4"/>
        <w:numPr>
          <w:ilvl w:val="0"/>
          <w:numId w:val="48"/>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4"/>
        <w:numPr>
          <w:ilvl w:val="0"/>
          <w:numId w:val="4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4"/>
        <w:numPr>
          <w:ilvl w:val="0"/>
          <w:numId w:val="4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4"/>
        <w:numPr>
          <w:ilvl w:val="0"/>
          <w:numId w:val="48"/>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4"/>
        <w:numPr>
          <w:ilvl w:val="0"/>
          <w:numId w:val="5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4"/>
        <w:numPr>
          <w:ilvl w:val="0"/>
          <w:numId w:val="5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4"/>
        <w:numPr>
          <w:ilvl w:val="0"/>
          <w:numId w:val="5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4"/>
        <w:numPr>
          <w:ilvl w:val="0"/>
          <w:numId w:val="51"/>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4"/>
        <w:numPr>
          <w:ilvl w:val="0"/>
          <w:numId w:val="5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4"/>
        <w:numPr>
          <w:ilvl w:val="0"/>
          <w:numId w:val="52"/>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53"/>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53"/>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4"/>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4"/>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3"/>
        <w:numPr>
          <w:ilvl w:val="0"/>
          <w:numId w:val="5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3"/>
        <w:numPr>
          <w:ilvl w:val="0"/>
          <w:numId w:val="5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4"/>
        <w:numPr>
          <w:ilvl w:val="0"/>
          <w:numId w:val="3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5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5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56"/>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5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5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4"/>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4"/>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16550363"/>
      <w:r>
        <w:rPr>
          <w:rFonts w:hint="eastAsia" w:ascii="宋体" w:hAnsi="宋体"/>
          <w:szCs w:val="21"/>
        </w:rPr>
        <w:t>附件4：考察证明</w:t>
      </w:r>
      <w:bookmarkEnd w:id="67"/>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46480945"/>
      <w:bookmarkStart w:id="75" w:name="_Toc236803114"/>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236803111"/>
      <w:bookmarkStart w:id="80" w:name="_Toc478387764"/>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r>
        <w:rPr>
          <w:rFonts w:hint="eastAsia" w:ascii="宋体" w:hAnsi="宋体"/>
          <w:color w:val="FF0000"/>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5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5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5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5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3" w:name="_Toc82359026"/>
      <w:bookmarkStart w:id="8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增值税税率：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page" w:tblpX="887" w:tblpY="1207"/>
        <w:tblOverlap w:val="never"/>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34"/>
        <w:gridCol w:w="2126"/>
        <w:gridCol w:w="709"/>
        <w:gridCol w:w="708"/>
        <w:gridCol w:w="11"/>
        <w:gridCol w:w="1265"/>
        <w:gridCol w:w="113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93" w:type="dxa"/>
            <w:gridSpan w:val="10"/>
            <w:vAlign w:val="center"/>
          </w:tcPr>
          <w:p>
            <w:pPr>
              <w:jc w:val="center"/>
              <w:rPr>
                <w:rFonts w:ascii="宋体" w:hAnsi="宋体" w:cs="宋体"/>
                <w:b/>
                <w:bCs/>
                <w:kern w:val="0"/>
                <w:sz w:val="40"/>
                <w:szCs w:val="40"/>
                <w:lang w:bidi="ar"/>
              </w:rPr>
            </w:pPr>
            <w:r>
              <w:rPr>
                <w:rFonts w:hint="eastAsia" w:ascii="宋体" w:hAnsi="宋体" w:cs="宋体"/>
                <w:b/>
                <w:bCs/>
                <w:kern w:val="0"/>
                <w:sz w:val="40"/>
                <w:szCs w:val="40"/>
                <w:lang w:bidi="ar"/>
              </w:rPr>
              <w:t>项目分项报价表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4" w:type="dxa"/>
            <w:vAlign w:val="center"/>
          </w:tcPr>
          <w:p>
            <w:pPr>
              <w:jc w:val="center"/>
            </w:pPr>
            <w:r>
              <w:rPr>
                <w:rFonts w:hint="eastAsia"/>
              </w:rPr>
              <w:t>序号.</w:t>
            </w:r>
          </w:p>
        </w:tc>
        <w:tc>
          <w:tcPr>
            <w:tcW w:w="851" w:type="dxa"/>
            <w:vAlign w:val="center"/>
          </w:tcPr>
          <w:p>
            <w:pPr>
              <w:jc w:val="center"/>
            </w:pPr>
            <w:r>
              <w:rPr>
                <w:rFonts w:hint="eastAsia"/>
              </w:rPr>
              <w:t>类别</w:t>
            </w:r>
          </w:p>
        </w:tc>
        <w:tc>
          <w:tcPr>
            <w:tcW w:w="1134" w:type="dxa"/>
            <w:vAlign w:val="center"/>
          </w:tcPr>
          <w:p>
            <w:pPr>
              <w:jc w:val="center"/>
            </w:pPr>
            <w:r>
              <w:rPr>
                <w:rFonts w:hint="eastAsia"/>
              </w:rPr>
              <w:t>项目名称</w:t>
            </w:r>
          </w:p>
        </w:tc>
        <w:tc>
          <w:tcPr>
            <w:tcW w:w="2126" w:type="dxa"/>
            <w:vAlign w:val="center"/>
          </w:tcPr>
          <w:p>
            <w:pPr>
              <w:jc w:val="center"/>
            </w:pPr>
            <w:r>
              <w:rPr>
                <w:rFonts w:hint="eastAsia"/>
              </w:rPr>
              <w:t>内容说明</w:t>
            </w:r>
          </w:p>
          <w:p>
            <w:pPr>
              <w:jc w:val="center"/>
            </w:pPr>
            <w:r>
              <w:rPr>
                <w:rFonts w:hint="eastAsia"/>
              </w:rPr>
              <w:t>（材料规格工艺等）</w:t>
            </w:r>
          </w:p>
        </w:tc>
        <w:tc>
          <w:tcPr>
            <w:tcW w:w="709" w:type="dxa"/>
            <w:vAlign w:val="center"/>
          </w:tcPr>
          <w:p>
            <w:pPr>
              <w:jc w:val="center"/>
            </w:pPr>
            <w:r>
              <w:rPr>
                <w:rFonts w:hint="eastAsia"/>
              </w:rPr>
              <w:t>单位</w:t>
            </w:r>
          </w:p>
        </w:tc>
        <w:tc>
          <w:tcPr>
            <w:tcW w:w="708" w:type="dxa"/>
            <w:vAlign w:val="center"/>
          </w:tcPr>
          <w:p>
            <w:pPr>
              <w:jc w:val="center"/>
            </w:pPr>
            <w:r>
              <w:rPr>
                <w:rFonts w:hint="eastAsia"/>
              </w:rPr>
              <w:t>数量</w:t>
            </w:r>
          </w:p>
        </w:tc>
        <w:tc>
          <w:tcPr>
            <w:tcW w:w="1276" w:type="dxa"/>
            <w:gridSpan w:val="2"/>
            <w:vAlign w:val="center"/>
          </w:tcPr>
          <w:p>
            <w:pPr>
              <w:jc w:val="center"/>
            </w:pPr>
            <w:r>
              <w:rPr>
                <w:rFonts w:hint="eastAsia"/>
              </w:rPr>
              <w:t>含税单价（元）</w:t>
            </w:r>
          </w:p>
        </w:tc>
        <w:tc>
          <w:tcPr>
            <w:tcW w:w="1134" w:type="dxa"/>
            <w:vAlign w:val="center"/>
          </w:tcPr>
          <w:p>
            <w:pPr>
              <w:jc w:val="center"/>
            </w:pPr>
            <w:r>
              <w:rPr>
                <w:rFonts w:hint="eastAsia"/>
              </w:rPr>
              <w:t>含税金额（元）</w:t>
            </w:r>
          </w:p>
        </w:tc>
        <w:tc>
          <w:tcPr>
            <w:tcW w:w="115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签到区布置</w:t>
            </w:r>
          </w:p>
        </w:tc>
        <w:tc>
          <w:tcPr>
            <w:tcW w:w="1134" w:type="dxa"/>
            <w:vAlign w:val="center"/>
          </w:tcPr>
          <w:p>
            <w:pPr>
              <w:jc w:val="center"/>
            </w:pPr>
            <w:r>
              <w:rPr>
                <w:rFonts w:hint="eastAsia" w:ascii="宋体" w:hAnsi="宋体"/>
                <w:szCs w:val="22"/>
              </w:rPr>
              <w:t>签到服务台</w:t>
            </w:r>
          </w:p>
        </w:tc>
        <w:tc>
          <w:tcPr>
            <w:tcW w:w="2126" w:type="dxa"/>
            <w:vAlign w:val="center"/>
          </w:tcPr>
          <w:p>
            <w:pPr>
              <w:jc w:val="center"/>
            </w:pPr>
            <w:r>
              <w:rPr>
                <w:rFonts w:hint="eastAsia"/>
              </w:rPr>
              <w:t>……</w:t>
            </w:r>
          </w:p>
        </w:tc>
        <w:tc>
          <w:tcPr>
            <w:tcW w:w="709" w:type="dxa"/>
            <w:vAlign w:val="center"/>
          </w:tcPr>
          <w:p>
            <w:pPr>
              <w:jc w:val="center"/>
            </w:pPr>
            <w:r>
              <w:rPr>
                <w:rFonts w:hint="eastAsia"/>
              </w:rPr>
              <w:t>个</w:t>
            </w:r>
          </w:p>
        </w:tc>
        <w:tc>
          <w:tcPr>
            <w:tcW w:w="708" w:type="dxa"/>
            <w:vAlign w:val="center"/>
          </w:tcPr>
          <w:p>
            <w:pPr>
              <w:jc w:val="center"/>
            </w:pPr>
            <w:r>
              <w:rPr>
                <w:rFonts w:hint="eastAsia"/>
              </w:rPr>
              <w:t>……</w:t>
            </w:r>
          </w:p>
        </w:tc>
        <w:tc>
          <w:tcPr>
            <w:tcW w:w="1276" w:type="dxa"/>
            <w:gridSpan w:val="2"/>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r>
              <w:rPr>
                <w:rFonts w:hint="eastAsia" w:ascii="宋体" w:hAnsi="宋体"/>
                <w:szCs w:val="22"/>
              </w:rPr>
              <w:t>签到接待背景板</w:t>
            </w:r>
          </w:p>
        </w:tc>
        <w:tc>
          <w:tcPr>
            <w:tcW w:w="2126" w:type="dxa"/>
            <w:vAlign w:val="center"/>
          </w:tcPr>
          <w:p>
            <w:pPr>
              <w:jc w:val="center"/>
            </w:pPr>
            <w:r>
              <w:rPr>
                <w:rFonts w:hint="eastAsia"/>
              </w:rPr>
              <w:t>……</w:t>
            </w:r>
          </w:p>
        </w:tc>
        <w:tc>
          <w:tcPr>
            <w:tcW w:w="709" w:type="dxa"/>
            <w:vAlign w:val="center"/>
          </w:tcPr>
          <w:p>
            <w:pPr>
              <w:jc w:val="center"/>
            </w:pPr>
            <w:r>
              <w:rPr>
                <w:rFonts w:hint="eastAsia"/>
              </w:rPr>
              <w:t>平方米</w:t>
            </w:r>
          </w:p>
        </w:tc>
        <w:tc>
          <w:tcPr>
            <w:tcW w:w="708" w:type="dxa"/>
            <w:vAlign w:val="center"/>
          </w:tcPr>
          <w:p>
            <w:pPr>
              <w:jc w:val="center"/>
            </w:pPr>
            <w:r>
              <w:rPr>
                <w:rFonts w:hint="eastAsia"/>
              </w:rPr>
              <w:t>……</w:t>
            </w:r>
          </w:p>
        </w:tc>
        <w:tc>
          <w:tcPr>
            <w:tcW w:w="1276" w:type="dxa"/>
            <w:gridSpan w:val="2"/>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4" w:type="dxa"/>
            <w:vAlign w:val="center"/>
          </w:tcPr>
          <w:p>
            <w:pPr>
              <w:jc w:val="center"/>
              <w:rPr>
                <w:b/>
                <w:bCs/>
              </w:rPr>
            </w:pPr>
            <w:r>
              <w:rPr>
                <w:rFonts w:hint="eastAsia"/>
                <w:b/>
                <w:bCs/>
              </w:rPr>
              <w:t>3</w:t>
            </w:r>
          </w:p>
        </w:tc>
        <w:tc>
          <w:tcPr>
            <w:tcW w:w="851" w:type="dxa"/>
            <w:vMerge w:val="continue"/>
            <w:vAlign w:val="center"/>
          </w:tcPr>
          <w:p>
            <w:pPr>
              <w:jc w:val="center"/>
            </w:pP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08" w:type="dxa"/>
            <w:vAlign w:val="center"/>
          </w:tcPr>
          <w:p>
            <w:pPr>
              <w:jc w:val="center"/>
            </w:pPr>
            <w:r>
              <w:rPr>
                <w:rFonts w:hint="eastAsia"/>
              </w:rPr>
              <w:t>……</w:t>
            </w:r>
          </w:p>
        </w:tc>
        <w:tc>
          <w:tcPr>
            <w:tcW w:w="1276" w:type="dxa"/>
            <w:gridSpan w:val="2"/>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茶歇区布置</w:t>
            </w: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19" w:type="dxa"/>
            <w:gridSpan w:val="2"/>
            <w:vAlign w:val="center"/>
          </w:tcPr>
          <w:p>
            <w:pPr>
              <w:jc w:val="center"/>
            </w:pPr>
            <w:r>
              <w:rPr>
                <w:rFonts w:hint="eastAsia"/>
              </w:rPr>
              <w:t>……</w:t>
            </w:r>
          </w:p>
        </w:tc>
        <w:tc>
          <w:tcPr>
            <w:tcW w:w="1265" w:type="dxa"/>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19" w:type="dxa"/>
            <w:gridSpan w:val="2"/>
            <w:vAlign w:val="center"/>
          </w:tcPr>
          <w:p>
            <w:pPr>
              <w:jc w:val="center"/>
            </w:pPr>
            <w:r>
              <w:rPr>
                <w:rFonts w:hint="eastAsia"/>
              </w:rPr>
              <w:t>……</w:t>
            </w:r>
          </w:p>
        </w:tc>
        <w:tc>
          <w:tcPr>
            <w:tcW w:w="1265" w:type="dxa"/>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p>
          <w:p>
            <w:pPr>
              <w:jc w:val="center"/>
            </w:pPr>
            <w:r>
              <w:rPr>
                <w:rFonts w:hint="eastAsia" w:ascii="宋体" w:hAnsi="宋体"/>
                <w:szCs w:val="22"/>
              </w:rPr>
              <w:t>会场舞台舞美</w:t>
            </w:r>
          </w:p>
          <w:p>
            <w:pPr>
              <w:jc w:val="center"/>
            </w:pP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19" w:type="dxa"/>
            <w:gridSpan w:val="2"/>
            <w:vAlign w:val="center"/>
          </w:tcPr>
          <w:p>
            <w:pPr>
              <w:jc w:val="center"/>
            </w:pPr>
            <w:r>
              <w:rPr>
                <w:rFonts w:hint="eastAsia"/>
              </w:rPr>
              <w:t>……</w:t>
            </w:r>
          </w:p>
        </w:tc>
        <w:tc>
          <w:tcPr>
            <w:tcW w:w="1265" w:type="dxa"/>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19" w:type="dxa"/>
            <w:gridSpan w:val="2"/>
            <w:vAlign w:val="center"/>
          </w:tcPr>
          <w:p>
            <w:pPr>
              <w:jc w:val="center"/>
            </w:pPr>
            <w:r>
              <w:rPr>
                <w:rFonts w:hint="eastAsia"/>
              </w:rPr>
              <w:t>……</w:t>
            </w:r>
          </w:p>
        </w:tc>
        <w:tc>
          <w:tcPr>
            <w:tcW w:w="1265" w:type="dxa"/>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r>
              <w:rPr>
                <w:rFonts w:hint="eastAsia"/>
              </w:rPr>
              <w:t>……</w:t>
            </w:r>
          </w:p>
        </w:tc>
        <w:tc>
          <w:tcPr>
            <w:tcW w:w="2126" w:type="dxa"/>
            <w:vAlign w:val="center"/>
          </w:tcPr>
          <w:p>
            <w:pPr>
              <w:jc w:val="center"/>
            </w:pPr>
            <w:r>
              <w:rPr>
                <w:rFonts w:hint="eastAsia"/>
              </w:rPr>
              <w:t>……</w:t>
            </w:r>
          </w:p>
        </w:tc>
        <w:tc>
          <w:tcPr>
            <w:tcW w:w="709" w:type="dxa"/>
            <w:vAlign w:val="center"/>
          </w:tcPr>
          <w:p>
            <w:pPr>
              <w:jc w:val="center"/>
            </w:pPr>
            <w:r>
              <w:rPr>
                <w:rFonts w:hint="eastAsia"/>
              </w:rPr>
              <w:t>……</w:t>
            </w:r>
          </w:p>
        </w:tc>
        <w:tc>
          <w:tcPr>
            <w:tcW w:w="719" w:type="dxa"/>
            <w:gridSpan w:val="2"/>
            <w:vAlign w:val="center"/>
          </w:tcPr>
          <w:p>
            <w:pPr>
              <w:jc w:val="center"/>
            </w:pPr>
            <w:r>
              <w:rPr>
                <w:rFonts w:hint="eastAsia"/>
              </w:rPr>
              <w:t>……</w:t>
            </w:r>
          </w:p>
        </w:tc>
        <w:tc>
          <w:tcPr>
            <w:tcW w:w="1265" w:type="dxa"/>
            <w:vAlign w:val="center"/>
          </w:tcPr>
          <w:p>
            <w:pPr>
              <w:jc w:val="center"/>
            </w:pPr>
            <w:r>
              <w:rPr>
                <w:rFonts w:hint="eastAsia"/>
              </w:rPr>
              <w:t>……</w:t>
            </w:r>
          </w:p>
        </w:tc>
        <w:tc>
          <w:tcPr>
            <w:tcW w:w="1134" w:type="dxa"/>
            <w:vAlign w:val="center"/>
          </w:tcPr>
          <w:p>
            <w:pPr>
              <w:jc w:val="center"/>
            </w:pPr>
            <w:r>
              <w:rPr>
                <w:rFonts w:hint="eastAsia"/>
              </w:rPr>
              <w:t>……</w:t>
            </w:r>
          </w:p>
        </w:tc>
        <w:tc>
          <w:tcPr>
            <w:tcW w:w="115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会场LED设备</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会场灯光设备</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rPr>
              <w:t>会场音响设备</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会场基础物料</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同声传译服务</w:t>
            </w:r>
          </w:p>
        </w:tc>
        <w:tc>
          <w:tcPr>
            <w:tcW w:w="1134" w:type="dxa"/>
            <w:vAlign w:val="center"/>
          </w:tcPr>
          <w:p>
            <w:pPr>
              <w:jc w:val="center"/>
            </w:pPr>
            <w:r>
              <w:rPr>
                <w:rFonts w:hint="eastAsia"/>
              </w:rPr>
              <w:t>同传译员</w:t>
            </w:r>
          </w:p>
        </w:tc>
        <w:tc>
          <w:tcPr>
            <w:tcW w:w="2126" w:type="dxa"/>
            <w:vAlign w:val="center"/>
          </w:tcPr>
          <w:p>
            <w:pPr>
              <w:jc w:val="center"/>
            </w:pPr>
          </w:p>
        </w:tc>
        <w:tc>
          <w:tcPr>
            <w:tcW w:w="709" w:type="dxa"/>
            <w:vAlign w:val="center"/>
          </w:tcPr>
          <w:p>
            <w:pPr>
              <w:jc w:val="center"/>
            </w:pPr>
            <w:r>
              <w:rPr>
                <w:rFonts w:hint="eastAsia"/>
              </w:rPr>
              <w:t>天/场</w:t>
            </w: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rPr>
              <w:t>速记服务</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1</w:t>
            </w:r>
          </w:p>
        </w:tc>
        <w:tc>
          <w:tcPr>
            <w:tcW w:w="851" w:type="dxa"/>
            <w:vMerge w:val="restart"/>
            <w:vAlign w:val="center"/>
          </w:tcPr>
          <w:p>
            <w:pPr>
              <w:jc w:val="center"/>
            </w:pPr>
            <w:r>
              <w:rPr>
                <w:rFonts w:hint="eastAsia" w:ascii="宋体" w:hAnsi="宋体"/>
                <w:szCs w:val="22"/>
              </w:rPr>
              <w:t>摄影摄像及线上直播</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2</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rPr>
                <w:b/>
                <w:bCs/>
              </w:rPr>
            </w:pPr>
            <w:r>
              <w:rPr>
                <w:rFonts w:hint="eastAsia"/>
                <w:b/>
                <w:bCs/>
              </w:rPr>
              <w:t>……</w:t>
            </w:r>
          </w:p>
        </w:tc>
        <w:tc>
          <w:tcPr>
            <w:tcW w:w="851" w:type="dxa"/>
            <w:vMerge w:val="continue"/>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pPr>
          </w:p>
        </w:tc>
        <w:tc>
          <w:tcPr>
            <w:tcW w:w="851" w:type="dxa"/>
            <w:vAlign w:val="center"/>
          </w:tcPr>
          <w:p>
            <w:pPr>
              <w:rPr>
                <w:b/>
                <w:bCs/>
              </w:rPr>
            </w:pPr>
            <w:r>
              <w:rPr>
                <w:rFonts w:hint="eastAsia"/>
              </w:rPr>
              <w:t>其他（如有）</w:t>
            </w: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tc>
        <w:tc>
          <w:tcPr>
            <w:tcW w:w="851" w:type="dxa"/>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4" w:type="dxa"/>
            <w:vAlign w:val="center"/>
          </w:tcPr>
          <w:p>
            <w:pPr>
              <w:jc w:val="center"/>
            </w:pPr>
          </w:p>
        </w:tc>
        <w:tc>
          <w:tcPr>
            <w:tcW w:w="851" w:type="dxa"/>
            <w:vAlign w:val="center"/>
          </w:tcPr>
          <w:p>
            <w:pPr>
              <w:jc w:val="center"/>
            </w:pPr>
          </w:p>
        </w:tc>
        <w:tc>
          <w:tcPr>
            <w:tcW w:w="1134" w:type="dxa"/>
            <w:vAlign w:val="center"/>
          </w:tcPr>
          <w:p>
            <w:pPr>
              <w:jc w:val="center"/>
            </w:pPr>
          </w:p>
        </w:tc>
        <w:tc>
          <w:tcPr>
            <w:tcW w:w="2126" w:type="dxa"/>
            <w:vAlign w:val="center"/>
          </w:tcPr>
          <w:p>
            <w:pPr>
              <w:jc w:val="center"/>
            </w:pPr>
          </w:p>
        </w:tc>
        <w:tc>
          <w:tcPr>
            <w:tcW w:w="709" w:type="dxa"/>
            <w:vAlign w:val="center"/>
          </w:tcPr>
          <w:p>
            <w:pPr>
              <w:jc w:val="center"/>
            </w:pPr>
          </w:p>
        </w:tc>
        <w:tc>
          <w:tcPr>
            <w:tcW w:w="719" w:type="dxa"/>
            <w:gridSpan w:val="2"/>
            <w:vAlign w:val="center"/>
          </w:tcPr>
          <w:p>
            <w:pPr>
              <w:jc w:val="center"/>
            </w:pPr>
          </w:p>
        </w:tc>
        <w:tc>
          <w:tcPr>
            <w:tcW w:w="1265" w:type="dxa"/>
            <w:vAlign w:val="center"/>
          </w:tcPr>
          <w:p>
            <w:pPr>
              <w:jc w:val="center"/>
            </w:pPr>
          </w:p>
        </w:tc>
        <w:tc>
          <w:tcPr>
            <w:tcW w:w="1134" w:type="dxa"/>
            <w:vAlign w:val="center"/>
          </w:tcPr>
          <w:p>
            <w:pPr>
              <w:jc w:val="center"/>
            </w:pPr>
          </w:p>
        </w:tc>
        <w:tc>
          <w:tcPr>
            <w:tcW w:w="11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508" w:type="dxa"/>
            <w:gridSpan w:val="8"/>
            <w:vAlign w:val="center"/>
          </w:tcPr>
          <w:p>
            <w:pPr>
              <w:jc w:val="right"/>
            </w:pPr>
            <w:r>
              <w:rPr>
                <w:rFonts w:hint="eastAsia" w:ascii="仿宋" w:hAnsi="仿宋" w:eastAsia="仿宋"/>
                <w:sz w:val="30"/>
                <w:szCs w:val="30"/>
              </w:rPr>
              <w:t>合计含税总金额：</w:t>
            </w:r>
          </w:p>
        </w:tc>
        <w:tc>
          <w:tcPr>
            <w:tcW w:w="1134" w:type="dxa"/>
            <w:vAlign w:val="center"/>
          </w:tcPr>
          <w:p>
            <w:pPr>
              <w:jc w:val="center"/>
            </w:pPr>
          </w:p>
        </w:tc>
        <w:tc>
          <w:tcPr>
            <w:tcW w:w="1151" w:type="dxa"/>
            <w:vAlign w:val="center"/>
          </w:tcPr>
          <w:p>
            <w:pPr>
              <w:jc w:val="cente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6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6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6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116550368"/>
      <w:r>
        <w:rPr>
          <w:rFonts w:hint="eastAsia" w:ascii="宋体" w:hAnsi="宋体"/>
          <w:szCs w:val="21"/>
        </w:rPr>
        <w:t>附件9：报价一览表（工程）</w:t>
      </w:r>
      <w:bookmarkEnd w:id="86"/>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6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6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6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6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6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6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6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6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6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6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6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6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6"/>
    </w:p>
    <w:p>
      <w:pPr>
        <w:widowControl/>
        <w:jc w:val="left"/>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13F72D6"/>
    <w:multiLevelType w:val="singleLevel"/>
    <w:tmpl w:val="913F72D6"/>
    <w:lvl w:ilvl="0" w:tentative="0">
      <w:start w:val="1"/>
      <w:numFmt w:val="decimal"/>
      <w:lvlText w:val="(%1)"/>
      <w:lvlJc w:val="left"/>
      <w:pPr>
        <w:ind w:left="425" w:hanging="425"/>
      </w:pPr>
      <w:rPr>
        <w:rFonts w:hint="default"/>
        <w:color w:val="auto"/>
      </w:rPr>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A68FEFD"/>
    <w:multiLevelType w:val="singleLevel"/>
    <w:tmpl w:val="9A68FEFD"/>
    <w:lvl w:ilvl="0" w:tentative="0">
      <w:start w:val="1"/>
      <w:numFmt w:val="decimal"/>
      <w:lvlText w:val="(%1)"/>
      <w:lvlJc w:val="left"/>
      <w:pPr>
        <w:ind w:left="425" w:hanging="425"/>
      </w:pPr>
      <w:rPr>
        <w:rFonts w:hint="default"/>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B5EDFE78"/>
    <w:multiLevelType w:val="singleLevel"/>
    <w:tmpl w:val="B5EDFE78"/>
    <w:lvl w:ilvl="0" w:tentative="0">
      <w:start w:val="1"/>
      <w:numFmt w:val="decimal"/>
      <w:lvlText w:val="(%1)"/>
      <w:lvlJc w:val="left"/>
      <w:pPr>
        <w:ind w:left="425" w:hanging="425"/>
      </w:pPr>
      <w:rPr>
        <w:rFonts w:hint="default" w:ascii="宋体" w:hAnsi="宋体" w:eastAsia="宋体" w:cs="宋体"/>
      </w:rPr>
    </w:lvl>
  </w:abstractNum>
  <w:abstractNum w:abstractNumId="7">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9A1CC6A"/>
    <w:multiLevelType w:val="singleLevel"/>
    <w:tmpl w:val="D9A1CC6A"/>
    <w:lvl w:ilvl="0" w:tentative="0">
      <w:start w:val="1"/>
      <w:numFmt w:val="decimal"/>
      <w:lvlText w:val="(%1)"/>
      <w:lvlJc w:val="left"/>
      <w:pPr>
        <w:ind w:left="425" w:hanging="425"/>
      </w:pPr>
      <w:rPr>
        <w:rFonts w:hint="default"/>
        <w:color w:val="auto"/>
      </w:rPr>
    </w:lvl>
  </w:abstractNum>
  <w:abstractNum w:abstractNumId="12">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3">
    <w:nsid w:val="DAA5A57F"/>
    <w:multiLevelType w:val="singleLevel"/>
    <w:tmpl w:val="DAA5A57F"/>
    <w:lvl w:ilvl="0" w:tentative="0">
      <w:start w:val="1"/>
      <w:numFmt w:val="decimal"/>
      <w:suff w:val="space"/>
      <w:lvlText w:val="%1."/>
      <w:lvlJc w:val="left"/>
    </w:lvl>
  </w:abstractNum>
  <w:abstractNum w:abstractNumId="14">
    <w:nsid w:val="DB4D60E3"/>
    <w:multiLevelType w:val="singleLevel"/>
    <w:tmpl w:val="DB4D60E3"/>
    <w:lvl w:ilvl="0" w:tentative="0">
      <w:start w:val="1"/>
      <w:numFmt w:val="decimal"/>
      <w:suff w:val="space"/>
      <w:lvlText w:val="%1."/>
      <w:lvlJc w:val="left"/>
    </w:lvl>
  </w:abstractNum>
  <w:abstractNum w:abstractNumId="15">
    <w:nsid w:val="EBB28CBD"/>
    <w:multiLevelType w:val="singleLevel"/>
    <w:tmpl w:val="EBB28CBD"/>
    <w:lvl w:ilvl="0" w:tentative="0">
      <w:start w:val="1"/>
      <w:numFmt w:val="decimal"/>
      <w:suff w:val="space"/>
      <w:lvlText w:val="%1."/>
      <w:lvlJc w:val="left"/>
      <w:pPr>
        <w:ind w:left="520" w:firstLine="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F2E7634A"/>
    <w:multiLevelType w:val="singleLevel"/>
    <w:tmpl w:val="F2E7634A"/>
    <w:lvl w:ilvl="0" w:tentative="0">
      <w:start w:val="1"/>
      <w:numFmt w:val="chineseCounting"/>
      <w:suff w:val="nothing"/>
      <w:lvlText w:val="（%1）"/>
      <w:lvlJc w:val="left"/>
      <w:pPr>
        <w:ind w:left="0" w:firstLine="420"/>
      </w:pPr>
      <w:rPr>
        <w:rFonts w:hint="eastAsia"/>
        <w:b/>
        <w:bCs/>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14676DC"/>
    <w:multiLevelType w:val="multilevel"/>
    <w:tmpl w:val="014676D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020368CB"/>
    <w:multiLevelType w:val="multilevel"/>
    <w:tmpl w:val="020368C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47C97F5"/>
    <w:multiLevelType w:val="singleLevel"/>
    <w:tmpl w:val="047C97F5"/>
    <w:lvl w:ilvl="0" w:tentative="0">
      <w:start w:val="1"/>
      <w:numFmt w:val="chineseCounting"/>
      <w:suff w:val="nothing"/>
      <w:lvlText w:val="%1、"/>
      <w:lvlJc w:val="left"/>
      <w:pPr>
        <w:ind w:left="0" w:firstLine="420"/>
      </w:pPr>
      <w:rPr>
        <w:rFonts w:hint="eastAsia"/>
      </w:rPr>
    </w:lvl>
  </w:abstractNum>
  <w:abstractNum w:abstractNumId="26">
    <w:nsid w:val="0FAD2AA1"/>
    <w:multiLevelType w:val="singleLevel"/>
    <w:tmpl w:val="0FAD2AA1"/>
    <w:lvl w:ilvl="0" w:tentative="0">
      <w:start w:val="1"/>
      <w:numFmt w:val="chineseCounting"/>
      <w:suff w:val="nothing"/>
      <w:lvlText w:val="%1、"/>
      <w:lvlJc w:val="left"/>
      <w:pPr>
        <w:ind w:left="0" w:firstLine="420"/>
      </w:pPr>
      <w:rPr>
        <w:rFonts w:hint="eastAsia"/>
        <w:b/>
        <w:bCs/>
      </w:rPr>
    </w:lvl>
  </w:abstractNum>
  <w:abstractNum w:abstractNumId="27">
    <w:nsid w:val="11D69C2C"/>
    <w:multiLevelType w:val="singleLevel"/>
    <w:tmpl w:val="11D69C2C"/>
    <w:lvl w:ilvl="0" w:tentative="0">
      <w:start w:val="1"/>
      <w:numFmt w:val="decimal"/>
      <w:suff w:val="space"/>
      <w:lvlText w:val="%1."/>
      <w:lvlJc w:val="left"/>
    </w:lvl>
  </w:abstractNum>
  <w:abstractNum w:abstractNumId="28">
    <w:nsid w:val="12074514"/>
    <w:multiLevelType w:val="multilevel"/>
    <w:tmpl w:val="12074514"/>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0AB9193"/>
    <w:multiLevelType w:val="singleLevel"/>
    <w:tmpl w:val="20AB9193"/>
    <w:lvl w:ilvl="0" w:tentative="0">
      <w:start w:val="1"/>
      <w:numFmt w:val="decimal"/>
      <w:lvlText w:val="%1."/>
      <w:lvlJc w:val="left"/>
      <w:pPr>
        <w:ind w:left="425" w:hanging="425"/>
      </w:pPr>
      <w:rPr>
        <w:rFonts w:hint="default"/>
      </w:rPr>
    </w:lvl>
  </w:abstractNum>
  <w:abstractNum w:abstractNumId="3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8E10C89"/>
    <w:multiLevelType w:val="singleLevel"/>
    <w:tmpl w:val="28E10C89"/>
    <w:lvl w:ilvl="0" w:tentative="0">
      <w:start w:val="1"/>
      <w:numFmt w:val="decimal"/>
      <w:suff w:val="space"/>
      <w:lvlText w:val="%1."/>
      <w:lvlJc w:val="left"/>
    </w:lvl>
  </w:abstractNum>
  <w:abstractNum w:abstractNumId="38">
    <w:nsid w:val="2A054E52"/>
    <w:multiLevelType w:val="multilevel"/>
    <w:tmpl w:val="2A054E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412F63E2"/>
    <w:multiLevelType w:val="multilevel"/>
    <w:tmpl w:val="412F63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9197E6A"/>
    <w:multiLevelType w:val="multilevel"/>
    <w:tmpl w:val="49197E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9CCDE9B"/>
    <w:multiLevelType w:val="singleLevel"/>
    <w:tmpl w:val="49CCDE9B"/>
    <w:lvl w:ilvl="0" w:tentative="0">
      <w:start w:val="1"/>
      <w:numFmt w:val="decimal"/>
      <w:lvlText w:val="(%1)"/>
      <w:lvlJc w:val="left"/>
      <w:pPr>
        <w:ind w:left="425" w:hanging="425"/>
      </w:pPr>
      <w:rPr>
        <w:rFonts w:hint="default"/>
      </w:rPr>
    </w:lvl>
  </w:abstractNum>
  <w:abstractNum w:abstractNumId="5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A95570E"/>
    <w:multiLevelType w:val="multilevel"/>
    <w:tmpl w:val="5A95570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8">
    <w:nsid w:val="697246CF"/>
    <w:multiLevelType w:val="singleLevel"/>
    <w:tmpl w:val="697246CF"/>
    <w:lvl w:ilvl="0" w:tentative="0">
      <w:start w:val="1"/>
      <w:numFmt w:val="decimal"/>
      <w:suff w:val="nothing"/>
      <w:lvlText w:val="（%1）"/>
      <w:lvlJc w:val="left"/>
    </w:lvl>
  </w:abstractNum>
  <w:abstractNum w:abstractNumId="5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60">
    <w:nsid w:val="6C967399"/>
    <w:multiLevelType w:val="multilevel"/>
    <w:tmpl w:val="6C9673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CC503CC"/>
    <w:multiLevelType w:val="multilevel"/>
    <w:tmpl w:val="6CC503C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63">
    <w:nsid w:val="7B4A4E0C"/>
    <w:multiLevelType w:val="singleLevel"/>
    <w:tmpl w:val="7B4A4E0C"/>
    <w:lvl w:ilvl="0" w:tentative="0">
      <w:start w:val="1"/>
      <w:numFmt w:val="decimal"/>
      <w:lvlText w:val="（%1）"/>
      <w:lvlJc w:val="left"/>
      <w:pPr>
        <w:ind w:left="420" w:hanging="420"/>
      </w:pPr>
      <w:rPr>
        <w:rFonts w:hint="eastAsia"/>
      </w:rPr>
    </w:lvl>
  </w:abstractNum>
  <w:abstractNum w:abstractNumId="64">
    <w:nsid w:val="7DEC22A6"/>
    <w:multiLevelType w:val="multilevel"/>
    <w:tmpl w:val="7DEC22A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ED17433"/>
    <w:multiLevelType w:val="singleLevel"/>
    <w:tmpl w:val="7ED17433"/>
    <w:lvl w:ilvl="0" w:tentative="0">
      <w:start w:val="1"/>
      <w:numFmt w:val="decimal"/>
      <w:lvlText w:val="（%1）"/>
      <w:lvlJc w:val="left"/>
      <w:pPr>
        <w:ind w:left="420" w:hanging="420"/>
      </w:pPr>
      <w:rPr>
        <w:rFonts w:hint="eastAsia"/>
      </w:rPr>
    </w:lvl>
  </w:abstractNum>
  <w:num w:numId="1">
    <w:abstractNumId w:val="53"/>
  </w:num>
  <w:num w:numId="2">
    <w:abstractNumId w:val="59"/>
  </w:num>
  <w:num w:numId="3">
    <w:abstractNumId w:val="41"/>
  </w:num>
  <w:num w:numId="4">
    <w:abstractNumId w:va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54"/>
  </w:num>
  <w:num w:numId="8">
    <w:abstractNumId w:val="44"/>
  </w:num>
  <w:num w:numId="9">
    <w:abstractNumId w:val="29"/>
  </w:num>
  <w:num w:numId="10">
    <w:abstractNumId w:val="63"/>
  </w:num>
  <w:num w:numId="11">
    <w:abstractNumId w:val="65"/>
  </w:num>
  <w:num w:numId="12">
    <w:abstractNumId w:val="61"/>
  </w:num>
  <w:num w:numId="13">
    <w:abstractNumId w:val="24"/>
  </w:num>
  <w:num w:numId="14">
    <w:abstractNumId w:val="25"/>
  </w:num>
  <w:num w:numId="15">
    <w:abstractNumId w:val="17"/>
  </w:num>
  <w:num w:numId="16">
    <w:abstractNumId w:val="6"/>
  </w:num>
  <w:num w:numId="17">
    <w:abstractNumId w:val="2"/>
  </w:num>
  <w:num w:numId="18">
    <w:abstractNumId w:val="26"/>
  </w:num>
  <w:num w:numId="19">
    <w:abstractNumId w:val="4"/>
  </w:num>
  <w:num w:numId="20">
    <w:abstractNumId w:val="51"/>
  </w:num>
  <w:num w:numId="21">
    <w:abstractNumId w:val="11"/>
  </w:num>
  <w:num w:numId="22">
    <w:abstractNumId w:val="22"/>
  </w:num>
  <w:num w:numId="23">
    <w:abstractNumId w:val="23"/>
  </w:num>
  <w:num w:numId="24">
    <w:abstractNumId w:val="64"/>
  </w:num>
  <w:num w:numId="25">
    <w:abstractNumId w:val="28"/>
  </w:num>
  <w:num w:numId="26">
    <w:abstractNumId w:val="55"/>
  </w:num>
  <w:num w:numId="27">
    <w:abstractNumId w:val="50"/>
  </w:num>
  <w:num w:numId="28">
    <w:abstractNumId w:val="10"/>
  </w:num>
  <w:num w:numId="29">
    <w:abstractNumId w:val="37"/>
  </w:num>
  <w:num w:numId="30">
    <w:abstractNumId w:val="20"/>
  </w:num>
  <w:num w:numId="31">
    <w:abstractNumId w:val="31"/>
  </w:num>
  <w:num w:numId="32">
    <w:abstractNumId w:val="58"/>
  </w:num>
  <w:num w:numId="33">
    <w:abstractNumId w:val="40"/>
  </w:num>
  <w:num w:numId="34">
    <w:abstractNumId w:val="60"/>
  </w:num>
  <w:num w:numId="35">
    <w:abstractNumId w:val="38"/>
  </w:num>
  <w:num w:numId="36">
    <w:abstractNumId w:val="47"/>
  </w:num>
  <w:num w:numId="37">
    <w:abstractNumId w:val="5"/>
  </w:num>
  <w:num w:numId="38">
    <w:abstractNumId w:val="13"/>
  </w:num>
  <w:num w:numId="39">
    <w:abstractNumId w:val="45"/>
  </w:num>
  <w:num w:numId="40">
    <w:abstractNumId w:val="42"/>
  </w:num>
  <w:num w:numId="41">
    <w:abstractNumId w:val="15"/>
  </w:num>
  <w:num w:numId="42">
    <w:abstractNumId w:val="32"/>
  </w:num>
  <w:num w:numId="43">
    <w:abstractNumId w:val="9"/>
  </w:num>
  <w:num w:numId="44">
    <w:abstractNumId w:val="56"/>
  </w:num>
  <w:num w:numId="45">
    <w:abstractNumId w:val="27"/>
  </w:num>
  <w:num w:numId="46">
    <w:abstractNumId w:val="48"/>
  </w:num>
  <w:num w:numId="47">
    <w:abstractNumId w:val="7"/>
  </w:num>
  <w:num w:numId="48">
    <w:abstractNumId w:val="34"/>
  </w:num>
  <w:num w:numId="49">
    <w:abstractNumId w:val="1"/>
  </w:num>
  <w:num w:numId="50">
    <w:abstractNumId w:val="14"/>
  </w:num>
  <w:num w:numId="51">
    <w:abstractNumId w:val="12"/>
  </w:num>
  <w:num w:numId="52">
    <w:abstractNumId w:val="62"/>
  </w:num>
  <w:num w:numId="53">
    <w:abstractNumId w:val="0"/>
  </w:num>
  <w:num w:numId="54">
    <w:abstractNumId w:val="3"/>
  </w:num>
  <w:num w:numId="55">
    <w:abstractNumId w:val="43"/>
  </w:num>
  <w:num w:numId="56">
    <w:abstractNumId w:val="16"/>
  </w:num>
  <w:num w:numId="57">
    <w:abstractNumId w:val="19"/>
  </w:num>
  <w:num w:numId="58">
    <w:abstractNumId w:val="18"/>
  </w:num>
  <w:num w:numId="59">
    <w:abstractNumId w:val="57"/>
  </w:num>
  <w:num w:numId="60">
    <w:abstractNumId w:val="46"/>
  </w:num>
  <w:num w:numId="61">
    <w:abstractNumId w:val="39"/>
  </w:num>
  <w:num w:numId="62">
    <w:abstractNumId w:val="35"/>
  </w:num>
  <w:num w:numId="63">
    <w:abstractNumId w:val="49"/>
  </w:num>
  <w:num w:numId="64">
    <w:abstractNumId w:val="33"/>
  </w:num>
  <w:num w:numId="65">
    <w:abstractNumId w:val="21"/>
  </w:num>
  <w:num w:numId="66">
    <w:abstractNumId w:val="52"/>
  </w:num>
  <w:num w:numId="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0975"/>
    <w:rsid w:val="000071F5"/>
    <w:rsid w:val="000109CF"/>
    <w:rsid w:val="0001408F"/>
    <w:rsid w:val="00020D3D"/>
    <w:rsid w:val="0002431D"/>
    <w:rsid w:val="000262A2"/>
    <w:rsid w:val="00030ED4"/>
    <w:rsid w:val="00034063"/>
    <w:rsid w:val="00037297"/>
    <w:rsid w:val="000452AD"/>
    <w:rsid w:val="0005325D"/>
    <w:rsid w:val="000574A4"/>
    <w:rsid w:val="0006307A"/>
    <w:rsid w:val="000671A9"/>
    <w:rsid w:val="00070257"/>
    <w:rsid w:val="00071803"/>
    <w:rsid w:val="00074891"/>
    <w:rsid w:val="00076914"/>
    <w:rsid w:val="00077160"/>
    <w:rsid w:val="00080360"/>
    <w:rsid w:val="00086A4D"/>
    <w:rsid w:val="00093F3A"/>
    <w:rsid w:val="00095512"/>
    <w:rsid w:val="00095BBF"/>
    <w:rsid w:val="000961A8"/>
    <w:rsid w:val="00096718"/>
    <w:rsid w:val="00097F5D"/>
    <w:rsid w:val="000A2942"/>
    <w:rsid w:val="000A77C8"/>
    <w:rsid w:val="000C0416"/>
    <w:rsid w:val="000C45B3"/>
    <w:rsid w:val="000C7053"/>
    <w:rsid w:val="000D0F07"/>
    <w:rsid w:val="000D33D1"/>
    <w:rsid w:val="000E3E7C"/>
    <w:rsid w:val="000F16F8"/>
    <w:rsid w:val="000F23B0"/>
    <w:rsid w:val="00103BC6"/>
    <w:rsid w:val="001052B4"/>
    <w:rsid w:val="0010703F"/>
    <w:rsid w:val="001107A5"/>
    <w:rsid w:val="00115C23"/>
    <w:rsid w:val="001223CE"/>
    <w:rsid w:val="001238C4"/>
    <w:rsid w:val="0012732B"/>
    <w:rsid w:val="0013213B"/>
    <w:rsid w:val="00132F8D"/>
    <w:rsid w:val="001356BD"/>
    <w:rsid w:val="0013663B"/>
    <w:rsid w:val="00137AB2"/>
    <w:rsid w:val="00141B72"/>
    <w:rsid w:val="001427DC"/>
    <w:rsid w:val="00151C50"/>
    <w:rsid w:val="00162AA4"/>
    <w:rsid w:val="0017163D"/>
    <w:rsid w:val="001723D2"/>
    <w:rsid w:val="00174846"/>
    <w:rsid w:val="00180E0D"/>
    <w:rsid w:val="0018170D"/>
    <w:rsid w:val="0019391E"/>
    <w:rsid w:val="001959E5"/>
    <w:rsid w:val="001978B2"/>
    <w:rsid w:val="001A17A9"/>
    <w:rsid w:val="001A282A"/>
    <w:rsid w:val="001A5C45"/>
    <w:rsid w:val="001A6C5B"/>
    <w:rsid w:val="001B6A4D"/>
    <w:rsid w:val="001D288D"/>
    <w:rsid w:val="001D65B4"/>
    <w:rsid w:val="001E204B"/>
    <w:rsid w:val="001E44D2"/>
    <w:rsid w:val="001F14F2"/>
    <w:rsid w:val="001F279E"/>
    <w:rsid w:val="001F3FDF"/>
    <w:rsid w:val="002029B9"/>
    <w:rsid w:val="0020628E"/>
    <w:rsid w:val="00206999"/>
    <w:rsid w:val="002073A2"/>
    <w:rsid w:val="002074AE"/>
    <w:rsid w:val="00207FB5"/>
    <w:rsid w:val="00221D8F"/>
    <w:rsid w:val="002222BB"/>
    <w:rsid w:val="0022465E"/>
    <w:rsid w:val="002257D5"/>
    <w:rsid w:val="00230DCB"/>
    <w:rsid w:val="00233E0E"/>
    <w:rsid w:val="00235824"/>
    <w:rsid w:val="00247FCC"/>
    <w:rsid w:val="002515B5"/>
    <w:rsid w:val="00252697"/>
    <w:rsid w:val="00253531"/>
    <w:rsid w:val="00280C6B"/>
    <w:rsid w:val="002840A7"/>
    <w:rsid w:val="0029029E"/>
    <w:rsid w:val="00292A67"/>
    <w:rsid w:val="00292E63"/>
    <w:rsid w:val="002963F2"/>
    <w:rsid w:val="002A1B14"/>
    <w:rsid w:val="002B348F"/>
    <w:rsid w:val="002B743A"/>
    <w:rsid w:val="002C36F9"/>
    <w:rsid w:val="002C49F2"/>
    <w:rsid w:val="002C6CCF"/>
    <w:rsid w:val="002D5E4C"/>
    <w:rsid w:val="003039FF"/>
    <w:rsid w:val="0030589E"/>
    <w:rsid w:val="00305E4E"/>
    <w:rsid w:val="003158DE"/>
    <w:rsid w:val="00316428"/>
    <w:rsid w:val="0032087E"/>
    <w:rsid w:val="0032368E"/>
    <w:rsid w:val="00323928"/>
    <w:rsid w:val="003255E6"/>
    <w:rsid w:val="003300CC"/>
    <w:rsid w:val="003306A9"/>
    <w:rsid w:val="003342A6"/>
    <w:rsid w:val="00335D74"/>
    <w:rsid w:val="00336E66"/>
    <w:rsid w:val="00337D03"/>
    <w:rsid w:val="00337EE5"/>
    <w:rsid w:val="003436BC"/>
    <w:rsid w:val="00354484"/>
    <w:rsid w:val="003545D1"/>
    <w:rsid w:val="00355247"/>
    <w:rsid w:val="00356F92"/>
    <w:rsid w:val="00362661"/>
    <w:rsid w:val="003650C8"/>
    <w:rsid w:val="003702A9"/>
    <w:rsid w:val="0037679F"/>
    <w:rsid w:val="003823A8"/>
    <w:rsid w:val="00387176"/>
    <w:rsid w:val="00397C1E"/>
    <w:rsid w:val="003A09E6"/>
    <w:rsid w:val="003A414E"/>
    <w:rsid w:val="003B01FB"/>
    <w:rsid w:val="003C331E"/>
    <w:rsid w:val="003D0358"/>
    <w:rsid w:val="003D46CA"/>
    <w:rsid w:val="003D7278"/>
    <w:rsid w:val="003E55E9"/>
    <w:rsid w:val="003E6092"/>
    <w:rsid w:val="003E66A3"/>
    <w:rsid w:val="003E7621"/>
    <w:rsid w:val="003F1E01"/>
    <w:rsid w:val="004235D9"/>
    <w:rsid w:val="004237C3"/>
    <w:rsid w:val="00424F5B"/>
    <w:rsid w:val="00425B5D"/>
    <w:rsid w:val="00427D5D"/>
    <w:rsid w:val="0043226A"/>
    <w:rsid w:val="00432C74"/>
    <w:rsid w:val="00432E87"/>
    <w:rsid w:val="00434E45"/>
    <w:rsid w:val="00437BB1"/>
    <w:rsid w:val="00441F17"/>
    <w:rsid w:val="00444F9A"/>
    <w:rsid w:val="004607EA"/>
    <w:rsid w:val="004654C1"/>
    <w:rsid w:val="004707D2"/>
    <w:rsid w:val="00471ED2"/>
    <w:rsid w:val="00474B71"/>
    <w:rsid w:val="00476C96"/>
    <w:rsid w:val="004775EE"/>
    <w:rsid w:val="00491990"/>
    <w:rsid w:val="00492F1D"/>
    <w:rsid w:val="004A0594"/>
    <w:rsid w:val="004A0D6B"/>
    <w:rsid w:val="004A15CA"/>
    <w:rsid w:val="004A7C1F"/>
    <w:rsid w:val="004B0D64"/>
    <w:rsid w:val="004B1250"/>
    <w:rsid w:val="004B24F9"/>
    <w:rsid w:val="004B6488"/>
    <w:rsid w:val="004B79FE"/>
    <w:rsid w:val="004B7B79"/>
    <w:rsid w:val="004C271D"/>
    <w:rsid w:val="004D1901"/>
    <w:rsid w:val="004D58FC"/>
    <w:rsid w:val="004D5AC3"/>
    <w:rsid w:val="004D6F70"/>
    <w:rsid w:val="004E3802"/>
    <w:rsid w:val="004E3A19"/>
    <w:rsid w:val="004E40C8"/>
    <w:rsid w:val="004E4541"/>
    <w:rsid w:val="004E53E1"/>
    <w:rsid w:val="004E7657"/>
    <w:rsid w:val="004F2ED2"/>
    <w:rsid w:val="004F63E5"/>
    <w:rsid w:val="00506AD5"/>
    <w:rsid w:val="00506B6D"/>
    <w:rsid w:val="0053550C"/>
    <w:rsid w:val="00541462"/>
    <w:rsid w:val="00543010"/>
    <w:rsid w:val="00544B6E"/>
    <w:rsid w:val="00547CAB"/>
    <w:rsid w:val="0055035E"/>
    <w:rsid w:val="00550373"/>
    <w:rsid w:val="00550A0A"/>
    <w:rsid w:val="00552B5F"/>
    <w:rsid w:val="00554298"/>
    <w:rsid w:val="005571D6"/>
    <w:rsid w:val="0056241B"/>
    <w:rsid w:val="0056331B"/>
    <w:rsid w:val="00565EDC"/>
    <w:rsid w:val="005700E9"/>
    <w:rsid w:val="00570E0C"/>
    <w:rsid w:val="005815FC"/>
    <w:rsid w:val="00591168"/>
    <w:rsid w:val="005A26F8"/>
    <w:rsid w:val="005A480E"/>
    <w:rsid w:val="005B03C2"/>
    <w:rsid w:val="005B1453"/>
    <w:rsid w:val="005B328D"/>
    <w:rsid w:val="005C5034"/>
    <w:rsid w:val="005D123F"/>
    <w:rsid w:val="005E43D8"/>
    <w:rsid w:val="005E4792"/>
    <w:rsid w:val="005F16B3"/>
    <w:rsid w:val="005F1A7C"/>
    <w:rsid w:val="005F71F0"/>
    <w:rsid w:val="00604C0B"/>
    <w:rsid w:val="00606010"/>
    <w:rsid w:val="0060760B"/>
    <w:rsid w:val="006115F6"/>
    <w:rsid w:val="00613C52"/>
    <w:rsid w:val="00621681"/>
    <w:rsid w:val="00622CAA"/>
    <w:rsid w:val="00630585"/>
    <w:rsid w:val="006311FC"/>
    <w:rsid w:val="0063165E"/>
    <w:rsid w:val="00632039"/>
    <w:rsid w:val="006333BC"/>
    <w:rsid w:val="00644BDD"/>
    <w:rsid w:val="0065419F"/>
    <w:rsid w:val="006635D2"/>
    <w:rsid w:val="00664471"/>
    <w:rsid w:val="00681252"/>
    <w:rsid w:val="00681577"/>
    <w:rsid w:val="006815B1"/>
    <w:rsid w:val="00687753"/>
    <w:rsid w:val="00687BA7"/>
    <w:rsid w:val="006942FF"/>
    <w:rsid w:val="006A3663"/>
    <w:rsid w:val="006A4FED"/>
    <w:rsid w:val="006B1729"/>
    <w:rsid w:val="006B35EC"/>
    <w:rsid w:val="006B3970"/>
    <w:rsid w:val="006B4923"/>
    <w:rsid w:val="006C4074"/>
    <w:rsid w:val="006C4D78"/>
    <w:rsid w:val="006C659A"/>
    <w:rsid w:val="006C7266"/>
    <w:rsid w:val="006C7574"/>
    <w:rsid w:val="006D25FB"/>
    <w:rsid w:val="006E0464"/>
    <w:rsid w:val="006E42A5"/>
    <w:rsid w:val="006E4FCB"/>
    <w:rsid w:val="006E6992"/>
    <w:rsid w:val="006F0E4A"/>
    <w:rsid w:val="006F3293"/>
    <w:rsid w:val="00704167"/>
    <w:rsid w:val="0070433C"/>
    <w:rsid w:val="00707B3E"/>
    <w:rsid w:val="007115E1"/>
    <w:rsid w:val="00712DA2"/>
    <w:rsid w:val="007141D0"/>
    <w:rsid w:val="00714967"/>
    <w:rsid w:val="00714F2D"/>
    <w:rsid w:val="00715AB4"/>
    <w:rsid w:val="007164D8"/>
    <w:rsid w:val="00717FB9"/>
    <w:rsid w:val="00722D53"/>
    <w:rsid w:val="007347D6"/>
    <w:rsid w:val="00735B05"/>
    <w:rsid w:val="00737611"/>
    <w:rsid w:val="007407E1"/>
    <w:rsid w:val="007542A8"/>
    <w:rsid w:val="007559E5"/>
    <w:rsid w:val="00760715"/>
    <w:rsid w:val="00765060"/>
    <w:rsid w:val="007672EE"/>
    <w:rsid w:val="0076763C"/>
    <w:rsid w:val="00767BB4"/>
    <w:rsid w:val="00770292"/>
    <w:rsid w:val="007744CB"/>
    <w:rsid w:val="0077621A"/>
    <w:rsid w:val="00781DFA"/>
    <w:rsid w:val="00782E08"/>
    <w:rsid w:val="00790A8A"/>
    <w:rsid w:val="007929C8"/>
    <w:rsid w:val="00793252"/>
    <w:rsid w:val="007933D2"/>
    <w:rsid w:val="007A1E3B"/>
    <w:rsid w:val="007A4FE1"/>
    <w:rsid w:val="007C02CE"/>
    <w:rsid w:val="007C3EB8"/>
    <w:rsid w:val="007C50B2"/>
    <w:rsid w:val="007D6DCB"/>
    <w:rsid w:val="007E1F37"/>
    <w:rsid w:val="007F2983"/>
    <w:rsid w:val="007F31F1"/>
    <w:rsid w:val="008011CD"/>
    <w:rsid w:val="00803FA2"/>
    <w:rsid w:val="008117C1"/>
    <w:rsid w:val="008134DA"/>
    <w:rsid w:val="00823E99"/>
    <w:rsid w:val="008375AD"/>
    <w:rsid w:val="0084470A"/>
    <w:rsid w:val="00845DE7"/>
    <w:rsid w:val="00851980"/>
    <w:rsid w:val="00854B07"/>
    <w:rsid w:val="00857F72"/>
    <w:rsid w:val="00860DBC"/>
    <w:rsid w:val="00866C0E"/>
    <w:rsid w:val="00867C56"/>
    <w:rsid w:val="00870667"/>
    <w:rsid w:val="00870B22"/>
    <w:rsid w:val="00874BB5"/>
    <w:rsid w:val="00876830"/>
    <w:rsid w:val="00895D5D"/>
    <w:rsid w:val="008A0193"/>
    <w:rsid w:val="008A2959"/>
    <w:rsid w:val="008B2C67"/>
    <w:rsid w:val="008B45D1"/>
    <w:rsid w:val="008C44DE"/>
    <w:rsid w:val="008D6C35"/>
    <w:rsid w:val="008E05E5"/>
    <w:rsid w:val="008E3FD0"/>
    <w:rsid w:val="008E5A97"/>
    <w:rsid w:val="008F03B4"/>
    <w:rsid w:val="00904358"/>
    <w:rsid w:val="00904BE8"/>
    <w:rsid w:val="0090721F"/>
    <w:rsid w:val="00912DEA"/>
    <w:rsid w:val="0091320F"/>
    <w:rsid w:val="009134E1"/>
    <w:rsid w:val="00915BDD"/>
    <w:rsid w:val="0092096B"/>
    <w:rsid w:val="009220C4"/>
    <w:rsid w:val="00922825"/>
    <w:rsid w:val="0092480B"/>
    <w:rsid w:val="00926702"/>
    <w:rsid w:val="00927979"/>
    <w:rsid w:val="00937F12"/>
    <w:rsid w:val="00943245"/>
    <w:rsid w:val="0094528D"/>
    <w:rsid w:val="00957C1D"/>
    <w:rsid w:val="00960B05"/>
    <w:rsid w:val="00963D73"/>
    <w:rsid w:val="00971344"/>
    <w:rsid w:val="00976465"/>
    <w:rsid w:val="0098029E"/>
    <w:rsid w:val="0098263B"/>
    <w:rsid w:val="00982922"/>
    <w:rsid w:val="00985894"/>
    <w:rsid w:val="00991233"/>
    <w:rsid w:val="009A37EC"/>
    <w:rsid w:val="009A699B"/>
    <w:rsid w:val="009A6EF3"/>
    <w:rsid w:val="009A754D"/>
    <w:rsid w:val="009B7189"/>
    <w:rsid w:val="009C0135"/>
    <w:rsid w:val="009C4CF2"/>
    <w:rsid w:val="009D093C"/>
    <w:rsid w:val="009D1C89"/>
    <w:rsid w:val="009D7A17"/>
    <w:rsid w:val="009E19A2"/>
    <w:rsid w:val="009E25C8"/>
    <w:rsid w:val="009E2781"/>
    <w:rsid w:val="009E3D67"/>
    <w:rsid w:val="009E47FF"/>
    <w:rsid w:val="009E7342"/>
    <w:rsid w:val="009F13E3"/>
    <w:rsid w:val="00A0064A"/>
    <w:rsid w:val="00A01ABE"/>
    <w:rsid w:val="00A0267F"/>
    <w:rsid w:val="00A1086B"/>
    <w:rsid w:val="00A17C44"/>
    <w:rsid w:val="00A279D0"/>
    <w:rsid w:val="00A30228"/>
    <w:rsid w:val="00A31A55"/>
    <w:rsid w:val="00A3423A"/>
    <w:rsid w:val="00A35983"/>
    <w:rsid w:val="00A35F31"/>
    <w:rsid w:val="00A4274C"/>
    <w:rsid w:val="00A4407E"/>
    <w:rsid w:val="00A46C1C"/>
    <w:rsid w:val="00A639F5"/>
    <w:rsid w:val="00A64622"/>
    <w:rsid w:val="00A65B55"/>
    <w:rsid w:val="00A75BA5"/>
    <w:rsid w:val="00A761F1"/>
    <w:rsid w:val="00A82672"/>
    <w:rsid w:val="00A8313A"/>
    <w:rsid w:val="00A94BAE"/>
    <w:rsid w:val="00A94C5A"/>
    <w:rsid w:val="00AA01BF"/>
    <w:rsid w:val="00AA0F85"/>
    <w:rsid w:val="00AA320E"/>
    <w:rsid w:val="00AA38D8"/>
    <w:rsid w:val="00AA56F4"/>
    <w:rsid w:val="00AA6BD5"/>
    <w:rsid w:val="00AB0184"/>
    <w:rsid w:val="00AB0A23"/>
    <w:rsid w:val="00AB1B7F"/>
    <w:rsid w:val="00AB506B"/>
    <w:rsid w:val="00AC1082"/>
    <w:rsid w:val="00AC7FB5"/>
    <w:rsid w:val="00AD0743"/>
    <w:rsid w:val="00AE1E1D"/>
    <w:rsid w:val="00AE6398"/>
    <w:rsid w:val="00AF0A7F"/>
    <w:rsid w:val="00AF1254"/>
    <w:rsid w:val="00AF348F"/>
    <w:rsid w:val="00AF6072"/>
    <w:rsid w:val="00AF730B"/>
    <w:rsid w:val="00B02F8D"/>
    <w:rsid w:val="00B049D6"/>
    <w:rsid w:val="00B0714E"/>
    <w:rsid w:val="00B10AE4"/>
    <w:rsid w:val="00B10BBC"/>
    <w:rsid w:val="00B13612"/>
    <w:rsid w:val="00B1365B"/>
    <w:rsid w:val="00B17003"/>
    <w:rsid w:val="00B21864"/>
    <w:rsid w:val="00B3125F"/>
    <w:rsid w:val="00B32504"/>
    <w:rsid w:val="00B355FC"/>
    <w:rsid w:val="00B37A2F"/>
    <w:rsid w:val="00B40F3E"/>
    <w:rsid w:val="00B44E4F"/>
    <w:rsid w:val="00B522B7"/>
    <w:rsid w:val="00B65C5E"/>
    <w:rsid w:val="00B671B8"/>
    <w:rsid w:val="00B731D0"/>
    <w:rsid w:val="00B75066"/>
    <w:rsid w:val="00B76BC6"/>
    <w:rsid w:val="00B825A2"/>
    <w:rsid w:val="00BA06C6"/>
    <w:rsid w:val="00BA7AC7"/>
    <w:rsid w:val="00BC0C0B"/>
    <w:rsid w:val="00BC1559"/>
    <w:rsid w:val="00BC40BD"/>
    <w:rsid w:val="00BD0533"/>
    <w:rsid w:val="00BD120A"/>
    <w:rsid w:val="00BD666B"/>
    <w:rsid w:val="00BE045F"/>
    <w:rsid w:val="00BE7356"/>
    <w:rsid w:val="00BF52E8"/>
    <w:rsid w:val="00BF6896"/>
    <w:rsid w:val="00C01654"/>
    <w:rsid w:val="00C15CC0"/>
    <w:rsid w:val="00C202D7"/>
    <w:rsid w:val="00C30244"/>
    <w:rsid w:val="00C5180D"/>
    <w:rsid w:val="00C53AB0"/>
    <w:rsid w:val="00C53D1D"/>
    <w:rsid w:val="00C54E45"/>
    <w:rsid w:val="00C57330"/>
    <w:rsid w:val="00C61FB2"/>
    <w:rsid w:val="00C6530D"/>
    <w:rsid w:val="00C72E08"/>
    <w:rsid w:val="00C76FD5"/>
    <w:rsid w:val="00C80BDF"/>
    <w:rsid w:val="00C84C10"/>
    <w:rsid w:val="00C84C31"/>
    <w:rsid w:val="00C851F1"/>
    <w:rsid w:val="00C87181"/>
    <w:rsid w:val="00C9460F"/>
    <w:rsid w:val="00C95195"/>
    <w:rsid w:val="00CA02C3"/>
    <w:rsid w:val="00CA484F"/>
    <w:rsid w:val="00CA75AF"/>
    <w:rsid w:val="00CA7F1F"/>
    <w:rsid w:val="00CB0006"/>
    <w:rsid w:val="00CB07DC"/>
    <w:rsid w:val="00CB1DEF"/>
    <w:rsid w:val="00CB30E0"/>
    <w:rsid w:val="00CB6F8D"/>
    <w:rsid w:val="00CC1787"/>
    <w:rsid w:val="00CC4633"/>
    <w:rsid w:val="00CC51E9"/>
    <w:rsid w:val="00CC73DA"/>
    <w:rsid w:val="00CD0DD0"/>
    <w:rsid w:val="00CD24C8"/>
    <w:rsid w:val="00CD4DCE"/>
    <w:rsid w:val="00CE24CE"/>
    <w:rsid w:val="00CE2F3E"/>
    <w:rsid w:val="00CE34F4"/>
    <w:rsid w:val="00CE3C02"/>
    <w:rsid w:val="00CE5F16"/>
    <w:rsid w:val="00CE6132"/>
    <w:rsid w:val="00CF3F58"/>
    <w:rsid w:val="00CF3FCF"/>
    <w:rsid w:val="00CF4B19"/>
    <w:rsid w:val="00D01E0C"/>
    <w:rsid w:val="00D05E1F"/>
    <w:rsid w:val="00D0774A"/>
    <w:rsid w:val="00D11DC6"/>
    <w:rsid w:val="00D13594"/>
    <w:rsid w:val="00D16BA3"/>
    <w:rsid w:val="00D2411A"/>
    <w:rsid w:val="00D25FD7"/>
    <w:rsid w:val="00D32699"/>
    <w:rsid w:val="00D36CF5"/>
    <w:rsid w:val="00D4224E"/>
    <w:rsid w:val="00D43550"/>
    <w:rsid w:val="00D51BB3"/>
    <w:rsid w:val="00D629CE"/>
    <w:rsid w:val="00D6712D"/>
    <w:rsid w:val="00D70E36"/>
    <w:rsid w:val="00D729FC"/>
    <w:rsid w:val="00D83CA2"/>
    <w:rsid w:val="00D83CC0"/>
    <w:rsid w:val="00D84553"/>
    <w:rsid w:val="00D8470E"/>
    <w:rsid w:val="00D87AC4"/>
    <w:rsid w:val="00D87BDE"/>
    <w:rsid w:val="00D90269"/>
    <w:rsid w:val="00D955EB"/>
    <w:rsid w:val="00DB1C4E"/>
    <w:rsid w:val="00DB6F19"/>
    <w:rsid w:val="00DB7D95"/>
    <w:rsid w:val="00DD544D"/>
    <w:rsid w:val="00DE32AC"/>
    <w:rsid w:val="00DE54DF"/>
    <w:rsid w:val="00DE5E4C"/>
    <w:rsid w:val="00DE7DDC"/>
    <w:rsid w:val="00DF1681"/>
    <w:rsid w:val="00E03C4A"/>
    <w:rsid w:val="00E107EC"/>
    <w:rsid w:val="00E10B9D"/>
    <w:rsid w:val="00E11738"/>
    <w:rsid w:val="00E12957"/>
    <w:rsid w:val="00E212F8"/>
    <w:rsid w:val="00E27F91"/>
    <w:rsid w:val="00E30B4B"/>
    <w:rsid w:val="00E31BD7"/>
    <w:rsid w:val="00E45D07"/>
    <w:rsid w:val="00E506B4"/>
    <w:rsid w:val="00E542F8"/>
    <w:rsid w:val="00E677C6"/>
    <w:rsid w:val="00E70687"/>
    <w:rsid w:val="00E710FC"/>
    <w:rsid w:val="00E75726"/>
    <w:rsid w:val="00E8072E"/>
    <w:rsid w:val="00E85438"/>
    <w:rsid w:val="00E86CB7"/>
    <w:rsid w:val="00E91035"/>
    <w:rsid w:val="00E928C6"/>
    <w:rsid w:val="00EA0513"/>
    <w:rsid w:val="00EA57A5"/>
    <w:rsid w:val="00EB224B"/>
    <w:rsid w:val="00EB3B62"/>
    <w:rsid w:val="00EB3FCD"/>
    <w:rsid w:val="00EB7AAF"/>
    <w:rsid w:val="00EC57A0"/>
    <w:rsid w:val="00EC5FE7"/>
    <w:rsid w:val="00ED1623"/>
    <w:rsid w:val="00ED6D11"/>
    <w:rsid w:val="00ED71A9"/>
    <w:rsid w:val="00F00080"/>
    <w:rsid w:val="00F01285"/>
    <w:rsid w:val="00F01837"/>
    <w:rsid w:val="00F01D21"/>
    <w:rsid w:val="00F03A68"/>
    <w:rsid w:val="00F04E6A"/>
    <w:rsid w:val="00F112C6"/>
    <w:rsid w:val="00F1499F"/>
    <w:rsid w:val="00F1582D"/>
    <w:rsid w:val="00F210DC"/>
    <w:rsid w:val="00F2136A"/>
    <w:rsid w:val="00F24E61"/>
    <w:rsid w:val="00F256B7"/>
    <w:rsid w:val="00F309E8"/>
    <w:rsid w:val="00F30A82"/>
    <w:rsid w:val="00F313E2"/>
    <w:rsid w:val="00F33021"/>
    <w:rsid w:val="00F36975"/>
    <w:rsid w:val="00F42F3C"/>
    <w:rsid w:val="00F467E3"/>
    <w:rsid w:val="00F47201"/>
    <w:rsid w:val="00F519A6"/>
    <w:rsid w:val="00F525B8"/>
    <w:rsid w:val="00F53D25"/>
    <w:rsid w:val="00F64816"/>
    <w:rsid w:val="00F67974"/>
    <w:rsid w:val="00F73354"/>
    <w:rsid w:val="00F758F7"/>
    <w:rsid w:val="00F94398"/>
    <w:rsid w:val="00FA08B2"/>
    <w:rsid w:val="00FA092E"/>
    <w:rsid w:val="00FA63B5"/>
    <w:rsid w:val="00FA6D58"/>
    <w:rsid w:val="00FA6F9E"/>
    <w:rsid w:val="00FB3CA1"/>
    <w:rsid w:val="00FB5223"/>
    <w:rsid w:val="00FB6E02"/>
    <w:rsid w:val="00FC150B"/>
    <w:rsid w:val="00FD52D3"/>
    <w:rsid w:val="00FE72DF"/>
    <w:rsid w:val="00FF2F91"/>
    <w:rsid w:val="00FF4388"/>
    <w:rsid w:val="018D65ED"/>
    <w:rsid w:val="02B47C4D"/>
    <w:rsid w:val="03FB6953"/>
    <w:rsid w:val="04450729"/>
    <w:rsid w:val="04D46768"/>
    <w:rsid w:val="04F90B5F"/>
    <w:rsid w:val="053A1CC8"/>
    <w:rsid w:val="066C5BFF"/>
    <w:rsid w:val="06856661"/>
    <w:rsid w:val="077B4608"/>
    <w:rsid w:val="07BB74B6"/>
    <w:rsid w:val="07C45B8D"/>
    <w:rsid w:val="07D7576E"/>
    <w:rsid w:val="08493DEA"/>
    <w:rsid w:val="086E4EC9"/>
    <w:rsid w:val="08A91617"/>
    <w:rsid w:val="0B734A64"/>
    <w:rsid w:val="0BA05AB1"/>
    <w:rsid w:val="0CDE01F2"/>
    <w:rsid w:val="0DD201F4"/>
    <w:rsid w:val="0F421AE3"/>
    <w:rsid w:val="0F4526B6"/>
    <w:rsid w:val="0F623555"/>
    <w:rsid w:val="0F815E87"/>
    <w:rsid w:val="10091618"/>
    <w:rsid w:val="11BF511D"/>
    <w:rsid w:val="13BB2BD9"/>
    <w:rsid w:val="152B64B8"/>
    <w:rsid w:val="15740DA4"/>
    <w:rsid w:val="195A6BC0"/>
    <w:rsid w:val="19737423"/>
    <w:rsid w:val="19832D29"/>
    <w:rsid w:val="1C296FA7"/>
    <w:rsid w:val="1C5670DA"/>
    <w:rsid w:val="1EA756D3"/>
    <w:rsid w:val="1F7074E6"/>
    <w:rsid w:val="20550D47"/>
    <w:rsid w:val="205E3CF4"/>
    <w:rsid w:val="227A4EED"/>
    <w:rsid w:val="228D0750"/>
    <w:rsid w:val="22B21E6F"/>
    <w:rsid w:val="24786106"/>
    <w:rsid w:val="25A5748F"/>
    <w:rsid w:val="25BE1EBF"/>
    <w:rsid w:val="25D85A3C"/>
    <w:rsid w:val="267E19B6"/>
    <w:rsid w:val="26E95967"/>
    <w:rsid w:val="2A1D36D7"/>
    <w:rsid w:val="2B9720A0"/>
    <w:rsid w:val="2B9E3425"/>
    <w:rsid w:val="2BD84FDD"/>
    <w:rsid w:val="2BFA4386"/>
    <w:rsid w:val="2CD73EA3"/>
    <w:rsid w:val="2D7B4569"/>
    <w:rsid w:val="2D845ED0"/>
    <w:rsid w:val="2EAB6E76"/>
    <w:rsid w:val="30381F4F"/>
    <w:rsid w:val="31832064"/>
    <w:rsid w:val="34A05B77"/>
    <w:rsid w:val="362044A7"/>
    <w:rsid w:val="37097428"/>
    <w:rsid w:val="38AC36F6"/>
    <w:rsid w:val="394A3FAD"/>
    <w:rsid w:val="396534B2"/>
    <w:rsid w:val="3A081B85"/>
    <w:rsid w:val="3AAD7F79"/>
    <w:rsid w:val="3B87012C"/>
    <w:rsid w:val="3B991A52"/>
    <w:rsid w:val="3BB26AC4"/>
    <w:rsid w:val="3C35255B"/>
    <w:rsid w:val="3C697856"/>
    <w:rsid w:val="3D3679ED"/>
    <w:rsid w:val="3EE95E10"/>
    <w:rsid w:val="408D7227"/>
    <w:rsid w:val="41407E51"/>
    <w:rsid w:val="416718EC"/>
    <w:rsid w:val="439D7A21"/>
    <w:rsid w:val="43D97719"/>
    <w:rsid w:val="447267E8"/>
    <w:rsid w:val="44E431E5"/>
    <w:rsid w:val="466914BF"/>
    <w:rsid w:val="46B30DE6"/>
    <w:rsid w:val="470D45BE"/>
    <w:rsid w:val="477335DE"/>
    <w:rsid w:val="492A4A83"/>
    <w:rsid w:val="495C1F5C"/>
    <w:rsid w:val="49F74DD7"/>
    <w:rsid w:val="4AC128EB"/>
    <w:rsid w:val="4AF77150"/>
    <w:rsid w:val="4B8B03E4"/>
    <w:rsid w:val="4D924EB8"/>
    <w:rsid w:val="4D9A3F67"/>
    <w:rsid w:val="4DDF67CC"/>
    <w:rsid w:val="4DE3433E"/>
    <w:rsid w:val="4EE12BFB"/>
    <w:rsid w:val="4F775608"/>
    <w:rsid w:val="50FA6A61"/>
    <w:rsid w:val="51794BC1"/>
    <w:rsid w:val="51D55456"/>
    <w:rsid w:val="520140B1"/>
    <w:rsid w:val="53D25371"/>
    <w:rsid w:val="540F1FD2"/>
    <w:rsid w:val="561F6663"/>
    <w:rsid w:val="571F26EA"/>
    <w:rsid w:val="57315BF2"/>
    <w:rsid w:val="57594B93"/>
    <w:rsid w:val="580A05BA"/>
    <w:rsid w:val="594A6990"/>
    <w:rsid w:val="5A2E0F40"/>
    <w:rsid w:val="5B965022"/>
    <w:rsid w:val="5C082159"/>
    <w:rsid w:val="5C0F62AD"/>
    <w:rsid w:val="5E720BAD"/>
    <w:rsid w:val="5E8307E5"/>
    <w:rsid w:val="5EAA151B"/>
    <w:rsid w:val="5ED71059"/>
    <w:rsid w:val="5F2D6A11"/>
    <w:rsid w:val="60475C3F"/>
    <w:rsid w:val="6050666D"/>
    <w:rsid w:val="60643909"/>
    <w:rsid w:val="60785544"/>
    <w:rsid w:val="60A60070"/>
    <w:rsid w:val="61A26997"/>
    <w:rsid w:val="622C21AB"/>
    <w:rsid w:val="62D00ABF"/>
    <w:rsid w:val="640C25AF"/>
    <w:rsid w:val="6541126B"/>
    <w:rsid w:val="65560D3A"/>
    <w:rsid w:val="672D2A71"/>
    <w:rsid w:val="683A303D"/>
    <w:rsid w:val="68E97B63"/>
    <w:rsid w:val="69D4648B"/>
    <w:rsid w:val="6A5B2F9C"/>
    <w:rsid w:val="6B1E605C"/>
    <w:rsid w:val="6C5E0507"/>
    <w:rsid w:val="6C6B5505"/>
    <w:rsid w:val="6DF67C63"/>
    <w:rsid w:val="6E3F209B"/>
    <w:rsid w:val="6ED02117"/>
    <w:rsid w:val="70A96DC0"/>
    <w:rsid w:val="725336E8"/>
    <w:rsid w:val="74783A1C"/>
    <w:rsid w:val="74AB354D"/>
    <w:rsid w:val="74B05132"/>
    <w:rsid w:val="766D1244"/>
    <w:rsid w:val="76C52AAF"/>
    <w:rsid w:val="76E063E5"/>
    <w:rsid w:val="772A35DE"/>
    <w:rsid w:val="773C6D9E"/>
    <w:rsid w:val="781B5752"/>
    <w:rsid w:val="79434042"/>
    <w:rsid w:val="798425C1"/>
    <w:rsid w:val="79A35F22"/>
    <w:rsid w:val="79BF662E"/>
    <w:rsid w:val="7A751935"/>
    <w:rsid w:val="7AE717E9"/>
    <w:rsid w:val="7B2952F2"/>
    <w:rsid w:val="7C53266E"/>
    <w:rsid w:val="7CF46BD3"/>
    <w:rsid w:val="7DC51E74"/>
    <w:rsid w:val="7F9364DF"/>
    <w:rsid w:val="7FA7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4"/>
    </w:rPr>
  </w:style>
  <w:style w:type="paragraph" w:styleId="3">
    <w:name w:val="annotation text"/>
    <w:basedOn w:val="1"/>
    <w:link w:val="25"/>
    <w:unhideWhenUsed/>
    <w:qFormat/>
    <w:uiPriority w:val="99"/>
    <w:pPr>
      <w:jc w:val="left"/>
    </w:pPr>
  </w:style>
  <w:style w:type="paragraph" w:styleId="4">
    <w:name w:val="Body Text"/>
    <w:basedOn w:val="1"/>
    <w:link w:val="37"/>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99"/>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99"/>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正文文本 字符"/>
    <w:basedOn w:val="17"/>
    <w:link w:val="4"/>
    <w:qFormat/>
    <w:uiPriority w:val="0"/>
    <w:rPr>
      <w:kern w:val="2"/>
      <w:sz w:val="21"/>
      <w:szCs w:val="24"/>
    </w:rPr>
  </w:style>
  <w:style w:type="paragraph" w:customStyle="1" w:styleId="38">
    <w:name w:val="msolistparagraph"/>
    <w:basedOn w:val="1"/>
    <w:qFormat/>
    <w:uiPriority w:val="0"/>
    <w:pPr>
      <w:ind w:firstLine="420" w:firstLineChars="200"/>
    </w:pPr>
    <w:rPr>
      <w:kern w:val="0"/>
      <w:sz w:val="20"/>
    </w:rPr>
  </w:style>
  <w:style w:type="paragraph" w:customStyle="1" w:styleId="3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1</Pages>
  <Words>4449</Words>
  <Characters>25360</Characters>
  <Lines>211</Lines>
  <Paragraphs>59</Paragraphs>
  <TotalTime>28</TotalTime>
  <ScaleCrop>false</ScaleCrop>
  <LinksUpToDate>false</LinksUpToDate>
  <CharactersWithSpaces>29750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2023-10-17T10:03:00Z</dcterms:created>
  <dc:creator>Tony Young</dc:creator>
  <cp:lastModifiedBy>lxh</cp:lastModifiedBy>
  <dcterms:modified xsi:type="dcterms:W3CDTF">2023-10-19T06:31:04Z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AA76151DC3624DD381C7CB1C3AE422FD_13</vt:lpwstr>
  </property>
</Properties>
</file>