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方正小标宋简体" w:hAnsi="方正小标宋_GBK" w:eastAsia="方正小标宋简体" w:cs="方正小标宋_GBK"/>
          <w:b/>
          <w:sz w:val="32"/>
          <w:szCs w:val="32"/>
          <w:lang w:eastAsia="zh-CN"/>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rPr>
        <w:t>深圳会展中心第二十五届高交会展馆内会议区、国际信息发布厅、项目配对洽谈区及五楼新闻中心等设计、搭建及会务服务项目</w:t>
      </w:r>
      <w:bookmarkEnd w:id="0"/>
      <w:r>
        <w:rPr>
          <w:rFonts w:hint="eastAsia" w:ascii="方正小标宋简体" w:hAnsi="方正小标宋_GBK" w:eastAsia="方正小标宋简体" w:cs="方正小标宋_GBK"/>
          <w:b/>
          <w:sz w:val="32"/>
          <w:szCs w:val="32"/>
          <w:lang w:eastAsia="zh-CN"/>
        </w:rPr>
        <w:t>（</w:t>
      </w:r>
      <w:r>
        <w:rPr>
          <w:rFonts w:hint="eastAsia" w:ascii="方正小标宋简体" w:hAnsi="方正小标宋_GBK" w:eastAsia="方正小标宋简体" w:cs="方正小标宋_GBK"/>
          <w:b/>
          <w:sz w:val="32"/>
          <w:szCs w:val="32"/>
          <w:lang w:val="en-US" w:eastAsia="zh-CN"/>
        </w:rPr>
        <w:t>二次启动</w:t>
      </w:r>
      <w:r>
        <w:rPr>
          <w:rFonts w:hint="eastAsia" w:ascii="方正小标宋简体" w:hAnsi="方正小标宋_GBK" w:eastAsia="方正小标宋简体" w:cs="方正小标宋_GBK"/>
          <w:b/>
          <w:sz w:val="32"/>
          <w:szCs w:val="32"/>
          <w:lang w:eastAsia="zh-CN"/>
        </w:rPr>
        <w:t>）</w:t>
      </w:r>
    </w:p>
    <w:p>
      <w:pPr>
        <w:spacing w:line="360" w:lineRule="auto"/>
        <w:jc w:val="center"/>
        <w:rPr>
          <w:rFonts w:ascii="方正小标宋简体" w:hAnsi="方正小标宋_GBK" w:eastAsia="方正小标宋简体" w:cs="方正小标宋_GBK"/>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ind w:left="0"/>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2023年</w:t>
      </w:r>
      <w:r>
        <w:rPr>
          <w:rFonts w:hint="eastAsia" w:ascii="方正小标宋简体" w:hAnsi="方正小标宋_GBK" w:eastAsia="方正小标宋简体" w:cs="方正小标宋_GBK"/>
          <w:b/>
          <w:sz w:val="32"/>
          <w:szCs w:val="32"/>
          <w:lang w:val="en-US" w:eastAsia="zh-CN"/>
        </w:rPr>
        <w:t>10</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8"/>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8"/>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_Toc18707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_Toc18707 \h </w:instrText>
      </w:r>
      <w:r>
        <w:fldChar w:fldCharType="separate"/>
      </w:r>
      <w:r>
        <w:t>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_Toc30904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_Toc30904 \h </w:instrText>
      </w:r>
      <w:r>
        <w:fldChar w:fldCharType="separate"/>
      </w:r>
      <w:r>
        <w:t>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_Toc2182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rPr>
        <w:t>特别说明</w:t>
      </w:r>
      <w:r>
        <w:tab/>
      </w:r>
      <w:r>
        <w:fldChar w:fldCharType="begin"/>
      </w:r>
      <w:r>
        <w:instrText xml:space="preserve"> PAGEREF _Toc2182 \h </w:instrText>
      </w:r>
      <w:r>
        <w:fldChar w:fldCharType="separate"/>
      </w:r>
      <w:r>
        <w:t>5</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_Toc10516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_Toc10516 \h </w:instrText>
      </w:r>
      <w:r>
        <w:fldChar w:fldCharType="separate"/>
      </w:r>
      <w:r>
        <w:t>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_Toc4850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w:t>
      </w:r>
      <w:r>
        <w:tab/>
      </w:r>
      <w:r>
        <w:fldChar w:fldCharType="begin"/>
      </w:r>
      <w:r>
        <w:instrText xml:space="preserve"> PAGEREF _Toc4850 \h </w:instrText>
      </w:r>
      <w:r>
        <w:fldChar w:fldCharType="separate"/>
      </w:r>
      <w:r>
        <w:t>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_Toc114 </w:instrText>
      </w:r>
      <w:r>
        <w:rPr>
          <w:rFonts w:hint="eastAsia" w:ascii="宋体" w:hAnsi="宋体" w:cs="仿宋"/>
          <w:szCs w:val="21"/>
        </w:rPr>
        <w:fldChar w:fldCharType="separate"/>
      </w:r>
      <w:r>
        <w:rPr>
          <w:rFonts w:hint="eastAsia" w:ascii="宋体" w:hAnsi="宋体" w:eastAsia="宋体" w:cs="仿宋"/>
          <w:bCs/>
          <w:szCs w:val="21"/>
        </w:rPr>
        <w:t xml:space="preserve">五、 </w:t>
      </w:r>
      <w:r>
        <w:rPr>
          <w:rFonts w:hint="eastAsia" w:ascii="宋体" w:hAnsi="宋体"/>
          <w:szCs w:val="21"/>
        </w:rPr>
        <w:t>其他项目说明资料</w:t>
      </w:r>
      <w:r>
        <w:tab/>
      </w:r>
      <w:r>
        <w:fldChar w:fldCharType="begin"/>
      </w:r>
      <w:r>
        <w:instrText xml:space="preserve"> PAGEREF _Toc114 \h </w:instrText>
      </w:r>
      <w:r>
        <w:fldChar w:fldCharType="separate"/>
      </w:r>
      <w:r>
        <w:t>10</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_Toc8298 </w:instrText>
      </w:r>
      <w:r>
        <w:rPr>
          <w:rFonts w:hint="eastAsia" w:ascii="宋体" w:hAnsi="宋体" w:cs="仿宋"/>
          <w:szCs w:val="21"/>
        </w:rPr>
        <w:fldChar w:fldCharType="separate"/>
      </w:r>
      <w:r>
        <w:rPr>
          <w:rFonts w:hint="eastAsia" w:ascii="宋体" w:hAnsi="宋体"/>
          <w:szCs w:val="32"/>
        </w:rPr>
        <w:t>第二部分：开标评标流程</w:t>
      </w:r>
      <w:r>
        <w:tab/>
      </w:r>
      <w:r>
        <w:fldChar w:fldCharType="begin"/>
      </w:r>
      <w:r>
        <w:instrText xml:space="preserve"> PAGEREF _Toc8298 \h </w:instrText>
      </w:r>
      <w:r>
        <w:fldChar w:fldCharType="separate"/>
      </w:r>
      <w:r>
        <w:t>16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_Toc18334 </w:instrText>
      </w:r>
      <w:r>
        <w:rPr>
          <w:rFonts w:hint="eastAsia" w:ascii="宋体" w:hAnsi="宋体" w:cs="仿宋"/>
          <w:szCs w:val="21"/>
        </w:rPr>
        <w:fldChar w:fldCharType="separate"/>
      </w:r>
      <w:r>
        <w:rPr>
          <w:rFonts w:hint="eastAsia" w:ascii="宋体" w:hAnsi="宋体" w:eastAsia="宋体" w:cs="仿宋"/>
          <w:bCs/>
        </w:rPr>
        <w:t xml:space="preserve">六、 </w:t>
      </w:r>
      <w:r>
        <w:rPr>
          <w:rFonts w:hint="eastAsia"/>
        </w:rPr>
        <w:t>开标阶段</w:t>
      </w:r>
      <w:r>
        <w:tab/>
      </w:r>
      <w:r>
        <w:fldChar w:fldCharType="begin"/>
      </w:r>
      <w:r>
        <w:instrText xml:space="preserve"> PAGEREF _Toc18334 \h </w:instrText>
      </w:r>
      <w:r>
        <w:fldChar w:fldCharType="separate"/>
      </w:r>
      <w:r>
        <w:t>16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_Toc18347 </w:instrText>
      </w:r>
      <w:r>
        <w:rPr>
          <w:rFonts w:hint="eastAsia" w:ascii="宋体" w:hAnsi="宋体" w:cs="仿宋"/>
          <w:szCs w:val="21"/>
        </w:rPr>
        <w:fldChar w:fldCharType="separate"/>
      </w:r>
      <w:r>
        <w:rPr>
          <w:rFonts w:hint="eastAsia" w:ascii="宋体" w:hAnsi="宋体" w:eastAsia="宋体" w:cs="仿宋"/>
          <w:bCs/>
        </w:rPr>
        <w:t xml:space="preserve">七、 </w:t>
      </w:r>
      <w:r>
        <w:rPr>
          <w:rFonts w:hint="eastAsia"/>
        </w:rPr>
        <w:t>评标阶段</w:t>
      </w:r>
      <w:r>
        <w:tab/>
      </w:r>
      <w:r>
        <w:fldChar w:fldCharType="begin"/>
      </w:r>
      <w:r>
        <w:instrText xml:space="preserve"> PAGEREF _Toc18347 \h </w:instrText>
      </w:r>
      <w:r>
        <w:fldChar w:fldCharType="separate"/>
      </w:r>
      <w:r>
        <w:t>16</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_Toc10363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_Toc10363 \h </w:instrText>
      </w:r>
      <w:r>
        <w:fldChar w:fldCharType="separate"/>
      </w:r>
      <w:r>
        <w:t>17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_Toc23888 </w:instrText>
      </w:r>
      <w:r>
        <w:rPr>
          <w:rFonts w:hint="eastAsia" w:ascii="宋体" w:hAnsi="宋体" w:cs="仿宋"/>
          <w:szCs w:val="21"/>
        </w:rPr>
        <w:fldChar w:fldCharType="separate"/>
      </w:r>
      <w:r>
        <w:rPr>
          <w:rFonts w:hint="eastAsia" w:ascii="宋体" w:hAnsi="宋体" w:eastAsia="宋体" w:cs="仿宋"/>
          <w:bCs/>
          <w:szCs w:val="21"/>
        </w:rPr>
        <w:t xml:space="preserve">八、 </w:t>
      </w:r>
      <w:r>
        <w:rPr>
          <w:rFonts w:hint="eastAsia" w:ascii="宋体" w:hAnsi="宋体"/>
          <w:bCs/>
          <w:szCs w:val="21"/>
        </w:rPr>
        <w:t>评审办法</w:t>
      </w:r>
      <w:r>
        <w:tab/>
      </w:r>
      <w:r>
        <w:fldChar w:fldCharType="begin"/>
      </w:r>
      <w:r>
        <w:instrText xml:space="preserve"> PAGEREF _Toc23888 \h </w:instrText>
      </w:r>
      <w:r>
        <w:fldChar w:fldCharType="separate"/>
      </w:r>
      <w:r>
        <w:t>17</w:t>
      </w:r>
      <w:r>
        <w:fldChar w:fldCharType="end"/>
      </w:r>
      <w:r>
        <w:rPr>
          <w:rFonts w:hint="eastAsia" w:ascii="宋体" w:hAnsi="宋体" w:cs="仿宋"/>
          <w:szCs w:val="21"/>
        </w:rPr>
        <w:fldChar w:fldCharType="end"/>
      </w:r>
    </w:p>
    <w:p>
      <w:pPr>
        <w:pStyle w:val="4"/>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_Toc2674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_Toc2674 \h </w:instrText>
      </w:r>
      <w:r>
        <w:fldChar w:fldCharType="separate"/>
      </w:r>
      <w:r>
        <w:t>17</w:t>
      </w:r>
      <w:r>
        <w:fldChar w:fldCharType="end"/>
      </w:r>
      <w:r>
        <w:rPr>
          <w:rFonts w:hint="eastAsia" w:ascii="宋体" w:hAnsi="宋体" w:cs="仿宋"/>
          <w:szCs w:val="21"/>
        </w:rPr>
        <w:fldChar w:fldCharType="end"/>
      </w:r>
    </w:p>
    <w:p>
      <w:pPr>
        <w:pStyle w:val="4"/>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_Toc27613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不可偏离项检查</w:t>
      </w:r>
      <w:r>
        <w:tab/>
      </w:r>
      <w:r>
        <w:fldChar w:fldCharType="begin"/>
      </w:r>
      <w:r>
        <w:instrText xml:space="preserve"> PAGEREF _Toc27613 \h </w:instrText>
      </w:r>
      <w:r>
        <w:fldChar w:fldCharType="separate"/>
      </w:r>
      <w:r>
        <w:t>17</w:t>
      </w:r>
      <w:r>
        <w:fldChar w:fldCharType="end"/>
      </w:r>
      <w:r>
        <w:rPr>
          <w:rFonts w:hint="eastAsia" w:ascii="宋体" w:hAnsi="宋体" w:cs="仿宋"/>
          <w:szCs w:val="21"/>
        </w:rPr>
        <w:fldChar w:fldCharType="end"/>
      </w:r>
    </w:p>
    <w:p>
      <w:pPr>
        <w:pStyle w:val="4"/>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_Toc27158 </w:instrText>
      </w:r>
      <w:r>
        <w:rPr>
          <w:rFonts w:hint="eastAsia" w:ascii="宋体" w:hAnsi="宋体" w:cs="仿宋"/>
          <w:szCs w:val="21"/>
        </w:rPr>
        <w:fldChar w:fldCharType="separate"/>
      </w:r>
      <w:r>
        <w:rPr>
          <w:rFonts w:hint="default"/>
        </w:rPr>
        <w:t xml:space="preserve">（三） </w:t>
      </w:r>
      <w:r>
        <w:rPr>
          <w:rFonts w:hint="eastAsia" w:ascii="宋体" w:hAnsi="宋体"/>
          <w:bCs/>
          <w:szCs w:val="21"/>
        </w:rPr>
        <w:t>综合评议指标表</w:t>
      </w:r>
      <w:r>
        <w:tab/>
      </w:r>
      <w:r>
        <w:fldChar w:fldCharType="begin"/>
      </w:r>
      <w:r>
        <w:instrText xml:space="preserve"> PAGEREF _Toc27158 \h </w:instrText>
      </w:r>
      <w:r>
        <w:fldChar w:fldCharType="separate"/>
      </w:r>
      <w:r>
        <w:t>17</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_Toc12592 </w:instrText>
      </w:r>
      <w:r>
        <w:rPr>
          <w:rFonts w:hint="eastAsia" w:ascii="宋体" w:hAnsi="宋体" w:cs="仿宋"/>
          <w:szCs w:val="21"/>
        </w:rPr>
        <w:fldChar w:fldCharType="separate"/>
      </w:r>
      <w:r>
        <w:rPr>
          <w:rFonts w:hint="eastAsia" w:ascii="宋体" w:hAnsi="宋体" w:eastAsia="宋体" w:cs="Times New Roman"/>
          <w:szCs w:val="32"/>
        </w:rPr>
        <w:t>第</w:t>
      </w:r>
      <w:r>
        <w:rPr>
          <w:rFonts w:hint="eastAsia" w:ascii="宋体" w:hAnsi="宋体" w:eastAsia="宋体" w:cs="Times New Roman"/>
          <w:szCs w:val="32"/>
          <w:lang w:val="en-US" w:eastAsia="zh-CN"/>
        </w:rPr>
        <w:t>四部分</w:t>
      </w:r>
      <w:r>
        <w:rPr>
          <w:rFonts w:hint="eastAsia" w:ascii="宋体" w:hAnsi="宋体" w:eastAsia="宋体" w:cs="Times New Roman"/>
          <w:szCs w:val="32"/>
        </w:rPr>
        <w:t xml:space="preserve"> 招标失败后续处理</w:t>
      </w:r>
      <w:r>
        <w:tab/>
      </w:r>
      <w:r>
        <w:fldChar w:fldCharType="begin"/>
      </w:r>
      <w:r>
        <w:instrText xml:space="preserve"> PAGEREF _Toc12592 \h </w:instrText>
      </w:r>
      <w:r>
        <w:fldChar w:fldCharType="separate"/>
      </w:r>
      <w:r>
        <w:t>20</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_Toc23296 </w:instrText>
      </w:r>
      <w:r>
        <w:rPr>
          <w:rFonts w:hint="eastAsia" w:ascii="宋体" w:hAnsi="宋体" w:cs="仿宋"/>
          <w:szCs w:val="21"/>
        </w:rPr>
        <w:fldChar w:fldCharType="separate"/>
      </w:r>
      <w:r>
        <w:rPr>
          <w:rFonts w:hint="eastAsia" w:ascii="宋体" w:hAnsi="宋体"/>
          <w:szCs w:val="32"/>
        </w:rPr>
        <w:t>第</w:t>
      </w:r>
      <w:r>
        <w:rPr>
          <w:rFonts w:hint="eastAsia" w:ascii="宋体" w:hAnsi="宋体"/>
          <w:szCs w:val="32"/>
          <w:lang w:val="en-US" w:eastAsia="zh-CN"/>
        </w:rPr>
        <w:t>五</w:t>
      </w:r>
      <w:r>
        <w:rPr>
          <w:rFonts w:hint="eastAsia" w:ascii="宋体" w:hAnsi="宋体"/>
          <w:szCs w:val="32"/>
        </w:rPr>
        <w:t>部分：合同条款及格式</w:t>
      </w:r>
      <w:r>
        <w:tab/>
      </w:r>
      <w:r>
        <w:fldChar w:fldCharType="begin"/>
      </w:r>
      <w:r>
        <w:instrText xml:space="preserve"> PAGEREF _Toc23296 \h </w:instrText>
      </w:r>
      <w:r>
        <w:fldChar w:fldCharType="separate"/>
      </w:r>
      <w:r>
        <w:t>1</w:t>
      </w:r>
      <w:r>
        <w:fldChar w:fldCharType="end"/>
      </w:r>
      <w:r>
        <w:rPr>
          <w:rFonts w:hint="eastAsia" w:ascii="宋体" w:hAnsi="宋体" w:cs="仿宋"/>
          <w:szCs w:val="21"/>
        </w:rPr>
        <w:fldChar w:fldCharType="end"/>
      </w:r>
    </w:p>
    <w:p>
      <w:pPr>
        <w:pStyle w:val="8"/>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_Toc21224 </w:instrText>
      </w:r>
      <w:r>
        <w:rPr>
          <w:rFonts w:hint="eastAsia" w:ascii="宋体" w:hAnsi="宋体" w:cs="仿宋"/>
          <w:szCs w:val="21"/>
        </w:rPr>
        <w:fldChar w:fldCharType="separate"/>
      </w:r>
      <w:r>
        <w:rPr>
          <w:rFonts w:hint="eastAsia"/>
          <w:szCs w:val="32"/>
        </w:rPr>
        <w:t>第</w:t>
      </w:r>
      <w:r>
        <w:rPr>
          <w:rFonts w:hint="eastAsia"/>
          <w:szCs w:val="32"/>
          <w:lang w:val="en-US" w:eastAsia="zh-CN"/>
        </w:rPr>
        <w:t>六</w:t>
      </w:r>
      <w:r>
        <w:rPr>
          <w:rFonts w:hint="eastAsia"/>
          <w:szCs w:val="32"/>
        </w:rPr>
        <w:t>部分：参考附件</w:t>
      </w:r>
      <w:r>
        <w:tab/>
      </w:r>
      <w:r>
        <w:fldChar w:fldCharType="begin"/>
      </w:r>
      <w:r>
        <w:instrText xml:space="preserve"> PAGEREF _Toc21224 \h </w:instrText>
      </w:r>
      <w:r>
        <w:fldChar w:fldCharType="separate"/>
      </w:r>
      <w:r>
        <w:t>5</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_Toc29462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_Toc29462 \h </w:instrText>
      </w:r>
      <w:r>
        <w:fldChar w:fldCharType="separate"/>
      </w:r>
      <w:r>
        <w:t>5</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_Toc781 </w:instrText>
      </w:r>
      <w:r>
        <w:rPr>
          <w:rFonts w:hint="eastAsia" w:ascii="宋体" w:hAnsi="宋体" w:cs="仿宋"/>
          <w:szCs w:val="21"/>
        </w:rPr>
        <w:fldChar w:fldCharType="separate"/>
      </w:r>
      <w:r>
        <w:rPr>
          <w:rFonts w:hint="eastAsia" w:ascii="宋体" w:hAnsi="宋体"/>
          <w:szCs w:val="21"/>
        </w:rPr>
        <w:t>附件2：投标函</w:t>
      </w:r>
      <w:r>
        <w:tab/>
      </w:r>
      <w:r>
        <w:fldChar w:fldCharType="begin"/>
      </w:r>
      <w:r>
        <w:instrText xml:space="preserve"> PAGEREF _Toc781 \h </w:instrText>
      </w:r>
      <w:r>
        <w:fldChar w:fldCharType="separate"/>
      </w:r>
      <w:r>
        <w:t>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_Toc10511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_Toc10511 \h </w:instrText>
      </w:r>
      <w:r>
        <w:fldChar w:fldCharType="separate"/>
      </w:r>
      <w:r>
        <w:t>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_Toc32518 </w:instrText>
      </w:r>
      <w:r>
        <w:rPr>
          <w:rFonts w:hint="eastAsia" w:ascii="宋体" w:hAnsi="宋体" w:cs="仿宋"/>
          <w:szCs w:val="21"/>
        </w:rPr>
        <w:fldChar w:fldCharType="separate"/>
      </w:r>
      <w:r>
        <w:rPr>
          <w:rFonts w:hint="eastAsia" w:ascii="宋体" w:hAnsi="宋体"/>
          <w:szCs w:val="21"/>
        </w:rPr>
        <w:t>附件4：考察证明</w:t>
      </w:r>
      <w:r>
        <w:tab/>
      </w:r>
      <w:r>
        <w:fldChar w:fldCharType="begin"/>
      </w:r>
      <w:r>
        <w:instrText xml:space="preserve"> PAGEREF _Toc32518 \h </w:instrText>
      </w:r>
      <w:r>
        <w:fldChar w:fldCharType="separate"/>
      </w:r>
      <w:r>
        <w:t>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_Toc2076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_Toc2076 \h </w:instrText>
      </w:r>
      <w:r>
        <w:fldChar w:fldCharType="separate"/>
      </w:r>
      <w:r>
        <w:t>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_Toc25368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_Toc25368 \h </w:instrText>
      </w:r>
      <w:r>
        <w:fldChar w:fldCharType="separate"/>
      </w:r>
      <w:r>
        <w:t>10</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_Toc27104 </w:instrText>
      </w:r>
      <w:r>
        <w:rPr>
          <w:rFonts w:hint="eastAsia" w:ascii="宋体" w:hAnsi="宋体" w:cs="仿宋"/>
          <w:szCs w:val="21"/>
        </w:rPr>
        <w:fldChar w:fldCharType="separate"/>
      </w:r>
      <w:r>
        <w:rPr>
          <w:rFonts w:hint="eastAsia" w:ascii="宋体" w:hAnsi="宋体"/>
          <w:szCs w:val="21"/>
        </w:rPr>
        <w:t>附件7：报价一览表（货物）（本项目不适用）</w:t>
      </w:r>
      <w:r>
        <w:tab/>
      </w:r>
      <w:r>
        <w:fldChar w:fldCharType="begin"/>
      </w:r>
      <w:r>
        <w:instrText xml:space="preserve"> PAGEREF _Toc27104 \h </w:instrText>
      </w:r>
      <w:r>
        <w:fldChar w:fldCharType="separate"/>
      </w:r>
      <w:r>
        <w:t>11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_Toc24322 </w:instrText>
      </w:r>
      <w:r>
        <w:rPr>
          <w:rFonts w:hint="eastAsia" w:ascii="宋体" w:hAnsi="宋体" w:cs="仿宋"/>
          <w:szCs w:val="21"/>
        </w:rPr>
        <w:fldChar w:fldCharType="separate"/>
      </w:r>
      <w:r>
        <w:rPr>
          <w:rFonts w:hint="eastAsia" w:ascii="宋体" w:hAnsi="宋体"/>
          <w:szCs w:val="21"/>
        </w:rPr>
        <w:t>附件8：报价一览表（服务）</w:t>
      </w:r>
      <w:r>
        <w:tab/>
      </w:r>
      <w:r>
        <w:fldChar w:fldCharType="begin"/>
      </w:r>
      <w:r>
        <w:instrText xml:space="preserve"> PAGEREF _Toc24322 \h </w:instrText>
      </w:r>
      <w:r>
        <w:fldChar w:fldCharType="separate"/>
      </w:r>
      <w:r>
        <w:t>12</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_Toc12572 </w:instrText>
      </w:r>
      <w:r>
        <w:rPr>
          <w:rFonts w:hint="eastAsia" w:ascii="宋体" w:hAnsi="宋体" w:cs="仿宋"/>
          <w:szCs w:val="21"/>
        </w:rPr>
        <w:fldChar w:fldCharType="separate"/>
      </w:r>
      <w:r>
        <w:rPr>
          <w:rFonts w:hint="eastAsia" w:ascii="宋体" w:hAnsi="宋体"/>
          <w:szCs w:val="21"/>
        </w:rPr>
        <w:t>附件9：报价一览表（工程）（本项目不适用）</w:t>
      </w:r>
      <w:r>
        <w:tab/>
      </w:r>
      <w:r>
        <w:fldChar w:fldCharType="begin"/>
      </w:r>
      <w:r>
        <w:instrText xml:space="preserve"> PAGEREF _Toc12572 \h </w:instrText>
      </w:r>
      <w:r>
        <w:fldChar w:fldCharType="separate"/>
      </w:r>
      <w:r>
        <w:t>13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_Toc31870 </w:instrText>
      </w:r>
      <w:r>
        <w:rPr>
          <w:rFonts w:hint="eastAsia" w:ascii="宋体" w:hAnsi="宋体" w:cs="仿宋"/>
          <w:szCs w:val="21"/>
        </w:rPr>
        <w:fldChar w:fldCharType="separate"/>
      </w:r>
      <w:r>
        <w:rPr>
          <w:rFonts w:hint="eastAsia" w:ascii="宋体" w:hAnsi="宋体"/>
          <w:szCs w:val="21"/>
        </w:rPr>
        <w:t>附件10：法定代表人证明书</w:t>
      </w:r>
      <w:r>
        <w:tab/>
      </w:r>
      <w:r>
        <w:fldChar w:fldCharType="begin"/>
      </w:r>
      <w:r>
        <w:instrText xml:space="preserve"> PAGEREF _Toc31870 \h </w:instrText>
      </w:r>
      <w:r>
        <w:fldChar w:fldCharType="separate"/>
      </w:r>
      <w:r>
        <w:t>14</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_Toc4790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_Toc4790 \h </w:instrText>
      </w:r>
      <w:r>
        <w:fldChar w:fldCharType="separate"/>
      </w:r>
      <w:r>
        <w:t>15</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_Toc28325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fldChar w:fldCharType="begin"/>
      </w:r>
      <w:r>
        <w:instrText xml:space="preserve"> PAGEREF _Toc28325 \h </w:instrText>
      </w:r>
      <w:r>
        <w:fldChar w:fldCharType="separate"/>
      </w:r>
      <w:r>
        <w:t>16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_Toc10246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_Toc10246 \h </w:instrText>
      </w:r>
      <w:r>
        <w:fldChar w:fldCharType="separate"/>
      </w:r>
      <w:r>
        <w:t>17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_Toc22917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_Toc22917 \h </w:instrText>
      </w:r>
      <w:r>
        <w:fldChar w:fldCharType="separate"/>
      </w:r>
      <w:r>
        <w:t>18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_Toc7316 </w:instrText>
      </w:r>
      <w:r>
        <w:rPr>
          <w:rFonts w:hint="eastAsia" w:ascii="宋体" w:hAnsi="宋体" w:cs="仿宋"/>
          <w:szCs w:val="21"/>
        </w:rPr>
        <w:fldChar w:fldCharType="separate"/>
      </w:r>
      <w:r>
        <w:rPr>
          <w:rFonts w:hint="eastAsia" w:ascii="宋体" w:hAnsi="宋体"/>
        </w:rPr>
        <w:t>附件15：投标文件密码单</w:t>
      </w:r>
      <w:r>
        <w:tab/>
      </w:r>
      <w:r>
        <w:fldChar w:fldCharType="begin"/>
      </w:r>
      <w:r>
        <w:instrText xml:space="preserve"> PAGEREF _Toc7316 \h </w:instrText>
      </w:r>
      <w:r>
        <w:fldChar w:fldCharType="separate"/>
      </w:r>
      <w:r>
        <w:t>19</w:t>
      </w:r>
      <w:r>
        <w:fldChar w:fldCharType="end"/>
      </w:r>
      <w:r>
        <w:rPr>
          <w:rFonts w:hint="eastAsia" w:ascii="宋体" w:hAnsi="宋体" w:cs="仿宋"/>
          <w:szCs w:val="21"/>
        </w:rP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bookmarkStart w:id="102" w:name="_GoBack"/>
      <w:bookmarkEnd w:id="102"/>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8707"/>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30904"/>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w:t>
            </w:r>
            <w:r>
              <w:rPr>
                <w:rFonts w:hint="eastAsia" w:ascii="宋体" w:hAnsi="宋体"/>
                <w:szCs w:val="21"/>
                <w:lang w:val="en-US" w:eastAsia="zh-CN"/>
              </w:rPr>
              <w:t>刘女士</w:t>
            </w:r>
          </w:p>
          <w:p>
            <w:pPr>
              <w:wordWrap w:val="0"/>
              <w:autoSpaceDE w:val="0"/>
              <w:autoSpaceDN w:val="0"/>
              <w:adjustRightInd w:val="0"/>
              <w:snapToGrid w:val="0"/>
              <w:rPr>
                <w:rFonts w:ascii="宋体" w:hAnsi="宋体"/>
                <w:szCs w:val="21"/>
              </w:rPr>
            </w:pPr>
            <w:r>
              <w:rPr>
                <w:rFonts w:hint="eastAsia" w:ascii="宋体" w:hAnsi="宋体"/>
                <w:szCs w:val="21"/>
              </w:rPr>
              <w:t>电话：0755-8284</w:t>
            </w:r>
            <w:r>
              <w:rPr>
                <w:rFonts w:hint="eastAsia" w:ascii="宋体" w:hAnsi="宋体"/>
                <w:szCs w:val="21"/>
                <w:lang w:val="en-US" w:eastAsia="zh-CN"/>
              </w:rPr>
              <w:t>8826</w:t>
            </w:r>
          </w:p>
          <w:p>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hint="default" w:ascii="宋体" w:hAnsi="宋体" w:eastAsia="宋体"/>
                <w:kern w:val="0"/>
                <w:szCs w:val="21"/>
                <w:u w:val="single"/>
                <w:lang w:val="en-US" w:eastAsia="zh-CN"/>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liuxh</w:t>
            </w:r>
            <w:r>
              <w:rPr>
                <w:rFonts w:hint="eastAsia" w:ascii="宋体" w:hAnsi="宋体"/>
                <w:szCs w:val="21"/>
              </w:rPr>
              <w:t>@</w:t>
            </w:r>
            <w:r>
              <w:rPr>
                <w:rFonts w:hint="eastAsia" w:ascii="宋体" w:hAnsi="宋体"/>
                <w:szCs w:val="21"/>
              </w:rPr>
              <w:fldChar w:fldCharType="end"/>
            </w:r>
            <w:r>
              <w:rPr>
                <w:rFonts w:hint="eastAsia" w:ascii="宋体" w:hAnsi="宋体"/>
                <w:szCs w:val="21"/>
                <w:lang w:val="en-US" w:eastAsia="zh-CN"/>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shd w:val="clear" w:color="auto" w:fill="auto"/>
            <w:vAlign w:val="center"/>
          </w:tcPr>
          <w:p>
            <w:pPr>
              <w:autoSpaceDE w:val="0"/>
              <w:autoSpaceDN w:val="0"/>
              <w:adjustRightInd w:val="0"/>
              <w:snapToGrid w:val="0"/>
              <w:rPr>
                <w:rFonts w:hint="eastAsia" w:ascii="宋体" w:hAnsi="宋体" w:eastAsia="宋体"/>
                <w:szCs w:val="21"/>
                <w:lang w:eastAsia="zh-CN"/>
              </w:rPr>
            </w:pPr>
            <w:r>
              <w:rPr>
                <w:rFonts w:hint="eastAsia" w:ascii="宋体" w:hAnsi="宋体"/>
                <w:szCs w:val="21"/>
              </w:rPr>
              <w:t>深圳会展中心第二十五届高交会展馆内会议区、国际信息发布厅、项目配对洽谈区及五楼新闻中心等设计、搭建及会务服务项目</w:t>
            </w:r>
            <w:r>
              <w:rPr>
                <w:rFonts w:hint="eastAsia" w:ascii="宋体" w:hAnsi="宋体"/>
                <w:szCs w:val="21"/>
                <w:lang w:eastAsia="zh-CN"/>
              </w:rPr>
              <w:t>（</w:t>
            </w:r>
            <w:r>
              <w:rPr>
                <w:rFonts w:hint="eastAsia" w:ascii="宋体" w:hAnsi="宋体"/>
                <w:szCs w:val="21"/>
                <w:lang w:val="en-US" w:eastAsia="zh-CN"/>
              </w:rPr>
              <w:t>二次启动</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shd w:val="clear" w:color="auto" w:fill="auto"/>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shd w:val="clear" w:color="auto" w:fill="auto"/>
            <w:vAlign w:val="center"/>
          </w:tcPr>
          <w:p>
            <w:pPr>
              <w:autoSpaceDE w:val="0"/>
              <w:autoSpaceDN w:val="0"/>
              <w:adjustRightInd w:val="0"/>
              <w:snapToGrid w:val="0"/>
              <w:rPr>
                <w:rFonts w:ascii="宋体" w:hAnsi="宋体"/>
                <w:i/>
                <w:szCs w:val="21"/>
              </w:rPr>
            </w:pPr>
            <w:r>
              <w:rPr>
                <w:rFonts w:hint="eastAsia" w:ascii="宋体" w:hAnsi="宋体"/>
                <w:szCs w:val="21"/>
              </w:rPr>
              <w:t>按照需求设计搭建第二十五届高交会的馆内会议区</w:t>
            </w:r>
            <w:r>
              <w:rPr>
                <w:rFonts w:ascii="宋体" w:hAnsi="宋体"/>
                <w:szCs w:val="21"/>
              </w:rPr>
              <w:t>4个，国际信息发布厅1个，项目配对洽谈区1个及五楼新闻中心等高交会功能区；同时需提供各功能区所需的设施设备及会务服务。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shd w:val="clear" w:color="auto" w:fill="auto"/>
            <w:vAlign w:val="center"/>
          </w:tcPr>
          <w:p>
            <w:pPr>
              <w:autoSpaceDE w:val="0"/>
              <w:autoSpaceDN w:val="0"/>
              <w:adjustRightInd w:val="0"/>
              <w:snapToGrid w:val="0"/>
              <w:rPr>
                <w:rFonts w:ascii="宋体" w:hAnsi="宋体"/>
                <w:szCs w:val="21"/>
              </w:rPr>
            </w:pPr>
            <w:r>
              <w:rPr>
                <w:rFonts w:hint="eastAsia" w:ascii="宋体" w:hAnsi="宋体"/>
                <w:szCs w:val="21"/>
              </w:rPr>
              <w:t>深圳会展中心（福田）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shd w:val="clear" w:color="auto" w:fill="auto"/>
            <w:vAlign w:val="center"/>
          </w:tcPr>
          <w:p>
            <w:pPr>
              <w:autoSpaceDE w:val="0"/>
              <w:autoSpaceDN w:val="0"/>
              <w:adjustRightInd w:val="0"/>
              <w:snapToGrid w:val="0"/>
              <w:rPr>
                <w:rFonts w:ascii="宋体" w:hAnsi="宋体"/>
                <w:szCs w:val="21"/>
              </w:rPr>
            </w:pPr>
            <w:r>
              <w:rPr>
                <w:rFonts w:ascii="宋体" w:hAnsi="宋体"/>
                <w:szCs w:val="21"/>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22</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https://cg.szcec.com/sharing/qOVmmbhEA，</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8"/>
                <w:rFonts w:ascii="宋体" w:hAnsi="宋体"/>
                <w:szCs w:val="21"/>
              </w:rPr>
              <w:t>https://www.szcec.com/News/index/id/256.html</w:t>
            </w:r>
            <w:r>
              <w:rPr>
                <w:rStyle w:val="18"/>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27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30</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10</w:t>
            </w:r>
            <w:r>
              <w:rPr>
                <w:rFonts w:ascii="宋体" w:hAnsi="宋体"/>
                <w:szCs w:val="21"/>
              </w:rPr>
              <w:t>-</w:t>
            </w:r>
            <w:r>
              <w:rPr>
                <w:rFonts w:hint="eastAsia" w:ascii="宋体" w:hAnsi="宋体"/>
                <w:szCs w:val="21"/>
                <w:lang w:val="en-US" w:eastAsia="zh-CN"/>
              </w:rPr>
              <w:t>31</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https://cg.szcec.com/sharing/ofE32yI85，</w:t>
            </w:r>
            <w:r>
              <w:rPr>
                <w:rFonts w:hint="eastAsia" w:ascii="宋体" w:hAnsi="宋体"/>
                <w:szCs w:val="21"/>
              </w:rPr>
              <w:t>并致电确认</w:t>
            </w:r>
            <w:bookmarkStart w:id="3" w:name="_Toc478393187"/>
            <w:bookmarkStart w:id="4" w:name="_Toc478110532"/>
            <w:bookmarkStart w:id="5" w:name="_Toc478392822"/>
            <w:r>
              <w:rPr>
                <w:rFonts w:hint="eastAsia" w:ascii="宋体" w:hAnsi="宋体"/>
                <w:szCs w:val="21"/>
              </w:rPr>
              <w:t>。</w:t>
            </w:r>
            <w:r>
              <w:rPr>
                <w:rFonts w:hint="eastAsia" w:ascii="宋体" w:hAnsi="宋体"/>
              </w:rPr>
              <w:t>注意事项如下：</w:t>
            </w:r>
          </w:p>
          <w:p>
            <w:pPr>
              <w:pStyle w:val="22"/>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11</w:t>
            </w:r>
            <w:r>
              <w:rPr>
                <w:rFonts w:ascii="宋体" w:hAnsi="宋体"/>
                <w:szCs w:val="21"/>
              </w:rPr>
              <w:t>-</w:t>
            </w:r>
            <w:r>
              <w:rPr>
                <w:rFonts w:hint="eastAsia" w:ascii="宋体" w:hAnsi="宋体"/>
                <w:szCs w:val="21"/>
                <w:lang w:val="en-US" w:eastAsia="zh-CN"/>
              </w:rPr>
              <w:t>1</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bCs/>
                <w:color w:val="FF0000"/>
                <w:highlight w:val="yellow"/>
                <w:lang w:val="en-US" w:eastAsia="zh-CN"/>
              </w:rPr>
              <w:t>406381997</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https://cg.szcec.com/sharing/hDuayhA8I</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szCs w:val="21"/>
              </w:rPr>
            </w:pPr>
            <w:r>
              <w:rPr>
                <w:rFonts w:hint="eastAsia" w:ascii="宋体" w:hAnsi="宋体"/>
                <w:kern w:val="0"/>
                <w:szCs w:val="21"/>
              </w:rPr>
              <w:sym w:font="Wingdings 2" w:char="0052"/>
            </w:r>
            <w:r>
              <w:rPr>
                <w:rFonts w:hint="eastAsia" w:ascii="宋体" w:hAnsi="宋体" w:cstheme="minorBidi"/>
                <w:szCs w:val="21"/>
              </w:rPr>
              <w:t>不接受</w:t>
            </w:r>
          </w:p>
          <w:p>
            <w:pPr>
              <w:autoSpaceDE w:val="0"/>
              <w:autoSpaceDN w:val="0"/>
              <w:adjustRightInd w:val="0"/>
              <w:snapToGrid w:val="0"/>
              <w:rPr>
                <w:rFonts w:ascii="宋体" w:hAnsi="宋体"/>
                <w:kern w:val="0"/>
                <w:szCs w:val="21"/>
              </w:rPr>
            </w:pPr>
            <w:r>
              <w:rPr>
                <w:rFonts w:hint="eastAsia" w:ascii="宋体" w:hAnsi="宋体" w:cstheme="minorBidi"/>
                <w:szCs w:val="21"/>
              </w:rPr>
              <w:t>□接受，应满足下列要求：</w:t>
            </w:r>
            <w:r>
              <w:rPr>
                <w:rFonts w:ascii="宋体" w:hAnsi="宋体" w:cstheme="minorBidi"/>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ascii="宋体" w:hAnsi="宋体" w:cs="Segoe UI Symbol"/>
                <w:kern w:val="0"/>
                <w:szCs w:val="21"/>
              </w:rPr>
              <w:sym w:font="Wingdings 2" w:char="00A3"/>
            </w:r>
            <w:r>
              <w:rPr>
                <w:rFonts w:hint="eastAsia" w:ascii="宋体" w:hAnsi="宋体" w:cstheme="minorBidi"/>
                <w:kern w:val="0"/>
                <w:szCs w:val="21"/>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ascii="宋体" w:hAnsi="宋体" w:cstheme="minorBidi"/>
                <w:kern w:val="0"/>
                <w:szCs w:val="21"/>
              </w:rPr>
              <w:sym w:font="Wingdings 2" w:char="0052"/>
            </w:r>
            <w:r>
              <w:rPr>
                <w:rFonts w:hint="eastAsia" w:ascii="宋体" w:hAnsi="宋体" w:cstheme="minorBidi"/>
                <w:kern w:val="0"/>
                <w:szCs w:val="21"/>
              </w:rPr>
              <w:t>组织，踏勘要求：</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sym w:font="Wingdings 2" w:char="0052"/>
            </w: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w:t>
            </w:r>
            <w:r>
              <w:rPr>
                <w:rFonts w:hint="eastAsia" w:ascii="宋体" w:hAnsi="宋体" w:eastAsia="宋体" w:cs="Times New Roman"/>
                <w:bCs/>
                <w:color w:val="FF0000"/>
                <w:kern w:val="2"/>
                <w:sz w:val="21"/>
                <w:szCs w:val="24"/>
                <w:highlight w:val="yellow"/>
                <w:lang w:val="en-US" w:eastAsia="zh-CN" w:bidi="ar-SA"/>
              </w:rPr>
              <w:t>2023-10-26 10: 00</w:t>
            </w:r>
            <w:r>
              <w:rPr>
                <w:rFonts w:hint="eastAsia" w:ascii="宋体" w:hAnsi="宋体" w:eastAsia="宋体"/>
                <w:kern w:val="0"/>
                <w:szCs w:val="21"/>
              </w:rPr>
              <w:t>邀请投标人人员察看现场并讲解项目需求；投标人应指派符合要求的人员参加本项目的现场踏勘。</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2"/>
              <w:numPr>
                <w:ilvl w:val="0"/>
                <w:numId w:val="6"/>
              </w:numPr>
              <w:tabs>
                <w:tab w:val="left" w:pos="541"/>
              </w:tabs>
              <w:snapToGrid w:val="0"/>
              <w:ind w:left="805" w:hanging="224" w:firstLineChars="0"/>
              <w:rPr>
                <w:rFonts w:ascii="宋体" w:hAnsi="宋体" w:eastAsia="宋体"/>
                <w:color w:val="FF0000"/>
                <w:kern w:val="0"/>
                <w:szCs w:val="21"/>
              </w:rPr>
            </w:pPr>
            <w:r>
              <w:rPr>
                <w:rFonts w:hint="eastAsia" w:ascii="宋体" w:hAnsi="宋体" w:eastAsia="宋体"/>
                <w:color w:val="FF0000"/>
                <w:kern w:val="0"/>
                <w:szCs w:val="21"/>
              </w:rPr>
              <w:t>踏勘联系人：</w:t>
            </w:r>
            <w:r>
              <w:rPr>
                <w:rFonts w:hint="eastAsia" w:ascii="宋体" w:hAnsi="宋体" w:eastAsia="宋体"/>
                <w:color w:val="FF0000"/>
                <w:kern w:val="0"/>
                <w:szCs w:val="21"/>
                <w:lang w:val="en-US" w:eastAsia="zh-CN"/>
              </w:rPr>
              <w:t>洪</w:t>
            </w:r>
            <w:r>
              <w:rPr>
                <w:rFonts w:hint="eastAsia" w:ascii="宋体" w:hAnsi="宋体" w:eastAsia="宋体"/>
                <w:color w:val="FF0000"/>
                <w:kern w:val="0"/>
                <w:szCs w:val="21"/>
              </w:rPr>
              <w:t>小姐</w:t>
            </w:r>
          </w:p>
          <w:p>
            <w:pPr>
              <w:pStyle w:val="22"/>
              <w:tabs>
                <w:tab w:val="left" w:pos="541"/>
              </w:tabs>
              <w:snapToGrid w:val="0"/>
              <w:ind w:left="805" w:firstLine="0" w:firstLineChars="0"/>
              <w:rPr>
                <w:rFonts w:hint="eastAsia" w:ascii="宋体" w:hAnsi="宋体" w:eastAsia="宋体"/>
                <w:color w:val="FF0000"/>
                <w:kern w:val="0"/>
                <w:szCs w:val="21"/>
                <w:lang w:val="en-US" w:eastAsia="zh-CN"/>
              </w:rPr>
            </w:pPr>
            <w:r>
              <w:rPr>
                <w:rFonts w:hint="eastAsia" w:ascii="宋体" w:hAnsi="宋体" w:eastAsia="宋体"/>
                <w:color w:val="FF0000"/>
                <w:kern w:val="0"/>
                <w:szCs w:val="21"/>
              </w:rPr>
              <w:t>电话：0755-82848</w:t>
            </w:r>
            <w:r>
              <w:rPr>
                <w:rFonts w:hint="eastAsia" w:ascii="宋体" w:hAnsi="宋体" w:eastAsia="宋体"/>
                <w:color w:val="FF0000"/>
                <w:kern w:val="0"/>
                <w:szCs w:val="21"/>
                <w:lang w:val="en-US" w:eastAsia="zh-CN"/>
              </w:rPr>
              <w:t>756</w:t>
            </w:r>
          </w:p>
          <w:p>
            <w:pPr>
              <w:pStyle w:val="22"/>
              <w:tabs>
                <w:tab w:val="left" w:pos="541"/>
              </w:tabs>
              <w:snapToGrid w:val="0"/>
              <w:ind w:left="805" w:firstLine="0" w:firstLineChars="0"/>
              <w:rPr>
                <w:rFonts w:hint="default" w:ascii="宋体" w:hAnsi="宋体" w:eastAsia="宋体"/>
                <w:color w:val="FF0000"/>
                <w:kern w:val="0"/>
                <w:szCs w:val="21"/>
                <w:lang w:val="en-US" w:eastAsia="zh-CN"/>
              </w:rPr>
            </w:pPr>
            <w:r>
              <w:rPr>
                <w:rFonts w:hint="eastAsia" w:ascii="宋体" w:hAnsi="宋体" w:eastAsia="宋体"/>
                <w:color w:val="FF0000"/>
                <w:kern w:val="0"/>
                <w:szCs w:val="21"/>
              </w:rPr>
              <w:t>集合地点：深圳会展中心（福田）</w:t>
            </w:r>
            <w:r>
              <w:rPr>
                <w:rFonts w:hint="eastAsia" w:ascii="宋体" w:hAnsi="宋体" w:eastAsia="宋体"/>
                <w:color w:val="FF0000"/>
                <w:kern w:val="0"/>
                <w:szCs w:val="21"/>
                <w:lang w:val="en-US" w:eastAsia="zh-CN"/>
              </w:rPr>
              <w:t>三楼313C</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ascii="宋体" w:hAnsi="宋体" w:eastAsia="宋体" w:cs="Segoe UI Symbol"/>
                <w:kern w:val="0"/>
                <w:szCs w:val="21"/>
              </w:rPr>
              <w:sym w:font="Wingdings 2" w:char="0052"/>
            </w:r>
            <w:r>
              <w:rPr>
                <w:rFonts w:hint="eastAsia" w:ascii="宋体" w:hAnsi="宋体" w:eastAsia="宋体" w:cs="Segoe UI Symbol"/>
                <w:kern w:val="0"/>
                <w:szCs w:val="21"/>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hint="eastAsia" w:ascii="宋体" w:hAnsi="宋体"/>
                <w:szCs w:val="21"/>
              </w:rPr>
              <w:t>不要求递交投标样品</w:t>
            </w:r>
          </w:p>
          <w:p>
            <w:pPr>
              <w:autoSpaceDE w:val="0"/>
              <w:autoSpaceDN w:val="0"/>
              <w:adjustRightInd w:val="0"/>
              <w:snapToGrid w:val="0"/>
              <w:jc w:val="left"/>
              <w:rPr>
                <w:rFonts w:ascii="宋体" w:hAnsi="宋体"/>
                <w:szCs w:val="21"/>
                <w:u w:val="single"/>
              </w:rPr>
            </w:pPr>
            <w:r>
              <w:rPr>
                <w:rFonts w:hint="eastAsia" w:ascii="宋体" w:hAnsi="宋体"/>
                <w:szCs w:val="21"/>
              </w:rPr>
              <w:t>□递交投标样品，具体要求：</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r>
              <w:rPr>
                <w:rFonts w:ascii="宋体" w:hAnsi="宋体" w:cs="Segoe UI Symbol"/>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1"/>
        </w:numPr>
        <w:spacing w:line="560" w:lineRule="exact"/>
        <w:outlineLvl w:val="1"/>
        <w:rPr>
          <w:rFonts w:ascii="宋体" w:hAnsi="宋体"/>
          <w:b/>
          <w:szCs w:val="21"/>
        </w:rPr>
      </w:pPr>
      <w:bookmarkStart w:id="7" w:name="_Toc82684705"/>
      <w:bookmarkEnd w:id="7"/>
      <w:bookmarkStart w:id="8" w:name="_Toc82684704"/>
      <w:bookmarkEnd w:id="8"/>
      <w:bookmarkStart w:id="9" w:name="_Toc82684703"/>
      <w:bookmarkEnd w:id="9"/>
      <w:bookmarkStart w:id="10" w:name="_Toc82684590"/>
      <w:bookmarkEnd w:id="10"/>
      <w:bookmarkStart w:id="11" w:name="_Toc82685541"/>
      <w:bookmarkEnd w:id="11"/>
      <w:bookmarkStart w:id="12" w:name="_Toc82685540"/>
      <w:bookmarkEnd w:id="12"/>
      <w:bookmarkStart w:id="13" w:name="_Toc82684588"/>
      <w:bookmarkEnd w:id="13"/>
      <w:bookmarkStart w:id="14" w:name="_Toc82591927"/>
      <w:bookmarkEnd w:id="14"/>
      <w:bookmarkStart w:id="15" w:name="_Toc82684591"/>
      <w:bookmarkEnd w:id="15"/>
      <w:bookmarkStart w:id="16" w:name="_Toc82591928"/>
      <w:bookmarkEnd w:id="16"/>
      <w:bookmarkStart w:id="17" w:name="_Toc82591926"/>
      <w:bookmarkEnd w:id="17"/>
      <w:bookmarkStart w:id="18" w:name="_Toc82685542"/>
      <w:bookmarkEnd w:id="18"/>
      <w:bookmarkStart w:id="19" w:name="_Toc82684706"/>
      <w:bookmarkEnd w:id="19"/>
      <w:bookmarkStart w:id="20" w:name="_Toc82685543"/>
      <w:bookmarkEnd w:id="20"/>
      <w:bookmarkStart w:id="21" w:name="_Toc82684589"/>
      <w:bookmarkEnd w:id="21"/>
      <w:bookmarkStart w:id="22" w:name="_Toc82591925"/>
      <w:bookmarkEnd w:id="22"/>
      <w:bookmarkStart w:id="23" w:name="_Toc2182"/>
      <w:r>
        <w:rPr>
          <w:rFonts w:hint="eastAsia" w:ascii="宋体" w:hAnsi="宋体"/>
          <w:b/>
          <w:szCs w:val="21"/>
        </w:rPr>
        <w:t>特别说明</w:t>
      </w:r>
      <w:bookmarkEnd w:id="23"/>
    </w:p>
    <w:p>
      <w:pPr>
        <w:pStyle w:val="22"/>
        <w:numPr>
          <w:ilvl w:val="0"/>
          <w:numId w:val="9"/>
        </w:numPr>
        <w:spacing w:line="360" w:lineRule="auto"/>
        <w:ind w:left="0" w:firstLine="420" w:firstLineChars="0"/>
        <w:rPr>
          <w:rFonts w:ascii="宋体" w:hAnsi="宋体" w:eastAsia="宋体" w:cs="宋体"/>
          <w:szCs w:val="21"/>
        </w:rPr>
      </w:pPr>
      <w:bookmarkStart w:id="24" w:name="_Toc45028463"/>
      <w:bookmarkStart w:id="25" w:name="_Toc478387747"/>
      <w:bookmarkStart w:id="26" w:name="_Toc517278751"/>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591986"/>
      <w:bookmarkEnd w:id="27"/>
      <w:bookmarkStart w:id="28" w:name="_Toc82685545"/>
      <w:bookmarkEnd w:id="28"/>
      <w:bookmarkStart w:id="29" w:name="_Toc82684593"/>
      <w:bookmarkEnd w:id="29"/>
      <w:bookmarkStart w:id="30" w:name="_Toc82591930"/>
      <w:bookmarkEnd w:id="30"/>
      <w:bookmarkStart w:id="31" w:name="_Toc82591985"/>
      <w:bookmarkEnd w:id="31"/>
      <w:bookmarkStart w:id="32" w:name="_Toc82684708"/>
      <w:bookmarkEnd w:id="32"/>
      <w:bookmarkStart w:id="33" w:name="_Toc82591988"/>
      <w:bookmarkEnd w:id="33"/>
      <w:bookmarkStart w:id="34" w:name="_Toc82591989"/>
      <w:bookmarkEnd w:id="34"/>
      <w:bookmarkStart w:id="35" w:name="_Toc82591987"/>
      <w:bookmarkEnd w:id="35"/>
      <w:bookmarkStart w:id="36" w:name="_Toc10516"/>
      <w:r>
        <w:rPr>
          <w:rFonts w:hint="eastAsia" w:ascii="宋体" w:hAnsi="宋体"/>
          <w:b/>
          <w:szCs w:val="21"/>
        </w:rPr>
        <w:t>投标文件编制</w:t>
      </w:r>
      <w:bookmarkEnd w:id="36"/>
    </w:p>
    <w:tbl>
      <w:tblPr>
        <w:tblStyle w:val="14"/>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1"/>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现场考察证明（如有）</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4850"/>
      <w:r>
        <w:rPr>
          <w:rFonts w:hint="eastAsia" w:ascii="宋体" w:hAnsi="宋体"/>
          <w:b/>
          <w:szCs w:val="21"/>
        </w:rPr>
        <w:t>项目要求</w:t>
      </w:r>
      <w:bookmarkEnd w:id="37"/>
    </w:p>
    <w:tbl>
      <w:tblPr>
        <w:tblStyle w:val="1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ascii="宋体"/>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rPr>
                <w:rFonts w:ascii="宋体" w:hAnsi="宋体" w:cs="宋体"/>
              </w:rPr>
            </w:pPr>
            <w:r>
              <w:rPr>
                <w:rFonts w:hint="eastAsia"/>
              </w:rPr>
              <w:t>投标人代表必须是投标单位的法定代表人或持有法定代表人亲自签署的法人授权委托证明书的人员。（提供法定代表人证明书、法人授权委托证明书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及法定代表人、被委托人身份证扫描件并加盖投标人公章；</w:t>
            </w:r>
            <w:r>
              <w:rPr>
                <w:rFonts w:hint="eastAsia"/>
              </w:rPr>
              <w:t>如单位法定代表人为本项目授权代表，则仅提供法定代表人证明书及身份证复印件，各证明书须加盖公章，身份证原件备查）。</w:t>
            </w:r>
          </w:p>
          <w:p>
            <w:pPr>
              <w:numPr>
                <w:ilvl w:val="0"/>
                <w:numId w:val="10"/>
              </w:numPr>
              <w:tabs>
                <w:tab w:val="left" w:pos="531"/>
              </w:tabs>
              <w:snapToGrid w:val="0"/>
              <w:ind w:left="0" w:firstLine="0"/>
              <w:rPr>
                <w:rFonts w:ascii="宋体" w:hAnsi="宋体" w:cs="宋体"/>
              </w:rPr>
            </w:pPr>
            <w:r>
              <w:rPr>
                <w:rFonts w:hint="eastAsia" w:ascii="宋体" w:hAnsi="宋体" w:cs="宋体"/>
                <w:szCs w:val="21"/>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pPr>
            <w:r>
              <w:rPr>
                <w:rFonts w:hint="eastAsia"/>
              </w:rPr>
              <w:t>本项目报价以人民币为结算币种，《投标一览表》应包含税率、税额、税前及税后总金额。</w:t>
            </w:r>
          </w:p>
          <w:p>
            <w:pPr>
              <w:numPr>
                <w:ilvl w:val="0"/>
                <w:numId w:val="11"/>
              </w:numPr>
              <w:tabs>
                <w:tab w:val="left" w:pos="531"/>
              </w:tabs>
              <w:snapToGrid w:val="0"/>
              <w:ind w:left="0" w:firstLine="0"/>
            </w:pPr>
            <w:r>
              <w:rPr>
                <w:rFonts w:hint="eastAsia"/>
              </w:rPr>
              <w:t>投标报价不得出现可选择性的报价</w:t>
            </w:r>
            <w:r>
              <w:t>,含有备选方案的报价将导致废标。</w:t>
            </w:r>
          </w:p>
          <w:p>
            <w:pPr>
              <w:numPr>
                <w:ilvl w:val="0"/>
                <w:numId w:val="11"/>
              </w:numPr>
              <w:tabs>
                <w:tab w:val="left" w:pos="531"/>
              </w:tabs>
              <w:snapToGrid w:val="0"/>
              <w:ind w:left="0" w:firstLine="0"/>
            </w:pPr>
            <w:r>
              <w:rPr>
                <w:rFonts w:hint="eastAsia"/>
              </w:rPr>
              <w:t>投标报价包括但不限于设计费、材料费、搭建费、设备设施（含租赁）费、管理费、人工费、交通运输费、安全措施费、保险及</w:t>
            </w:r>
            <w:r>
              <w:rPr>
                <w:rFonts w:hint="eastAsia"/>
                <w:lang w:val="en-US" w:eastAsia="zh-CN"/>
              </w:rPr>
              <w:t>增值</w:t>
            </w:r>
            <w:r>
              <w:rPr>
                <w:rFonts w:hint="eastAsia"/>
              </w:rPr>
              <w:t>税费等完成本项目所需的全部费用。</w:t>
            </w:r>
          </w:p>
          <w:p>
            <w:pPr>
              <w:numPr>
                <w:ilvl w:val="0"/>
                <w:numId w:val="11"/>
              </w:numPr>
              <w:tabs>
                <w:tab w:val="left" w:pos="531"/>
              </w:tabs>
              <w:snapToGrid w:val="0"/>
              <w:ind w:left="0" w:firstLine="0"/>
            </w:pPr>
            <w:r>
              <w:rPr>
                <w:rFonts w:hint="eastAsia"/>
              </w:rPr>
              <w:t>本项目承包方式为总价包干，采购人不再支付其他任何费用。</w:t>
            </w:r>
          </w:p>
          <w:p>
            <w:pPr>
              <w:pStyle w:val="2"/>
              <w:ind w:left="0"/>
            </w:pPr>
            <w:r>
              <w:rPr>
                <w:rFonts w:hint="eastAsia"/>
              </w:rPr>
              <w:t>（</w:t>
            </w:r>
            <w:r>
              <w:rPr>
                <w:rFonts w:ascii="Times New Roman" w:hAnsi="Times New Roman"/>
                <w:spacing w:val="0"/>
                <w:kern w:val="2"/>
                <w:sz w:val="21"/>
              </w:rPr>
              <w:t>5）</w:t>
            </w:r>
            <w:r>
              <w:rPr>
                <w:rFonts w:hint="eastAsia" w:ascii="Times New Roman" w:hAnsi="Times New Roman"/>
                <w:spacing w:val="0"/>
                <w:kern w:val="2"/>
                <w:sz w:val="21"/>
              </w:rPr>
              <w:t>本</w:t>
            </w:r>
            <w:r>
              <w:rPr>
                <w:rFonts w:ascii="Times New Roman" w:hAnsi="Times New Roman"/>
                <w:spacing w:val="0"/>
                <w:kern w:val="2"/>
                <w:sz w:val="21"/>
              </w:rPr>
              <w:t>项目报价需</w:t>
            </w:r>
            <w:r>
              <w:rPr>
                <w:rFonts w:hint="eastAsia" w:ascii="Times New Roman" w:hAnsi="Times New Roman"/>
                <w:spacing w:val="0"/>
                <w:kern w:val="2"/>
                <w:sz w:val="21"/>
                <w:lang w:val="en-US" w:eastAsia="zh-CN"/>
              </w:rPr>
              <w:t>同时提供各类搭建综合单价、各类设备设施使用或租赁单价等各分项报价清单</w:t>
            </w:r>
            <w:r>
              <w:rPr>
                <w:rFonts w:ascii="Times New Roman" w:hAnsi="Times New Roman"/>
                <w:spacing w:val="0"/>
                <w:kern w:val="2"/>
                <w:sz w:val="21"/>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szCs w:val="21"/>
              </w:rPr>
            </w:pPr>
            <w:r>
              <w:rPr>
                <w:rFonts w:hint="eastAsia" w:ascii="宋体" w:hAnsi="宋体" w:cs="宋体"/>
                <w:szCs w:val="21"/>
              </w:rPr>
              <w:t>本项目采购控制金额为人民币</w:t>
            </w:r>
            <w:r>
              <w:rPr>
                <w:rFonts w:ascii="宋体" w:hAnsi="宋体" w:cs="宋体"/>
                <w:szCs w:val="21"/>
              </w:rPr>
              <w:t>65.9万元（含税）</w:t>
            </w:r>
            <w:r>
              <w:rPr>
                <w:rFonts w:hint="eastAsia" w:ascii="宋体" w:hAnsi="宋体" w:cs="宋体"/>
                <w:szCs w:val="21"/>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付款及结算方式</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ascii="宋体" w:hAnsi="宋体" w:cs="宋体"/>
                <w:szCs w:val="21"/>
              </w:rPr>
              <w:t>1）在第二十五届高交会结束且该项目要求工作全部完成后将进行项目验收，并以经双方确认签署的“验收结算确认单”为准进行结算支付（</w:t>
            </w:r>
            <w:r>
              <w:rPr>
                <w:rFonts w:hint="eastAsia" w:ascii="宋体" w:hAnsi="宋体" w:cs="仿宋_GB2312"/>
                <w:szCs w:val="21"/>
              </w:rPr>
              <w:t>如有违反合同要求的情况则按合同规定执行。结算工作</w:t>
            </w:r>
            <w:r>
              <w:rPr>
                <w:rFonts w:hint="eastAsia" w:ascii="宋体" w:hAnsi="宋体" w:cs="宋体"/>
                <w:szCs w:val="21"/>
              </w:rPr>
              <w:t>详细事宜以合同条款为准）</w:t>
            </w:r>
            <w:r>
              <w:rPr>
                <w:rFonts w:hint="eastAsia" w:ascii="宋体" w:hAnsi="宋体" w:cs="宋体"/>
                <w:szCs w:val="21"/>
                <w:lang w:eastAsia="zh-CN"/>
              </w:rPr>
              <w:t>。</w:t>
            </w:r>
            <w:r>
              <w:rPr>
                <w:rFonts w:hint="eastAsia" w:ascii="宋体" w:hAnsi="宋体" w:cs="宋体"/>
                <w:szCs w:val="21"/>
                <w:lang w:val="en-US" w:eastAsia="zh-CN"/>
              </w:rPr>
              <w:t>中标人提供有效增值税发票。</w:t>
            </w:r>
          </w:p>
          <w:p>
            <w:pPr>
              <w:widowControl/>
              <w:jc w:val="left"/>
              <w:rPr>
                <w:rFonts w:ascii="宋体" w:hAnsi="宋体"/>
              </w:rPr>
            </w:pPr>
            <w:r>
              <w:rPr>
                <w:rFonts w:hint="eastAsia" w:ascii="宋体" w:hAnsi="宋体" w:cs="宋体"/>
                <w:szCs w:val="21"/>
              </w:rPr>
              <w:t>（</w:t>
            </w:r>
            <w:r>
              <w:rPr>
                <w:rFonts w:ascii="宋体" w:hAnsi="宋体" w:cs="宋体"/>
                <w:szCs w:val="21"/>
              </w:rPr>
              <w:t>2）</w:t>
            </w:r>
            <w:r>
              <w:rPr>
                <w:rFonts w:hint="eastAsia" w:ascii="宋体" w:hAnsi="宋体"/>
              </w:rPr>
              <w:t>如有因为大会布局调整造成的搭建面积和设备使用方面的调整，结算时按</w:t>
            </w:r>
            <w:r>
              <w:rPr>
                <w:rFonts w:hint="eastAsia" w:ascii="宋体" w:hAnsi="宋体"/>
                <w:lang w:val="en-US" w:eastAsia="zh-CN"/>
              </w:rPr>
              <w:t>各项</w:t>
            </w:r>
            <w:r>
              <w:rPr>
                <w:rFonts w:hint="eastAsia" w:ascii="宋体" w:hAnsi="宋体"/>
              </w:rPr>
              <w:t>单价</w:t>
            </w:r>
            <w:r>
              <w:rPr>
                <w:rFonts w:hint="eastAsia" w:ascii="宋体" w:hAnsi="宋体"/>
                <w:lang w:val="en-US" w:eastAsia="zh-CN"/>
              </w:rPr>
              <w:t>据实</w:t>
            </w:r>
            <w:r>
              <w:rPr>
                <w:rFonts w:hint="eastAsia" w:ascii="宋体" w:hAnsi="宋体"/>
              </w:rPr>
              <w:t>结算。</w:t>
            </w:r>
          </w:p>
          <w:p>
            <w:pPr>
              <w:pStyle w:val="11"/>
            </w:pPr>
            <w:r>
              <w:rPr>
                <w:rFonts w:hint="eastAsia" w:ascii="宋体" w:eastAsia="宋体"/>
              </w:rPr>
              <w:t>（</w:t>
            </w:r>
            <w:r>
              <w:rPr>
                <w:rFonts w:ascii="宋体" w:eastAsia="宋体"/>
              </w:rPr>
              <w:t>3</w:t>
            </w:r>
            <w:r>
              <w:rPr>
                <w:rFonts w:hint="eastAsia" w:ascii="宋体" w:eastAsia="宋体"/>
              </w:rPr>
              <w:t>）</w:t>
            </w:r>
            <w:r>
              <w:rPr>
                <w:rFonts w:hint="eastAsia" w:ascii="宋体" w:eastAsia="宋体" w:cs="宋体"/>
                <w:szCs w:val="21"/>
              </w:rPr>
              <w:t>在第二十五届高交会结束且该项目工作全部完成并验收合格后，一次性支付项目全部款项。</w:t>
            </w:r>
            <w:r>
              <w:rPr>
                <w:rFonts w:hint="eastAsia" w:ascii="宋体" w:eastAsia="宋体" w:cs="仿宋_GB2312"/>
                <w:szCs w:val="21"/>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rFonts w:hint="default" w:ascii="宋体" w:eastAsia="宋体" w:cs="宋体"/>
                <w:lang w:val="en-US" w:eastAsia="zh-CN"/>
              </w:rPr>
            </w:pPr>
            <w:r>
              <w:rPr>
                <w:rFonts w:hint="eastAsia" w:ascii="宋体" w:hAnsi="宋体" w:cs="宋体"/>
              </w:rPr>
              <w:t>投标人完成本项目搭建及附属设备设施安装、现场服务等全部内容后，</w:t>
            </w:r>
            <w:r>
              <w:rPr>
                <w:rFonts w:hint="eastAsia" w:ascii="宋体" w:hAnsi="宋体" w:cs="宋体"/>
                <w:lang w:val="en-US" w:eastAsia="zh-CN"/>
              </w:rPr>
              <w:t>申请现场核验，在展会结束完成对搭建拆除，设备设施撤场、完成现场清洁后向招标人提出项目</w:t>
            </w:r>
            <w:r>
              <w:rPr>
                <w:rFonts w:hint="eastAsia" w:ascii="宋体" w:hAnsi="宋体" w:cs="宋体"/>
              </w:rPr>
              <w:t>验收申请，招标人组织验收。本项目根据相关国家标准、行业标准及本项目合同等内容及要求进行验收。</w:t>
            </w:r>
            <w:r>
              <w:rPr>
                <w:rFonts w:hint="eastAsia" w:ascii="宋体" w:hAnsi="宋体" w:cs="宋体"/>
                <w:lang w:val="en-US" w:eastAsia="zh-CN"/>
              </w:rPr>
              <w:t>中标人应对项目实施过程进行详细记录。</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知识产权归属</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szCs w:val="21"/>
              </w:rPr>
            </w:pPr>
            <w:r>
              <w:rPr>
                <w:rFonts w:hint="eastAsia" w:ascii="宋体" w:hAnsi="宋体" w:cs="宋体"/>
                <w:szCs w:val="21"/>
              </w:rPr>
              <w:t>（</w:t>
            </w:r>
            <w:r>
              <w:rPr>
                <w:rFonts w:ascii="宋体" w:hAnsi="宋体" w:cs="宋体"/>
                <w:szCs w:val="21"/>
              </w:rPr>
              <w:t>1）本项目所有成果版权归采购人所有。</w:t>
            </w:r>
          </w:p>
          <w:p>
            <w:pPr>
              <w:widowControl/>
              <w:numPr>
                <w:ilvl w:val="255"/>
                <w:numId w:val="0"/>
              </w:numPr>
              <w:ind w:right="28"/>
              <w:jc w:val="left"/>
              <w:rPr>
                <w:rFonts w:ascii="宋体" w:hAnsi="宋体" w:cs="宋体"/>
              </w:rPr>
            </w:pPr>
            <w:r>
              <w:rPr>
                <w:rFonts w:hint="eastAsia" w:ascii="宋体" w:hAnsi="宋体" w:cs="宋体"/>
                <w:szCs w:val="21"/>
              </w:rPr>
              <w:t>（</w:t>
            </w:r>
            <w:r>
              <w:rPr>
                <w:rFonts w:ascii="宋体" w:hAnsi="宋体" w:cs="宋体"/>
                <w:szCs w:val="21"/>
              </w:rPr>
              <w:t>2）中标单位应保证其所有设计成果及使用素材的原创性或拥有合法知识产权，不得有模仿、抄袭等侵权行为。中标单位须保证采购人在使用项目成果的任何一部分时免受第三方提出的涉及知识产权诉讼，且由此带来的任何法律和经济赔偿责任均由中标单位自行承担；若因此给采购人造成损失的，中标单位还须承担赔偿责任。</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项目内容</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rFonts w:ascii="宋体" w:hAnsi="宋体"/>
                <w:szCs w:val="21"/>
              </w:rPr>
            </w:pPr>
            <w:r>
              <w:rPr>
                <w:rFonts w:hint="eastAsia" w:ascii="宋体" w:hAnsi="宋体"/>
                <w:szCs w:val="21"/>
              </w:rPr>
              <w:t>本项目服务内容包括但不限于以下部分：</w:t>
            </w:r>
          </w:p>
          <w:p>
            <w:pPr>
              <w:pStyle w:val="34"/>
              <w:numPr>
                <w:ilvl w:val="0"/>
                <w:numId w:val="12"/>
              </w:numPr>
              <w:ind w:firstLineChars="0"/>
              <w:rPr>
                <w:rFonts w:ascii="宋体" w:hAnsi="宋体" w:eastAsia="宋体"/>
                <w:b/>
                <w:bCs/>
              </w:rPr>
            </w:pPr>
            <w:r>
              <w:rPr>
                <w:rFonts w:hint="eastAsia" w:ascii="宋体" w:hAnsi="宋体" w:eastAsia="宋体"/>
                <w:b/>
                <w:bCs/>
              </w:rPr>
              <w:t>设计搭建部分：</w:t>
            </w:r>
          </w:p>
          <w:p>
            <w:pPr>
              <w:pStyle w:val="34"/>
              <w:numPr>
                <w:ilvl w:val="0"/>
                <w:numId w:val="13"/>
              </w:numPr>
              <w:ind w:firstLineChars="0"/>
              <w:rPr>
                <w:rFonts w:ascii="宋体" w:hAnsi="宋体" w:eastAsia="宋体"/>
                <w:szCs w:val="21"/>
              </w:rPr>
            </w:pPr>
            <w:r>
              <w:rPr>
                <w:rFonts w:hint="eastAsia" w:ascii="宋体" w:hAnsi="宋体" w:eastAsia="宋体"/>
              </w:rPr>
              <w:t>第二十五届高交会福田展区馆内会议区（</w:t>
            </w:r>
            <w:r>
              <w:rPr>
                <w:rFonts w:ascii="宋体" w:hAnsi="宋体" w:eastAsia="宋体"/>
              </w:rPr>
              <w:t>4个</w:t>
            </w:r>
            <w:r>
              <w:rPr>
                <w:rFonts w:hint="eastAsia" w:ascii="宋体" w:hAnsi="宋体" w:eastAsia="宋体"/>
              </w:rPr>
              <w:t>），</w:t>
            </w:r>
            <w:r>
              <w:rPr>
                <w:rFonts w:hint="eastAsia" w:ascii="宋体" w:hAnsi="宋体" w:eastAsia="宋体"/>
                <w:szCs w:val="21"/>
              </w:rPr>
              <w:t>分别位于深圳会展中心（福田）</w:t>
            </w:r>
            <w:r>
              <w:rPr>
                <w:rFonts w:ascii="宋体" w:hAnsi="宋体" w:eastAsia="宋体"/>
                <w:szCs w:val="21"/>
              </w:rPr>
              <w:t>1</w:t>
            </w:r>
            <w:r>
              <w:rPr>
                <w:rFonts w:hint="eastAsia" w:ascii="宋体" w:hAnsi="宋体" w:eastAsia="宋体"/>
                <w:szCs w:val="21"/>
              </w:rPr>
              <w:t>、</w:t>
            </w:r>
            <w:r>
              <w:rPr>
                <w:rFonts w:ascii="宋体" w:hAnsi="宋体" w:eastAsia="宋体"/>
                <w:szCs w:val="21"/>
              </w:rPr>
              <w:t>2</w:t>
            </w:r>
            <w:r>
              <w:rPr>
                <w:rFonts w:hint="eastAsia" w:ascii="宋体" w:hAnsi="宋体" w:eastAsia="宋体"/>
                <w:szCs w:val="21"/>
              </w:rPr>
              <w:t>号馆：其中</w:t>
            </w:r>
            <w:r>
              <w:rPr>
                <w:rFonts w:ascii="宋体" w:hAnsi="宋体" w:eastAsia="宋体"/>
                <w:szCs w:val="21"/>
              </w:rPr>
              <w:t>3</w:t>
            </w:r>
            <w:r>
              <w:rPr>
                <w:rFonts w:hint="eastAsia" w:ascii="宋体" w:hAnsi="宋体" w:eastAsia="宋体"/>
                <w:szCs w:val="21"/>
              </w:rPr>
              <w:t>个为会议活动的举办场所，</w:t>
            </w:r>
            <w:r>
              <w:rPr>
                <w:rFonts w:ascii="宋体" w:hAnsi="宋体" w:eastAsia="宋体"/>
                <w:szCs w:val="21"/>
              </w:rPr>
              <w:t>1</w:t>
            </w:r>
            <w:r>
              <w:rPr>
                <w:rFonts w:hint="eastAsia" w:ascii="宋体" w:hAnsi="宋体" w:eastAsia="宋体"/>
                <w:szCs w:val="21"/>
              </w:rPr>
              <w:t>个为会议活动综合配套功能间；</w:t>
            </w:r>
          </w:p>
          <w:p>
            <w:pPr>
              <w:pStyle w:val="34"/>
              <w:numPr>
                <w:ilvl w:val="0"/>
                <w:numId w:val="13"/>
              </w:numPr>
              <w:ind w:firstLineChars="0"/>
              <w:rPr>
                <w:rFonts w:ascii="宋体" w:hAnsi="宋体" w:eastAsia="宋体"/>
                <w:szCs w:val="21"/>
              </w:rPr>
            </w:pPr>
            <w:r>
              <w:rPr>
                <w:rFonts w:hint="eastAsia" w:ascii="宋体" w:hAnsi="宋体" w:eastAsia="宋体"/>
                <w:szCs w:val="21"/>
              </w:rPr>
              <w:t>国际信息发布厅（</w:t>
            </w:r>
            <w:r>
              <w:rPr>
                <w:rFonts w:ascii="宋体" w:hAnsi="宋体" w:eastAsia="宋体"/>
                <w:szCs w:val="21"/>
              </w:rPr>
              <w:t>1</w:t>
            </w:r>
            <w:r>
              <w:rPr>
                <w:rFonts w:hint="eastAsia" w:ascii="宋体" w:hAnsi="宋体" w:eastAsia="宋体"/>
                <w:szCs w:val="21"/>
              </w:rPr>
              <w:t>个），位于深圳会展中心（福田）</w:t>
            </w:r>
            <w:r>
              <w:rPr>
                <w:rFonts w:ascii="宋体" w:hAnsi="宋体" w:eastAsia="宋体"/>
                <w:szCs w:val="21"/>
              </w:rPr>
              <w:t>1</w:t>
            </w:r>
            <w:r>
              <w:rPr>
                <w:rFonts w:hint="eastAsia" w:ascii="宋体" w:hAnsi="宋体" w:eastAsia="宋体"/>
                <w:szCs w:val="21"/>
              </w:rPr>
              <w:t>号馆东侧平台下方；</w:t>
            </w:r>
          </w:p>
          <w:p>
            <w:pPr>
              <w:pStyle w:val="34"/>
              <w:numPr>
                <w:ilvl w:val="0"/>
                <w:numId w:val="13"/>
              </w:numPr>
              <w:ind w:firstLineChars="0"/>
              <w:rPr>
                <w:rFonts w:ascii="宋体" w:hAnsi="宋体" w:eastAsia="宋体"/>
                <w:szCs w:val="21"/>
              </w:rPr>
            </w:pPr>
            <w:r>
              <w:rPr>
                <w:rFonts w:hint="eastAsia" w:ascii="宋体" w:hAnsi="宋体" w:eastAsia="宋体"/>
                <w:szCs w:val="21"/>
              </w:rPr>
              <w:t>项目配对洽谈区（</w:t>
            </w:r>
            <w:r>
              <w:rPr>
                <w:rFonts w:ascii="宋体" w:hAnsi="宋体" w:eastAsia="宋体"/>
                <w:szCs w:val="21"/>
              </w:rPr>
              <w:t>1</w:t>
            </w:r>
            <w:r>
              <w:rPr>
                <w:rFonts w:hint="eastAsia" w:ascii="宋体" w:hAnsi="宋体" w:eastAsia="宋体"/>
                <w:szCs w:val="21"/>
              </w:rPr>
              <w:t>个），位于深圳会展中心（福田）</w:t>
            </w:r>
            <w:r>
              <w:rPr>
                <w:rFonts w:ascii="宋体" w:hAnsi="宋体" w:eastAsia="宋体"/>
                <w:szCs w:val="21"/>
              </w:rPr>
              <w:t>9</w:t>
            </w:r>
            <w:r>
              <w:rPr>
                <w:rFonts w:hint="eastAsia" w:ascii="宋体" w:hAnsi="宋体" w:eastAsia="宋体"/>
                <w:szCs w:val="21"/>
              </w:rPr>
              <w:t>号馆；</w:t>
            </w:r>
          </w:p>
          <w:p>
            <w:pPr>
              <w:pStyle w:val="34"/>
              <w:numPr>
                <w:ilvl w:val="0"/>
                <w:numId w:val="13"/>
              </w:numPr>
              <w:ind w:firstLineChars="0"/>
              <w:rPr>
                <w:rFonts w:ascii="宋体" w:hAnsi="宋体" w:eastAsia="宋体"/>
                <w:szCs w:val="21"/>
              </w:rPr>
            </w:pPr>
            <w:r>
              <w:rPr>
                <w:rFonts w:hint="eastAsia" w:ascii="宋体" w:hAnsi="宋体" w:eastAsia="宋体"/>
                <w:szCs w:val="21"/>
              </w:rPr>
              <w:t>新闻中心，位于深圳会展中心（福田）五楼向日葵厅。</w:t>
            </w:r>
          </w:p>
          <w:p>
            <w:pPr>
              <w:pStyle w:val="34"/>
              <w:numPr>
                <w:ilvl w:val="0"/>
                <w:numId w:val="13"/>
              </w:numPr>
              <w:ind w:firstLineChars="0"/>
              <w:rPr>
                <w:rFonts w:ascii="宋体" w:hAnsi="宋体" w:eastAsia="宋体"/>
                <w:szCs w:val="21"/>
              </w:rPr>
            </w:pPr>
            <w:r>
              <w:rPr>
                <w:rFonts w:hint="eastAsia" w:ascii="宋体" w:hAnsi="宋体" w:eastAsia="宋体"/>
                <w:szCs w:val="21"/>
              </w:rPr>
              <w:t>以上所有功能区需同时配备各自所需的设备，</w:t>
            </w:r>
            <w:r>
              <w:rPr>
                <w:rFonts w:ascii="宋体" w:hAnsi="宋体" w:eastAsia="宋体"/>
                <w:szCs w:val="21"/>
              </w:rPr>
              <w:t>各项目设备要求详见</w:t>
            </w:r>
            <w:r>
              <w:rPr>
                <w:rFonts w:hint="eastAsia" w:ascii="宋体" w:hAnsi="宋体" w:eastAsia="宋体"/>
                <w:b/>
                <w:bCs/>
              </w:rPr>
              <w:t>“五、其他项目说明资料”</w:t>
            </w:r>
            <w:r>
              <w:rPr>
                <w:rFonts w:hint="eastAsia" w:ascii="宋体" w:hAnsi="宋体" w:eastAsia="宋体"/>
                <w:szCs w:val="21"/>
              </w:rPr>
              <w:t>。</w:t>
            </w:r>
          </w:p>
          <w:p>
            <w:pPr>
              <w:pStyle w:val="34"/>
              <w:ind w:firstLine="0" w:firstLineChars="0"/>
              <w:rPr>
                <w:rFonts w:ascii="宋体" w:hAnsi="宋体" w:eastAsia="宋体"/>
                <w:szCs w:val="21"/>
              </w:rPr>
            </w:pPr>
            <w:r>
              <w:rPr>
                <w:rFonts w:hint="eastAsia" w:ascii="宋体" w:hAnsi="宋体" w:eastAsia="宋体"/>
                <w:szCs w:val="21"/>
              </w:rPr>
              <w:t>（备注：以上所有施工地点均以采购人最终确定的具体位置为准。）</w:t>
            </w:r>
          </w:p>
          <w:p>
            <w:pPr>
              <w:pStyle w:val="34"/>
              <w:ind w:firstLine="0" w:firstLineChars="0"/>
              <w:rPr>
                <w:rFonts w:ascii="宋体" w:hAnsi="宋体" w:eastAsia="宋体"/>
                <w:szCs w:val="21"/>
              </w:rPr>
            </w:pPr>
          </w:p>
          <w:p>
            <w:pPr>
              <w:pStyle w:val="34"/>
              <w:numPr>
                <w:ilvl w:val="0"/>
                <w:numId w:val="12"/>
              </w:numPr>
              <w:ind w:firstLineChars="0"/>
              <w:rPr>
                <w:rFonts w:ascii="宋体" w:hAnsi="宋体" w:eastAsia="宋体"/>
                <w:b/>
                <w:bCs/>
              </w:rPr>
            </w:pPr>
            <w:r>
              <w:rPr>
                <w:rFonts w:hint="eastAsia" w:ascii="宋体" w:hAnsi="宋体" w:eastAsia="宋体"/>
                <w:b/>
                <w:bCs/>
              </w:rPr>
              <w:t>会务服务部分：</w:t>
            </w:r>
          </w:p>
          <w:p>
            <w:pPr>
              <w:pStyle w:val="34"/>
              <w:ind w:firstLine="0" w:firstLineChars="0"/>
              <w:rPr>
                <w:rFonts w:ascii="宋体" w:hAnsi="宋体" w:eastAsia="宋体"/>
              </w:rPr>
            </w:pPr>
            <w:r>
              <w:rPr>
                <w:rFonts w:hint="eastAsia" w:ascii="宋体" w:hAnsi="宋体" w:eastAsia="宋体"/>
              </w:rPr>
              <w:t>第二十五届高交会期间，展馆内会议区（</w:t>
            </w:r>
            <w:r>
              <w:rPr>
                <w:rFonts w:ascii="宋体" w:hAnsi="宋体" w:eastAsia="宋体"/>
              </w:rPr>
              <w:t>4个</w:t>
            </w:r>
            <w:r>
              <w:rPr>
                <w:rFonts w:hint="eastAsia" w:ascii="宋体" w:hAnsi="宋体" w:eastAsia="宋体"/>
              </w:rPr>
              <w:t>），需配备</w:t>
            </w:r>
            <w:r>
              <w:rPr>
                <w:rFonts w:hint="eastAsia"/>
                <w:lang w:val="en-US" w:eastAsia="zh-CN"/>
              </w:rPr>
              <w:t>至少</w:t>
            </w:r>
            <w:r>
              <w:rPr>
                <w:rFonts w:hint="eastAsia" w:ascii="宋体" w:hAnsi="宋体" w:eastAsia="宋体"/>
                <w:lang w:val="en-US" w:eastAsia="zh-CN"/>
              </w:rPr>
              <w:t>8名</w:t>
            </w:r>
            <w:r>
              <w:rPr>
                <w:rFonts w:hint="eastAsia" w:ascii="宋体" w:hAnsi="宋体" w:eastAsia="宋体"/>
              </w:rPr>
              <w:t>服务人员并提供包括但不限于活动场次间翻台、场地清洁、现场秩序维护、观众引导、设备调试操作、茶水茶歇糕点供应等会务服务。</w:t>
            </w:r>
          </w:p>
          <w:p>
            <w:pPr>
              <w:pStyle w:val="34"/>
              <w:ind w:firstLine="0" w:firstLineChars="0"/>
              <w:rPr>
                <w:rFonts w:ascii="宋体" w:hAnsi="宋体" w:eastAsia="宋体"/>
              </w:rPr>
            </w:pPr>
          </w:p>
          <w:p>
            <w:pPr>
              <w:pStyle w:val="34"/>
              <w:numPr>
                <w:ilvl w:val="0"/>
                <w:numId w:val="12"/>
              </w:numPr>
              <w:ind w:firstLineChars="0"/>
              <w:rPr>
                <w:rFonts w:ascii="宋体" w:hAnsi="宋体" w:eastAsia="宋体"/>
                <w:b/>
                <w:bCs/>
              </w:rPr>
            </w:pPr>
            <w:r>
              <w:rPr>
                <w:rFonts w:hint="eastAsia" w:ascii="宋体" w:hAnsi="宋体" w:eastAsia="宋体"/>
                <w:b/>
                <w:bCs/>
              </w:rPr>
              <w:t>以上项目内容具体需求及要求详见“五、其他项目说明资料”。</w:t>
            </w:r>
          </w:p>
          <w:p>
            <w:pPr>
              <w:tabs>
                <w:tab w:val="left" w:pos="531"/>
              </w:tabs>
              <w:snapToGrid w:val="0"/>
              <w:rPr>
                <w:rFonts w:ascii="宋体" w:hAnsi="宋体"/>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rPr>
              <w:t>时间要求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4"/>
              </w:numPr>
              <w:tabs>
                <w:tab w:val="left" w:pos="531"/>
              </w:tabs>
              <w:snapToGrid w:val="0"/>
              <w:jc w:val="left"/>
              <w:rPr>
                <w:rFonts w:ascii="宋体" w:hAnsi="宋体" w:cs="宋体"/>
              </w:rPr>
            </w:pPr>
            <w:r>
              <w:rPr>
                <w:rFonts w:hint="eastAsia" w:ascii="宋体" w:hAnsi="宋体" w:cs="宋体"/>
              </w:rPr>
              <w:t>施工时间：</w:t>
            </w:r>
            <w:r>
              <w:rPr>
                <w:rFonts w:ascii="宋体" w:hAnsi="宋体" w:cs="宋体"/>
              </w:rPr>
              <w:t>2023</w:t>
            </w:r>
            <w:r>
              <w:rPr>
                <w:rFonts w:hint="eastAsia" w:ascii="宋体" w:hAnsi="宋体" w:cs="宋体"/>
              </w:rPr>
              <w:t>年</w:t>
            </w:r>
            <w:r>
              <w:rPr>
                <w:rFonts w:ascii="宋体" w:hAnsi="宋体" w:cs="宋体"/>
              </w:rPr>
              <w:t>11月14</w:t>
            </w:r>
            <w:r>
              <w:rPr>
                <w:rFonts w:hint="eastAsia" w:ascii="宋体" w:hAnsi="宋体" w:cs="宋体"/>
              </w:rPr>
              <w:t>日</w:t>
            </w:r>
            <w:r>
              <w:rPr>
                <w:rFonts w:ascii="宋体" w:hAnsi="宋体" w:cs="宋体"/>
              </w:rPr>
              <w:t>12:00前</w:t>
            </w:r>
            <w:r>
              <w:rPr>
                <w:rFonts w:hint="eastAsia" w:ascii="宋体" w:hAnsi="宋体" w:cs="宋体"/>
                <w:szCs w:val="21"/>
              </w:rPr>
              <w:t>完成搭建及配套布置并完成</w:t>
            </w:r>
            <w:r>
              <w:rPr>
                <w:rFonts w:hint="eastAsia" w:ascii="宋体" w:hAnsi="宋体" w:cs="宋体"/>
                <w:szCs w:val="21"/>
                <w:lang w:val="en-US" w:eastAsia="zh-CN"/>
              </w:rPr>
              <w:t>现场</w:t>
            </w:r>
            <w:r>
              <w:rPr>
                <w:rFonts w:hint="eastAsia" w:ascii="宋体" w:hAnsi="宋体" w:cs="宋体"/>
                <w:szCs w:val="21"/>
              </w:rPr>
              <w:t>验收</w:t>
            </w:r>
            <w:r>
              <w:rPr>
                <w:rFonts w:hint="eastAsia" w:ascii="宋体" w:hAnsi="宋体" w:cs="宋体"/>
                <w:szCs w:val="21"/>
                <w:lang w:eastAsia="zh-CN"/>
              </w:rPr>
              <w:t>。</w:t>
            </w:r>
          </w:p>
          <w:p>
            <w:pPr>
              <w:numPr>
                <w:ilvl w:val="0"/>
                <w:numId w:val="14"/>
              </w:numPr>
              <w:tabs>
                <w:tab w:val="left" w:pos="531"/>
              </w:tabs>
              <w:snapToGrid w:val="0"/>
              <w:jc w:val="left"/>
              <w:rPr>
                <w:rFonts w:ascii="宋体" w:hAnsi="宋体" w:cs="宋体"/>
              </w:rPr>
            </w:pPr>
            <w:r>
              <w:rPr>
                <w:rFonts w:hint="eastAsia" w:ascii="宋体" w:hAnsi="宋体" w:cs="宋体"/>
              </w:rPr>
              <w:t>会期服务时间：</w:t>
            </w:r>
            <w:r>
              <w:rPr>
                <w:rFonts w:ascii="宋体" w:hAnsi="宋体" w:cs="宋体"/>
              </w:rPr>
              <w:t>2023</w:t>
            </w:r>
            <w:r>
              <w:rPr>
                <w:rFonts w:hint="eastAsia" w:ascii="宋体" w:hAnsi="宋体" w:cs="宋体"/>
              </w:rPr>
              <w:t>年</w:t>
            </w:r>
            <w:r>
              <w:rPr>
                <w:rFonts w:ascii="宋体" w:hAnsi="宋体" w:cs="宋体"/>
              </w:rPr>
              <w:t>11</w:t>
            </w:r>
            <w:r>
              <w:rPr>
                <w:rFonts w:hint="eastAsia" w:ascii="宋体" w:hAnsi="宋体" w:cs="宋体"/>
              </w:rPr>
              <w:t>月</w:t>
            </w:r>
            <w:r>
              <w:rPr>
                <w:rFonts w:ascii="宋体" w:hAnsi="宋体" w:cs="宋体"/>
              </w:rPr>
              <w:t>15</w:t>
            </w:r>
            <w:r>
              <w:rPr>
                <w:rFonts w:hint="eastAsia" w:ascii="宋体" w:hAnsi="宋体" w:cs="宋体"/>
              </w:rPr>
              <w:t>日</w:t>
            </w:r>
            <w:r>
              <w:rPr>
                <w:rFonts w:ascii="宋体" w:hAnsi="宋体" w:cs="宋体"/>
              </w:rPr>
              <w:t>-19</w:t>
            </w:r>
            <w:r>
              <w:rPr>
                <w:rFonts w:hint="eastAsia" w:ascii="宋体" w:hAnsi="宋体" w:cs="宋体"/>
              </w:rPr>
              <w:t>日</w:t>
            </w:r>
          </w:p>
          <w:p>
            <w:pPr>
              <w:numPr>
                <w:ilvl w:val="0"/>
                <w:numId w:val="14"/>
              </w:numPr>
              <w:tabs>
                <w:tab w:val="left" w:pos="531"/>
              </w:tabs>
              <w:snapToGrid w:val="0"/>
              <w:jc w:val="left"/>
              <w:rPr>
                <w:rFonts w:ascii="宋体" w:hAnsi="宋体"/>
                <w:szCs w:val="21"/>
              </w:rPr>
            </w:pPr>
            <w:r>
              <w:rPr>
                <w:rFonts w:hint="eastAsia" w:ascii="宋体" w:hAnsi="宋体" w:cs="宋体"/>
              </w:rPr>
              <w:t>撤展时间：</w:t>
            </w:r>
            <w:r>
              <w:rPr>
                <w:rFonts w:ascii="宋体" w:hAnsi="宋体" w:cs="宋体"/>
              </w:rPr>
              <w:t>2023年11</w:t>
            </w:r>
            <w:r>
              <w:rPr>
                <w:rFonts w:hint="eastAsia" w:ascii="宋体" w:hAnsi="宋体" w:cs="宋体"/>
              </w:rPr>
              <w:t>月</w:t>
            </w:r>
            <w:r>
              <w:rPr>
                <w:rFonts w:ascii="宋体" w:hAnsi="宋体" w:cs="宋体"/>
              </w:rPr>
              <w:t>19</w:t>
            </w:r>
            <w:r>
              <w:rPr>
                <w:rFonts w:hint="eastAsia" w:ascii="宋体" w:hAnsi="宋体" w:cs="宋体"/>
              </w:rPr>
              <w:t>日</w:t>
            </w:r>
            <w:r>
              <w:rPr>
                <w:rFonts w:ascii="宋体" w:hAnsi="宋体"/>
                <w:szCs w:val="21"/>
              </w:rPr>
              <w:t>17:30</w:t>
            </w:r>
            <w:r>
              <w:rPr>
                <w:rFonts w:hint="eastAsia" w:ascii="宋体" w:hAnsi="宋体"/>
                <w:szCs w:val="21"/>
              </w:rPr>
              <w:t>-</w:t>
            </w:r>
            <w:r>
              <w:rPr>
                <w:rFonts w:ascii="宋体" w:hAnsi="宋体"/>
                <w:szCs w:val="21"/>
              </w:rPr>
              <w:t>24</w:t>
            </w:r>
            <w:r>
              <w:rPr>
                <w:rFonts w:hint="eastAsia" w:ascii="宋体" w:hAnsi="宋体"/>
                <w:szCs w:val="21"/>
              </w:rPr>
              <w:t>:</w:t>
            </w:r>
            <w:r>
              <w:rPr>
                <w:rFonts w:ascii="宋体" w:hAnsi="宋体"/>
                <w:szCs w:val="21"/>
              </w:rPr>
              <w:t>00</w:t>
            </w:r>
          </w:p>
          <w:p>
            <w:pPr>
              <w:pStyle w:val="2"/>
              <w:numPr>
                <w:ilvl w:val="0"/>
                <w:numId w:val="14"/>
              </w:numPr>
              <w:snapToGrid w:val="0"/>
              <w:ind w:left="0"/>
              <w:jc w:val="left"/>
              <w:rPr>
                <w:color w:val="FF0000"/>
              </w:rPr>
            </w:pPr>
            <w:r>
              <w:rPr>
                <w:rFonts w:hint="eastAsia"/>
              </w:rPr>
              <w:t>备注：以上具体日期均以</w:t>
            </w:r>
            <w:r>
              <w:rPr>
                <w:rFonts w:hint="eastAsia" w:ascii="宋体" w:hAnsi="宋体"/>
                <w:szCs w:val="21"/>
              </w:rPr>
              <w:t>采购人</w:t>
            </w:r>
            <w:r>
              <w:rPr>
                <w:rFonts w:ascii="宋体" w:hAnsi="宋体"/>
                <w:szCs w:val="21"/>
              </w:rPr>
              <w:t>公布的第二十五届高交会展期时间安排为准</w:t>
            </w:r>
            <w:r>
              <w:rPr>
                <w:rFonts w:hint="eastAsia" w:ascii="宋体" w:hAnsi="宋体"/>
                <w:szCs w:val="21"/>
              </w:rPr>
              <w:t>。</w:t>
            </w:r>
          </w:p>
        </w:tc>
        <w:tc>
          <w:tcPr>
            <w:tcW w:w="784"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color w:val="FF0000"/>
                <w:szCs w:val="21"/>
              </w:rPr>
            </w:pPr>
            <w:r>
              <w:rPr>
                <w:rFonts w:hint="eastAsia" w:ascii="宋体" w:hAnsi="宋体" w:cs="宋体"/>
                <w:snapToGrid/>
                <w:spacing w:val="0"/>
                <w:kern w:val="2"/>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szCs w:val="21"/>
              </w:rPr>
              <w:t>设计要求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5"/>
              </w:numPr>
              <w:tabs>
                <w:tab w:val="left" w:pos="531"/>
              </w:tabs>
              <w:snapToGrid w:val="0"/>
            </w:pPr>
            <w:r>
              <w:rPr>
                <w:rFonts w:hint="eastAsia"/>
              </w:rPr>
              <w:t>所有项目设计必须以第二十五届《高交会视觉识别系统应用规范手册》为执行标准，不得偏离其规范和风格。整体设计要符合第二十五届高交会的理念和特征，充分、统一、规范的体现第二十五届高交会形象风格；</w:t>
            </w:r>
          </w:p>
          <w:p>
            <w:pPr>
              <w:numPr>
                <w:ilvl w:val="0"/>
                <w:numId w:val="15"/>
              </w:numPr>
              <w:tabs>
                <w:tab w:val="left" w:pos="531"/>
              </w:tabs>
              <w:snapToGrid w:val="0"/>
            </w:pPr>
            <w:r>
              <w:rPr>
                <w:rFonts w:hint="eastAsia"/>
              </w:rPr>
              <w:t>所有项目出具的图稿、施工图纸必须标注其尺寸、材质、工艺等。各项目设计类型按照采购方需求设计修改，要与相关展区风格融洽，鼓励运用新型绿色建材；</w:t>
            </w:r>
          </w:p>
          <w:p>
            <w:pPr>
              <w:numPr>
                <w:ilvl w:val="0"/>
                <w:numId w:val="15"/>
              </w:numPr>
              <w:tabs>
                <w:tab w:val="left" w:pos="531"/>
              </w:tabs>
              <w:snapToGrid w:val="0"/>
            </w:pPr>
            <w:r>
              <w:rPr>
                <w:rFonts w:hint="eastAsia"/>
              </w:rPr>
              <w:t>展馆内会议区（</w:t>
            </w:r>
            <w:r>
              <w:t>4</w:t>
            </w:r>
            <w:r>
              <w:rPr>
                <w:rFonts w:hint="eastAsia"/>
              </w:rPr>
              <w:t>个）、国际信息发布厅、项目配对洽谈区为馆内特装搭建，整体高度限高</w:t>
            </w:r>
            <w:r>
              <w:t>4</w:t>
            </w:r>
            <w:r>
              <w:rPr>
                <w:rFonts w:hint="eastAsia"/>
              </w:rPr>
              <w:t>米；新闻中心限高2.5米；均需设置应急逃生出口并配备明显标识，场地内的消防栓等消防设施必须配备明显标识，并可快速取用。</w:t>
            </w:r>
          </w:p>
          <w:p>
            <w:pPr>
              <w:numPr>
                <w:ilvl w:val="0"/>
                <w:numId w:val="15"/>
              </w:numPr>
              <w:tabs>
                <w:tab w:val="left" w:pos="531"/>
              </w:tabs>
              <w:snapToGrid w:val="0"/>
            </w:pPr>
            <w:r>
              <w:rPr>
                <w:rFonts w:hint="eastAsia"/>
              </w:rPr>
              <w:t>各项目具体要求见</w:t>
            </w:r>
            <w:r>
              <w:rPr>
                <w:rFonts w:hint="eastAsia" w:ascii="宋体" w:hAnsi="宋体"/>
                <w:b/>
                <w:bCs/>
              </w:rPr>
              <w:t>“五、其他项目说明资料”。</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项目团队人员要求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6"/>
              </w:numPr>
              <w:tabs>
                <w:tab w:val="left" w:pos="531"/>
              </w:tabs>
              <w:snapToGrid w:val="0"/>
              <w:rPr>
                <w:rFonts w:ascii="宋体" w:hAnsi="宋体"/>
              </w:rPr>
            </w:pPr>
            <w:r>
              <w:rPr>
                <w:rFonts w:hint="eastAsia" w:ascii="宋体" w:hAnsi="宋体"/>
                <w:b/>
                <w:bCs/>
              </w:rPr>
              <w:t>项目总负责人：</w:t>
            </w:r>
            <w:r>
              <w:rPr>
                <w:rFonts w:hint="eastAsia" w:ascii="宋体" w:hAnsi="宋体"/>
              </w:rPr>
              <w:t>投标人须为本项目指定项目总负责人</w:t>
            </w:r>
            <w:r>
              <w:rPr>
                <w:rFonts w:ascii="宋体" w:hAnsi="宋体"/>
              </w:rPr>
              <w:t>1</w:t>
            </w:r>
            <w:r>
              <w:rPr>
                <w:rFonts w:hint="eastAsia" w:ascii="宋体" w:hAnsi="宋体"/>
              </w:rPr>
              <w:t>名，负责项目履约、质量、安全、进度跟进、协调等一切事务，须提交</w:t>
            </w:r>
            <w:r>
              <w:rPr>
                <w:rFonts w:hint="eastAsia" w:ascii="宋体" w:hAnsi="宋体"/>
                <w:lang w:val="en-US" w:eastAsia="zh-CN"/>
              </w:rPr>
              <w:t>简历</w:t>
            </w:r>
            <w:r>
              <w:rPr>
                <w:rFonts w:hint="eastAsia" w:ascii="宋体" w:hAnsi="宋体"/>
              </w:rPr>
              <w:t>以及社保部门出具的近</w:t>
            </w:r>
            <w:r>
              <w:rPr>
                <w:rFonts w:ascii="宋体" w:hAnsi="宋体"/>
              </w:rPr>
              <w:t>3</w:t>
            </w:r>
            <w:r>
              <w:rPr>
                <w:rFonts w:hint="eastAsia" w:ascii="宋体" w:hAnsi="宋体"/>
              </w:rPr>
              <w:t>个月由投标人为其缴纳社保的证明文件，所有文件均需加盖投标人公章。</w:t>
            </w:r>
          </w:p>
          <w:p/>
          <w:p>
            <w:pPr>
              <w:numPr>
                <w:ilvl w:val="0"/>
                <w:numId w:val="16"/>
              </w:numPr>
              <w:tabs>
                <w:tab w:val="left" w:pos="531"/>
              </w:tabs>
              <w:snapToGrid w:val="0"/>
              <w:rPr>
                <w:rFonts w:ascii="宋体" w:hAnsi="宋体"/>
              </w:rPr>
            </w:pPr>
            <w:r>
              <w:rPr>
                <w:rFonts w:hint="eastAsia" w:ascii="宋体" w:hAnsi="宋体"/>
                <w:b/>
                <w:bCs/>
              </w:rPr>
              <w:t>核心团队成员</w:t>
            </w:r>
            <w:r>
              <w:rPr>
                <w:rFonts w:hint="eastAsia" w:ascii="宋体" w:hAnsi="宋体"/>
              </w:rPr>
              <w:t>：展馆内会议区、国际信息发布厅、项目配对洽谈区、新闻中心应分别配备指定对接人员</w:t>
            </w:r>
            <w:r>
              <w:rPr>
                <w:rFonts w:ascii="宋体" w:hAnsi="宋体"/>
              </w:rPr>
              <w:t>1</w:t>
            </w:r>
            <w:r>
              <w:rPr>
                <w:rFonts w:hint="eastAsia" w:ascii="宋体" w:hAnsi="宋体"/>
              </w:rPr>
              <w:t>名，共至少</w:t>
            </w:r>
            <w:r>
              <w:rPr>
                <w:rFonts w:ascii="宋体" w:hAnsi="宋体"/>
              </w:rPr>
              <w:t>4人</w:t>
            </w:r>
            <w:r>
              <w:rPr>
                <w:rFonts w:hint="eastAsia" w:ascii="宋体" w:hAnsi="宋体"/>
                <w:b/>
                <w:bCs/>
              </w:rPr>
              <w:t>（名单不能重复，项目总负责人可</w:t>
            </w:r>
            <w:r>
              <w:rPr>
                <w:rFonts w:hint="eastAsia" w:ascii="宋体" w:hAnsi="宋体"/>
                <w:b/>
                <w:bCs/>
                <w:lang w:val="en-US" w:eastAsia="zh-CN"/>
              </w:rPr>
              <w:t>为</w:t>
            </w:r>
            <w:r>
              <w:rPr>
                <w:rFonts w:hint="eastAsia" w:ascii="宋体" w:hAnsi="宋体"/>
                <w:b/>
                <w:bCs/>
              </w:rPr>
              <w:t>其中</w:t>
            </w:r>
            <w:r>
              <w:rPr>
                <w:rFonts w:ascii="宋体" w:hAnsi="宋体"/>
                <w:b/>
                <w:bCs/>
              </w:rPr>
              <w:t>1</w:t>
            </w:r>
            <w:r>
              <w:rPr>
                <w:rFonts w:hint="eastAsia" w:ascii="宋体" w:hAnsi="宋体"/>
                <w:b/>
                <w:bCs/>
              </w:rPr>
              <w:t>名）</w:t>
            </w:r>
            <w:r>
              <w:rPr>
                <w:rFonts w:hint="eastAsia" w:ascii="宋体" w:hAnsi="宋体"/>
              </w:rPr>
              <w:t>，负责跟进协调各功能区的具体执行事务。投标人需提供相应人员名单，以及社保部门出具的近</w:t>
            </w:r>
            <w:r>
              <w:rPr>
                <w:rFonts w:ascii="宋体" w:hAnsi="宋体"/>
              </w:rPr>
              <w:t>3</w:t>
            </w:r>
            <w:r>
              <w:rPr>
                <w:rFonts w:hint="eastAsia" w:ascii="宋体" w:hAnsi="宋体"/>
              </w:rPr>
              <w:t>个月由投标人为其缴纳社保的证明文件，所有文件均需加盖投标人公章。</w:t>
            </w:r>
          </w:p>
          <w:p/>
          <w:p>
            <w:pPr>
              <w:numPr>
                <w:ilvl w:val="0"/>
                <w:numId w:val="16"/>
              </w:numPr>
              <w:tabs>
                <w:tab w:val="left" w:pos="531"/>
              </w:tabs>
              <w:snapToGrid w:val="0"/>
              <w:rPr>
                <w:rFonts w:ascii="宋体" w:hAnsi="宋体"/>
                <w:b/>
                <w:bCs/>
              </w:rPr>
            </w:pPr>
            <w:r>
              <w:rPr>
                <w:rFonts w:hint="eastAsia" w:ascii="宋体" w:hAnsi="宋体"/>
                <w:b/>
                <w:bCs/>
              </w:rPr>
              <w:t>其他团队人员：</w:t>
            </w:r>
          </w:p>
          <w:p>
            <w:pPr>
              <w:numPr>
                <w:ilvl w:val="255"/>
                <w:numId w:val="0"/>
              </w:numPr>
              <w:tabs>
                <w:tab w:val="left" w:pos="531"/>
              </w:tabs>
              <w:snapToGrid w:val="0"/>
              <w:rPr>
                <w:rFonts w:ascii="宋体" w:hAnsi="宋体"/>
              </w:rPr>
            </w:pPr>
            <w:r>
              <w:rPr>
                <w:rFonts w:hint="eastAsia" w:ascii="宋体" w:hAnsi="宋体"/>
                <w:b/>
                <w:bCs/>
              </w:rPr>
              <w:t>①设计师：</w:t>
            </w:r>
            <w:r>
              <w:rPr>
                <w:rFonts w:hint="eastAsia" w:ascii="宋体" w:hAnsi="宋体"/>
              </w:rPr>
              <w:t>须为本项目指派专业专职设计师（设计类专业毕业，</w:t>
            </w:r>
            <w:r>
              <w:rPr>
                <w:rFonts w:hint="eastAsia" w:ascii="宋体" w:hAnsi="宋体"/>
                <w:lang w:val="en-US" w:eastAsia="zh-CN"/>
              </w:rPr>
              <w:t>大专</w:t>
            </w:r>
            <w:r>
              <w:rPr>
                <w:rFonts w:hint="eastAsia" w:ascii="宋体" w:hAnsi="宋体"/>
              </w:rPr>
              <w:t>及以上学历且从事设计师工作人员，非职业设计师不得纳入其中）至少</w:t>
            </w:r>
            <w:r>
              <w:rPr>
                <w:rFonts w:ascii="宋体" w:hAnsi="宋体"/>
              </w:rPr>
              <w:t>2</w:t>
            </w:r>
            <w:r>
              <w:rPr>
                <w:rFonts w:hint="eastAsia" w:ascii="宋体" w:hAnsi="宋体"/>
              </w:rPr>
              <w:t>人，投标人需提供相应人员名单，设计师个人简历、学历证书复印件并加盖投标人公章。</w:t>
            </w:r>
          </w:p>
          <w:p>
            <w:pPr>
              <w:pStyle w:val="34"/>
              <w:ind w:firstLine="0" w:firstLineChars="0"/>
              <w:rPr>
                <w:rFonts w:ascii="宋体" w:hAnsi="宋体" w:eastAsia="宋体"/>
              </w:rPr>
            </w:pPr>
            <w:r>
              <w:rPr>
                <w:rFonts w:hint="eastAsia" w:ascii="宋体" w:hAnsi="宋体" w:eastAsia="宋体"/>
                <w:b/>
                <w:bCs/>
              </w:rPr>
              <w:t>②专职安全员</w:t>
            </w:r>
            <w:r>
              <w:rPr>
                <w:rFonts w:hint="eastAsia" w:ascii="宋体" w:hAnsi="宋体" w:eastAsia="宋体"/>
              </w:rPr>
              <w:t>：须为本项目配备专职安全员至少2</w:t>
            </w:r>
            <w:r>
              <w:rPr>
                <w:rFonts w:ascii="宋体" w:hAnsi="宋体" w:eastAsia="宋体"/>
              </w:rPr>
              <w:t>人；</w:t>
            </w:r>
            <w:r>
              <w:rPr>
                <w:rFonts w:hint="eastAsia" w:ascii="宋体" w:hAnsi="宋体" w:eastAsia="宋体"/>
              </w:rPr>
              <w:t>负责本项目实施期间的施工安全管理并做好施工人员及服务人员的安全生产管理工作。投标人需提供相应人员名单、</w:t>
            </w:r>
            <w:r>
              <w:rPr>
                <w:rFonts w:hint="eastAsia" w:ascii="宋体" w:hAnsi="宋体" w:eastAsia="宋体"/>
                <w:szCs w:val="21"/>
              </w:rPr>
              <w:t>有效安全员资格证复印件</w:t>
            </w:r>
            <w:r>
              <w:rPr>
                <w:rFonts w:hint="eastAsia" w:ascii="宋体" w:hAnsi="宋体"/>
              </w:rPr>
              <w:t>并加盖投标人公章。</w:t>
            </w:r>
            <w:r>
              <w:rPr>
                <w:rFonts w:hint="eastAsia" w:ascii="宋体" w:hAnsi="宋体" w:eastAsia="宋体"/>
                <w:szCs w:val="21"/>
              </w:rPr>
              <w:t>。</w:t>
            </w:r>
          </w:p>
          <w:p>
            <w:pPr>
              <w:pStyle w:val="34"/>
              <w:ind w:firstLine="0" w:firstLineChars="0"/>
              <w:rPr>
                <w:rFonts w:ascii="宋体" w:hAnsi="宋体" w:eastAsia="宋体"/>
              </w:rPr>
            </w:pPr>
            <w:r>
              <w:rPr>
                <w:rFonts w:hint="eastAsia" w:ascii="宋体" w:hAnsi="宋体" w:eastAsia="宋体"/>
                <w:b/>
                <w:bCs/>
              </w:rPr>
              <w:t>③设备技术人员：</w:t>
            </w:r>
            <w:r>
              <w:rPr>
                <w:rFonts w:hint="eastAsia" w:ascii="宋体" w:hAnsi="宋体" w:eastAsia="宋体"/>
              </w:rPr>
              <w:t>每个项目及活动场地须配置专职设备技术人员至少</w:t>
            </w:r>
            <w:r>
              <w:rPr>
                <w:rFonts w:ascii="宋体" w:hAnsi="宋体" w:eastAsia="宋体"/>
              </w:rPr>
              <w:t>1人，负责现场音响、LED屏等会议设备的调试、操作及维护。</w:t>
            </w:r>
          </w:p>
          <w:p>
            <w:pPr>
              <w:pStyle w:val="34"/>
              <w:ind w:firstLine="0" w:firstLineChars="0"/>
              <w:rPr>
                <w:rFonts w:ascii="宋体" w:hAnsi="宋体" w:eastAsia="宋体"/>
              </w:rPr>
            </w:pPr>
            <w:r>
              <w:rPr>
                <w:rFonts w:hint="eastAsia" w:ascii="宋体" w:hAnsi="宋体" w:eastAsia="宋体"/>
                <w:b/>
                <w:bCs/>
              </w:rPr>
              <w:t>④现场会务人员</w:t>
            </w:r>
            <w:r>
              <w:rPr>
                <w:rFonts w:hint="eastAsia" w:ascii="宋体" w:hAnsi="宋体" w:eastAsia="宋体"/>
              </w:rPr>
              <w:t>：展馆内会议区（</w:t>
            </w:r>
            <w:r>
              <w:rPr>
                <w:rFonts w:ascii="宋体" w:hAnsi="宋体" w:eastAsia="宋体"/>
              </w:rPr>
              <w:t>4个）每个会议场地须配置现场会务服务人员至少2人</w:t>
            </w:r>
            <w:r>
              <w:rPr>
                <w:rFonts w:hint="eastAsia" w:ascii="宋体" w:hAnsi="宋体" w:eastAsia="宋体"/>
              </w:rPr>
              <w:t>，负责包括但不限于活动场次间翻台、清场、维持秩序、观众引导、更换茶水茶歇等服务。</w:t>
            </w:r>
          </w:p>
          <w:p>
            <w:pPr>
              <w:pStyle w:val="34"/>
              <w:ind w:firstLine="0" w:firstLineChars="0"/>
              <w:rPr>
                <w:rFonts w:ascii="宋体" w:hAnsi="宋体" w:eastAsia="宋体"/>
              </w:rPr>
            </w:pPr>
            <w:r>
              <w:rPr>
                <w:rFonts w:hint="eastAsia" w:ascii="宋体" w:hAnsi="宋体" w:eastAsia="宋体"/>
                <w:b/>
                <w:bCs/>
              </w:rPr>
              <w:t>⑤施工搭建类人员：</w:t>
            </w:r>
            <w:r>
              <w:rPr>
                <w:rFonts w:hint="eastAsia" w:ascii="宋体" w:hAnsi="宋体" w:eastAsia="宋体"/>
              </w:rPr>
              <w:t>由投标人根据实际需要自行安排。</w:t>
            </w:r>
          </w:p>
          <w:p>
            <w:pPr>
              <w:pStyle w:val="34"/>
              <w:ind w:firstLine="0" w:firstLineChars="0"/>
              <w:rPr>
                <w:rFonts w:ascii="宋体" w:hAnsi="宋体" w:eastAsia="宋体"/>
              </w:rPr>
            </w:pPr>
          </w:p>
          <w:p>
            <w:pPr>
              <w:numPr>
                <w:ilvl w:val="0"/>
                <w:numId w:val="16"/>
              </w:numPr>
              <w:tabs>
                <w:tab w:val="left" w:pos="531"/>
              </w:tabs>
              <w:snapToGrid w:val="0"/>
            </w:pPr>
            <w:r>
              <w:rPr>
                <w:rFonts w:hint="eastAsia" w:ascii="宋体" w:hAnsi="宋体"/>
              </w:rPr>
              <w:t>对于投标人为执行本项目所投入的非投标人企业自有人员，</w:t>
            </w:r>
            <w:r>
              <w:rPr>
                <w:rFonts w:hint="eastAsia" w:ascii="宋体" w:hAnsi="宋体"/>
                <w:lang w:val="en-US" w:eastAsia="zh-CN"/>
              </w:rPr>
              <w:t>需购买相关保险。</w:t>
            </w:r>
            <w:r>
              <w:rPr>
                <w:rFonts w:hint="eastAsia" w:ascii="宋体" w:hAnsi="宋体"/>
              </w:rPr>
              <w:t>投标人需自行承担其工资、保险、餐饮交通补贴等；并保证对该类工作人员进行相关培训，包括但不仅限于服务技能、安全要求、应急要求等，并在入场前提供培训记录。</w:t>
            </w:r>
          </w:p>
          <w:p>
            <w:pPr>
              <w:numPr>
                <w:ilvl w:val="0"/>
                <w:numId w:val="16"/>
              </w:numPr>
              <w:tabs>
                <w:tab w:val="left" w:pos="531"/>
              </w:tabs>
              <w:snapToGrid w:val="0"/>
            </w:pPr>
            <w:r>
              <w:rPr>
                <w:rFonts w:hint="eastAsia" w:ascii="宋体" w:hAnsi="宋体"/>
              </w:rPr>
              <w:t>拟投入本项目的总负责人及核心成员一经确定，未经采购人同意不得随意更换。如确有需要更换，需书面告知采购人，并经</w:t>
            </w:r>
            <w:r>
              <w:rPr>
                <w:rFonts w:hint="eastAsia" w:ascii="宋体" w:hAnsi="宋体"/>
                <w:lang w:val="en-US" w:eastAsia="zh-CN"/>
              </w:rPr>
              <w:t>招标</w:t>
            </w:r>
            <w:r>
              <w:rPr>
                <w:rFonts w:hint="eastAsia" w:ascii="宋体" w:hAnsi="宋体"/>
              </w:rPr>
              <w:t>人同意后方可更换。</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rPr>
              <w:t>服务方案</w:t>
            </w:r>
          </w:p>
        </w:tc>
        <w:tc>
          <w:tcPr>
            <w:tcW w:w="7438" w:type="dxa"/>
            <w:tcBorders>
              <w:top w:val="single" w:color="auto" w:sz="4" w:space="0"/>
              <w:left w:val="single" w:color="auto" w:sz="4" w:space="0"/>
              <w:bottom w:val="single" w:color="auto" w:sz="4" w:space="0"/>
              <w:right w:val="single" w:color="auto" w:sz="4" w:space="0"/>
            </w:tcBorders>
            <w:vAlign w:val="center"/>
          </w:tcPr>
          <w:p>
            <w:pPr>
              <w:pStyle w:val="34"/>
              <w:rPr>
                <w:rFonts w:ascii="宋体" w:hAnsi="宋体" w:eastAsia="宋体"/>
              </w:rPr>
            </w:pPr>
            <w:r>
              <w:rPr>
                <w:rFonts w:hint="eastAsia" w:ascii="宋体" w:hAnsi="宋体" w:eastAsia="宋体"/>
              </w:rPr>
              <w:t>投标人需针对本项目工作，就上述要求的实现提供包括但不限于具体服务措施、设计方案、施工计划、服务计划、人员配备情况、应急预案、服务承诺等服务方案。</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项目工期及验收要求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ind w:right="30"/>
              <w:jc w:val="left"/>
              <w:rPr>
                <w:rFonts w:ascii="宋体" w:hAnsi="宋体"/>
                <w:szCs w:val="21"/>
              </w:rPr>
            </w:pPr>
            <w:r>
              <w:rPr>
                <w:rFonts w:hint="eastAsia" w:ascii="宋体" w:hAnsi="宋体"/>
                <w:szCs w:val="21"/>
              </w:rPr>
              <w:t>（</w:t>
            </w:r>
            <w:r>
              <w:rPr>
                <w:rFonts w:ascii="宋体" w:hAnsi="宋体"/>
                <w:szCs w:val="21"/>
              </w:rPr>
              <w:t>1）具体的设计方案须在中标通知书发出（形式不限于电子邮件、快递、领取等方式）后</w:t>
            </w:r>
            <w:r>
              <w:rPr>
                <w:rFonts w:hint="eastAsia" w:ascii="宋体" w:hAnsi="宋体"/>
                <w:szCs w:val="21"/>
              </w:rPr>
              <w:t>14个日历天</w:t>
            </w:r>
            <w:r>
              <w:rPr>
                <w:rFonts w:ascii="宋体" w:hAnsi="宋体"/>
                <w:szCs w:val="21"/>
              </w:rPr>
              <w:t>内提供给</w:t>
            </w:r>
            <w:r>
              <w:rPr>
                <w:rFonts w:hint="eastAsia" w:ascii="宋体" w:hAnsi="宋体"/>
                <w:szCs w:val="21"/>
                <w:lang w:val="en-US" w:eastAsia="zh-CN"/>
              </w:rPr>
              <w:t>招标</w:t>
            </w:r>
            <w:r>
              <w:rPr>
                <w:rFonts w:ascii="宋体" w:hAnsi="宋体"/>
                <w:szCs w:val="21"/>
              </w:rPr>
              <w:t>人；经</w:t>
            </w:r>
            <w:r>
              <w:rPr>
                <w:rFonts w:hint="eastAsia" w:ascii="宋体" w:hAnsi="宋体"/>
                <w:szCs w:val="21"/>
                <w:lang w:val="en-US" w:eastAsia="zh-CN"/>
              </w:rPr>
              <w:t>招标</w:t>
            </w:r>
            <w:r>
              <w:rPr>
                <w:rFonts w:ascii="宋体" w:hAnsi="宋体"/>
                <w:szCs w:val="21"/>
              </w:rPr>
              <w:t>人提出修改意见后，</w:t>
            </w:r>
            <w:r>
              <w:rPr>
                <w:rFonts w:hint="eastAsia" w:ascii="宋体" w:hAnsi="宋体"/>
                <w:szCs w:val="21"/>
              </w:rPr>
              <w:t>7个日历天</w:t>
            </w:r>
            <w:r>
              <w:rPr>
                <w:rFonts w:ascii="宋体" w:hAnsi="宋体"/>
                <w:szCs w:val="21"/>
              </w:rPr>
              <w:t>内提供修改方案；最终设计</w:t>
            </w:r>
            <w:r>
              <w:rPr>
                <w:rFonts w:hint="eastAsia" w:ascii="宋体" w:hAnsi="宋体"/>
                <w:szCs w:val="21"/>
              </w:rPr>
              <w:t>及施工方案需在第二十五届高交会正式开幕前</w:t>
            </w:r>
            <w:r>
              <w:rPr>
                <w:rFonts w:ascii="宋体" w:hAnsi="宋体"/>
                <w:szCs w:val="21"/>
              </w:rPr>
              <w:t>15个日历</w:t>
            </w:r>
            <w:r>
              <w:rPr>
                <w:rFonts w:hint="eastAsia" w:ascii="宋体" w:hAnsi="宋体"/>
                <w:szCs w:val="21"/>
              </w:rPr>
              <w:t>天</w:t>
            </w:r>
            <w:r>
              <w:rPr>
                <w:rFonts w:ascii="宋体" w:hAnsi="宋体"/>
                <w:szCs w:val="21"/>
              </w:rPr>
              <w:t>前定稿，交由</w:t>
            </w:r>
            <w:r>
              <w:rPr>
                <w:rFonts w:hint="eastAsia" w:ascii="宋体" w:hAnsi="宋体"/>
                <w:szCs w:val="21"/>
                <w:lang w:val="en-US" w:eastAsia="zh-CN"/>
              </w:rPr>
              <w:t>招标</w:t>
            </w:r>
            <w:r>
              <w:rPr>
                <w:rFonts w:ascii="宋体" w:hAnsi="宋体"/>
                <w:szCs w:val="21"/>
              </w:rPr>
              <w:t>人确认。</w:t>
            </w:r>
          </w:p>
          <w:p>
            <w:pPr>
              <w:numPr>
                <w:ilvl w:val="255"/>
                <w:numId w:val="0"/>
              </w:numPr>
              <w:tabs>
                <w:tab w:val="left" w:pos="531"/>
              </w:tabs>
              <w:snapToGrid w:val="0"/>
            </w:pPr>
            <w:r>
              <w:rPr>
                <w:rFonts w:hint="eastAsia" w:ascii="宋体" w:hAnsi="宋体"/>
                <w:szCs w:val="21"/>
              </w:rPr>
              <w:t>（</w:t>
            </w:r>
            <w:r>
              <w:rPr>
                <w:rFonts w:ascii="宋体" w:hAnsi="宋体"/>
                <w:szCs w:val="21"/>
              </w:rPr>
              <w:t>2）</w:t>
            </w:r>
            <w:r>
              <w:rPr>
                <w:rFonts w:hint="eastAsia" w:ascii="宋体" w:hAnsi="宋体" w:cs="宋体"/>
              </w:rPr>
              <w:t>本项目现场施工搭建及服务设备设施布置安装相关部分完成并通过初步验收的时间为</w:t>
            </w:r>
            <w:r>
              <w:rPr>
                <w:rFonts w:ascii="宋体" w:hAnsi="宋体" w:cs="宋体"/>
              </w:rPr>
              <w:t>2023</w:t>
            </w:r>
            <w:r>
              <w:rPr>
                <w:rFonts w:hint="eastAsia" w:ascii="宋体" w:hAnsi="宋体" w:cs="宋体"/>
              </w:rPr>
              <w:t>年</w:t>
            </w:r>
            <w:r>
              <w:rPr>
                <w:rFonts w:ascii="宋体" w:hAnsi="宋体" w:cs="宋体"/>
              </w:rPr>
              <w:t>11月13</w:t>
            </w:r>
            <w:r>
              <w:rPr>
                <w:rFonts w:hint="eastAsia" w:ascii="宋体" w:hAnsi="宋体" w:cs="宋体"/>
              </w:rPr>
              <w:t>日（或第二十五届高交会开幕前</w:t>
            </w:r>
            <w:r>
              <w:rPr>
                <w:rFonts w:ascii="宋体" w:hAnsi="宋体" w:cs="宋体"/>
              </w:rPr>
              <w:t>2天）17:00前；如需整改，最终验收时间为2023</w:t>
            </w:r>
            <w:r>
              <w:rPr>
                <w:rFonts w:hint="eastAsia" w:ascii="宋体" w:hAnsi="宋体" w:cs="宋体"/>
              </w:rPr>
              <w:t>年</w:t>
            </w:r>
            <w:r>
              <w:rPr>
                <w:rFonts w:ascii="宋体" w:hAnsi="宋体" w:cs="宋体"/>
              </w:rPr>
              <w:t>11月14</w:t>
            </w:r>
            <w:r>
              <w:rPr>
                <w:rFonts w:hint="eastAsia" w:ascii="宋体" w:hAnsi="宋体" w:cs="宋体"/>
              </w:rPr>
              <w:t>日（或第二十五届高交会开幕前</w:t>
            </w:r>
            <w:r>
              <w:rPr>
                <w:rFonts w:ascii="宋体" w:hAnsi="宋体" w:cs="宋体"/>
              </w:rPr>
              <w:t>1</w:t>
            </w:r>
            <w:r>
              <w:rPr>
                <w:rFonts w:hint="eastAsia" w:ascii="宋体" w:hAnsi="宋体" w:cs="宋体"/>
              </w:rPr>
              <w:t>天）</w:t>
            </w:r>
            <w:r>
              <w:rPr>
                <w:rFonts w:ascii="宋体" w:hAnsi="宋体" w:cs="宋体"/>
              </w:rPr>
              <w:t>12:00</w:t>
            </w:r>
            <w:r>
              <w:rPr>
                <w:rFonts w:hint="eastAsia" w:ascii="宋体" w:hAnsi="宋体" w:cs="宋体"/>
              </w:rPr>
              <w:t>前。</w:t>
            </w:r>
            <w:r>
              <w:rPr>
                <w:rFonts w:hint="eastAsia"/>
              </w:rPr>
              <w:t>施工过程中存在不符合要求或验收不通过的，中标单位必须按照要求立即整改、无条件返工直至符合要求并验收合格。</w:t>
            </w:r>
            <w:r>
              <w:rPr>
                <w:rFonts w:hint="eastAsia" w:ascii="宋体" w:hAnsi="宋体" w:cs="宋体"/>
              </w:rPr>
              <w:t>如出现超期情况，扣除合同总金额的</w:t>
            </w:r>
            <w:r>
              <w:rPr>
                <w:rFonts w:ascii="宋体" w:hAnsi="宋体" w:cs="宋体"/>
              </w:rPr>
              <w:t>10%。</w:t>
            </w:r>
          </w:p>
          <w:p>
            <w:pPr>
              <w:widowControl/>
              <w:tabs>
                <w:tab w:val="left" w:pos="531"/>
              </w:tabs>
              <w:snapToGrid w:val="0"/>
              <w:ind w:right="30"/>
              <w:jc w:val="left"/>
              <w:rPr>
                <w:rFonts w:ascii="宋体" w:hAnsi="宋体"/>
                <w:szCs w:val="21"/>
              </w:rPr>
            </w:pPr>
            <w:r>
              <w:rPr>
                <w:rFonts w:hint="eastAsia" w:ascii="宋体" w:hAnsi="宋体"/>
                <w:szCs w:val="21"/>
              </w:rPr>
              <w:t>（</w:t>
            </w:r>
            <w:r>
              <w:rPr>
                <w:rFonts w:ascii="宋体" w:hAnsi="宋体"/>
                <w:szCs w:val="21"/>
              </w:rPr>
              <w:t>3）第二十五届高交会展览结束当天（2023年11月19日）17:30以后，可开始进行拆除撤离工作，拆除撤离工作时间为展览结束当天17:30-24:00。需将现场所有搭建物、设备设施、各类垃圾等撤离完毕，恢复场馆原貌。</w:t>
            </w:r>
          </w:p>
          <w:p>
            <w:pPr>
              <w:widowControl/>
              <w:tabs>
                <w:tab w:val="left" w:pos="531"/>
              </w:tabs>
              <w:snapToGrid w:val="0"/>
              <w:ind w:right="30"/>
              <w:jc w:val="left"/>
              <w:rPr>
                <w:rFonts w:ascii="宋体" w:hAnsi="宋体"/>
                <w:szCs w:val="21"/>
              </w:rPr>
            </w:pPr>
            <w:r>
              <w:rPr>
                <w:rFonts w:hint="eastAsia" w:ascii="宋体" w:hAnsi="宋体"/>
                <w:szCs w:val="21"/>
              </w:rPr>
              <w:t>（</w:t>
            </w:r>
            <w:r>
              <w:rPr>
                <w:rFonts w:ascii="宋体" w:hAnsi="宋体"/>
                <w:szCs w:val="21"/>
              </w:rPr>
              <w:t>4）如</w:t>
            </w:r>
            <w:r>
              <w:rPr>
                <w:rFonts w:hint="eastAsia" w:ascii="宋体" w:hAnsi="宋体"/>
                <w:szCs w:val="21"/>
              </w:rPr>
              <w:t>搭建施工项目实际施工效果与双方确认的设计方案产生偏差，将根据偏差程度扣除该项目合同总金额的</w:t>
            </w:r>
            <w:r>
              <w:rPr>
                <w:rFonts w:ascii="宋体" w:hAnsi="宋体"/>
                <w:szCs w:val="21"/>
              </w:rPr>
              <w:t>5%—15%的款项。</w:t>
            </w:r>
          </w:p>
          <w:p>
            <w:pPr>
              <w:numPr>
                <w:ilvl w:val="255"/>
                <w:numId w:val="0"/>
              </w:numPr>
              <w:tabs>
                <w:tab w:val="left" w:pos="531"/>
              </w:tabs>
              <w:snapToGrid w:val="0"/>
              <w:rPr>
                <w:rFonts w:ascii="宋体" w:hAnsi="宋体"/>
                <w:szCs w:val="21"/>
              </w:rPr>
            </w:pPr>
            <w:r>
              <w:rPr>
                <w:rFonts w:hint="eastAsia" w:ascii="宋体" w:hAnsi="宋体"/>
                <w:szCs w:val="21"/>
              </w:rPr>
              <w:t>（</w:t>
            </w:r>
            <w:r>
              <w:rPr>
                <w:rFonts w:ascii="宋体" w:hAnsi="宋体"/>
                <w:szCs w:val="21"/>
              </w:rPr>
              <w:t>5）以上具体时间节点以</w:t>
            </w:r>
            <w:r>
              <w:rPr>
                <w:rFonts w:hint="eastAsia" w:ascii="宋体" w:hAnsi="宋体"/>
                <w:szCs w:val="21"/>
                <w:lang w:val="en-US" w:eastAsia="zh-CN"/>
              </w:rPr>
              <w:t>招标</w:t>
            </w:r>
            <w:r>
              <w:rPr>
                <w:rFonts w:hint="eastAsia" w:ascii="宋体" w:hAnsi="宋体"/>
                <w:szCs w:val="21"/>
              </w:rPr>
              <w:t>人</w:t>
            </w:r>
            <w:r>
              <w:rPr>
                <w:rFonts w:ascii="宋体" w:hAnsi="宋体"/>
                <w:szCs w:val="21"/>
              </w:rPr>
              <w:t>公布的第二十五届高交会展期时间安排为准。</w:t>
            </w:r>
          </w:p>
          <w:p>
            <w:pPr>
              <w:numPr>
                <w:ilvl w:val="255"/>
                <w:numId w:val="0"/>
              </w:numPr>
              <w:tabs>
                <w:tab w:val="left" w:pos="531"/>
              </w:tabs>
              <w:snapToGrid w:val="0"/>
              <w:rPr>
                <w:rFonts w:ascii="宋体" w:hAnsi="宋体"/>
              </w:rPr>
            </w:pPr>
            <w:r>
              <w:rPr>
                <w:rFonts w:hint="eastAsia" w:ascii="宋体" w:hAnsi="宋体" w:cs="宋体"/>
              </w:rPr>
              <w:t>（</w:t>
            </w:r>
            <w:r>
              <w:rPr>
                <w:rFonts w:ascii="宋体" w:hAnsi="宋体" w:cs="宋体"/>
              </w:rPr>
              <w:t>6）投标人在完成本项目全部内容后，主动提交书面验收申请，</w:t>
            </w:r>
            <w:r>
              <w:rPr>
                <w:rFonts w:hint="eastAsia" w:ascii="宋体" w:hAnsi="宋体"/>
                <w:szCs w:val="21"/>
                <w:lang w:val="en-US" w:eastAsia="zh-CN"/>
              </w:rPr>
              <w:t>招标</w:t>
            </w:r>
            <w:r>
              <w:rPr>
                <w:rFonts w:ascii="宋体" w:hAnsi="宋体" w:cs="宋体"/>
              </w:rPr>
              <w:t>人组织验收。本项目根据相关国家标准、行业标准及本项目合同等内容及要求进行验收。</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安全要求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pPr>
            <w:r>
              <w:t>（1）投标人须建立安全责任制，工作人员须遵守国家、所属地政府及深圳会展中心和高交会组委会的相关规章制度，采取有效的措施保障现场的安全、维护现场的正常工作秩序，在服务过程中要做好人员、成品、半成品及设备设施等的保护。确保服务过程中不出现人身安全事故、火灾事故和财产损失等重大安全事故。如因</w:t>
            </w:r>
            <w:r>
              <w:rPr>
                <w:rFonts w:hint="eastAsia"/>
              </w:rPr>
              <w:t>中标单位</w:t>
            </w:r>
            <w:r>
              <w:t>管理不善、组织不力或监管缺失等造成安全责任事故及财产损失的由</w:t>
            </w:r>
            <w:r>
              <w:rPr>
                <w:rFonts w:hint="eastAsia"/>
              </w:rPr>
              <w:t>中标单位</w:t>
            </w:r>
            <w:r>
              <w:t>负全部责任。</w:t>
            </w:r>
            <w:r>
              <w:rPr>
                <w:rFonts w:hint="eastAsia"/>
              </w:rPr>
              <w:t>入场搭建前中标单位必须与招标人签署《安全生产责任书》</w:t>
            </w:r>
            <w:r>
              <w:t>。</w:t>
            </w:r>
          </w:p>
          <w:p>
            <w:pPr>
              <w:numPr>
                <w:ilvl w:val="255"/>
                <w:numId w:val="0"/>
              </w:numPr>
              <w:tabs>
                <w:tab w:val="left" w:pos="531"/>
              </w:tabs>
              <w:snapToGrid w:val="0"/>
            </w:pPr>
            <w:r>
              <w:t>（2）作业人员必须经过全面的入场安全教育，并审核相关证件后才能上岗作业。</w:t>
            </w:r>
          </w:p>
          <w:p>
            <w:pPr>
              <w:numPr>
                <w:ilvl w:val="255"/>
                <w:numId w:val="0"/>
              </w:numPr>
              <w:tabs>
                <w:tab w:val="left" w:pos="531"/>
              </w:tabs>
              <w:snapToGrid w:val="0"/>
            </w:pPr>
            <w:r>
              <w:t>（3）进入施工现场必须戴好合格的安全帽，系紧下颚带，锁好带扣，高处作业必须规范使用安全带，安全带系挂牢固，严格遵守高挂低用的要求。</w:t>
            </w:r>
          </w:p>
          <w:p>
            <w:pPr>
              <w:numPr>
                <w:ilvl w:val="255"/>
                <w:numId w:val="0"/>
              </w:numPr>
              <w:tabs>
                <w:tab w:val="left" w:pos="531"/>
              </w:tabs>
              <w:snapToGrid w:val="0"/>
            </w:pPr>
            <w:r>
              <w:t>（4）进入施工现场禁止吸烟，禁止酒后作业，禁止追逐打闹，禁止串岗，禁止操作与自己无关的机械设备，严格遵守各项安全操作规程和劳动纪律。</w:t>
            </w:r>
          </w:p>
          <w:p>
            <w:pPr>
              <w:numPr>
                <w:ilvl w:val="255"/>
                <w:numId w:val="0"/>
              </w:numPr>
              <w:tabs>
                <w:tab w:val="left" w:pos="531"/>
              </w:tabs>
              <w:snapToGrid w:val="0"/>
            </w:pPr>
            <w:r>
              <w:t>（5）在第二十五届高交会期间，</w:t>
            </w:r>
            <w:r>
              <w:rPr>
                <w:rFonts w:hint="eastAsia"/>
              </w:rPr>
              <w:t>中标单位</w:t>
            </w:r>
            <w:r>
              <w:t>须对项目范围内所有物料、设施等进行现场维护巡查，并保证其正常运行与使用，如出现受损、移位等情况须及时按照采购人的要求和</w:t>
            </w:r>
            <w:r>
              <w:rPr>
                <w:rFonts w:hint="eastAsia"/>
              </w:rPr>
              <w:t>中标单位</w:t>
            </w:r>
            <w:r>
              <w:t>的《安全事故应急预案》，以及中</w:t>
            </w:r>
            <w:r>
              <w:rPr>
                <w:rFonts w:hint="eastAsia"/>
              </w:rPr>
              <w:t>选</w:t>
            </w:r>
            <w:r>
              <w:t>单位提交的“设计、施工及服务应急预案”要求及时处理。</w:t>
            </w:r>
          </w:p>
          <w:p>
            <w:pPr>
              <w:numPr>
                <w:ilvl w:val="255"/>
                <w:numId w:val="0"/>
              </w:numPr>
              <w:tabs>
                <w:tab w:val="left" w:pos="531"/>
              </w:tabs>
              <w:snapToGrid w:val="0"/>
            </w:pPr>
            <w:r>
              <w:t>（6）</w:t>
            </w:r>
            <w:r>
              <w:rPr>
                <w:rFonts w:hint="eastAsia"/>
                <w:lang w:val="en-US" w:eastAsia="zh-CN"/>
              </w:rPr>
              <w:t>展会结束后</w:t>
            </w:r>
            <w:r>
              <w:rPr>
                <w:rFonts w:hint="eastAsia"/>
              </w:rPr>
              <w:t>中标单位</w:t>
            </w:r>
            <w:r>
              <w:t>应及时将所有搭建物拆除撤离干净，自行清楚施工现场的垃圾，并恢复场馆原貌。不得在场馆现场遗留废弃物料与设施设备，不得有污损场馆本体及其附属设施、现场其他设备设施的行为。如有，</w:t>
            </w:r>
            <w:r>
              <w:rPr>
                <w:rFonts w:hint="eastAsia" w:ascii="宋体" w:hAnsi="宋体"/>
                <w:szCs w:val="21"/>
                <w:lang w:val="en-US" w:eastAsia="zh-CN"/>
              </w:rPr>
              <w:t>招标</w:t>
            </w:r>
            <w:r>
              <w:t>人及场馆方则依据深圳会展中心《展馆使用管理规定》等相关条款处理。</w:t>
            </w:r>
          </w:p>
          <w:p>
            <w:pPr>
              <w:pStyle w:val="2"/>
              <w:ind w:left="0"/>
              <w:rPr>
                <w:rFonts w:ascii="Times New Roman" w:hAnsi="Times New Roman"/>
              </w:rPr>
            </w:pPr>
            <w:r>
              <w:rPr>
                <w:rFonts w:hint="eastAsia" w:ascii="Times New Roman" w:hAnsi="Times New Roman"/>
                <w:spacing w:val="0"/>
                <w:kern w:val="2"/>
                <w:sz w:val="21"/>
              </w:rPr>
              <w:t>（7）</w:t>
            </w:r>
            <w:r>
              <w:rPr>
                <w:rFonts w:ascii="Times New Roman" w:hAnsi="Times New Roman"/>
                <w:spacing w:val="0"/>
                <w:kern w:val="2"/>
                <w:sz w:val="21"/>
              </w:rPr>
              <w:t>如出现疫情情况，作业人员须根据相关防疫要求做好防疫措施。</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应急预案</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rPr>
            </w:pPr>
            <w:r>
              <w:rPr>
                <w:rFonts w:hint="eastAsia"/>
              </w:rPr>
              <w:t>投标人须提供“设计施工及现场服务应急预案”，以应对完成整个项目实施过程中和布展、展览、撤展期间出现的会议区位置变更、设计变更、施工工艺及施工时间变更等特殊突发应急情况；以及现场施工过程中出现的紧急事故；服务过程中出现的应急服务响应需求，例如现场设备维护及设备故障的应急响应，现场播放影音内容及前期喷绘内容紧急更换与调整的响应等。</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不可抗力条款</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pPr>
            <w:r>
              <w:rPr>
                <w:rFonts w:hint="eastAsia"/>
              </w:rPr>
              <w:t>本项目执行期间，由于政策变化、疫情、地震、水灾、风灾、战争等不可抗力原因导致项目终止或中止，使本项目不能按照合同约定继续履行，中标单位应充分履行自己的义务，及时做好设备、材料等的收尾工作，并及时将自有设备及工作人员撤出现场。</w:t>
            </w:r>
          </w:p>
          <w:p>
            <w:pPr>
              <w:rPr>
                <w:rFonts w:ascii="宋体" w:hAnsi="宋体" w:cs="宋体"/>
              </w:rPr>
            </w:pPr>
            <w:r>
              <w:rPr>
                <w:rFonts w:hint="eastAsia"/>
              </w:rPr>
              <w:t>如因不可抗力原因出现项目暂缓的情况，合同双方应及时通知对方，并尽快通过友好协商的方式进行沟通，待影响合同履行的不可抗力消除后继续履行合同。</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szCs w:val="21"/>
              </w:rPr>
              <w:t>不可偏离</w:t>
            </w:r>
          </w:p>
        </w:tc>
      </w:tr>
    </w:tbl>
    <w:p>
      <w:pPr>
        <w:numPr>
          <w:ilvl w:val="0"/>
          <w:numId w:val="1"/>
        </w:numPr>
        <w:jc w:val="left"/>
        <w:outlineLvl w:val="1"/>
        <w:rPr>
          <w:rFonts w:ascii="宋体" w:hAnsi="宋体"/>
          <w:b/>
          <w:szCs w:val="21"/>
        </w:rPr>
      </w:pPr>
      <w:bookmarkStart w:id="38" w:name="_Toc82685552"/>
      <w:bookmarkEnd w:id="38"/>
      <w:bookmarkStart w:id="39" w:name="_Toc82684715"/>
      <w:bookmarkEnd w:id="39"/>
      <w:bookmarkStart w:id="40" w:name="_Toc82591996"/>
      <w:bookmarkEnd w:id="40"/>
      <w:bookmarkStart w:id="41" w:name="_Toc82684600"/>
      <w:bookmarkEnd w:id="41"/>
      <w:bookmarkStart w:id="42" w:name="_Toc114"/>
      <w:r>
        <w:rPr>
          <w:rFonts w:hint="eastAsia" w:ascii="宋体" w:hAnsi="宋体"/>
          <w:b/>
          <w:szCs w:val="21"/>
        </w:rPr>
        <w:t>其他项目说明资料</w:t>
      </w:r>
      <w:bookmarkEnd w:id="42"/>
    </w:p>
    <w:p>
      <w:pPr>
        <w:rPr>
          <w:rStyle w:val="35"/>
          <w:rFonts w:ascii="方正小标宋简体" w:hAnsi="方正小标宋简体" w:eastAsia="方正小标宋简体"/>
        </w:rPr>
      </w:pPr>
      <w:r>
        <w:rPr>
          <w:rStyle w:val="35"/>
          <w:rFonts w:hint="eastAsia" w:ascii="方正小标宋简体" w:hAnsi="方正小标宋简体" w:eastAsia="方正小标宋简体" w:cs="方正小标宋简体"/>
          <w:sz w:val="32"/>
          <w:szCs w:val="32"/>
        </w:rPr>
        <w:t>附件</w:t>
      </w:r>
      <w:r>
        <w:rPr>
          <w:rStyle w:val="35"/>
          <w:rFonts w:ascii="方正小标宋简体" w:hAnsi="方正小标宋简体" w:eastAsia="方正小标宋简体" w:cs="方正小标宋简体"/>
          <w:sz w:val="32"/>
          <w:szCs w:val="32"/>
        </w:rPr>
        <w:t>1：第二十五届高交会</w:t>
      </w:r>
      <w:r>
        <w:rPr>
          <w:rStyle w:val="35"/>
          <w:rFonts w:hint="eastAsia" w:ascii="方正小标宋简体" w:hAnsi="方正小标宋简体" w:eastAsia="方正小标宋简体" w:cs="方正小标宋简体"/>
          <w:sz w:val="32"/>
          <w:szCs w:val="32"/>
        </w:rPr>
        <w:t>展馆内会议区项目需求</w:t>
      </w:r>
    </w:p>
    <w:p>
      <w:pPr>
        <w:pStyle w:val="22"/>
        <w:numPr>
          <w:ilvl w:val="0"/>
          <w:numId w:val="17"/>
        </w:numPr>
        <w:ind w:firstLineChars="0"/>
        <w:rPr>
          <w:rFonts w:ascii="宋体" w:hAnsi="宋体" w:eastAsia="宋体" w:cs="方正小标宋简体"/>
          <w:b/>
          <w:szCs w:val="21"/>
        </w:rPr>
      </w:pPr>
      <w:r>
        <w:rPr>
          <w:rFonts w:hint="eastAsia" w:ascii="宋体" w:hAnsi="宋体" w:eastAsia="宋体" w:cs="宋体"/>
          <w:b/>
          <w:szCs w:val="21"/>
        </w:rPr>
        <w:t>展馆内会议区项目、规格、形状和位置（暂定）</w:t>
      </w:r>
    </w:p>
    <w:tbl>
      <w:tblPr>
        <w:tblStyle w:val="15"/>
        <w:tblW w:w="10632"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206"/>
        <w:gridCol w:w="1161"/>
        <w:gridCol w:w="855"/>
        <w:gridCol w:w="671"/>
        <w:gridCol w:w="4591"/>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tcPr>
          <w:p>
            <w:pPr>
              <w:tabs>
                <w:tab w:val="left" w:pos="595"/>
              </w:tabs>
              <w:spacing w:line="500" w:lineRule="exact"/>
              <w:jc w:val="center"/>
              <w:rPr>
                <w:rFonts w:ascii="宋体" w:hAnsi="宋体" w:cs="宋体"/>
                <w:b/>
                <w:szCs w:val="21"/>
              </w:rPr>
            </w:pPr>
            <w:r>
              <w:rPr>
                <w:rFonts w:hint="eastAsia" w:ascii="宋体" w:hAnsi="宋体" w:cs="宋体"/>
                <w:b/>
                <w:szCs w:val="21"/>
              </w:rPr>
              <w:t>序号</w:t>
            </w:r>
          </w:p>
        </w:tc>
        <w:tc>
          <w:tcPr>
            <w:tcW w:w="1210" w:type="dxa"/>
          </w:tcPr>
          <w:p>
            <w:pPr>
              <w:tabs>
                <w:tab w:val="left" w:pos="595"/>
              </w:tabs>
              <w:spacing w:line="500" w:lineRule="exact"/>
              <w:jc w:val="center"/>
              <w:rPr>
                <w:rFonts w:ascii="宋体" w:hAnsi="宋体" w:cs="宋体"/>
                <w:b/>
                <w:szCs w:val="21"/>
              </w:rPr>
            </w:pPr>
            <w:r>
              <w:rPr>
                <w:rFonts w:hint="eastAsia" w:ascii="宋体" w:hAnsi="宋体" w:cs="宋体"/>
                <w:b/>
                <w:szCs w:val="21"/>
              </w:rPr>
              <w:t>项目</w:t>
            </w:r>
          </w:p>
        </w:tc>
        <w:tc>
          <w:tcPr>
            <w:tcW w:w="1102" w:type="dxa"/>
          </w:tcPr>
          <w:p>
            <w:pPr>
              <w:tabs>
                <w:tab w:val="left" w:pos="595"/>
              </w:tabs>
              <w:spacing w:line="500" w:lineRule="exact"/>
              <w:jc w:val="center"/>
              <w:rPr>
                <w:rFonts w:ascii="宋体" w:hAnsi="宋体" w:cs="宋体"/>
                <w:b/>
                <w:szCs w:val="21"/>
              </w:rPr>
            </w:pPr>
            <w:r>
              <w:rPr>
                <w:rFonts w:hint="eastAsia" w:ascii="宋体" w:hAnsi="宋体" w:cs="宋体"/>
                <w:b/>
                <w:szCs w:val="21"/>
              </w:rPr>
              <w:t>规格</w:t>
            </w:r>
          </w:p>
        </w:tc>
        <w:tc>
          <w:tcPr>
            <w:tcW w:w="868" w:type="dxa"/>
          </w:tcPr>
          <w:p>
            <w:pPr>
              <w:tabs>
                <w:tab w:val="left" w:pos="595"/>
              </w:tabs>
              <w:spacing w:line="500" w:lineRule="exact"/>
              <w:jc w:val="center"/>
              <w:rPr>
                <w:rFonts w:ascii="宋体" w:hAnsi="宋体" w:cs="宋体"/>
                <w:b/>
                <w:szCs w:val="21"/>
              </w:rPr>
            </w:pPr>
            <w:r>
              <w:rPr>
                <w:rFonts w:hint="eastAsia" w:ascii="宋体" w:hAnsi="宋体" w:cs="宋体"/>
                <w:b/>
                <w:szCs w:val="21"/>
              </w:rPr>
              <w:t>位置</w:t>
            </w:r>
          </w:p>
        </w:tc>
        <w:tc>
          <w:tcPr>
            <w:tcW w:w="678" w:type="dxa"/>
          </w:tcPr>
          <w:p>
            <w:pPr>
              <w:tabs>
                <w:tab w:val="left" w:pos="595"/>
              </w:tabs>
              <w:spacing w:line="500" w:lineRule="exact"/>
              <w:jc w:val="center"/>
              <w:rPr>
                <w:rFonts w:ascii="宋体" w:hAnsi="宋体" w:cs="宋体"/>
                <w:b/>
                <w:szCs w:val="21"/>
              </w:rPr>
            </w:pPr>
            <w:r>
              <w:rPr>
                <w:rFonts w:hint="eastAsia" w:ascii="宋体" w:hAnsi="宋体" w:cs="宋体"/>
                <w:b/>
                <w:szCs w:val="21"/>
              </w:rPr>
              <w:t>数量</w:t>
            </w:r>
          </w:p>
        </w:tc>
        <w:tc>
          <w:tcPr>
            <w:tcW w:w="4597" w:type="dxa"/>
          </w:tcPr>
          <w:p>
            <w:pPr>
              <w:tabs>
                <w:tab w:val="left" w:pos="595"/>
              </w:tabs>
              <w:spacing w:line="500" w:lineRule="exact"/>
              <w:jc w:val="center"/>
              <w:rPr>
                <w:rFonts w:ascii="宋体" w:hAnsi="宋体" w:cs="宋体"/>
                <w:b/>
                <w:szCs w:val="21"/>
              </w:rPr>
            </w:pPr>
            <w:r>
              <w:rPr>
                <w:rFonts w:hint="eastAsia" w:ascii="宋体" w:hAnsi="宋体" w:cs="宋体"/>
                <w:b/>
                <w:szCs w:val="21"/>
              </w:rPr>
              <w:t>形状（图）</w:t>
            </w:r>
          </w:p>
        </w:tc>
        <w:tc>
          <w:tcPr>
            <w:tcW w:w="1653" w:type="dxa"/>
          </w:tcPr>
          <w:p>
            <w:pPr>
              <w:tabs>
                <w:tab w:val="left" w:pos="595"/>
              </w:tabs>
              <w:spacing w:line="500" w:lineRule="exact"/>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524" w:type="dxa"/>
          </w:tcPr>
          <w:p>
            <w:pPr>
              <w:tabs>
                <w:tab w:val="left" w:pos="595"/>
              </w:tabs>
              <w:spacing w:line="500" w:lineRule="exact"/>
              <w:jc w:val="left"/>
              <w:rPr>
                <w:rFonts w:ascii="宋体" w:hAnsi="宋体" w:cs="宋体"/>
                <w:szCs w:val="21"/>
              </w:rPr>
            </w:pPr>
            <w:r>
              <w:rPr>
                <w:rFonts w:hint="eastAsia" w:ascii="宋体" w:hAnsi="宋体" w:cs="宋体"/>
                <w:szCs w:val="21"/>
              </w:rPr>
              <w:t>1</w:t>
            </w:r>
          </w:p>
        </w:tc>
        <w:tc>
          <w:tcPr>
            <w:tcW w:w="1210" w:type="dxa"/>
          </w:tcPr>
          <w:p>
            <w:pPr>
              <w:tabs>
                <w:tab w:val="left" w:pos="595"/>
              </w:tabs>
              <w:spacing w:line="500" w:lineRule="exact"/>
              <w:jc w:val="left"/>
              <w:rPr>
                <w:rFonts w:ascii="宋体" w:hAnsi="宋体" w:cs="宋体"/>
                <w:szCs w:val="21"/>
              </w:rPr>
            </w:pPr>
            <w:r>
              <w:rPr>
                <w:rFonts w:hint="eastAsia" w:ascii="宋体" w:hAnsi="宋体" w:cs="宋体"/>
                <w:szCs w:val="21"/>
              </w:rPr>
              <w:t>1A会议区（1A</w:t>
            </w:r>
            <w:r>
              <w:rPr>
                <w:rFonts w:hint="eastAsia" w:ascii="宋体" w:hAnsi="宋体" w:cs="宋体"/>
                <w:szCs w:val="21"/>
                <w:lang w:val="en-US" w:eastAsia="zh-CN"/>
              </w:rPr>
              <w:t>37</w:t>
            </w:r>
            <w:r>
              <w:rPr>
                <w:rFonts w:hint="eastAsia" w:ascii="宋体" w:hAnsi="宋体" w:cs="宋体"/>
                <w:szCs w:val="21"/>
              </w:rPr>
              <w:t>）</w:t>
            </w:r>
          </w:p>
        </w:tc>
        <w:tc>
          <w:tcPr>
            <w:tcW w:w="1102" w:type="dxa"/>
          </w:tcPr>
          <w:p>
            <w:pPr>
              <w:tabs>
                <w:tab w:val="left" w:pos="595"/>
              </w:tabs>
              <w:spacing w:line="500" w:lineRule="exact"/>
              <w:jc w:val="center"/>
              <w:rPr>
                <w:rFonts w:ascii="宋体" w:hAnsi="宋体" w:cs="宋体"/>
                <w:szCs w:val="21"/>
              </w:rPr>
            </w:pPr>
            <w:r>
              <w:rPr>
                <w:rFonts w:hint="eastAsia" w:ascii="宋体" w:hAnsi="宋体" w:cs="宋体"/>
                <w:szCs w:val="21"/>
              </w:rPr>
              <w:t>12m×10m</w:t>
            </w:r>
          </w:p>
        </w:tc>
        <w:tc>
          <w:tcPr>
            <w:tcW w:w="868" w:type="dxa"/>
          </w:tcPr>
          <w:p>
            <w:pPr>
              <w:tabs>
                <w:tab w:val="left" w:pos="595"/>
              </w:tabs>
              <w:spacing w:line="500" w:lineRule="exact"/>
              <w:jc w:val="left"/>
              <w:rPr>
                <w:rFonts w:ascii="宋体" w:hAnsi="宋体" w:cs="宋体"/>
                <w:szCs w:val="21"/>
              </w:rPr>
            </w:pPr>
            <w:r>
              <w:rPr>
                <w:rFonts w:hint="eastAsia" w:ascii="宋体" w:hAnsi="宋体" w:cs="宋体"/>
                <w:szCs w:val="21"/>
              </w:rPr>
              <w:t>1号馆</w:t>
            </w:r>
          </w:p>
        </w:tc>
        <w:tc>
          <w:tcPr>
            <w:tcW w:w="678" w:type="dxa"/>
          </w:tcPr>
          <w:p>
            <w:pPr>
              <w:tabs>
                <w:tab w:val="left" w:pos="595"/>
              </w:tabs>
              <w:spacing w:line="500" w:lineRule="exact"/>
              <w:jc w:val="left"/>
              <w:rPr>
                <w:rFonts w:ascii="宋体" w:hAnsi="宋体"/>
                <w:szCs w:val="21"/>
              </w:rPr>
            </w:pPr>
            <w:r>
              <w:rPr>
                <w:rFonts w:hint="eastAsia" w:ascii="宋体" w:hAnsi="宋体" w:cs="宋体"/>
                <w:szCs w:val="21"/>
              </w:rPr>
              <w:t>1个</w:t>
            </w:r>
          </w:p>
        </w:tc>
        <w:tc>
          <w:tcPr>
            <w:tcW w:w="4597" w:type="dxa"/>
          </w:tcPr>
          <w:p>
            <w:pPr>
              <w:pStyle w:val="22"/>
              <w:jc w:val="left"/>
              <w:rPr>
                <w:rFonts w:ascii="宋体" w:hAnsi="宋体" w:eastAsia="宋体"/>
                <w:szCs w:val="21"/>
              </w:rPr>
            </w:pPr>
            <w:r>
              <w:rPr>
                <w:rFonts w:ascii="宋体" w:hAnsi="宋体" w:eastAsia="宋体"/>
                <w:szCs w:val="21"/>
              </w:rPr>
              <w:drawing>
                <wp:inline distT="0" distB="0" distL="114300" distR="114300">
                  <wp:extent cx="1219200" cy="1695450"/>
                  <wp:effectExtent l="0" t="0" r="0" b="0"/>
                  <wp:docPr id="3" name="图片 3" descr="69ab97305a69ee3dd398e5fa076a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9ab97305a69ee3dd398e5fa076a230"/>
                          <pic:cNvPicPr>
                            <a:picLocks noChangeAspect="1"/>
                          </pic:cNvPicPr>
                        </pic:nvPicPr>
                        <pic:blipFill>
                          <a:blip r:embed="rId7"/>
                          <a:stretch>
                            <a:fillRect/>
                          </a:stretch>
                        </pic:blipFill>
                        <pic:spPr>
                          <a:xfrm>
                            <a:off x="0" y="0"/>
                            <a:ext cx="1219200" cy="1695450"/>
                          </a:xfrm>
                          <a:prstGeom prst="rect">
                            <a:avLst/>
                          </a:prstGeom>
                        </pic:spPr>
                      </pic:pic>
                    </a:graphicData>
                  </a:graphic>
                </wp:inline>
              </w:drawing>
            </w:r>
          </w:p>
        </w:tc>
        <w:tc>
          <w:tcPr>
            <w:tcW w:w="1653" w:type="dxa"/>
          </w:tcPr>
          <w:p>
            <w:pPr>
              <w:tabs>
                <w:tab w:val="left" w:pos="595"/>
              </w:tabs>
              <w:spacing w:line="500" w:lineRule="exact"/>
              <w:jc w:val="left"/>
              <w:rPr>
                <w:rFonts w:ascii="宋体" w:hAnsi="宋体" w:cs="宋体"/>
                <w:szCs w:val="21"/>
              </w:rPr>
            </w:pPr>
            <w:r>
              <w:rPr>
                <w:rFonts w:hint="eastAsia" w:ascii="宋体" w:hAnsi="宋体" w:cs="宋体"/>
                <w:szCs w:val="21"/>
              </w:rPr>
              <w:t>半开放式；</w:t>
            </w:r>
          </w:p>
          <w:p>
            <w:pPr>
              <w:tabs>
                <w:tab w:val="left" w:pos="595"/>
              </w:tabs>
              <w:spacing w:line="500" w:lineRule="exact"/>
              <w:jc w:val="left"/>
              <w:rPr>
                <w:rFonts w:ascii="宋体" w:hAnsi="宋体" w:cs="宋体"/>
                <w:szCs w:val="21"/>
              </w:rPr>
            </w:pPr>
            <w:r>
              <w:rPr>
                <w:rFonts w:hint="eastAsia" w:ascii="宋体" w:hAnsi="宋体" w:cs="宋体"/>
                <w:szCs w:val="21"/>
              </w:rPr>
              <w:t>限高4m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tcPr>
          <w:p>
            <w:pPr>
              <w:tabs>
                <w:tab w:val="left" w:pos="595"/>
              </w:tabs>
              <w:spacing w:line="500" w:lineRule="exact"/>
              <w:jc w:val="left"/>
              <w:rPr>
                <w:rFonts w:ascii="宋体" w:hAnsi="宋体" w:cs="宋体"/>
                <w:szCs w:val="21"/>
              </w:rPr>
            </w:pPr>
            <w:r>
              <w:rPr>
                <w:rFonts w:hint="eastAsia" w:ascii="宋体" w:hAnsi="宋体" w:cs="宋体"/>
                <w:szCs w:val="21"/>
              </w:rPr>
              <w:t>2</w:t>
            </w:r>
          </w:p>
        </w:tc>
        <w:tc>
          <w:tcPr>
            <w:tcW w:w="1210" w:type="dxa"/>
          </w:tcPr>
          <w:p>
            <w:pPr>
              <w:tabs>
                <w:tab w:val="left" w:pos="595"/>
              </w:tabs>
              <w:spacing w:line="500" w:lineRule="exact"/>
              <w:jc w:val="left"/>
              <w:rPr>
                <w:rFonts w:ascii="宋体" w:hAnsi="宋体" w:cs="宋体"/>
                <w:szCs w:val="21"/>
              </w:rPr>
            </w:pPr>
            <w:r>
              <w:rPr>
                <w:rFonts w:hint="eastAsia" w:ascii="宋体" w:hAnsi="宋体" w:cs="宋体"/>
                <w:szCs w:val="21"/>
              </w:rPr>
              <w:t>1B会议区（1A</w:t>
            </w:r>
            <w:r>
              <w:rPr>
                <w:rFonts w:ascii="宋体" w:hAnsi="宋体" w:cs="宋体"/>
                <w:szCs w:val="21"/>
              </w:rPr>
              <w:t>40</w:t>
            </w:r>
            <w:r>
              <w:rPr>
                <w:rFonts w:hint="eastAsia" w:ascii="宋体" w:hAnsi="宋体" w:cs="宋体"/>
                <w:szCs w:val="21"/>
              </w:rPr>
              <w:t>）</w:t>
            </w:r>
          </w:p>
        </w:tc>
        <w:tc>
          <w:tcPr>
            <w:tcW w:w="1102" w:type="dxa"/>
          </w:tcPr>
          <w:p>
            <w:pPr>
              <w:tabs>
                <w:tab w:val="left" w:pos="595"/>
              </w:tabs>
              <w:spacing w:line="500" w:lineRule="exact"/>
              <w:jc w:val="center"/>
              <w:rPr>
                <w:rFonts w:ascii="宋体" w:hAnsi="宋体" w:cs="宋体"/>
                <w:szCs w:val="21"/>
              </w:rPr>
            </w:pPr>
            <w:r>
              <w:rPr>
                <w:rFonts w:hint="eastAsia" w:ascii="宋体" w:hAnsi="宋体" w:cs="宋体"/>
                <w:szCs w:val="21"/>
              </w:rPr>
              <w:t>12m×10m</w:t>
            </w:r>
          </w:p>
        </w:tc>
        <w:tc>
          <w:tcPr>
            <w:tcW w:w="868" w:type="dxa"/>
          </w:tcPr>
          <w:p>
            <w:pPr>
              <w:tabs>
                <w:tab w:val="left" w:pos="595"/>
              </w:tabs>
              <w:spacing w:line="500" w:lineRule="exact"/>
              <w:jc w:val="left"/>
              <w:rPr>
                <w:rFonts w:ascii="宋体" w:hAnsi="宋体" w:cs="宋体"/>
                <w:szCs w:val="21"/>
              </w:rPr>
            </w:pPr>
            <w:r>
              <w:rPr>
                <w:rFonts w:hint="eastAsia" w:ascii="宋体" w:hAnsi="宋体" w:cs="宋体"/>
                <w:szCs w:val="21"/>
              </w:rPr>
              <w:t>1号馆</w:t>
            </w:r>
          </w:p>
        </w:tc>
        <w:tc>
          <w:tcPr>
            <w:tcW w:w="678" w:type="dxa"/>
          </w:tcPr>
          <w:p>
            <w:pPr>
              <w:tabs>
                <w:tab w:val="left" w:pos="595"/>
              </w:tabs>
              <w:spacing w:line="500" w:lineRule="exact"/>
              <w:jc w:val="left"/>
              <w:rPr>
                <w:rFonts w:ascii="宋体" w:hAnsi="宋体" w:cs="宋体"/>
                <w:szCs w:val="21"/>
              </w:rPr>
            </w:pPr>
            <w:r>
              <w:rPr>
                <w:rFonts w:hint="eastAsia" w:ascii="宋体" w:hAnsi="宋体" w:cs="宋体"/>
                <w:szCs w:val="21"/>
              </w:rPr>
              <w:t>1个</w:t>
            </w:r>
          </w:p>
        </w:tc>
        <w:tc>
          <w:tcPr>
            <w:tcW w:w="4597" w:type="dxa"/>
          </w:tcPr>
          <w:p>
            <w:pPr>
              <w:widowControl/>
              <w:jc w:val="left"/>
              <w:rPr>
                <w:rFonts w:ascii="宋体" w:hAnsi="宋体" w:cs="宋体"/>
                <w:kern w:val="0"/>
                <w:szCs w:val="21"/>
              </w:rPr>
            </w:pPr>
            <w:r>
              <w:rPr>
                <w:rFonts w:ascii="宋体" w:hAnsi="宋体" w:cs="宋体"/>
                <w:kern w:val="0"/>
                <w:szCs w:val="21"/>
              </w:rPr>
              <w:drawing>
                <wp:inline distT="0" distB="0" distL="0" distR="0">
                  <wp:extent cx="1796415" cy="2268855"/>
                  <wp:effectExtent l="0" t="0" r="13335" b="17145"/>
                  <wp:docPr id="3706633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63327" name="图片 2"/>
                          <pic:cNvPicPr>
                            <a:picLocks noChangeAspect="1" noChangeArrowheads="1"/>
                          </pic:cNvPicPr>
                        </pic:nvPicPr>
                        <pic:blipFill>
                          <a:blip r:embed="rId8">
                            <a:extLst>
                              <a:ext uri="{28A0092B-C50C-407E-A947-70E740481C1C}">
                                <a14:useLocalDpi xmlns:a14="http://schemas.microsoft.com/office/drawing/2010/main" val="0"/>
                              </a:ext>
                            </a:extLst>
                          </a:blip>
                          <a:srcRect l="82451" t="21750" r="6053"/>
                          <a:stretch>
                            <a:fillRect/>
                          </a:stretch>
                        </pic:blipFill>
                        <pic:spPr>
                          <a:xfrm>
                            <a:off x="0" y="0"/>
                            <a:ext cx="1817269" cy="2294973"/>
                          </a:xfrm>
                          <a:prstGeom prst="rect">
                            <a:avLst/>
                          </a:prstGeom>
                          <a:noFill/>
                          <a:ln>
                            <a:noFill/>
                          </a:ln>
                        </pic:spPr>
                      </pic:pic>
                    </a:graphicData>
                  </a:graphic>
                </wp:inline>
              </w:drawing>
            </w:r>
          </w:p>
        </w:tc>
        <w:tc>
          <w:tcPr>
            <w:tcW w:w="1653" w:type="dxa"/>
          </w:tcPr>
          <w:p>
            <w:pPr>
              <w:tabs>
                <w:tab w:val="left" w:pos="595"/>
              </w:tabs>
              <w:spacing w:line="500" w:lineRule="exact"/>
              <w:jc w:val="left"/>
              <w:rPr>
                <w:rFonts w:ascii="宋体" w:hAnsi="宋体" w:cs="宋体"/>
                <w:szCs w:val="21"/>
              </w:rPr>
            </w:pPr>
            <w:r>
              <w:rPr>
                <w:rFonts w:hint="eastAsia" w:ascii="宋体" w:hAnsi="宋体" w:cs="宋体"/>
                <w:szCs w:val="21"/>
              </w:rPr>
              <w:t>半开放式；</w:t>
            </w:r>
          </w:p>
          <w:p>
            <w:pPr>
              <w:tabs>
                <w:tab w:val="left" w:pos="595"/>
              </w:tabs>
              <w:spacing w:line="500" w:lineRule="exact"/>
              <w:jc w:val="left"/>
              <w:rPr>
                <w:rFonts w:ascii="宋体" w:hAnsi="宋体" w:cs="宋体"/>
                <w:szCs w:val="21"/>
              </w:rPr>
            </w:pPr>
            <w:r>
              <w:rPr>
                <w:rFonts w:hint="eastAsia" w:ascii="宋体" w:hAnsi="宋体" w:cs="宋体"/>
                <w:szCs w:val="21"/>
              </w:rPr>
              <w:t>限高4m</w:t>
            </w:r>
          </w:p>
          <w:p>
            <w:pPr>
              <w:tabs>
                <w:tab w:val="left" w:pos="595"/>
              </w:tabs>
              <w:spacing w:line="50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tcPr>
          <w:p>
            <w:pPr>
              <w:tabs>
                <w:tab w:val="left" w:pos="595"/>
              </w:tabs>
              <w:spacing w:line="500" w:lineRule="exact"/>
              <w:jc w:val="left"/>
              <w:rPr>
                <w:rFonts w:ascii="宋体" w:hAnsi="宋体" w:cs="宋体"/>
                <w:szCs w:val="21"/>
              </w:rPr>
            </w:pPr>
            <w:r>
              <w:rPr>
                <w:rFonts w:hint="eastAsia" w:ascii="宋体" w:hAnsi="宋体" w:cs="宋体"/>
                <w:szCs w:val="21"/>
              </w:rPr>
              <w:t>3</w:t>
            </w:r>
          </w:p>
        </w:tc>
        <w:tc>
          <w:tcPr>
            <w:tcW w:w="1210" w:type="dxa"/>
          </w:tcPr>
          <w:p>
            <w:pPr>
              <w:tabs>
                <w:tab w:val="left" w:pos="595"/>
              </w:tabs>
              <w:spacing w:line="500" w:lineRule="exact"/>
              <w:jc w:val="left"/>
              <w:rPr>
                <w:rFonts w:ascii="宋体" w:hAnsi="宋体" w:cs="宋体"/>
                <w:szCs w:val="21"/>
              </w:rPr>
            </w:pPr>
            <w:r>
              <w:rPr>
                <w:rFonts w:ascii="宋体" w:hAnsi="宋体" w:cs="宋体"/>
                <w:szCs w:val="21"/>
              </w:rPr>
              <w:t>2A</w:t>
            </w:r>
            <w:r>
              <w:rPr>
                <w:rFonts w:hint="eastAsia" w:ascii="宋体" w:hAnsi="宋体" w:cs="宋体"/>
                <w:szCs w:val="21"/>
              </w:rPr>
              <w:t>会议区（</w:t>
            </w:r>
            <w:r>
              <w:rPr>
                <w:rFonts w:ascii="宋体" w:hAnsi="宋体" w:cs="宋体"/>
                <w:szCs w:val="21"/>
              </w:rPr>
              <w:t>2A</w:t>
            </w:r>
            <w:r>
              <w:rPr>
                <w:rFonts w:hint="eastAsia" w:ascii="宋体" w:hAnsi="宋体" w:cs="宋体"/>
                <w:szCs w:val="21"/>
                <w:lang w:val="en-US" w:eastAsia="zh-CN"/>
              </w:rPr>
              <w:t>46</w:t>
            </w:r>
            <w:r>
              <w:rPr>
                <w:rFonts w:ascii="宋体" w:hAnsi="宋体" w:cs="宋体"/>
                <w:szCs w:val="21"/>
              </w:rPr>
              <w:t>）</w:t>
            </w:r>
          </w:p>
        </w:tc>
        <w:tc>
          <w:tcPr>
            <w:tcW w:w="1102" w:type="dxa"/>
          </w:tcPr>
          <w:p>
            <w:pPr>
              <w:tabs>
                <w:tab w:val="left" w:pos="595"/>
              </w:tabs>
              <w:spacing w:line="500" w:lineRule="exact"/>
              <w:jc w:val="center"/>
              <w:rPr>
                <w:rFonts w:ascii="宋体" w:hAnsi="宋体" w:cs="宋体"/>
                <w:szCs w:val="21"/>
              </w:rPr>
            </w:pPr>
            <w:r>
              <w:rPr>
                <w:rFonts w:hint="eastAsia" w:ascii="宋体" w:hAnsi="宋体" w:cs="宋体"/>
                <w:szCs w:val="21"/>
              </w:rPr>
              <w:t>约1</w:t>
            </w:r>
            <w:r>
              <w:rPr>
                <w:rFonts w:hint="eastAsia" w:ascii="宋体" w:hAnsi="宋体" w:cs="宋体"/>
                <w:szCs w:val="21"/>
                <w:lang w:val="en-US" w:eastAsia="zh-CN"/>
              </w:rPr>
              <w:t>4</w:t>
            </w:r>
            <w:r>
              <w:rPr>
                <w:rFonts w:hint="eastAsia" w:ascii="宋体" w:hAnsi="宋体" w:cs="宋体"/>
                <w:szCs w:val="21"/>
              </w:rPr>
              <w:t>m×</w:t>
            </w:r>
            <w:r>
              <w:rPr>
                <w:rFonts w:hint="eastAsia" w:ascii="宋体" w:hAnsi="宋体" w:cs="宋体"/>
                <w:szCs w:val="21"/>
                <w:lang w:val="en-US" w:eastAsia="zh-CN"/>
              </w:rPr>
              <w:t>9.5</w:t>
            </w:r>
            <w:r>
              <w:rPr>
                <w:rFonts w:hint="eastAsia" w:ascii="宋体" w:hAnsi="宋体" w:cs="宋体"/>
                <w:szCs w:val="21"/>
              </w:rPr>
              <w:t>m（不规则）</w:t>
            </w:r>
          </w:p>
        </w:tc>
        <w:tc>
          <w:tcPr>
            <w:tcW w:w="868" w:type="dxa"/>
          </w:tcPr>
          <w:p>
            <w:pPr>
              <w:tabs>
                <w:tab w:val="left" w:pos="595"/>
              </w:tabs>
              <w:spacing w:line="500" w:lineRule="exact"/>
              <w:jc w:val="left"/>
              <w:rPr>
                <w:rFonts w:ascii="宋体" w:hAnsi="宋体" w:cs="宋体"/>
                <w:szCs w:val="21"/>
              </w:rPr>
            </w:pPr>
            <w:r>
              <w:rPr>
                <w:rFonts w:ascii="宋体" w:hAnsi="宋体" w:cs="宋体"/>
                <w:szCs w:val="21"/>
              </w:rPr>
              <w:t>2</w:t>
            </w:r>
            <w:r>
              <w:rPr>
                <w:rFonts w:hint="eastAsia" w:ascii="宋体" w:hAnsi="宋体" w:cs="宋体"/>
                <w:szCs w:val="21"/>
              </w:rPr>
              <w:t>号馆</w:t>
            </w:r>
          </w:p>
        </w:tc>
        <w:tc>
          <w:tcPr>
            <w:tcW w:w="678" w:type="dxa"/>
          </w:tcPr>
          <w:p>
            <w:pPr>
              <w:tabs>
                <w:tab w:val="left" w:pos="595"/>
              </w:tabs>
              <w:spacing w:line="500" w:lineRule="exact"/>
              <w:jc w:val="left"/>
              <w:rPr>
                <w:rFonts w:ascii="宋体" w:hAnsi="宋体" w:cs="宋体"/>
                <w:szCs w:val="21"/>
              </w:rPr>
            </w:pPr>
            <w:r>
              <w:rPr>
                <w:rFonts w:ascii="宋体" w:hAnsi="宋体" w:cs="宋体"/>
                <w:szCs w:val="21"/>
              </w:rPr>
              <w:t>1个</w:t>
            </w:r>
          </w:p>
        </w:tc>
        <w:tc>
          <w:tcPr>
            <w:tcW w:w="4597" w:type="dxa"/>
          </w:tcPr>
          <w:p>
            <w:pPr>
              <w:widowControl/>
              <w:jc w:val="left"/>
              <w:rPr>
                <w:rFonts w:ascii="宋体" w:hAnsi="宋体" w:cs="宋体"/>
                <w:kern w:val="0"/>
                <w:szCs w:val="21"/>
              </w:rPr>
            </w:pPr>
          </w:p>
          <w:p>
            <w:pPr>
              <w:widowControl/>
              <w:jc w:val="left"/>
              <w:rPr>
                <w:rFonts w:hint="eastAsia" w:ascii="宋体" w:hAnsi="宋体" w:eastAsia="宋体" w:cs="宋体"/>
                <w:kern w:val="0"/>
                <w:szCs w:val="21"/>
                <w:lang w:eastAsia="zh-CN"/>
              </w:rPr>
            </w:pPr>
            <w:r>
              <w:rPr>
                <w:rFonts w:hint="eastAsia" w:ascii="宋体" w:hAnsi="宋体" w:eastAsia="宋体" w:cs="宋体"/>
                <w:kern w:val="0"/>
                <w:szCs w:val="21"/>
                <w:lang w:eastAsia="zh-CN"/>
              </w:rPr>
              <w:drawing>
                <wp:inline distT="0" distB="0" distL="114300" distR="114300">
                  <wp:extent cx="2653030" cy="3457575"/>
                  <wp:effectExtent l="0" t="0" r="4445" b="0"/>
                  <wp:docPr id="8" name="图片 8" descr="16978886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97888650(1)"/>
                          <pic:cNvPicPr>
                            <a:picLocks noChangeAspect="1"/>
                          </pic:cNvPicPr>
                        </pic:nvPicPr>
                        <pic:blipFill>
                          <a:blip r:embed="rId9"/>
                          <a:stretch>
                            <a:fillRect/>
                          </a:stretch>
                        </pic:blipFill>
                        <pic:spPr>
                          <a:xfrm>
                            <a:off x="0" y="0"/>
                            <a:ext cx="2653030" cy="3457575"/>
                          </a:xfrm>
                          <a:prstGeom prst="rect">
                            <a:avLst/>
                          </a:prstGeom>
                        </pic:spPr>
                      </pic:pic>
                    </a:graphicData>
                  </a:graphic>
                </wp:inline>
              </w:drawing>
            </w:r>
          </w:p>
        </w:tc>
        <w:tc>
          <w:tcPr>
            <w:tcW w:w="1653" w:type="dxa"/>
          </w:tcPr>
          <w:p>
            <w:pPr>
              <w:tabs>
                <w:tab w:val="left" w:pos="595"/>
              </w:tabs>
              <w:spacing w:line="500" w:lineRule="exact"/>
              <w:jc w:val="left"/>
              <w:rPr>
                <w:rFonts w:ascii="宋体" w:hAnsi="宋体" w:cs="宋体"/>
                <w:szCs w:val="21"/>
              </w:rPr>
            </w:pPr>
            <w:r>
              <w:rPr>
                <w:rFonts w:hint="eastAsia" w:ascii="宋体" w:hAnsi="宋体" w:cs="宋体"/>
                <w:szCs w:val="21"/>
              </w:rPr>
              <w:t>半开放式；</w:t>
            </w:r>
          </w:p>
          <w:p>
            <w:pPr>
              <w:tabs>
                <w:tab w:val="left" w:pos="595"/>
              </w:tabs>
              <w:spacing w:line="500" w:lineRule="exact"/>
              <w:jc w:val="left"/>
              <w:rPr>
                <w:rFonts w:ascii="宋体" w:hAnsi="宋体" w:cs="宋体"/>
                <w:szCs w:val="21"/>
              </w:rPr>
            </w:pPr>
            <w:r>
              <w:rPr>
                <w:rFonts w:hint="eastAsia" w:ascii="宋体" w:hAnsi="宋体" w:cs="宋体"/>
                <w:szCs w:val="21"/>
              </w:rPr>
              <w:t>限高</w:t>
            </w:r>
            <w:r>
              <w:rPr>
                <w:rFonts w:ascii="宋体" w:hAnsi="宋体" w:cs="宋体"/>
                <w:szCs w:val="21"/>
              </w:rPr>
              <w:t xml:space="preserve">4m </w:t>
            </w:r>
            <w:r>
              <w:rPr>
                <w:rFonts w:hint="eastAsia" w:ascii="宋体" w:hAnsi="宋体" w:cs="宋体"/>
                <w:szCs w:val="21"/>
              </w:rPr>
              <w:t>；</w:t>
            </w:r>
          </w:p>
          <w:p>
            <w:pPr>
              <w:pStyle w:val="34"/>
              <w:spacing w:line="500" w:lineRule="exact"/>
              <w:ind w:firstLine="0" w:firstLineChars="0"/>
              <w:jc w:val="left"/>
              <w:rPr>
                <w:rFonts w:hint="default" w:ascii="宋体" w:hAnsi="宋体" w:eastAsia="宋体"/>
                <w:szCs w:val="21"/>
                <w:lang w:val="en-US" w:eastAsia="zh-CN"/>
              </w:rPr>
            </w:pPr>
            <w:r>
              <w:rPr>
                <w:rFonts w:hint="eastAsia" w:ascii="宋体" w:hAnsi="宋体" w:eastAsia="宋体"/>
                <w:szCs w:val="21"/>
                <w:lang w:val="en-US" w:eastAsia="zh-CN"/>
              </w:rPr>
              <w:t>为方便电瓶车通过，形状较不规整。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tcPr>
          <w:p>
            <w:pPr>
              <w:tabs>
                <w:tab w:val="left" w:pos="595"/>
              </w:tabs>
              <w:spacing w:line="500" w:lineRule="exact"/>
              <w:jc w:val="left"/>
              <w:rPr>
                <w:rFonts w:ascii="宋体" w:hAnsi="宋体" w:cs="宋体"/>
                <w:szCs w:val="21"/>
              </w:rPr>
            </w:pPr>
            <w:r>
              <w:rPr>
                <w:rFonts w:hint="eastAsia" w:ascii="宋体" w:hAnsi="宋体" w:cs="宋体"/>
                <w:szCs w:val="21"/>
              </w:rPr>
              <w:t>4</w:t>
            </w:r>
          </w:p>
        </w:tc>
        <w:tc>
          <w:tcPr>
            <w:tcW w:w="1210" w:type="dxa"/>
          </w:tcPr>
          <w:p>
            <w:pPr>
              <w:tabs>
                <w:tab w:val="left" w:pos="595"/>
              </w:tabs>
              <w:spacing w:line="500" w:lineRule="exact"/>
              <w:jc w:val="left"/>
              <w:rPr>
                <w:rFonts w:ascii="宋体" w:hAnsi="宋体" w:cs="宋体"/>
                <w:szCs w:val="21"/>
              </w:rPr>
            </w:pPr>
            <w:r>
              <w:rPr>
                <w:rFonts w:hint="eastAsia" w:ascii="宋体" w:hAnsi="宋体" w:cs="宋体"/>
                <w:szCs w:val="21"/>
              </w:rPr>
              <w:t>1C会议区（1A</w:t>
            </w: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w:t>
            </w:r>
          </w:p>
        </w:tc>
        <w:tc>
          <w:tcPr>
            <w:tcW w:w="1102" w:type="dxa"/>
          </w:tcPr>
          <w:p>
            <w:pPr>
              <w:tabs>
                <w:tab w:val="left" w:pos="595"/>
              </w:tabs>
              <w:spacing w:line="500" w:lineRule="exact"/>
              <w:jc w:val="center"/>
              <w:rPr>
                <w:rFonts w:ascii="宋体" w:hAnsi="宋体" w:cs="宋体"/>
                <w:szCs w:val="21"/>
              </w:rPr>
            </w:pPr>
            <w:r>
              <w:rPr>
                <w:rFonts w:ascii="宋体" w:hAnsi="宋体" w:cs="宋体"/>
                <w:szCs w:val="21"/>
              </w:rPr>
              <w:t>5</w:t>
            </w:r>
            <w:r>
              <w:rPr>
                <w:rFonts w:hint="eastAsia" w:ascii="宋体" w:hAnsi="宋体" w:cs="宋体"/>
                <w:szCs w:val="21"/>
              </w:rPr>
              <w:t>m×1</w:t>
            </w:r>
            <w:r>
              <w:rPr>
                <w:rFonts w:ascii="宋体" w:hAnsi="宋体" w:cs="宋体"/>
                <w:szCs w:val="21"/>
              </w:rPr>
              <w:t>0</w:t>
            </w:r>
            <w:r>
              <w:rPr>
                <w:rFonts w:hint="eastAsia" w:ascii="宋体" w:hAnsi="宋体" w:cs="宋体"/>
                <w:szCs w:val="21"/>
              </w:rPr>
              <w:t>m</w:t>
            </w:r>
          </w:p>
        </w:tc>
        <w:tc>
          <w:tcPr>
            <w:tcW w:w="868" w:type="dxa"/>
          </w:tcPr>
          <w:p>
            <w:pPr>
              <w:tabs>
                <w:tab w:val="left" w:pos="595"/>
              </w:tabs>
              <w:spacing w:line="500" w:lineRule="exact"/>
              <w:jc w:val="left"/>
              <w:rPr>
                <w:rFonts w:ascii="宋体" w:hAnsi="宋体" w:cs="宋体"/>
                <w:szCs w:val="21"/>
              </w:rPr>
            </w:pPr>
            <w:r>
              <w:rPr>
                <w:rFonts w:hint="eastAsia" w:ascii="宋体" w:hAnsi="宋体" w:cs="宋体"/>
                <w:szCs w:val="21"/>
              </w:rPr>
              <w:t>1号馆</w:t>
            </w:r>
          </w:p>
        </w:tc>
        <w:tc>
          <w:tcPr>
            <w:tcW w:w="678" w:type="dxa"/>
          </w:tcPr>
          <w:p>
            <w:pPr>
              <w:tabs>
                <w:tab w:val="left" w:pos="595"/>
              </w:tabs>
              <w:spacing w:line="500" w:lineRule="exact"/>
              <w:jc w:val="left"/>
              <w:rPr>
                <w:rFonts w:ascii="宋体" w:hAnsi="宋体" w:cs="宋体"/>
                <w:szCs w:val="21"/>
              </w:rPr>
            </w:pPr>
            <w:r>
              <w:rPr>
                <w:rFonts w:hint="eastAsia" w:ascii="宋体" w:hAnsi="宋体" w:cs="宋体"/>
                <w:szCs w:val="21"/>
              </w:rPr>
              <w:t>1个</w:t>
            </w:r>
          </w:p>
        </w:tc>
        <w:tc>
          <w:tcPr>
            <w:tcW w:w="4597" w:type="dxa"/>
            <w:vAlign w:val="center"/>
          </w:tcPr>
          <w:p>
            <w:pPr>
              <w:pStyle w:val="22"/>
              <w:ind w:left="-10" w:leftChars="-35" w:hanging="63" w:hangingChars="30"/>
              <w:jc w:val="left"/>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1748155" cy="2157730"/>
                  <wp:effectExtent l="0" t="0" r="4445" b="4445"/>
                  <wp:docPr id="6" name="图片 6" descr="1697888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97888417(1)"/>
                          <pic:cNvPicPr>
                            <a:picLocks noChangeAspect="1"/>
                          </pic:cNvPicPr>
                        </pic:nvPicPr>
                        <pic:blipFill>
                          <a:blip r:embed="rId10"/>
                          <a:stretch>
                            <a:fillRect/>
                          </a:stretch>
                        </pic:blipFill>
                        <pic:spPr>
                          <a:xfrm>
                            <a:off x="0" y="0"/>
                            <a:ext cx="1748155" cy="2157730"/>
                          </a:xfrm>
                          <a:prstGeom prst="rect">
                            <a:avLst/>
                          </a:prstGeom>
                        </pic:spPr>
                      </pic:pic>
                    </a:graphicData>
                  </a:graphic>
                </wp:inline>
              </w:drawing>
            </w:r>
          </w:p>
        </w:tc>
        <w:tc>
          <w:tcPr>
            <w:tcW w:w="1653" w:type="dxa"/>
          </w:tcPr>
          <w:p>
            <w:pPr>
              <w:tabs>
                <w:tab w:val="left" w:pos="595"/>
              </w:tabs>
              <w:spacing w:line="500" w:lineRule="exact"/>
              <w:jc w:val="left"/>
              <w:rPr>
                <w:rFonts w:ascii="宋体" w:hAnsi="宋体" w:cs="宋体"/>
                <w:szCs w:val="21"/>
              </w:rPr>
            </w:pPr>
            <w:r>
              <w:rPr>
                <w:rFonts w:hint="eastAsia" w:ascii="宋体" w:hAnsi="宋体" w:cs="宋体"/>
                <w:szCs w:val="21"/>
              </w:rPr>
              <w:t>半开放式；</w:t>
            </w:r>
          </w:p>
          <w:p>
            <w:pPr>
              <w:tabs>
                <w:tab w:val="left" w:pos="595"/>
              </w:tabs>
              <w:spacing w:line="500" w:lineRule="exact"/>
              <w:jc w:val="left"/>
              <w:rPr>
                <w:rFonts w:ascii="宋体" w:hAnsi="宋体" w:cs="宋体"/>
                <w:szCs w:val="21"/>
              </w:rPr>
            </w:pPr>
            <w:r>
              <w:rPr>
                <w:rFonts w:hint="eastAsia" w:ascii="宋体" w:hAnsi="宋体" w:cs="宋体"/>
                <w:szCs w:val="21"/>
              </w:rPr>
              <w:t>限高4m</w:t>
            </w:r>
          </w:p>
        </w:tc>
      </w:tr>
    </w:tbl>
    <w:p>
      <w:pPr>
        <w:ind w:firstLine="420"/>
        <w:rPr>
          <w:rStyle w:val="35"/>
          <w:rFonts w:ascii="宋体" w:hAnsi="宋体" w:cs="楷体_GB2312"/>
          <w:bCs/>
          <w:szCs w:val="21"/>
        </w:rPr>
      </w:pPr>
    </w:p>
    <w:p>
      <w:pPr>
        <w:pStyle w:val="34"/>
        <w:numPr>
          <w:ilvl w:val="0"/>
          <w:numId w:val="17"/>
        </w:numPr>
        <w:ind w:firstLineChars="0"/>
        <w:rPr>
          <w:rStyle w:val="35"/>
          <w:rFonts w:ascii="宋体" w:hAnsi="宋体" w:eastAsia="宋体" w:cs="楷体_GB2312"/>
          <w:b/>
          <w:szCs w:val="21"/>
        </w:rPr>
      </w:pPr>
      <w:r>
        <w:rPr>
          <w:rStyle w:val="35"/>
          <w:rFonts w:hint="eastAsia" w:ascii="宋体" w:hAnsi="宋体" w:eastAsia="宋体" w:cs="楷体_GB2312"/>
          <w:b/>
          <w:szCs w:val="21"/>
        </w:rPr>
        <w:t>设计搭建需求</w:t>
      </w:r>
    </w:p>
    <w:p>
      <w:pPr>
        <w:numPr>
          <w:ilvl w:val="0"/>
          <w:numId w:val="18"/>
        </w:numPr>
        <w:rPr>
          <w:rStyle w:val="35"/>
          <w:rFonts w:ascii="宋体" w:hAnsi="宋体" w:cs="楷体_GB2312"/>
          <w:b/>
          <w:szCs w:val="21"/>
        </w:rPr>
      </w:pPr>
      <w:r>
        <w:rPr>
          <w:rStyle w:val="35"/>
          <w:rFonts w:hint="eastAsia" w:ascii="宋体" w:hAnsi="宋体" w:cs="楷体_GB2312"/>
          <w:bCs/>
          <w:szCs w:val="21"/>
        </w:rPr>
        <w:t>展馆内会议区共</w:t>
      </w:r>
      <w:r>
        <w:rPr>
          <w:rStyle w:val="35"/>
          <w:rFonts w:ascii="宋体" w:hAnsi="宋体" w:cs="楷体_GB2312"/>
          <w:bCs/>
          <w:szCs w:val="21"/>
        </w:rPr>
        <w:t>4个</w:t>
      </w:r>
      <w:r>
        <w:rPr>
          <w:rStyle w:val="35"/>
          <w:rFonts w:hint="eastAsia" w:ascii="宋体" w:hAnsi="宋体" w:cs="楷体_GB2312"/>
          <w:bCs/>
          <w:szCs w:val="21"/>
        </w:rPr>
        <w:t>，地点</w:t>
      </w:r>
      <w:r>
        <w:rPr>
          <w:rStyle w:val="35"/>
          <w:rFonts w:hint="eastAsia" w:ascii="宋体" w:hAnsi="宋体" w:cs="楷体_GB2312"/>
          <w:b/>
          <w:szCs w:val="21"/>
        </w:rPr>
        <w:t>位置及朝向暂定如上图，实际以采购人最终确定的具体位置为准，但会议区的数量及总体面积不超过本说明限定之范围。</w:t>
      </w:r>
    </w:p>
    <w:p>
      <w:pPr>
        <w:numPr>
          <w:ilvl w:val="0"/>
          <w:numId w:val="18"/>
        </w:numPr>
        <w:rPr>
          <w:rStyle w:val="35"/>
          <w:rFonts w:ascii="宋体" w:hAnsi="宋体" w:cs="楷体_GB2312"/>
          <w:bCs/>
          <w:szCs w:val="21"/>
        </w:rPr>
      </w:pPr>
      <w:r>
        <w:rPr>
          <w:rStyle w:val="35"/>
          <w:rFonts w:hint="eastAsia" w:ascii="宋体" w:hAnsi="宋体" w:cs="楷体_GB2312"/>
          <w:bCs/>
          <w:szCs w:val="21"/>
        </w:rPr>
        <w:t>项目出具的图稿、施工图纸必须标注其尺寸、材质、工艺等。</w:t>
      </w:r>
    </w:p>
    <w:p>
      <w:pPr>
        <w:numPr>
          <w:ilvl w:val="0"/>
          <w:numId w:val="18"/>
        </w:numPr>
        <w:rPr>
          <w:rFonts w:ascii="宋体" w:hAnsi="宋体" w:cs="楷体_GB2312"/>
          <w:bCs/>
          <w:szCs w:val="21"/>
        </w:rPr>
      </w:pPr>
      <w:r>
        <w:rPr>
          <w:rStyle w:val="35"/>
          <w:rFonts w:hint="eastAsia" w:ascii="宋体" w:hAnsi="宋体" w:cs="楷体_GB2312"/>
          <w:bCs/>
          <w:szCs w:val="21"/>
        </w:rPr>
        <w:t>每个会议区皆为半开放式设计，皆为特装搭建，整体高度限高</w:t>
      </w:r>
      <w:r>
        <w:rPr>
          <w:rStyle w:val="35"/>
          <w:rFonts w:ascii="宋体" w:hAnsi="宋体" w:cs="楷体_GB2312"/>
          <w:bCs/>
          <w:szCs w:val="21"/>
        </w:rPr>
        <w:t>4m</w:t>
      </w:r>
      <w:r>
        <w:rPr>
          <w:rStyle w:val="35"/>
          <w:rFonts w:hint="eastAsia" w:ascii="宋体" w:hAnsi="宋体" w:cs="楷体_GB2312"/>
          <w:bCs/>
          <w:szCs w:val="21"/>
        </w:rPr>
        <w:t>；要与相关展区风格融洽，鼓励运用新型绿色建材。</w:t>
      </w:r>
    </w:p>
    <w:p>
      <w:pPr>
        <w:numPr>
          <w:ilvl w:val="0"/>
          <w:numId w:val="18"/>
        </w:numPr>
        <w:rPr>
          <w:rStyle w:val="35"/>
          <w:rFonts w:ascii="宋体" w:hAnsi="宋体" w:cs="楷体_GB2312"/>
          <w:bCs/>
          <w:szCs w:val="21"/>
        </w:rPr>
      </w:pPr>
      <w:r>
        <w:rPr>
          <w:rStyle w:val="35"/>
          <w:rFonts w:hint="eastAsia" w:ascii="宋体" w:hAnsi="宋体" w:cs="楷体_GB2312"/>
          <w:bCs/>
          <w:szCs w:val="21"/>
        </w:rPr>
        <w:t>会议区需具备举办小型会议及活动的基本条件；便于组织活动；便于吸引观众关注和组织观众参加会议与活动；利于嘉宾现场演讲、对话及展示产品等；会议区隔音效果较好，不易与临近展位相互干扰。</w:t>
      </w:r>
    </w:p>
    <w:p>
      <w:pPr>
        <w:numPr>
          <w:ilvl w:val="0"/>
          <w:numId w:val="18"/>
        </w:numPr>
        <w:rPr>
          <w:rStyle w:val="35"/>
          <w:rFonts w:ascii="宋体" w:hAnsi="宋体" w:cs="楷体_GB2312"/>
          <w:bCs/>
          <w:szCs w:val="21"/>
        </w:rPr>
      </w:pPr>
      <w:r>
        <w:rPr>
          <w:rStyle w:val="35"/>
          <w:rFonts w:hint="eastAsia" w:ascii="宋体" w:hAnsi="宋体" w:cs="楷体_GB2312"/>
          <w:b/>
          <w:szCs w:val="21"/>
        </w:rPr>
        <w:t>条件许可的会议区场地规划并搭建出简易的休息区和附属仓库。</w:t>
      </w:r>
      <w:r>
        <w:rPr>
          <w:rStyle w:val="35"/>
          <w:rFonts w:hint="eastAsia" w:ascii="宋体" w:hAnsi="宋体" w:cs="楷体_GB2312"/>
          <w:bCs/>
          <w:szCs w:val="21"/>
        </w:rPr>
        <w:t>嘉宾休息区需根据面积配备沙发及茶几。</w:t>
      </w:r>
    </w:p>
    <w:p>
      <w:pPr>
        <w:numPr>
          <w:ilvl w:val="0"/>
          <w:numId w:val="18"/>
        </w:numPr>
        <w:ind w:left="0" w:firstLine="0"/>
        <w:rPr>
          <w:rStyle w:val="35"/>
          <w:rFonts w:ascii="宋体" w:hAnsi="宋体" w:cs="楷体_GB2312"/>
          <w:bCs/>
          <w:spacing w:val="-5"/>
          <w:kern w:val="0"/>
          <w:sz w:val="20"/>
          <w:szCs w:val="21"/>
        </w:rPr>
      </w:pPr>
      <w:r>
        <w:rPr>
          <w:rStyle w:val="35"/>
          <w:rFonts w:hint="eastAsia" w:ascii="宋体" w:hAnsi="宋体" w:cs="楷体_GB2312"/>
          <w:bCs/>
          <w:szCs w:val="21"/>
        </w:rPr>
        <w:t>对于会议区场地内的消防栓等消防设施必须配备明显标识，并可快速取用。</w:t>
      </w:r>
    </w:p>
    <w:p>
      <w:pPr>
        <w:numPr>
          <w:ilvl w:val="255"/>
          <w:numId w:val="0"/>
        </w:numPr>
        <w:rPr>
          <w:rFonts w:ascii="宋体" w:hAnsi="宋体" w:cs="楷体_GB2312"/>
          <w:bCs/>
          <w:sz w:val="28"/>
          <w:szCs w:val="28"/>
        </w:rPr>
      </w:pPr>
    </w:p>
    <w:p>
      <w:pPr>
        <w:pStyle w:val="22"/>
        <w:numPr>
          <w:ilvl w:val="0"/>
          <w:numId w:val="19"/>
        </w:numPr>
        <w:ind w:firstLineChars="0"/>
        <w:rPr>
          <w:rStyle w:val="35"/>
          <w:rFonts w:ascii="宋体" w:hAnsi="宋体" w:eastAsia="宋体" w:cs="楷体_GB2312"/>
          <w:b/>
          <w:szCs w:val="21"/>
        </w:rPr>
      </w:pPr>
      <w:r>
        <w:rPr>
          <w:rStyle w:val="35"/>
          <w:rFonts w:hint="eastAsia" w:ascii="宋体" w:hAnsi="宋体" w:eastAsia="宋体" w:cs="楷体_GB2312"/>
          <w:b/>
          <w:szCs w:val="21"/>
        </w:rPr>
        <w:t>设备需求</w:t>
      </w:r>
    </w:p>
    <w:p>
      <w:pPr>
        <w:numPr>
          <w:ilvl w:val="0"/>
          <w:numId w:val="20"/>
        </w:numPr>
        <w:rPr>
          <w:rStyle w:val="35"/>
        </w:rPr>
      </w:pPr>
      <w:r>
        <w:rPr>
          <w:rStyle w:val="35"/>
          <w:rFonts w:ascii="宋体" w:hAnsi="宋体" w:cs="楷体_GB2312"/>
          <w:bCs/>
          <w:szCs w:val="21"/>
        </w:rPr>
        <w:t>1A、1B及2A</w:t>
      </w:r>
      <w:r>
        <w:rPr>
          <w:rStyle w:val="35"/>
          <w:rFonts w:hint="eastAsia" w:ascii="宋体" w:hAnsi="宋体" w:cs="楷体_GB2312"/>
          <w:bCs/>
          <w:szCs w:val="21"/>
        </w:rPr>
        <w:t>每个</w:t>
      </w:r>
      <w:r>
        <w:rPr>
          <w:rStyle w:val="35"/>
          <w:rFonts w:ascii="宋体" w:hAnsi="宋体" w:cs="楷体_GB2312"/>
          <w:bCs/>
          <w:szCs w:val="21"/>
        </w:rPr>
        <w:t>会议区都需要设计制作及配备背景板、签到台及演讲台；需配备LED屏幕（规格2.25m（高）×4m（长）；型号：P3</w:t>
      </w:r>
      <w:r>
        <w:rPr>
          <w:rStyle w:val="35"/>
          <w:rFonts w:hint="eastAsia" w:ascii="宋体" w:hAnsi="宋体" w:cs="楷体_GB2312"/>
          <w:bCs/>
          <w:szCs w:val="21"/>
        </w:rPr>
        <w:t>或</w:t>
      </w:r>
      <w:r>
        <w:rPr>
          <w:rStyle w:val="35"/>
          <w:rFonts w:ascii="宋体" w:hAnsi="宋体" w:cs="楷体_GB2312"/>
          <w:bCs/>
          <w:szCs w:val="21"/>
        </w:rPr>
        <w:t>以上）；需搭建地台；</w:t>
      </w:r>
      <w:r>
        <w:rPr>
          <w:rStyle w:val="35"/>
          <w:rFonts w:hint="eastAsia" w:ascii="宋体" w:hAnsi="宋体" w:cs="楷体_GB2312"/>
          <w:bCs/>
          <w:szCs w:val="21"/>
        </w:rPr>
        <w:t>配备基础面光；</w:t>
      </w:r>
      <w:r>
        <w:rPr>
          <w:rStyle w:val="35"/>
          <w:rFonts w:ascii="宋体" w:hAnsi="宋体" w:cs="楷体_GB2312"/>
          <w:bCs/>
          <w:szCs w:val="21"/>
        </w:rPr>
        <w:t>配备定向音响设备一套，麦克风两个以上，电视机一台</w:t>
      </w:r>
      <w:r>
        <w:rPr>
          <w:rStyle w:val="35"/>
          <w:rFonts w:hint="eastAsia" w:ascii="宋体" w:hAnsi="宋体" w:cs="楷体_GB2312"/>
          <w:bCs/>
          <w:szCs w:val="21"/>
        </w:rPr>
        <w:t>、手提电脑至少</w:t>
      </w:r>
      <w:r>
        <w:rPr>
          <w:rStyle w:val="35"/>
          <w:rFonts w:ascii="宋体" w:hAnsi="宋体" w:cs="楷体_GB2312"/>
          <w:bCs/>
          <w:szCs w:val="21"/>
        </w:rPr>
        <w:t>2</w:t>
      </w:r>
      <w:r>
        <w:rPr>
          <w:rStyle w:val="35"/>
          <w:rFonts w:hint="eastAsia" w:ascii="宋体" w:hAnsi="宋体" w:cs="楷体_GB2312"/>
          <w:bCs/>
          <w:szCs w:val="21"/>
        </w:rPr>
        <w:t>台；电源插座若干、网络线一条；提供饮水机及桶装水（含一次性杯子）；议程信息栏、水牌栏；配备嘉宾沙发（</w:t>
      </w:r>
      <w:r>
        <w:rPr>
          <w:rStyle w:val="35"/>
          <w:rFonts w:ascii="宋体" w:hAnsi="宋体" w:cs="楷体_GB2312"/>
          <w:bCs/>
          <w:szCs w:val="21"/>
        </w:rPr>
        <w:t>2个以上）；满配会议桌及会议椅；</w:t>
      </w:r>
      <w:r>
        <w:rPr>
          <w:rStyle w:val="35"/>
          <w:rFonts w:hint="eastAsia" w:ascii="宋体" w:hAnsi="宋体" w:cs="楷体_GB2312"/>
          <w:bCs/>
          <w:szCs w:val="21"/>
        </w:rPr>
        <w:t>其中第一排为课桌式，其他为剧院式等设备设施。</w:t>
      </w:r>
    </w:p>
    <w:p>
      <w:pPr>
        <w:numPr>
          <w:ilvl w:val="0"/>
          <w:numId w:val="20"/>
        </w:numPr>
        <w:ind w:left="420"/>
        <w:rPr>
          <w:rStyle w:val="35"/>
          <w:rFonts w:ascii="宋体" w:hAnsi="宋体" w:cs="楷体_GB2312"/>
          <w:bCs/>
          <w:szCs w:val="21"/>
        </w:rPr>
      </w:pPr>
      <w:r>
        <w:rPr>
          <w:rStyle w:val="35"/>
          <w:rFonts w:ascii="宋体" w:hAnsi="宋体" w:cs="楷体_GB2312"/>
          <w:bCs/>
          <w:szCs w:val="21"/>
        </w:rPr>
        <w:t>1C会议区为会议活动综合配套功能间，需有含高交会logo的背景板、根据面积配备沙发及茶几、茶歇长桌（含桌布及餐具等）；电源插座若干、网络线一条；提供饮水机及桶装水（含一次性杯子）</w:t>
      </w:r>
      <w:r>
        <w:rPr>
          <w:rStyle w:val="35"/>
          <w:rFonts w:hint="eastAsia" w:ascii="宋体" w:hAnsi="宋体" w:cs="楷体_GB2312"/>
          <w:bCs/>
          <w:szCs w:val="21"/>
        </w:rPr>
        <w:t>；提供简单茶歇，茶歇品类包括但不限于：包装好的糖果、饼干、巧克力</w:t>
      </w:r>
      <w:r>
        <w:rPr>
          <w:rStyle w:val="35"/>
          <w:rFonts w:hint="eastAsia" w:ascii="宋体" w:hAnsi="宋体" w:cs="楷体_GB2312"/>
          <w:bCs/>
          <w:szCs w:val="21"/>
          <w:lang w:val="en-US" w:eastAsia="zh-CN"/>
        </w:rPr>
        <w:t>等（不少于6种）；</w:t>
      </w:r>
      <w:r>
        <w:rPr>
          <w:rStyle w:val="35"/>
          <w:rFonts w:hint="eastAsia" w:ascii="宋体" w:hAnsi="宋体" w:cs="楷体_GB2312"/>
          <w:bCs/>
          <w:szCs w:val="21"/>
        </w:rPr>
        <w:t>咖啡</w:t>
      </w:r>
      <w:r>
        <w:rPr>
          <w:rStyle w:val="35"/>
          <w:rFonts w:hint="eastAsia" w:ascii="宋体" w:hAnsi="宋体" w:cs="楷体_GB2312"/>
          <w:bCs/>
          <w:szCs w:val="21"/>
          <w:lang w:eastAsia="zh-CN"/>
        </w:rPr>
        <w:t>（</w:t>
      </w:r>
      <w:r>
        <w:rPr>
          <w:rStyle w:val="35"/>
          <w:rFonts w:hint="eastAsia" w:ascii="宋体" w:hAnsi="宋体" w:cs="楷体_GB2312"/>
          <w:bCs/>
          <w:szCs w:val="21"/>
          <w:lang w:val="en-US" w:eastAsia="zh-CN"/>
        </w:rPr>
        <w:t>非速溶</w:t>
      </w:r>
      <w:r>
        <w:rPr>
          <w:rStyle w:val="35"/>
          <w:rFonts w:hint="eastAsia" w:ascii="宋体" w:hAnsi="宋体" w:cs="楷体_GB2312"/>
          <w:bCs/>
          <w:szCs w:val="21"/>
          <w:lang w:eastAsia="zh-CN"/>
        </w:rPr>
        <w:t>）</w:t>
      </w:r>
      <w:r>
        <w:rPr>
          <w:rStyle w:val="35"/>
          <w:rFonts w:hint="eastAsia" w:ascii="宋体" w:hAnsi="宋体" w:cs="楷体_GB2312"/>
          <w:bCs/>
          <w:szCs w:val="21"/>
        </w:rPr>
        <w:t>、热茶</w:t>
      </w:r>
      <w:r>
        <w:rPr>
          <w:rStyle w:val="35"/>
          <w:rFonts w:hint="eastAsia" w:ascii="宋体" w:hAnsi="宋体" w:cs="楷体_GB2312"/>
          <w:bCs/>
          <w:szCs w:val="21"/>
          <w:lang w:eastAsia="zh-CN"/>
        </w:rPr>
        <w:t>（</w:t>
      </w:r>
      <w:r>
        <w:rPr>
          <w:rStyle w:val="35"/>
          <w:rFonts w:hint="eastAsia" w:ascii="宋体" w:hAnsi="宋体" w:cs="楷体_GB2312"/>
          <w:bCs/>
          <w:szCs w:val="21"/>
          <w:lang w:val="en-US" w:eastAsia="zh-CN"/>
        </w:rPr>
        <w:t>包括绿茶，红茶，不少于3种</w:t>
      </w:r>
      <w:r>
        <w:rPr>
          <w:rStyle w:val="35"/>
          <w:rFonts w:hint="eastAsia" w:ascii="宋体" w:hAnsi="宋体" w:cs="楷体_GB2312"/>
          <w:bCs/>
          <w:szCs w:val="21"/>
          <w:lang w:eastAsia="zh-CN"/>
        </w:rPr>
        <w:t>）</w:t>
      </w:r>
      <w:r>
        <w:rPr>
          <w:rStyle w:val="35"/>
          <w:rFonts w:hint="eastAsia" w:ascii="宋体" w:hAnsi="宋体" w:cs="楷体_GB2312"/>
          <w:bCs/>
          <w:szCs w:val="21"/>
        </w:rPr>
        <w:t>等，展期</w:t>
      </w:r>
      <w:r>
        <w:rPr>
          <w:rStyle w:val="35"/>
          <w:rFonts w:ascii="宋体" w:hAnsi="宋体" w:cs="楷体_GB2312"/>
          <w:bCs/>
          <w:szCs w:val="21"/>
        </w:rPr>
        <w:t>5天内</w:t>
      </w:r>
      <w:r>
        <w:rPr>
          <w:rStyle w:val="35"/>
          <w:rFonts w:hint="eastAsia" w:ascii="宋体" w:hAnsi="宋体" w:cs="楷体_GB2312"/>
          <w:bCs/>
          <w:szCs w:val="21"/>
        </w:rPr>
        <w:t>每半天补充或更换一次</w:t>
      </w:r>
      <w:r>
        <w:rPr>
          <w:rStyle w:val="35"/>
          <w:rFonts w:hint="eastAsia" w:ascii="宋体" w:hAnsi="宋体" w:cs="楷体_GB2312"/>
          <w:bCs/>
          <w:szCs w:val="21"/>
          <w:lang w:eastAsia="zh-CN"/>
        </w:rPr>
        <w:t>，</w:t>
      </w:r>
      <w:r>
        <w:rPr>
          <w:rStyle w:val="35"/>
          <w:rFonts w:hint="eastAsia" w:ascii="宋体" w:hAnsi="宋体" w:cs="楷体_GB2312"/>
          <w:bCs/>
          <w:szCs w:val="21"/>
          <w:lang w:val="en-US" w:eastAsia="zh-CN"/>
        </w:rPr>
        <w:t>每半天准备不少于50人份</w:t>
      </w:r>
      <w:r>
        <w:rPr>
          <w:rStyle w:val="35"/>
          <w:rFonts w:hint="eastAsia" w:ascii="宋体" w:hAnsi="宋体" w:cs="楷体_GB2312"/>
          <w:bCs/>
          <w:szCs w:val="21"/>
        </w:rPr>
        <w:t>。</w:t>
      </w:r>
    </w:p>
    <w:p>
      <w:pPr>
        <w:ind w:left="425"/>
        <w:rPr>
          <w:rStyle w:val="35"/>
          <w:rFonts w:ascii="宋体" w:hAnsi="宋体" w:cs="楷体_GB2312"/>
          <w:bCs/>
          <w:szCs w:val="21"/>
          <w:highlight w:val="yellow"/>
        </w:rPr>
      </w:pPr>
    </w:p>
    <w:p>
      <w:pPr>
        <w:numPr>
          <w:ilvl w:val="0"/>
          <w:numId w:val="21"/>
        </w:numPr>
        <w:rPr>
          <w:rStyle w:val="35"/>
          <w:rFonts w:ascii="宋体" w:hAnsi="宋体" w:cs="楷体_GB2312"/>
          <w:b/>
          <w:szCs w:val="21"/>
        </w:rPr>
      </w:pPr>
      <w:r>
        <w:rPr>
          <w:rStyle w:val="35"/>
          <w:rFonts w:hint="eastAsia" w:ascii="宋体" w:hAnsi="宋体" w:cs="楷体_GB2312"/>
          <w:b/>
          <w:szCs w:val="21"/>
        </w:rPr>
        <w:t>会务需求</w:t>
      </w:r>
    </w:p>
    <w:p>
      <w:pPr>
        <w:numPr>
          <w:ilvl w:val="0"/>
          <w:numId w:val="22"/>
        </w:numPr>
        <w:rPr>
          <w:rStyle w:val="35"/>
          <w:rFonts w:ascii="宋体" w:hAnsi="宋体" w:cs="楷体_GB2312"/>
          <w:bCs/>
          <w:szCs w:val="21"/>
        </w:rPr>
      </w:pPr>
      <w:r>
        <w:rPr>
          <w:rStyle w:val="35"/>
          <w:rFonts w:ascii="宋体" w:hAnsi="宋体" w:cs="楷体_GB2312"/>
          <w:bCs/>
          <w:szCs w:val="21"/>
        </w:rPr>
        <w:t>1A、1B、2A及1C每个会议区需配备至少2名会务服务人员，会期</w:t>
      </w:r>
      <w:r>
        <w:rPr>
          <w:rStyle w:val="35"/>
          <w:rFonts w:hint="eastAsia" w:ascii="宋体" w:hAnsi="宋体" w:cs="楷体_GB2312"/>
          <w:bCs/>
          <w:szCs w:val="21"/>
        </w:rPr>
        <w:t>内负责包括但不限于活动场次间翻台、清场、维持秩序、观众引导、提供并及时更换桶装水及茶水茶歇等服务。服务人员统一听从采购人指定人员的任务安排及调度。</w:t>
      </w:r>
    </w:p>
    <w:p>
      <w:pPr>
        <w:numPr>
          <w:ilvl w:val="0"/>
          <w:numId w:val="22"/>
        </w:numPr>
        <w:rPr>
          <w:rStyle w:val="35"/>
          <w:rFonts w:ascii="宋体" w:hAnsi="宋体" w:cs="楷体_GB2312"/>
          <w:bCs/>
          <w:sz w:val="28"/>
          <w:szCs w:val="28"/>
        </w:rPr>
      </w:pPr>
      <w:r>
        <w:rPr>
          <w:rStyle w:val="35"/>
          <w:rFonts w:hint="eastAsia" w:ascii="宋体" w:hAnsi="宋体" w:cs="楷体_GB2312"/>
          <w:bCs/>
          <w:szCs w:val="21"/>
        </w:rPr>
        <w:t>每个会议区的</w:t>
      </w:r>
      <w:r>
        <w:rPr>
          <w:rStyle w:val="35"/>
          <w:rFonts w:ascii="宋体" w:hAnsi="宋体" w:cs="楷体_GB2312"/>
          <w:bCs/>
          <w:szCs w:val="21"/>
        </w:rPr>
        <w:t>LED及音响设备等现场设备需</w:t>
      </w:r>
      <w:r>
        <w:rPr>
          <w:rStyle w:val="35"/>
          <w:rFonts w:hint="eastAsia" w:ascii="宋体" w:hAnsi="宋体" w:cs="楷体_GB2312"/>
          <w:bCs/>
          <w:szCs w:val="21"/>
        </w:rPr>
        <w:t>安排</w:t>
      </w:r>
      <w:r>
        <w:rPr>
          <w:rStyle w:val="35"/>
          <w:rFonts w:ascii="宋体" w:hAnsi="宋体" w:cs="楷体_GB2312"/>
          <w:bCs/>
          <w:szCs w:val="21"/>
        </w:rPr>
        <w:t>专人负责操控、维护及设备故障排除的应急响应</w:t>
      </w:r>
      <w:r>
        <w:rPr>
          <w:rStyle w:val="35"/>
          <w:rFonts w:hint="eastAsia" w:ascii="宋体" w:hAnsi="宋体" w:cs="楷体_GB2312"/>
          <w:bCs/>
          <w:szCs w:val="21"/>
        </w:rPr>
        <w:t>；设备设施故障维护响应时间不得超过</w:t>
      </w:r>
      <w:r>
        <w:rPr>
          <w:rStyle w:val="35"/>
          <w:rFonts w:ascii="宋体" w:hAnsi="宋体" w:cs="楷体_GB2312"/>
          <w:bCs/>
          <w:szCs w:val="21"/>
        </w:rPr>
        <w:t>15分钟</w:t>
      </w:r>
      <w:r>
        <w:rPr>
          <w:rStyle w:val="35"/>
          <w:rFonts w:hint="eastAsia" w:ascii="宋体" w:hAnsi="宋体" w:cs="楷体_GB2312"/>
          <w:bCs/>
          <w:szCs w:val="21"/>
        </w:rPr>
        <w:t>。</w:t>
      </w:r>
    </w:p>
    <w:p/>
    <w:p>
      <w:pPr>
        <w:pStyle w:val="34"/>
        <w:ind w:firstLine="0" w:firstLineChars="0"/>
        <w:rPr>
          <w:rFonts w:ascii="仿宋_GB2312" w:hAnsi="仿宋_GB2312" w:eastAsia="仿宋_GB2312" w:cs="仿宋_GB2312"/>
          <w:b/>
          <w:bCs/>
          <w:sz w:val="32"/>
          <w:szCs w:val="32"/>
        </w:rPr>
      </w:pPr>
    </w:p>
    <w:p>
      <w:pPr>
        <w:jc w:val="center"/>
        <w:rPr>
          <w:rStyle w:val="35"/>
          <w:rFonts w:ascii="方正小标宋简体" w:hAnsi="方正小标宋简体" w:eastAsia="方正小标宋简体" w:cs="方正小标宋简体"/>
          <w:sz w:val="32"/>
          <w:szCs w:val="32"/>
        </w:rPr>
      </w:pPr>
      <w:r>
        <w:rPr>
          <w:rStyle w:val="35"/>
          <w:rFonts w:hint="eastAsia" w:ascii="方正小标宋简体" w:hAnsi="方正小标宋简体" w:eastAsia="方正小标宋简体" w:cs="方正小标宋简体"/>
          <w:sz w:val="32"/>
          <w:szCs w:val="32"/>
        </w:rPr>
        <w:t>附件</w:t>
      </w:r>
      <w:r>
        <w:rPr>
          <w:rStyle w:val="35"/>
          <w:rFonts w:ascii="方正小标宋简体" w:hAnsi="方正小标宋简体" w:eastAsia="方正小标宋简体" w:cs="方正小标宋简体"/>
          <w:sz w:val="32"/>
          <w:szCs w:val="32"/>
        </w:rPr>
        <w:t>2：国际信息发布厅设计与搭建项目表</w:t>
      </w:r>
    </w:p>
    <w:tbl>
      <w:tblPr>
        <w:tblStyle w:val="15"/>
        <w:tblW w:w="10458" w:type="dxa"/>
        <w:tblInd w:w="-116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6"/>
        <w:gridCol w:w="967"/>
        <w:gridCol w:w="1273"/>
        <w:gridCol w:w="988"/>
        <w:gridCol w:w="4465"/>
        <w:gridCol w:w="21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8" w:hRule="atLeast"/>
        </w:trPr>
        <w:tc>
          <w:tcPr>
            <w:tcW w:w="646" w:type="dxa"/>
          </w:tcPr>
          <w:p>
            <w:pPr>
              <w:tabs>
                <w:tab w:val="left" w:pos="595"/>
              </w:tabs>
              <w:spacing w:line="500" w:lineRule="exact"/>
              <w:jc w:val="center"/>
              <w:rPr>
                <w:rFonts w:ascii="宋体" w:hAnsi="宋体" w:cs="宋体"/>
                <w:b/>
                <w:szCs w:val="21"/>
              </w:rPr>
            </w:pPr>
            <w:r>
              <w:rPr>
                <w:rFonts w:hint="eastAsia" w:ascii="宋体" w:hAnsi="宋体" w:cs="宋体"/>
                <w:b/>
                <w:szCs w:val="21"/>
              </w:rPr>
              <w:t>序号</w:t>
            </w:r>
          </w:p>
        </w:tc>
        <w:tc>
          <w:tcPr>
            <w:tcW w:w="967" w:type="dxa"/>
          </w:tcPr>
          <w:p>
            <w:pPr>
              <w:tabs>
                <w:tab w:val="left" w:pos="595"/>
              </w:tabs>
              <w:spacing w:line="500" w:lineRule="exact"/>
              <w:jc w:val="center"/>
              <w:rPr>
                <w:rFonts w:ascii="宋体" w:hAnsi="宋体" w:cs="宋体"/>
                <w:b/>
                <w:szCs w:val="21"/>
              </w:rPr>
            </w:pPr>
            <w:r>
              <w:rPr>
                <w:rFonts w:hint="eastAsia" w:ascii="宋体" w:hAnsi="宋体" w:cs="宋体"/>
                <w:b/>
                <w:szCs w:val="21"/>
              </w:rPr>
              <w:t>项目</w:t>
            </w:r>
          </w:p>
        </w:tc>
        <w:tc>
          <w:tcPr>
            <w:tcW w:w="1273" w:type="dxa"/>
          </w:tcPr>
          <w:p>
            <w:pPr>
              <w:tabs>
                <w:tab w:val="left" w:pos="595"/>
              </w:tabs>
              <w:spacing w:line="500" w:lineRule="exact"/>
              <w:jc w:val="center"/>
              <w:rPr>
                <w:rFonts w:ascii="宋体" w:hAnsi="宋体" w:cs="宋体"/>
                <w:b/>
                <w:szCs w:val="21"/>
              </w:rPr>
            </w:pPr>
            <w:r>
              <w:rPr>
                <w:rFonts w:hint="eastAsia" w:ascii="宋体" w:hAnsi="宋体" w:cs="宋体"/>
                <w:b/>
                <w:szCs w:val="21"/>
              </w:rPr>
              <w:t>规格</w:t>
            </w:r>
          </w:p>
        </w:tc>
        <w:tc>
          <w:tcPr>
            <w:tcW w:w="988" w:type="dxa"/>
          </w:tcPr>
          <w:p>
            <w:pPr>
              <w:tabs>
                <w:tab w:val="left" w:pos="595"/>
              </w:tabs>
              <w:spacing w:line="500" w:lineRule="exact"/>
              <w:jc w:val="center"/>
              <w:rPr>
                <w:rFonts w:ascii="宋体" w:hAnsi="宋体" w:cs="宋体"/>
                <w:b/>
                <w:szCs w:val="21"/>
              </w:rPr>
            </w:pPr>
            <w:r>
              <w:rPr>
                <w:rFonts w:hint="eastAsia" w:ascii="宋体" w:hAnsi="宋体" w:cs="宋体"/>
                <w:b/>
                <w:szCs w:val="21"/>
              </w:rPr>
              <w:t>位置</w:t>
            </w:r>
          </w:p>
        </w:tc>
        <w:tc>
          <w:tcPr>
            <w:tcW w:w="4465" w:type="dxa"/>
          </w:tcPr>
          <w:p>
            <w:pPr>
              <w:tabs>
                <w:tab w:val="left" w:pos="595"/>
              </w:tabs>
              <w:spacing w:line="500" w:lineRule="exact"/>
              <w:jc w:val="center"/>
              <w:rPr>
                <w:rFonts w:ascii="宋体" w:hAnsi="宋体" w:cs="宋体"/>
                <w:b/>
                <w:szCs w:val="21"/>
              </w:rPr>
            </w:pPr>
            <w:r>
              <w:rPr>
                <w:rFonts w:hint="eastAsia" w:ascii="宋体" w:hAnsi="宋体" w:cs="宋体"/>
                <w:b/>
                <w:szCs w:val="21"/>
              </w:rPr>
              <w:t>形状（例图）</w:t>
            </w:r>
          </w:p>
        </w:tc>
        <w:tc>
          <w:tcPr>
            <w:tcW w:w="2119" w:type="dxa"/>
          </w:tcPr>
          <w:p>
            <w:pPr>
              <w:tabs>
                <w:tab w:val="left" w:pos="595"/>
              </w:tabs>
              <w:spacing w:line="500" w:lineRule="exact"/>
              <w:jc w:val="center"/>
              <w:rPr>
                <w:rFonts w:ascii="宋体" w:hAnsi="宋体" w:cs="宋体"/>
                <w:b/>
                <w:szCs w:val="21"/>
              </w:rPr>
            </w:pPr>
            <w:r>
              <w:rPr>
                <w:rFonts w:hint="eastAsia" w:ascii="宋体" w:hAnsi="宋体" w:cs="宋体"/>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69" w:hRule="atLeast"/>
        </w:trPr>
        <w:tc>
          <w:tcPr>
            <w:tcW w:w="646" w:type="dxa"/>
          </w:tcPr>
          <w:p>
            <w:pPr>
              <w:tabs>
                <w:tab w:val="left" w:pos="595"/>
              </w:tabs>
              <w:spacing w:line="500" w:lineRule="exact"/>
              <w:jc w:val="left"/>
              <w:rPr>
                <w:rFonts w:ascii="宋体" w:hAnsi="宋体" w:cs="宋体"/>
                <w:b/>
                <w:szCs w:val="21"/>
              </w:rPr>
            </w:pPr>
            <w:r>
              <w:rPr>
                <w:rFonts w:hint="eastAsia" w:ascii="宋体" w:hAnsi="宋体" w:cs="宋体"/>
                <w:b/>
                <w:szCs w:val="21"/>
              </w:rPr>
              <w:t>1</w:t>
            </w:r>
          </w:p>
        </w:tc>
        <w:tc>
          <w:tcPr>
            <w:tcW w:w="967" w:type="dxa"/>
          </w:tcPr>
          <w:p>
            <w:pPr>
              <w:tabs>
                <w:tab w:val="left" w:pos="595"/>
              </w:tabs>
              <w:spacing w:line="500" w:lineRule="exact"/>
              <w:jc w:val="left"/>
              <w:rPr>
                <w:rFonts w:ascii="宋体" w:hAnsi="宋体" w:cs="宋体"/>
                <w:b/>
                <w:szCs w:val="21"/>
              </w:rPr>
            </w:pPr>
            <w:r>
              <w:rPr>
                <w:rFonts w:hint="eastAsia" w:ascii="宋体" w:hAnsi="宋体" w:cs="宋体"/>
                <w:szCs w:val="21"/>
              </w:rPr>
              <w:t>国际信息发布厅</w:t>
            </w:r>
          </w:p>
        </w:tc>
        <w:tc>
          <w:tcPr>
            <w:tcW w:w="1273" w:type="dxa"/>
          </w:tcPr>
          <w:p>
            <w:pPr>
              <w:rPr>
                <w:rFonts w:ascii="宋体" w:hAnsi="宋体"/>
                <w:szCs w:val="21"/>
              </w:rPr>
            </w:pPr>
            <w:r>
              <w:rPr>
                <w:rFonts w:ascii="宋体" w:hAnsi="宋体"/>
                <w:szCs w:val="21"/>
              </w:rPr>
              <w:t>10x13.5m</w:t>
            </w:r>
          </w:p>
          <w:p>
            <w:pPr>
              <w:pStyle w:val="34"/>
              <w:ind w:firstLine="0" w:firstLineChars="0"/>
              <w:rPr>
                <w:rFonts w:ascii="宋体" w:hAnsi="宋体" w:eastAsia="宋体"/>
                <w:szCs w:val="21"/>
              </w:rPr>
            </w:pPr>
          </w:p>
        </w:tc>
        <w:tc>
          <w:tcPr>
            <w:tcW w:w="988" w:type="dxa"/>
          </w:tcPr>
          <w:p>
            <w:pPr>
              <w:pStyle w:val="34"/>
              <w:ind w:firstLine="0" w:firstLineChars="0"/>
              <w:rPr>
                <w:rFonts w:ascii="宋体" w:hAnsi="宋体" w:eastAsia="宋体"/>
                <w:szCs w:val="21"/>
              </w:rPr>
            </w:pPr>
            <w:r>
              <w:rPr>
                <w:rFonts w:ascii="宋体" w:hAnsi="宋体" w:eastAsia="宋体" w:cs="宋体"/>
                <w:bCs/>
                <w:szCs w:val="21"/>
              </w:rPr>
              <w:t>1</w:t>
            </w:r>
            <w:r>
              <w:rPr>
                <w:rFonts w:hint="eastAsia" w:ascii="宋体" w:hAnsi="宋体" w:eastAsia="宋体" w:cs="宋体"/>
                <w:bCs/>
                <w:szCs w:val="21"/>
              </w:rPr>
              <w:t>号馆东侧平台下方</w:t>
            </w:r>
          </w:p>
        </w:tc>
        <w:tc>
          <w:tcPr>
            <w:tcW w:w="4465" w:type="dxa"/>
          </w:tcPr>
          <w:p>
            <w:pPr>
              <w:widowControl/>
              <w:jc w:val="center"/>
              <w:rPr>
                <w:rFonts w:ascii="宋体" w:hAnsi="宋体" w:cs="宋体"/>
                <w:b/>
                <w:szCs w:val="21"/>
              </w:rPr>
            </w:pPr>
            <w:r>
              <w:rPr>
                <w:rFonts w:ascii="宋体" w:hAnsi="宋体"/>
                <w:szCs w:val="21"/>
              </w:rPr>
              <w:drawing>
                <wp:inline distT="0" distB="0" distL="114300" distR="114300">
                  <wp:extent cx="2266950" cy="1904365"/>
                  <wp:effectExtent l="0" t="0" r="0" b="635"/>
                  <wp:docPr id="548700995" name="图片 548700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00995" name="图片 548700995"/>
                          <pic:cNvPicPr>
                            <a:picLocks noChangeAspect="1"/>
                          </pic:cNvPicPr>
                        </pic:nvPicPr>
                        <pic:blipFill>
                          <a:blip r:embed="rId11"/>
                          <a:stretch>
                            <a:fillRect/>
                          </a:stretch>
                        </pic:blipFill>
                        <pic:spPr>
                          <a:xfrm>
                            <a:off x="0" y="0"/>
                            <a:ext cx="2266950" cy="1904365"/>
                          </a:xfrm>
                          <a:prstGeom prst="rect">
                            <a:avLst/>
                          </a:prstGeom>
                          <a:noFill/>
                          <a:ln>
                            <a:noFill/>
                          </a:ln>
                        </pic:spPr>
                      </pic:pic>
                    </a:graphicData>
                  </a:graphic>
                </wp:inline>
              </w:drawing>
            </w:r>
          </w:p>
        </w:tc>
        <w:tc>
          <w:tcPr>
            <w:tcW w:w="2119" w:type="dxa"/>
          </w:tcPr>
          <w:p>
            <w:pPr>
              <w:spacing w:line="400" w:lineRule="exact"/>
              <w:jc w:val="left"/>
              <w:outlineLvl w:val="0"/>
              <w:rPr>
                <w:rFonts w:ascii="宋体" w:hAnsi="宋体"/>
                <w:szCs w:val="21"/>
              </w:rPr>
            </w:pPr>
            <w:bookmarkStart w:id="43" w:name="_Toc19863"/>
            <w:r>
              <w:rPr>
                <w:rFonts w:hint="eastAsia" w:ascii="宋体" w:hAnsi="宋体"/>
                <w:szCs w:val="21"/>
              </w:rPr>
              <w:t>以上地点位置为暂定，以组委会最终公布的具体位置为准。但项目数量及总体面积不超过本说明限定之范围。</w:t>
            </w:r>
            <w:bookmarkEnd w:id="43"/>
          </w:p>
          <w:p>
            <w:pPr>
              <w:rPr>
                <w:rFonts w:ascii="宋体" w:hAnsi="宋体"/>
                <w:szCs w:val="21"/>
              </w:rPr>
            </w:pPr>
          </w:p>
          <w:p>
            <w:pPr>
              <w:rPr>
                <w:rFonts w:ascii="宋体" w:hAnsi="宋体"/>
                <w:szCs w:val="21"/>
              </w:rPr>
            </w:pPr>
          </w:p>
          <w:p>
            <w:pPr>
              <w:rPr>
                <w:rFonts w:ascii="宋体" w:hAnsi="宋体"/>
                <w:szCs w:val="21"/>
              </w:rPr>
            </w:pPr>
          </w:p>
          <w:p>
            <w:pPr>
              <w:numPr>
                <w:ilvl w:val="255"/>
                <w:numId w:val="0"/>
              </w:numPr>
              <w:tabs>
                <w:tab w:val="left" w:pos="531"/>
              </w:tabs>
              <w:snapToGrid w:val="0"/>
              <w:rPr>
                <w:rFonts w:ascii="宋体" w:hAnsi="宋体"/>
                <w:szCs w:val="21"/>
              </w:rPr>
            </w:pPr>
          </w:p>
        </w:tc>
      </w:tr>
    </w:tbl>
    <w:p>
      <w:pPr>
        <w:keepNext w:val="0"/>
        <w:keepLines w:val="0"/>
        <w:pageBreakBefore w:val="0"/>
        <w:widowControl w:val="0"/>
        <w:numPr>
          <w:ilvl w:val="0"/>
          <w:numId w:val="23"/>
        </w:numPr>
        <w:kinsoku/>
        <w:wordWrap/>
        <w:overflowPunct/>
        <w:topLinePunct w:val="0"/>
        <w:autoSpaceDE/>
        <w:autoSpaceDN/>
        <w:bidi w:val="0"/>
        <w:adjustRightInd/>
        <w:snapToGrid/>
        <w:spacing w:line="300" w:lineRule="auto"/>
        <w:textAlignment w:val="auto"/>
        <w:rPr>
          <w:rStyle w:val="35"/>
          <w:rFonts w:hint="eastAsia" w:ascii="宋体" w:hAnsi="宋体" w:cs="楷体_GB2312"/>
          <w:b/>
          <w:szCs w:val="21"/>
        </w:rPr>
      </w:pPr>
      <w:r>
        <w:rPr>
          <w:rStyle w:val="35"/>
          <w:rFonts w:hint="eastAsia" w:ascii="宋体" w:hAnsi="宋体" w:cs="楷体_GB2312"/>
          <w:b/>
          <w:szCs w:val="21"/>
        </w:rPr>
        <w:t>项目</w:t>
      </w:r>
      <w:r>
        <w:rPr>
          <w:rStyle w:val="35"/>
          <w:rFonts w:hint="eastAsia" w:ascii="宋体" w:hAnsi="宋体" w:cs="楷体_GB2312"/>
          <w:b/>
          <w:szCs w:val="21"/>
          <w:lang w:val="en-US" w:eastAsia="zh-CN"/>
        </w:rPr>
        <w:t>概况</w:t>
      </w:r>
    </w:p>
    <w:p>
      <w:pPr>
        <w:keepNext w:val="0"/>
        <w:keepLines w:val="0"/>
        <w:pageBreakBefore w:val="0"/>
        <w:widowControl w:val="0"/>
        <w:numPr>
          <w:ilvl w:val="0"/>
          <w:numId w:val="24"/>
        </w:numPr>
        <w:kinsoku/>
        <w:wordWrap/>
        <w:overflowPunct/>
        <w:topLinePunct w:val="0"/>
        <w:autoSpaceDE/>
        <w:autoSpaceDN/>
        <w:bidi w:val="0"/>
        <w:adjustRightInd/>
        <w:snapToGrid/>
        <w:spacing w:line="300" w:lineRule="auto"/>
        <w:ind w:firstLine="420" w:firstLineChars="200"/>
        <w:textAlignment w:val="auto"/>
        <w:rPr>
          <w:rStyle w:val="35"/>
          <w:rFonts w:hint="eastAsia" w:ascii="宋体" w:hAnsi="宋体" w:eastAsia="宋体" w:cs="宋体"/>
          <w:bCs/>
          <w:szCs w:val="21"/>
        </w:rPr>
      </w:pPr>
      <w:r>
        <w:rPr>
          <w:rStyle w:val="35"/>
          <w:rFonts w:hint="eastAsia" w:ascii="宋体" w:hAnsi="宋体" w:eastAsia="宋体" w:cs="宋体"/>
          <w:bCs/>
          <w:szCs w:val="21"/>
        </w:rPr>
        <w:t>在指定地点设计和搭建一个围合型式会议活动区（三面封闭，一面设置出入口，不封顶）</w:t>
      </w:r>
    </w:p>
    <w:p>
      <w:pPr>
        <w:keepNext w:val="0"/>
        <w:keepLines w:val="0"/>
        <w:pageBreakBefore w:val="0"/>
        <w:widowControl w:val="0"/>
        <w:numPr>
          <w:ilvl w:val="0"/>
          <w:numId w:val="24"/>
        </w:numPr>
        <w:kinsoku/>
        <w:wordWrap/>
        <w:overflowPunct/>
        <w:topLinePunct w:val="0"/>
        <w:autoSpaceDE/>
        <w:autoSpaceDN/>
        <w:bidi w:val="0"/>
        <w:adjustRightInd/>
        <w:snapToGrid/>
        <w:spacing w:line="300" w:lineRule="auto"/>
        <w:ind w:firstLine="420" w:firstLineChars="200"/>
        <w:textAlignment w:val="auto"/>
        <w:rPr>
          <w:rStyle w:val="35"/>
          <w:rFonts w:hint="eastAsia" w:ascii="宋体" w:hAnsi="宋体" w:eastAsia="宋体" w:cs="宋体"/>
          <w:bCs/>
          <w:szCs w:val="21"/>
        </w:rPr>
      </w:pPr>
      <w:r>
        <w:rPr>
          <w:rStyle w:val="35"/>
          <w:rFonts w:hint="eastAsia" w:ascii="宋体" w:hAnsi="宋体" w:eastAsia="宋体" w:cs="宋体"/>
          <w:bCs/>
          <w:szCs w:val="21"/>
        </w:rPr>
        <w:t>项目面积：10m*1</w:t>
      </w:r>
      <w:r>
        <w:rPr>
          <w:rStyle w:val="35"/>
          <w:rFonts w:hint="eastAsia" w:ascii="宋体" w:hAnsi="宋体" w:eastAsia="宋体" w:cs="宋体"/>
          <w:bCs/>
          <w:szCs w:val="21"/>
          <w:lang w:val="en-US" w:eastAsia="zh-CN"/>
        </w:rPr>
        <w:t>3</w:t>
      </w:r>
      <w:r>
        <w:rPr>
          <w:rStyle w:val="35"/>
          <w:rFonts w:hint="eastAsia" w:ascii="宋体" w:hAnsi="宋体" w:eastAsia="宋体" w:cs="宋体"/>
          <w:bCs/>
          <w:szCs w:val="21"/>
        </w:rPr>
        <w:t>.5m</w:t>
      </w:r>
      <w:r>
        <w:rPr>
          <w:rStyle w:val="35"/>
          <w:rFonts w:hint="eastAsia" w:ascii="宋体" w:hAnsi="宋体" w:eastAsia="宋体" w:cs="宋体"/>
          <w:bCs/>
          <w:szCs w:val="21"/>
          <w:lang w:eastAsia="zh-CN"/>
        </w:rPr>
        <w:t>，</w:t>
      </w:r>
      <w:r>
        <w:rPr>
          <w:rStyle w:val="35"/>
          <w:rFonts w:hint="eastAsia" w:ascii="宋体" w:hAnsi="宋体" w:eastAsia="宋体" w:cs="宋体"/>
          <w:bCs/>
          <w:szCs w:val="21"/>
          <w:lang w:val="en-US" w:eastAsia="zh-CN"/>
        </w:rPr>
        <w:t>限高4m。</w:t>
      </w:r>
    </w:p>
    <w:p>
      <w:pPr>
        <w:keepNext w:val="0"/>
        <w:keepLines w:val="0"/>
        <w:pageBreakBefore w:val="0"/>
        <w:widowControl w:val="0"/>
        <w:numPr>
          <w:ilvl w:val="0"/>
          <w:numId w:val="24"/>
        </w:numPr>
        <w:kinsoku/>
        <w:wordWrap/>
        <w:overflowPunct/>
        <w:topLinePunct w:val="0"/>
        <w:autoSpaceDE/>
        <w:autoSpaceDN/>
        <w:bidi w:val="0"/>
        <w:adjustRightInd/>
        <w:snapToGrid/>
        <w:spacing w:line="300" w:lineRule="auto"/>
        <w:ind w:firstLine="420" w:firstLineChars="200"/>
        <w:textAlignment w:val="auto"/>
        <w:rPr>
          <w:rStyle w:val="35"/>
          <w:rFonts w:hint="eastAsia" w:ascii="宋体" w:hAnsi="宋体" w:eastAsia="宋体" w:cs="宋体"/>
          <w:bCs/>
          <w:szCs w:val="21"/>
        </w:rPr>
      </w:pPr>
      <w:r>
        <w:rPr>
          <w:rStyle w:val="35"/>
          <w:rFonts w:hint="eastAsia" w:ascii="宋体" w:hAnsi="宋体" w:eastAsia="宋体" w:cs="宋体"/>
          <w:bCs/>
          <w:szCs w:val="21"/>
        </w:rPr>
        <w:t>地点：1号馆东侧平台下方</w:t>
      </w:r>
      <w:r>
        <w:rPr>
          <w:rStyle w:val="35"/>
          <w:rFonts w:hint="eastAsia" w:ascii="宋体" w:hAnsi="宋体" w:cs="宋体"/>
          <w:bCs/>
          <w:szCs w:val="21"/>
          <w:lang w:eastAsia="zh-CN"/>
        </w:rPr>
        <w:t>，</w:t>
      </w:r>
      <w:r>
        <w:rPr>
          <w:rStyle w:val="35"/>
          <w:rFonts w:hint="eastAsia" w:ascii="宋体" w:hAnsi="宋体" w:eastAsia="宋体" w:cs="宋体"/>
          <w:bCs/>
          <w:szCs w:val="21"/>
        </w:rPr>
        <w:t>最终位置以大会最终通知为准</w:t>
      </w:r>
      <w:r>
        <w:rPr>
          <w:rStyle w:val="35"/>
          <w:rFonts w:hint="eastAsia" w:ascii="宋体" w:hAnsi="宋体" w:eastAsia="宋体" w:cs="宋体"/>
          <w:bCs/>
          <w:szCs w:val="21"/>
          <w:lang w:eastAsia="zh-CN"/>
        </w:rPr>
        <w:t>。</w:t>
      </w:r>
    </w:p>
    <w:p>
      <w:pPr>
        <w:keepNext w:val="0"/>
        <w:keepLines w:val="0"/>
        <w:pageBreakBefore w:val="0"/>
        <w:widowControl w:val="0"/>
        <w:numPr>
          <w:ilvl w:val="0"/>
          <w:numId w:val="23"/>
        </w:numPr>
        <w:kinsoku/>
        <w:wordWrap/>
        <w:overflowPunct/>
        <w:topLinePunct w:val="0"/>
        <w:autoSpaceDE/>
        <w:autoSpaceDN/>
        <w:bidi w:val="0"/>
        <w:adjustRightInd/>
        <w:snapToGrid/>
        <w:spacing w:line="300" w:lineRule="auto"/>
        <w:textAlignment w:val="auto"/>
        <w:rPr>
          <w:rStyle w:val="35"/>
          <w:rFonts w:hint="eastAsia" w:ascii="宋体" w:hAnsi="宋体" w:eastAsia="宋体" w:cs="宋体"/>
          <w:bCs/>
          <w:szCs w:val="21"/>
          <w:lang w:val="en-US" w:eastAsia="zh-CN"/>
        </w:rPr>
      </w:pPr>
      <w:r>
        <w:rPr>
          <w:rStyle w:val="35"/>
          <w:rFonts w:hint="eastAsia" w:ascii="宋体" w:hAnsi="宋体" w:cs="宋体"/>
          <w:b/>
          <w:szCs w:val="21"/>
          <w:lang w:val="en-US" w:eastAsia="zh-CN"/>
        </w:rPr>
        <w:t>搭建</w:t>
      </w:r>
      <w:r>
        <w:rPr>
          <w:rStyle w:val="35"/>
          <w:rFonts w:hint="eastAsia" w:ascii="宋体" w:hAnsi="宋体" w:eastAsia="宋体" w:cs="宋体"/>
          <w:b/>
          <w:szCs w:val="21"/>
        </w:rPr>
        <w:t>需求</w:t>
      </w:r>
    </w:p>
    <w:p>
      <w:pPr>
        <w:keepNext w:val="0"/>
        <w:keepLines w:val="0"/>
        <w:pageBreakBefore w:val="0"/>
        <w:widowControl w:val="0"/>
        <w:numPr>
          <w:ilvl w:val="0"/>
          <w:numId w:val="25"/>
        </w:numPr>
        <w:kinsoku/>
        <w:wordWrap/>
        <w:overflowPunct/>
        <w:topLinePunct w:val="0"/>
        <w:autoSpaceDE/>
        <w:autoSpaceDN/>
        <w:bidi w:val="0"/>
        <w:adjustRightInd/>
        <w:snapToGrid/>
        <w:spacing w:line="300" w:lineRule="auto"/>
        <w:ind w:firstLine="420" w:firstLineChars="200"/>
        <w:textAlignment w:val="auto"/>
        <w:rPr>
          <w:rStyle w:val="35"/>
          <w:rFonts w:hint="default" w:ascii="宋体" w:hAnsi="宋体" w:cs="宋体" w:eastAsiaTheme="minorEastAsia"/>
          <w:bCs/>
          <w:szCs w:val="21"/>
          <w:lang w:val="en-US" w:eastAsia="zh-CN"/>
        </w:rPr>
      </w:pPr>
      <w:r>
        <w:rPr>
          <w:rStyle w:val="35"/>
          <w:rFonts w:hint="eastAsia" w:ascii="宋体" w:hAnsi="宋体" w:cs="宋体" w:eastAsiaTheme="minorEastAsia"/>
          <w:bCs/>
          <w:szCs w:val="21"/>
          <w:lang w:val="en-US" w:eastAsia="zh-CN"/>
        </w:rPr>
        <w:t>整体搭建鼓励运用绿色环保建筑材料，</w:t>
      </w:r>
      <w:r>
        <w:rPr>
          <w:rStyle w:val="35"/>
          <w:rFonts w:hint="eastAsia" w:ascii="宋体" w:hAnsi="宋体" w:cs="楷体_GB2312"/>
          <w:bCs/>
          <w:szCs w:val="21"/>
        </w:rPr>
        <w:t>结合国际创新成果展理念与特征对发布厅进行设计</w:t>
      </w:r>
      <w:r>
        <w:rPr>
          <w:rStyle w:val="35"/>
          <w:rFonts w:hint="eastAsia" w:ascii="宋体" w:hAnsi="宋体" w:cs="楷体_GB2312"/>
          <w:bCs/>
          <w:szCs w:val="21"/>
          <w:lang w:eastAsia="zh-CN"/>
        </w:rPr>
        <w:t>，</w:t>
      </w:r>
      <w:r>
        <w:rPr>
          <w:rStyle w:val="35"/>
          <w:rFonts w:hint="eastAsia" w:ascii="宋体" w:hAnsi="宋体" w:cs="楷体_GB2312"/>
          <w:bCs/>
          <w:szCs w:val="21"/>
          <w:lang w:val="en-US" w:eastAsia="zh-CN"/>
        </w:rPr>
        <w:t>需满足举办会议活动的基本需求。</w:t>
      </w:r>
    </w:p>
    <w:p>
      <w:pPr>
        <w:keepNext w:val="0"/>
        <w:keepLines w:val="0"/>
        <w:pageBreakBefore w:val="0"/>
        <w:widowControl w:val="0"/>
        <w:numPr>
          <w:ilvl w:val="0"/>
          <w:numId w:val="25"/>
        </w:numPr>
        <w:kinsoku/>
        <w:wordWrap/>
        <w:overflowPunct/>
        <w:topLinePunct w:val="0"/>
        <w:autoSpaceDE/>
        <w:autoSpaceDN/>
        <w:bidi w:val="0"/>
        <w:adjustRightInd/>
        <w:snapToGrid/>
        <w:spacing w:line="300" w:lineRule="auto"/>
        <w:ind w:firstLine="420" w:firstLineChars="200"/>
        <w:textAlignment w:val="auto"/>
        <w:rPr>
          <w:rStyle w:val="35"/>
          <w:rFonts w:hint="eastAsia" w:ascii="宋体" w:hAnsi="宋体" w:eastAsia="宋体" w:cs="宋体"/>
          <w:bCs/>
          <w:szCs w:val="21"/>
          <w:lang w:val="en-US"/>
        </w:rPr>
      </w:pPr>
      <w:r>
        <w:rPr>
          <w:rStyle w:val="35"/>
          <w:rFonts w:hint="eastAsia" w:ascii="宋体" w:hAnsi="宋体" w:cs="宋体"/>
          <w:bCs/>
          <w:szCs w:val="21"/>
          <w:lang w:val="en-US" w:eastAsia="zh-CN"/>
        </w:rPr>
        <w:t>发布厅内部按剧院式摆设，</w:t>
      </w:r>
      <w:r>
        <w:rPr>
          <w:rStyle w:val="35"/>
          <w:rFonts w:hint="eastAsia" w:ascii="宋体" w:hAnsi="宋体" w:cs="宋体" w:eastAsiaTheme="minorEastAsia"/>
          <w:bCs/>
          <w:szCs w:val="21"/>
          <w:lang w:val="en-US" w:eastAsia="zh-CN"/>
        </w:rPr>
        <w:t>演讲舞台旁需摆放适量绿植。</w:t>
      </w:r>
    </w:p>
    <w:p>
      <w:pPr>
        <w:keepNext w:val="0"/>
        <w:keepLines w:val="0"/>
        <w:pageBreakBefore w:val="0"/>
        <w:widowControl w:val="0"/>
        <w:numPr>
          <w:ilvl w:val="0"/>
          <w:numId w:val="25"/>
        </w:numPr>
        <w:kinsoku/>
        <w:wordWrap/>
        <w:overflowPunct/>
        <w:topLinePunct w:val="0"/>
        <w:autoSpaceDE/>
        <w:autoSpaceDN/>
        <w:bidi w:val="0"/>
        <w:adjustRightInd/>
        <w:snapToGrid/>
        <w:spacing w:line="300" w:lineRule="auto"/>
        <w:ind w:firstLine="420" w:firstLineChars="200"/>
        <w:textAlignment w:val="auto"/>
        <w:rPr>
          <w:rStyle w:val="35"/>
          <w:rFonts w:hint="default" w:ascii="宋体" w:hAnsi="宋体" w:eastAsia="宋体" w:cs="宋体"/>
          <w:bCs/>
          <w:szCs w:val="21"/>
          <w:lang w:val="en-US" w:eastAsia="zh-CN"/>
        </w:rPr>
      </w:pPr>
      <w:r>
        <w:rPr>
          <w:rStyle w:val="35"/>
          <w:rFonts w:hint="eastAsia" w:ascii="宋体" w:hAnsi="宋体" w:cs="宋体"/>
          <w:bCs/>
          <w:szCs w:val="21"/>
          <w:lang w:val="en-US" w:eastAsia="zh-CN"/>
        </w:rPr>
        <w:t>需设计、制作及配备舞台、背景板、演讲台、地毯、水牌栏、设备操作台、签约桌（含签约桌布裙）2个以上、签约椅2个以上；独立沙发3个以上、观众座位</w:t>
      </w:r>
      <w:r>
        <w:rPr>
          <w:rStyle w:val="35"/>
          <w:rFonts w:ascii="宋体" w:hAnsi="宋体" w:cs="楷体_GB2312"/>
          <w:bCs/>
          <w:szCs w:val="21"/>
        </w:rPr>
        <w:t>配</w:t>
      </w:r>
      <w:r>
        <w:rPr>
          <w:rStyle w:val="35"/>
          <w:rFonts w:hint="eastAsia" w:ascii="宋体" w:hAnsi="宋体" w:cs="楷体_GB2312"/>
          <w:bCs/>
          <w:szCs w:val="21"/>
          <w:lang w:val="en-US" w:eastAsia="zh-CN"/>
        </w:rPr>
        <w:t>备单人皮质圆凳约50张（具体数量按现场活动需求布置）</w:t>
      </w:r>
      <w:r>
        <w:rPr>
          <w:rStyle w:val="35"/>
          <w:rFonts w:hint="eastAsia" w:ascii="宋体" w:hAnsi="宋体" w:cs="宋体"/>
          <w:bCs/>
          <w:szCs w:val="21"/>
          <w:lang w:val="en-US" w:eastAsia="zh-CN"/>
        </w:rPr>
        <w:t>；需搭建地台、入口处设置迎宾台。</w:t>
      </w:r>
    </w:p>
    <w:p>
      <w:pPr>
        <w:keepNext w:val="0"/>
        <w:keepLines w:val="0"/>
        <w:pageBreakBefore w:val="0"/>
        <w:widowControl w:val="0"/>
        <w:numPr>
          <w:ilvl w:val="0"/>
          <w:numId w:val="25"/>
        </w:numPr>
        <w:kinsoku/>
        <w:wordWrap/>
        <w:overflowPunct/>
        <w:topLinePunct w:val="0"/>
        <w:autoSpaceDE/>
        <w:autoSpaceDN/>
        <w:bidi w:val="0"/>
        <w:adjustRightInd/>
        <w:snapToGrid/>
        <w:spacing w:line="300" w:lineRule="auto"/>
        <w:ind w:firstLine="420" w:firstLineChars="200"/>
        <w:textAlignment w:val="auto"/>
        <w:rPr>
          <w:rStyle w:val="35"/>
          <w:rFonts w:ascii="宋体" w:hAnsi="宋体" w:cs="楷体_GB2312"/>
          <w:bCs/>
          <w:szCs w:val="21"/>
        </w:rPr>
      </w:pPr>
      <w:r>
        <w:rPr>
          <w:rStyle w:val="35"/>
          <w:rFonts w:hint="eastAsia" w:ascii="宋体" w:hAnsi="宋体" w:cs="宋体"/>
          <w:bCs/>
          <w:szCs w:val="21"/>
          <w:lang w:val="en-US" w:eastAsia="zh-CN"/>
        </w:rPr>
        <w:t>需</w:t>
      </w:r>
      <w:r>
        <w:rPr>
          <w:rStyle w:val="35"/>
          <w:rFonts w:hint="eastAsia" w:ascii="宋体" w:hAnsi="宋体" w:eastAsia="宋体" w:cs="宋体"/>
          <w:bCs/>
          <w:szCs w:val="21"/>
          <w:lang w:val="en-US" w:eastAsia="zh-CN"/>
        </w:rPr>
        <w:t>配备LED屏幕</w:t>
      </w:r>
      <w:r>
        <w:rPr>
          <w:rStyle w:val="35"/>
          <w:rFonts w:hint="eastAsia" w:ascii="宋体" w:hAnsi="宋体" w:cs="宋体"/>
          <w:bCs/>
          <w:szCs w:val="21"/>
          <w:lang w:val="en-US" w:eastAsia="zh-CN"/>
        </w:rPr>
        <w:t>一个</w:t>
      </w:r>
      <w:r>
        <w:rPr>
          <w:rStyle w:val="35"/>
          <w:rFonts w:hint="eastAsia" w:ascii="宋体" w:hAnsi="宋体" w:eastAsia="宋体" w:cs="宋体"/>
          <w:bCs/>
          <w:szCs w:val="21"/>
          <w:lang w:val="en-US" w:eastAsia="zh-CN"/>
        </w:rPr>
        <w:t>（</w:t>
      </w:r>
      <w:r>
        <w:rPr>
          <w:rStyle w:val="35"/>
          <w:rFonts w:hint="eastAsia" w:ascii="宋体" w:hAnsi="宋体" w:cs="宋体"/>
          <w:bCs/>
          <w:szCs w:val="21"/>
          <w:lang w:val="en-US" w:eastAsia="zh-CN"/>
        </w:rPr>
        <w:t>规格：4米（宽）</w:t>
      </w:r>
      <w:r>
        <w:rPr>
          <w:rStyle w:val="35"/>
          <w:rFonts w:ascii="宋体" w:hAnsi="宋体" w:cs="楷体_GB2312"/>
          <w:bCs/>
          <w:szCs w:val="21"/>
        </w:rPr>
        <w:t>×</w:t>
      </w:r>
      <w:r>
        <w:rPr>
          <w:rStyle w:val="35"/>
          <w:rFonts w:hint="eastAsia" w:ascii="宋体" w:hAnsi="宋体" w:cs="宋体"/>
          <w:bCs/>
          <w:szCs w:val="21"/>
          <w:lang w:val="en-US" w:eastAsia="zh-CN"/>
        </w:rPr>
        <w:t>3米（高）；</w:t>
      </w:r>
      <w:r>
        <w:rPr>
          <w:rStyle w:val="35"/>
          <w:rFonts w:ascii="宋体" w:hAnsi="宋体" w:cs="楷体_GB2312"/>
          <w:bCs/>
          <w:szCs w:val="21"/>
        </w:rPr>
        <w:t>型号：P3</w:t>
      </w:r>
      <w:r>
        <w:rPr>
          <w:rStyle w:val="35"/>
          <w:rFonts w:hint="eastAsia" w:ascii="宋体" w:hAnsi="宋体" w:cs="楷体_GB2312"/>
          <w:bCs/>
          <w:szCs w:val="21"/>
        </w:rPr>
        <w:t>或</w:t>
      </w:r>
      <w:r>
        <w:rPr>
          <w:rStyle w:val="35"/>
          <w:rFonts w:ascii="宋体" w:hAnsi="宋体" w:cs="楷体_GB2312"/>
          <w:bCs/>
          <w:szCs w:val="21"/>
        </w:rPr>
        <w:t>以上</w:t>
      </w:r>
      <w:r>
        <w:rPr>
          <w:rStyle w:val="35"/>
          <w:rFonts w:hint="eastAsia" w:ascii="宋体" w:hAnsi="宋体" w:eastAsia="宋体" w:cs="宋体"/>
          <w:bCs/>
          <w:szCs w:val="21"/>
          <w:lang w:val="en-US" w:eastAsia="zh-CN"/>
        </w:rPr>
        <w:t>）</w:t>
      </w:r>
      <w:r>
        <w:rPr>
          <w:rStyle w:val="35"/>
          <w:rFonts w:hint="eastAsia" w:ascii="宋体" w:hAnsi="宋体" w:cs="宋体"/>
          <w:bCs/>
          <w:szCs w:val="21"/>
          <w:lang w:val="en-US" w:eastAsia="zh-CN"/>
        </w:rPr>
        <w:t>、灯光照明设备、音响设备一套、立式麦克风1个、手握式麦克风2个；</w:t>
      </w:r>
      <w:r>
        <w:rPr>
          <w:rStyle w:val="35"/>
          <w:rFonts w:hint="eastAsia" w:ascii="宋体" w:hAnsi="宋体" w:eastAsia="宋体" w:cs="宋体"/>
          <w:bCs/>
          <w:szCs w:val="21"/>
          <w:lang w:val="en-US" w:eastAsia="zh-CN"/>
        </w:rPr>
        <w:t>配备手提电脑</w:t>
      </w:r>
      <w:r>
        <w:rPr>
          <w:rStyle w:val="35"/>
          <w:rFonts w:hint="eastAsia" w:ascii="宋体" w:hAnsi="宋体" w:cs="宋体"/>
          <w:bCs/>
          <w:szCs w:val="21"/>
          <w:lang w:val="en-US" w:eastAsia="zh-CN"/>
        </w:rPr>
        <w:t>至少1台、电源插座若干、网线2条；</w:t>
      </w:r>
      <w:r>
        <w:rPr>
          <w:rStyle w:val="35"/>
          <w:rFonts w:ascii="宋体" w:hAnsi="宋体" w:cs="楷体_GB2312"/>
          <w:bCs/>
          <w:szCs w:val="21"/>
        </w:rPr>
        <w:t>LED及音响设备等现场设备需</w:t>
      </w:r>
      <w:r>
        <w:rPr>
          <w:rStyle w:val="35"/>
          <w:rFonts w:hint="eastAsia" w:ascii="宋体" w:hAnsi="宋体" w:cs="楷体_GB2312"/>
          <w:bCs/>
          <w:szCs w:val="21"/>
        </w:rPr>
        <w:t>安排</w:t>
      </w:r>
      <w:r>
        <w:rPr>
          <w:rStyle w:val="35"/>
          <w:rFonts w:ascii="宋体" w:hAnsi="宋体" w:cs="楷体_GB2312"/>
          <w:bCs/>
          <w:szCs w:val="21"/>
        </w:rPr>
        <w:t>专人负责操控、维护</w:t>
      </w:r>
      <w:r>
        <w:rPr>
          <w:rStyle w:val="35"/>
          <w:rFonts w:hint="eastAsia" w:ascii="宋体" w:hAnsi="宋体" w:cs="楷体_GB2312"/>
          <w:bCs/>
          <w:szCs w:val="21"/>
          <w:lang w:eastAsia="zh-CN"/>
        </w:rPr>
        <w:t>。</w:t>
      </w:r>
    </w:p>
    <w:p>
      <w:pPr>
        <w:pStyle w:val="34"/>
        <w:ind w:firstLine="0" w:firstLineChars="0"/>
        <w:rPr>
          <w:rFonts w:ascii="仿宋" w:hAnsi="仿宋" w:eastAsia="仿宋"/>
          <w:sz w:val="24"/>
          <w:szCs w:val="24"/>
        </w:rPr>
      </w:pPr>
    </w:p>
    <w:p>
      <w:pPr>
        <w:jc w:val="center"/>
        <w:rPr>
          <w:rStyle w:val="35"/>
          <w:rFonts w:ascii="仿宋" w:hAnsi="仿宋" w:eastAsia="仿宋"/>
          <w:b/>
          <w:sz w:val="30"/>
          <w:szCs w:val="30"/>
        </w:rPr>
      </w:pPr>
      <w:r>
        <w:rPr>
          <w:rStyle w:val="35"/>
          <w:rFonts w:hint="eastAsia" w:ascii="方正小标宋简体" w:hAnsi="方正小标宋简体" w:eastAsia="方正小标宋简体" w:cs="方正小标宋简体"/>
          <w:b/>
          <w:sz w:val="32"/>
          <w:szCs w:val="32"/>
        </w:rPr>
        <w:t>附件3：第二十五届高交会项目配对洽谈区搭建项目需求</w:t>
      </w:r>
    </w:p>
    <w:p>
      <w:pPr>
        <w:numPr>
          <w:ilvl w:val="0"/>
          <w:numId w:val="23"/>
        </w:numPr>
        <w:rPr>
          <w:rStyle w:val="35"/>
          <w:rFonts w:ascii="宋体" w:hAnsi="宋体" w:cs="楷体_GB2312"/>
          <w:b/>
          <w:szCs w:val="21"/>
        </w:rPr>
      </w:pPr>
      <w:r>
        <w:rPr>
          <w:rStyle w:val="35"/>
          <w:rFonts w:hint="eastAsia" w:ascii="宋体" w:hAnsi="宋体" w:cs="楷体_GB2312"/>
          <w:b/>
          <w:szCs w:val="21"/>
        </w:rPr>
        <w:t>项目概况</w:t>
      </w:r>
    </w:p>
    <w:p>
      <w:pPr>
        <w:ind w:firstLine="420" w:firstLineChars="200"/>
        <w:rPr>
          <w:rStyle w:val="35"/>
          <w:rFonts w:ascii="宋体" w:hAnsi="宋体" w:cs="楷体_GB2312"/>
          <w:bCs/>
          <w:szCs w:val="21"/>
        </w:rPr>
      </w:pPr>
      <w:r>
        <w:rPr>
          <w:rStyle w:val="35"/>
          <w:rFonts w:ascii="宋体" w:hAnsi="宋体" w:cs="楷体_GB2312"/>
          <w:bCs/>
          <w:szCs w:val="21"/>
        </w:rPr>
        <w:t>1</w:t>
      </w:r>
      <w:r>
        <w:rPr>
          <w:rStyle w:val="35"/>
          <w:rFonts w:hint="eastAsia" w:ascii="宋体" w:hAnsi="宋体" w:cs="楷体_GB2312"/>
          <w:bCs/>
          <w:szCs w:val="21"/>
        </w:rPr>
        <w:t>.</w:t>
      </w:r>
      <w:r>
        <w:rPr>
          <w:rStyle w:val="35"/>
          <w:rFonts w:ascii="宋体" w:hAnsi="宋体" w:cs="楷体_GB2312"/>
          <w:bCs/>
          <w:szCs w:val="21"/>
        </w:rPr>
        <w:t>在指定地点设计和搭建一个多功能封闭式会议活动区（三面封闭，一面设置出入口，不封顶）</w:t>
      </w:r>
    </w:p>
    <w:p>
      <w:pPr>
        <w:ind w:firstLine="420" w:firstLineChars="200"/>
        <w:rPr>
          <w:rStyle w:val="35"/>
          <w:rFonts w:ascii="宋体" w:hAnsi="宋体" w:cs="楷体_GB2312"/>
          <w:bCs/>
          <w:szCs w:val="21"/>
        </w:rPr>
      </w:pPr>
      <w:r>
        <w:rPr>
          <w:rStyle w:val="35"/>
          <w:rFonts w:hint="eastAsia" w:ascii="宋体" w:hAnsi="宋体" w:cs="楷体_GB2312"/>
          <w:bCs/>
          <w:szCs w:val="21"/>
        </w:rPr>
        <w:t>3.</w:t>
      </w:r>
      <w:r>
        <w:rPr>
          <w:rStyle w:val="35"/>
          <w:rFonts w:ascii="宋体" w:hAnsi="宋体" w:cs="楷体_GB2312"/>
          <w:bCs/>
          <w:szCs w:val="21"/>
        </w:rPr>
        <w:t>项目施工及交付地点：深圳会展中心（福田）</w:t>
      </w:r>
      <w:r>
        <w:rPr>
          <w:rStyle w:val="35"/>
          <w:rFonts w:hint="eastAsia" w:ascii="宋体" w:hAnsi="宋体" w:cs="楷体_GB2312"/>
          <w:bCs/>
          <w:szCs w:val="21"/>
        </w:rPr>
        <w:t>9展馆内</w:t>
      </w:r>
      <w:r>
        <w:rPr>
          <w:rStyle w:val="35"/>
          <w:rFonts w:ascii="宋体" w:hAnsi="宋体" w:cs="楷体_GB2312"/>
          <w:bCs/>
          <w:szCs w:val="21"/>
        </w:rPr>
        <w:t>，</w:t>
      </w:r>
      <w:r>
        <w:rPr>
          <w:rStyle w:val="35"/>
          <w:rFonts w:hint="eastAsia" w:ascii="宋体" w:hAnsi="宋体" w:cs="楷体_GB2312"/>
          <w:bCs/>
          <w:szCs w:val="21"/>
        </w:rPr>
        <w:t>拟定地点见图，最终位置以大会最终通知为准</w:t>
      </w:r>
    </w:p>
    <w:p>
      <w:pPr>
        <w:ind w:firstLine="420" w:firstLineChars="200"/>
        <w:rPr>
          <w:rStyle w:val="35"/>
          <w:rFonts w:ascii="宋体" w:hAnsi="宋体" w:cs="楷体_GB2312"/>
          <w:bCs/>
          <w:szCs w:val="21"/>
        </w:rPr>
      </w:pPr>
      <w:r>
        <w:rPr>
          <w:rStyle w:val="35"/>
          <w:rFonts w:hint="eastAsia" w:ascii="宋体" w:hAnsi="宋体" w:cs="楷体_GB2312"/>
          <w:bCs/>
          <w:szCs w:val="21"/>
        </w:rPr>
        <w:t>4.</w:t>
      </w:r>
      <w:r>
        <w:rPr>
          <w:rStyle w:val="35"/>
          <w:rFonts w:ascii="宋体" w:hAnsi="宋体" w:cs="楷体_GB2312"/>
          <w:bCs/>
          <w:szCs w:val="21"/>
        </w:rPr>
        <w:t>项目面积：拟规划125㎡（10m*12.5m）</w:t>
      </w:r>
    </w:p>
    <w:p>
      <w:pPr>
        <w:ind w:firstLine="420" w:firstLineChars="200"/>
        <w:rPr>
          <w:rStyle w:val="35"/>
          <w:rFonts w:ascii="宋体" w:hAnsi="宋体" w:cs="楷体_GB2312"/>
          <w:bCs/>
          <w:szCs w:val="21"/>
        </w:rPr>
      </w:pPr>
      <w:r>
        <w:rPr>
          <w:rStyle w:val="35"/>
          <w:rFonts w:hint="eastAsia" w:ascii="宋体" w:hAnsi="宋体" w:cs="楷体_GB2312"/>
          <w:bCs/>
          <w:szCs w:val="21"/>
        </w:rPr>
        <w:t>5.</w:t>
      </w:r>
      <w:r>
        <w:rPr>
          <w:rStyle w:val="35"/>
          <w:rFonts w:ascii="宋体" w:hAnsi="宋体" w:cs="楷体_GB2312"/>
          <w:bCs/>
          <w:szCs w:val="21"/>
        </w:rPr>
        <w:t xml:space="preserve">洽谈区使用时间：（1）11月15日至11月18日上午用于项目配对洽谈活动；（2）11月18日下午至11月19日用于国家科技创新成果展项目签约。  </w:t>
      </w:r>
    </w:p>
    <w:p>
      <w:pPr>
        <w:rPr>
          <w:rStyle w:val="35"/>
          <w:rFonts w:ascii="宋体" w:hAnsi="宋体" w:cs="楷体_GB2312"/>
          <w:bCs/>
          <w:szCs w:val="21"/>
        </w:rPr>
      </w:pPr>
    </w:p>
    <w:p>
      <w:pPr>
        <w:numPr>
          <w:ilvl w:val="0"/>
          <w:numId w:val="23"/>
        </w:numPr>
        <w:rPr>
          <w:rStyle w:val="35"/>
          <w:rFonts w:ascii="宋体" w:hAnsi="宋体" w:cs="楷体_GB2312"/>
          <w:b/>
          <w:szCs w:val="21"/>
        </w:rPr>
      </w:pPr>
      <w:r>
        <w:rPr>
          <w:rStyle w:val="35"/>
          <w:rFonts w:hint="eastAsia" w:ascii="宋体" w:hAnsi="宋体" w:cs="楷体_GB2312"/>
          <w:b/>
          <w:szCs w:val="21"/>
        </w:rPr>
        <w:t>搭建需求</w:t>
      </w:r>
    </w:p>
    <w:p>
      <w:pPr>
        <w:numPr>
          <w:ilvl w:val="0"/>
          <w:numId w:val="26"/>
        </w:numPr>
        <w:ind w:left="0" w:firstLine="420"/>
        <w:rPr>
          <w:rStyle w:val="35"/>
          <w:rFonts w:ascii="宋体" w:hAnsi="宋体" w:cs="楷体_GB2312"/>
          <w:bCs/>
          <w:szCs w:val="21"/>
        </w:rPr>
      </w:pPr>
      <w:r>
        <w:rPr>
          <w:rStyle w:val="35"/>
          <w:rFonts w:hint="eastAsia" w:ascii="宋体" w:hAnsi="宋体" w:cs="楷体_GB2312"/>
          <w:b/>
          <w:szCs w:val="21"/>
        </w:rPr>
        <w:t>活动区内：</w:t>
      </w:r>
      <w:r>
        <w:rPr>
          <w:rStyle w:val="35"/>
          <w:rFonts w:hint="eastAsia" w:ascii="宋体" w:hAnsi="宋体" w:cs="楷体_GB2312"/>
          <w:bCs/>
          <w:szCs w:val="21"/>
        </w:rPr>
        <w:t>（</w:t>
      </w:r>
      <w:r>
        <w:rPr>
          <w:rStyle w:val="35"/>
          <w:rFonts w:ascii="宋体" w:hAnsi="宋体" w:cs="楷体_GB2312"/>
          <w:bCs/>
          <w:szCs w:val="21"/>
        </w:rPr>
        <w:t>1）设置一个</w:t>
      </w:r>
      <w:r>
        <w:rPr>
          <w:rStyle w:val="35"/>
          <w:rFonts w:hint="eastAsia" w:ascii="宋体" w:hAnsi="宋体" w:cs="楷体_GB2312"/>
          <w:bCs/>
          <w:szCs w:val="21"/>
          <w:lang w:val="en-US" w:eastAsia="zh-CN"/>
        </w:rPr>
        <w:t>型号为</w:t>
      </w:r>
      <w:r>
        <w:rPr>
          <w:rStyle w:val="35"/>
          <w:rFonts w:ascii="宋体" w:hAnsi="宋体" w:eastAsia="宋体" w:cs="楷体_GB2312"/>
          <w:bCs/>
          <w:sz w:val="24"/>
          <w:szCs w:val="21"/>
        </w:rPr>
        <w:t>P3</w:t>
      </w:r>
      <w:r>
        <w:rPr>
          <w:rStyle w:val="35"/>
          <w:rFonts w:hint="eastAsia" w:ascii="宋体" w:hAnsi="宋体" w:cs="楷体_GB2312"/>
          <w:bCs/>
          <w:sz w:val="24"/>
          <w:szCs w:val="21"/>
          <w:lang w:val="en-US" w:eastAsia="zh-CN"/>
        </w:rPr>
        <w:t>或以上的</w:t>
      </w:r>
      <w:r>
        <w:rPr>
          <w:rStyle w:val="35"/>
          <w:rFonts w:ascii="宋体" w:hAnsi="宋体" w:eastAsia="宋体" w:cs="楷体_GB2312"/>
          <w:bCs/>
          <w:sz w:val="24"/>
          <w:szCs w:val="21"/>
        </w:rPr>
        <w:t>高清</w:t>
      </w:r>
      <w:r>
        <w:rPr>
          <w:rStyle w:val="35"/>
          <w:rFonts w:ascii="宋体" w:hAnsi="宋体" w:cs="楷体_GB2312"/>
          <w:bCs/>
          <w:szCs w:val="21"/>
        </w:rPr>
        <w:t>LED屏幕，屏幕尺寸约为7.5㎡。11月15日至18日上午屏幕展示内容为“第二十五届高交会项目配对洽谈”，11月18日下午至19日屏幕展示内容为“第二十五届高交会国家科技创新成果展项目签约”。</w:t>
      </w:r>
    </w:p>
    <w:p>
      <w:pPr>
        <w:numPr>
          <w:ilvl w:val="0"/>
          <w:numId w:val="27"/>
        </w:numPr>
        <w:ind w:firstLine="420"/>
        <w:rPr>
          <w:rStyle w:val="35"/>
          <w:rFonts w:ascii="宋体" w:hAnsi="宋体" w:cs="楷体_GB2312"/>
          <w:bCs/>
          <w:szCs w:val="21"/>
        </w:rPr>
      </w:pPr>
      <w:r>
        <w:rPr>
          <w:rStyle w:val="35"/>
          <w:rFonts w:hint="eastAsia" w:ascii="宋体" w:hAnsi="宋体" w:cs="楷体_GB2312"/>
          <w:bCs/>
          <w:szCs w:val="21"/>
        </w:rPr>
        <w:t>设置演讲台和主席台，并配备音箱一套、灯光照明设备、</w:t>
      </w:r>
      <w:r>
        <w:rPr>
          <w:rStyle w:val="35"/>
          <w:rFonts w:ascii="宋体" w:hAnsi="宋体" w:cs="楷体_GB2312"/>
          <w:bCs/>
          <w:szCs w:val="21"/>
        </w:rPr>
        <w:t>10张洽谈桌、40把洽谈椅、30张白条椅、长条桌若干（供20人左右使用）、饮水机一台（配套桶装水不少于两桶、一次性纸杯若干）、</w:t>
      </w:r>
      <w:r>
        <w:rPr>
          <w:rStyle w:val="35"/>
          <w:rFonts w:hint="eastAsia" w:ascii="宋体" w:hAnsi="宋体" w:cs="楷体_GB2312"/>
          <w:bCs/>
          <w:szCs w:val="21"/>
        </w:rPr>
        <w:t>电源插座若干、网络线一条。</w:t>
      </w:r>
    </w:p>
    <w:p>
      <w:pPr>
        <w:numPr>
          <w:ilvl w:val="0"/>
          <w:numId w:val="26"/>
        </w:numPr>
        <w:ind w:left="0" w:firstLine="420"/>
        <w:rPr>
          <w:rStyle w:val="35"/>
          <w:rFonts w:ascii="宋体" w:hAnsi="宋体" w:cs="楷体_GB2312"/>
          <w:bCs/>
          <w:szCs w:val="21"/>
        </w:rPr>
      </w:pPr>
      <w:r>
        <w:rPr>
          <w:rStyle w:val="35"/>
          <w:rFonts w:hint="eastAsia" w:ascii="宋体" w:hAnsi="宋体" w:cs="楷体_GB2312"/>
          <w:b/>
          <w:szCs w:val="21"/>
        </w:rPr>
        <w:t>活动区外：</w:t>
      </w:r>
      <w:r>
        <w:rPr>
          <w:rStyle w:val="35"/>
          <w:rFonts w:hint="eastAsia" w:ascii="宋体" w:hAnsi="宋体" w:cs="楷体_GB2312"/>
          <w:bCs/>
          <w:szCs w:val="21"/>
        </w:rPr>
        <w:t>（</w:t>
      </w:r>
      <w:r>
        <w:rPr>
          <w:rStyle w:val="35"/>
          <w:rFonts w:ascii="宋体" w:hAnsi="宋体" w:cs="楷体_GB2312"/>
          <w:bCs/>
          <w:szCs w:val="21"/>
        </w:rPr>
        <w:t>1）入口处设置迎宾台，入口处两侧的墙面上设置两个50寸电视，用于展示活动当天及全部活动议程。</w:t>
      </w:r>
    </w:p>
    <w:p>
      <w:pPr>
        <w:numPr>
          <w:ilvl w:val="0"/>
          <w:numId w:val="27"/>
        </w:numPr>
        <w:ind w:firstLine="420"/>
        <w:rPr>
          <w:rStyle w:val="35"/>
          <w:rFonts w:ascii="宋体" w:hAnsi="宋体" w:cs="楷体_GB2312"/>
          <w:bCs/>
          <w:szCs w:val="21"/>
        </w:rPr>
      </w:pPr>
      <w:r>
        <w:rPr>
          <w:rStyle w:val="35"/>
          <w:rFonts w:hint="eastAsia" w:ascii="宋体" w:hAnsi="宋体" w:cs="楷体_GB2312"/>
          <w:bCs/>
          <w:szCs w:val="21"/>
        </w:rPr>
        <w:t>外墙上喷绘第二十五届高交会项目配对洽谈的投资机构名单及参加配对的项目清单。</w:t>
      </w:r>
    </w:p>
    <w:p>
      <w:pPr>
        <w:numPr>
          <w:ilvl w:val="0"/>
          <w:numId w:val="26"/>
        </w:numPr>
        <w:ind w:left="0" w:firstLine="420"/>
        <w:rPr>
          <w:rStyle w:val="35"/>
          <w:rFonts w:ascii="宋体" w:hAnsi="宋体" w:cs="楷体_GB2312"/>
          <w:bCs/>
          <w:szCs w:val="21"/>
        </w:rPr>
      </w:pPr>
      <w:r>
        <w:rPr>
          <w:rStyle w:val="35"/>
          <w:rFonts w:hint="eastAsia" w:ascii="宋体" w:hAnsi="宋体" w:cs="楷体_GB2312"/>
          <w:b/>
          <w:szCs w:val="21"/>
        </w:rPr>
        <w:t>其他：</w:t>
      </w:r>
      <w:r>
        <w:rPr>
          <w:rStyle w:val="35"/>
          <w:rFonts w:hint="eastAsia" w:ascii="宋体" w:hAnsi="宋体" w:cs="楷体_GB2312"/>
          <w:bCs/>
          <w:szCs w:val="21"/>
        </w:rPr>
        <w:t>（</w:t>
      </w:r>
      <w:r>
        <w:rPr>
          <w:rStyle w:val="35"/>
          <w:rFonts w:ascii="宋体" w:hAnsi="宋体" w:cs="楷体_GB2312"/>
          <w:bCs/>
          <w:szCs w:val="21"/>
        </w:rPr>
        <w:t>1）活动区设计和搭建需突出洽谈功能，通过摆放适量绿植营造良好的洽谈环境。</w:t>
      </w:r>
    </w:p>
    <w:p>
      <w:pPr>
        <w:numPr>
          <w:ilvl w:val="0"/>
          <w:numId w:val="28"/>
        </w:numPr>
        <w:ind w:left="0"/>
        <w:rPr>
          <w:rStyle w:val="35"/>
          <w:rFonts w:ascii="宋体" w:hAnsi="宋体" w:cs="楷体_GB2312"/>
          <w:bCs/>
          <w:szCs w:val="21"/>
        </w:rPr>
      </w:pPr>
      <w:r>
        <w:rPr>
          <w:rStyle w:val="35"/>
          <w:rFonts w:hint="eastAsia" w:ascii="宋体" w:hAnsi="宋体" w:cs="楷体_GB2312"/>
          <w:bCs/>
          <w:szCs w:val="21"/>
        </w:rPr>
        <w:t>活动区在使用过程中可能需要临时翻场、更新</w:t>
      </w:r>
      <w:r>
        <w:rPr>
          <w:rStyle w:val="35"/>
          <w:rFonts w:ascii="宋体" w:hAnsi="宋体" w:cs="楷体_GB2312"/>
          <w:bCs/>
          <w:szCs w:val="21"/>
        </w:rPr>
        <w:t>LED屏幕展示内容等。</w:t>
      </w:r>
    </w:p>
    <w:p>
      <w:pPr>
        <w:numPr>
          <w:ilvl w:val="0"/>
          <w:numId w:val="28"/>
        </w:numPr>
        <w:ind w:left="0"/>
        <w:rPr>
          <w:rStyle w:val="35"/>
          <w:rFonts w:ascii="宋体" w:hAnsi="宋体" w:cs="楷体_GB2312"/>
          <w:bCs/>
          <w:szCs w:val="21"/>
        </w:rPr>
      </w:pPr>
      <w:r>
        <w:rPr>
          <w:rStyle w:val="35"/>
          <w:rFonts w:hint="eastAsia" w:ascii="宋体" w:hAnsi="宋体" w:cs="楷体_GB2312"/>
          <w:bCs/>
          <w:szCs w:val="21"/>
        </w:rPr>
        <w:t>在活动区内提供简单茶歇</w:t>
      </w:r>
      <w:r>
        <w:rPr>
          <w:rStyle w:val="35"/>
          <w:rFonts w:hint="eastAsia" w:ascii="宋体" w:hAnsi="宋体" w:cs="楷体_GB2312"/>
          <w:bCs/>
          <w:szCs w:val="21"/>
          <w:lang w:eastAsia="zh-CN"/>
        </w:rPr>
        <w:t>，</w:t>
      </w:r>
      <w:r>
        <w:rPr>
          <w:rStyle w:val="35"/>
          <w:rFonts w:hint="eastAsia" w:ascii="宋体" w:hAnsi="宋体" w:cs="楷体_GB2312"/>
          <w:bCs/>
          <w:szCs w:val="21"/>
          <w:lang w:val="en-US" w:eastAsia="zh-CN"/>
        </w:rPr>
        <w:t>茶歇预算不低于2000元人民币</w:t>
      </w:r>
      <w:r>
        <w:rPr>
          <w:rStyle w:val="35"/>
          <w:rFonts w:hint="eastAsia" w:ascii="宋体" w:hAnsi="宋体" w:cs="楷体_GB2312"/>
          <w:bCs/>
          <w:szCs w:val="21"/>
        </w:rPr>
        <w:t>。茶歇品类包括但不限于：包装好的糖果、饼干、巧克力、冲泡茶包等。活动共分为</w:t>
      </w:r>
      <w:r>
        <w:rPr>
          <w:rStyle w:val="35"/>
          <w:rFonts w:ascii="宋体" w:hAnsi="宋体" w:cs="楷体_GB2312"/>
          <w:bCs/>
          <w:szCs w:val="21"/>
        </w:rPr>
        <w:t>6场（每场为半天，即6个半天），每场配备两箱矿泉水，茶歇每半场补充一次。</w:t>
      </w:r>
    </w:p>
    <w:p>
      <w:pPr>
        <w:rPr>
          <w:rStyle w:val="35"/>
          <w:rFonts w:ascii="宋体" w:hAnsi="宋体" w:cs="楷体_GB2312"/>
          <w:bCs/>
          <w:szCs w:val="21"/>
        </w:rPr>
      </w:pPr>
    </w:p>
    <w:p>
      <w:pPr>
        <w:rPr>
          <w:rStyle w:val="35"/>
          <w:rFonts w:ascii="宋体" w:hAnsi="宋体" w:cs="楷体_GB2312"/>
          <w:bCs/>
          <w:szCs w:val="21"/>
        </w:rPr>
      </w:pPr>
      <w:r>
        <w:rPr>
          <w:rStyle w:val="35"/>
          <w:rFonts w:hint="eastAsia" w:ascii="宋体" w:hAnsi="宋体" w:cs="楷体_GB2312"/>
          <w:bCs/>
          <w:szCs w:val="21"/>
        </w:rPr>
        <w:t>三、其他注意事项</w:t>
      </w:r>
    </w:p>
    <w:p>
      <w:pPr>
        <w:ind w:firstLine="420"/>
        <w:jc w:val="left"/>
        <w:rPr>
          <w:rStyle w:val="35"/>
          <w:rFonts w:ascii="宋体" w:hAnsi="宋体" w:cs="楷体_GB2312"/>
          <w:bCs/>
          <w:szCs w:val="21"/>
        </w:rPr>
      </w:pPr>
      <w:r>
        <w:rPr>
          <w:rStyle w:val="35"/>
          <w:rFonts w:ascii="宋体" w:hAnsi="宋体" w:cs="楷体_GB2312"/>
          <w:bCs/>
          <w:szCs w:val="21"/>
        </w:rPr>
        <w:t>1</w:t>
      </w:r>
      <w:r>
        <w:rPr>
          <w:rStyle w:val="35"/>
          <w:rFonts w:hint="eastAsia" w:ascii="宋体" w:hAnsi="宋体" w:cs="楷体_GB2312"/>
          <w:bCs/>
          <w:szCs w:val="21"/>
        </w:rPr>
        <w:t>.</w:t>
      </w:r>
      <w:r>
        <w:rPr>
          <w:rStyle w:val="35"/>
          <w:rFonts w:ascii="宋体" w:hAnsi="宋体" w:cs="楷体_GB2312"/>
          <w:bCs/>
          <w:szCs w:val="21"/>
        </w:rPr>
        <w:t>招标人需至少在本届高交会开展日的前15个自然日确认最终活动区的最终施工设计图，实际搭建以招标人最终确认的图纸进行施工。</w:t>
      </w:r>
    </w:p>
    <w:p>
      <w:pPr>
        <w:ind w:firstLine="420"/>
        <w:jc w:val="left"/>
        <w:rPr>
          <w:rStyle w:val="35"/>
          <w:rFonts w:ascii="宋体" w:hAnsi="宋体" w:cs="楷体_GB2312"/>
          <w:bCs/>
          <w:szCs w:val="21"/>
        </w:rPr>
      </w:pPr>
      <w:r>
        <w:rPr>
          <w:rStyle w:val="35"/>
          <w:rFonts w:ascii="宋体" w:hAnsi="宋体" w:cs="楷体_GB2312"/>
          <w:bCs/>
          <w:szCs w:val="21"/>
        </w:rPr>
        <w:t>2</w:t>
      </w:r>
      <w:r>
        <w:rPr>
          <w:rStyle w:val="35"/>
          <w:rFonts w:hint="eastAsia" w:ascii="宋体" w:hAnsi="宋体" w:cs="楷体_GB2312"/>
          <w:bCs/>
          <w:szCs w:val="21"/>
        </w:rPr>
        <w:t>.</w:t>
      </w:r>
      <w:r>
        <w:rPr>
          <w:rStyle w:val="35"/>
          <w:rFonts w:ascii="宋体" w:hAnsi="宋体" w:cs="楷体_GB2312"/>
          <w:bCs/>
          <w:szCs w:val="21"/>
        </w:rPr>
        <w:t>活动区搭建完毕后，由招标人在完工当日进行验收。</w:t>
      </w:r>
    </w:p>
    <w:p>
      <w:pPr>
        <w:ind w:firstLine="420"/>
        <w:jc w:val="left"/>
        <w:rPr>
          <w:rStyle w:val="35"/>
          <w:rFonts w:ascii="宋体" w:hAnsi="宋体" w:cs="楷体_GB2312"/>
          <w:bCs/>
          <w:szCs w:val="21"/>
        </w:rPr>
      </w:pPr>
      <w:r>
        <w:rPr>
          <w:rStyle w:val="35"/>
          <w:rFonts w:ascii="宋体" w:hAnsi="宋体" w:cs="楷体_GB2312"/>
          <w:bCs/>
          <w:szCs w:val="21"/>
        </w:rPr>
        <w:t>3</w:t>
      </w:r>
      <w:r>
        <w:rPr>
          <w:rStyle w:val="35"/>
          <w:rFonts w:hint="eastAsia" w:ascii="宋体" w:hAnsi="宋体" w:cs="楷体_GB2312"/>
          <w:bCs/>
          <w:szCs w:val="21"/>
        </w:rPr>
        <w:t>.</w:t>
      </w:r>
      <w:r>
        <w:rPr>
          <w:rStyle w:val="35"/>
          <w:rFonts w:ascii="宋体" w:hAnsi="宋体" w:cs="楷体_GB2312"/>
          <w:bCs/>
          <w:szCs w:val="21"/>
        </w:rPr>
        <w:t>活动区使用期间，如遇部分设施、结构配件等损坏时，由中标单位协助进行修补，以确保活动区能够正常使用。</w:t>
      </w:r>
    </w:p>
    <w:p>
      <w:pPr>
        <w:ind w:firstLine="420"/>
        <w:jc w:val="left"/>
        <w:rPr>
          <w:rStyle w:val="35"/>
          <w:rFonts w:ascii="宋体" w:hAnsi="宋体" w:cs="楷体_GB2312"/>
          <w:bCs/>
          <w:szCs w:val="21"/>
        </w:rPr>
      </w:pPr>
      <w:r>
        <w:rPr>
          <w:rStyle w:val="35"/>
          <w:rFonts w:ascii="宋体" w:hAnsi="宋体" w:cs="楷体_GB2312"/>
          <w:bCs/>
          <w:szCs w:val="21"/>
        </w:rPr>
        <w:t>4</w:t>
      </w:r>
      <w:r>
        <w:rPr>
          <w:rStyle w:val="35"/>
          <w:rFonts w:hint="eastAsia" w:ascii="宋体" w:hAnsi="宋体" w:cs="楷体_GB2312"/>
          <w:bCs/>
          <w:szCs w:val="21"/>
        </w:rPr>
        <w:t>.投标人</w:t>
      </w:r>
      <w:r>
        <w:rPr>
          <w:rStyle w:val="35"/>
          <w:rFonts w:ascii="宋体" w:hAnsi="宋体" w:cs="楷体_GB2312"/>
          <w:bCs/>
          <w:szCs w:val="21"/>
        </w:rPr>
        <w:t>需安排专人于每天活动区开始使用前，做好电力、展位设施等的检查和维护工作。同时安排专业技术人员，如电工、木工等驻留现场，以便应对洽谈区使用期间的突发状况。</w:t>
      </w:r>
    </w:p>
    <w:p>
      <w:pPr>
        <w:ind w:firstLine="420"/>
        <w:jc w:val="left"/>
        <w:rPr>
          <w:rStyle w:val="35"/>
          <w:rFonts w:ascii="宋体" w:hAnsi="宋体" w:cs="楷体_GB2312"/>
          <w:bCs/>
          <w:szCs w:val="21"/>
        </w:rPr>
      </w:pPr>
      <w:r>
        <w:rPr>
          <w:rStyle w:val="35"/>
          <w:rFonts w:ascii="宋体" w:hAnsi="宋体" w:cs="楷体_GB2312"/>
          <w:bCs/>
          <w:szCs w:val="21"/>
        </w:rPr>
        <w:t>5</w:t>
      </w:r>
      <w:r>
        <w:rPr>
          <w:rStyle w:val="35"/>
          <w:rFonts w:hint="eastAsia" w:ascii="宋体" w:hAnsi="宋体" w:cs="楷体_GB2312"/>
          <w:bCs/>
          <w:szCs w:val="21"/>
        </w:rPr>
        <w:t>.</w:t>
      </w:r>
      <w:r>
        <w:rPr>
          <w:rStyle w:val="35"/>
          <w:rFonts w:ascii="宋体" w:hAnsi="宋体" w:cs="楷体_GB2312"/>
          <w:bCs/>
          <w:szCs w:val="21"/>
        </w:rPr>
        <w:t>投标时，请提供一份报价清单及洽谈区设计效果图（平面图及立体图</w:t>
      </w:r>
      <w:r>
        <w:rPr>
          <w:rStyle w:val="35"/>
          <w:rFonts w:hint="eastAsia" w:ascii="宋体" w:hAnsi="宋体" w:cs="楷体_GB2312"/>
          <w:bCs/>
          <w:szCs w:val="21"/>
          <w:lang w:eastAsia="zh-CN"/>
        </w:rPr>
        <w:t>，</w:t>
      </w:r>
      <w:r>
        <w:rPr>
          <w:rStyle w:val="35"/>
          <w:rFonts w:ascii="宋体" w:hAnsi="宋体" w:cs="楷体_GB2312"/>
          <w:bCs/>
          <w:szCs w:val="21"/>
        </w:rPr>
        <w:t>必须标注其尺寸、材质、工艺等</w:t>
      </w:r>
      <w:r>
        <w:rPr>
          <w:rStyle w:val="35"/>
          <w:rFonts w:hint="eastAsia" w:ascii="宋体" w:hAnsi="宋体" w:cs="楷体_GB2312"/>
          <w:bCs/>
          <w:szCs w:val="21"/>
          <w:lang w:eastAsia="zh-CN"/>
        </w:rPr>
        <w:t>）</w:t>
      </w:r>
      <w:r>
        <w:rPr>
          <w:rStyle w:val="35"/>
          <w:rFonts w:ascii="宋体" w:hAnsi="宋体" w:cs="楷体_GB2312"/>
          <w:bCs/>
          <w:szCs w:val="21"/>
        </w:rPr>
        <w:t>。</w:t>
      </w:r>
    </w:p>
    <w:p>
      <w:pPr>
        <w:pStyle w:val="34"/>
        <w:ind w:firstLine="480"/>
        <w:rPr>
          <w:rFonts w:ascii="仿宋" w:hAnsi="仿宋" w:eastAsia="仿宋"/>
          <w:sz w:val="24"/>
          <w:szCs w:val="24"/>
        </w:rPr>
      </w:pPr>
    </w:p>
    <w:p>
      <w:pPr>
        <w:pStyle w:val="34"/>
        <w:rPr>
          <w:rFonts w:ascii="仿宋" w:hAnsi="仿宋" w:eastAsia="仿宋"/>
          <w:sz w:val="24"/>
          <w:szCs w:val="24"/>
        </w:rPr>
      </w:pPr>
      <w:r>
        <w:drawing>
          <wp:inline distT="0" distB="0" distL="114300" distR="114300">
            <wp:extent cx="5266055" cy="4351020"/>
            <wp:effectExtent l="0" t="0" r="10795"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5266055" cy="4351020"/>
                    </a:xfrm>
                    <a:prstGeom prst="rect">
                      <a:avLst/>
                    </a:prstGeom>
                    <a:noFill/>
                    <a:ln>
                      <a:noFill/>
                    </a:ln>
                  </pic:spPr>
                </pic:pic>
              </a:graphicData>
            </a:graphic>
          </wp:inline>
        </w:drawing>
      </w:r>
    </w:p>
    <w:p>
      <w:pPr>
        <w:pStyle w:val="34"/>
        <w:ind w:firstLine="0" w:firstLineChars="0"/>
        <w:rPr>
          <w:rFonts w:ascii="仿宋" w:hAnsi="仿宋" w:eastAsia="仿宋"/>
          <w:sz w:val="24"/>
          <w:szCs w:val="24"/>
        </w:rPr>
      </w:pPr>
    </w:p>
    <w:p>
      <w:pPr>
        <w:widowControl/>
        <w:jc w:val="left"/>
        <w:rPr>
          <w:rStyle w:val="35"/>
          <w:rFonts w:ascii="方正小标宋简体" w:hAnsi="方正小标宋简体" w:eastAsia="方正小标宋简体" w:cs="方正小标宋简体"/>
          <w:sz w:val="32"/>
          <w:szCs w:val="32"/>
        </w:rPr>
      </w:pPr>
      <w:r>
        <w:rPr>
          <w:rStyle w:val="35"/>
          <w:rFonts w:hint="eastAsia" w:ascii="方正小标宋简体" w:hAnsi="方正小标宋简体" w:eastAsia="方正小标宋简体" w:cs="方正小标宋简体"/>
          <w:sz w:val="32"/>
          <w:szCs w:val="32"/>
        </w:rPr>
        <w:t>附件</w:t>
      </w:r>
      <w:r>
        <w:rPr>
          <w:rStyle w:val="35"/>
          <w:rFonts w:ascii="方正小标宋简体" w:hAnsi="方正小标宋简体" w:eastAsia="方正小标宋简体" w:cs="方正小标宋简体"/>
          <w:sz w:val="32"/>
          <w:szCs w:val="32"/>
        </w:rPr>
        <w:t>4：新闻中心</w:t>
      </w:r>
      <w:r>
        <w:rPr>
          <w:rStyle w:val="35"/>
          <w:rFonts w:hint="eastAsia" w:ascii="方正小标宋简体" w:hAnsi="方正小标宋简体" w:eastAsia="方正小标宋简体" w:cs="方正小标宋简体"/>
          <w:sz w:val="32"/>
          <w:szCs w:val="32"/>
        </w:rPr>
        <w:t>设计与搭建项目需求</w:t>
      </w:r>
    </w:p>
    <w:tbl>
      <w:tblPr>
        <w:tblStyle w:val="14"/>
        <w:tblW w:w="9886" w:type="dxa"/>
        <w:tblInd w:w="-123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908"/>
        <w:gridCol w:w="1195"/>
        <w:gridCol w:w="927"/>
        <w:gridCol w:w="4192"/>
        <w:gridCol w:w="19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5" w:hRule="atLeast"/>
        </w:trPr>
        <w:tc>
          <w:tcPr>
            <w:tcW w:w="675" w:type="dxa"/>
          </w:tcPr>
          <w:p>
            <w:pPr>
              <w:tabs>
                <w:tab w:val="left" w:pos="595"/>
              </w:tabs>
              <w:spacing w:line="500" w:lineRule="exact"/>
              <w:jc w:val="center"/>
              <w:rPr>
                <w:rFonts w:ascii="宋体" w:hAnsi="宋体" w:cs="宋体"/>
                <w:b/>
                <w:color w:val="C00000"/>
                <w:szCs w:val="21"/>
              </w:rPr>
            </w:pPr>
            <w:r>
              <w:rPr>
                <w:rFonts w:hint="eastAsia" w:ascii="宋体" w:hAnsi="宋体" w:cs="宋体"/>
                <w:b/>
                <w:color w:val="C00000"/>
                <w:szCs w:val="21"/>
              </w:rPr>
              <w:t>序号</w:t>
            </w:r>
          </w:p>
        </w:tc>
        <w:tc>
          <w:tcPr>
            <w:tcW w:w="908" w:type="dxa"/>
          </w:tcPr>
          <w:p>
            <w:pPr>
              <w:tabs>
                <w:tab w:val="left" w:pos="595"/>
              </w:tabs>
              <w:spacing w:line="500" w:lineRule="exact"/>
              <w:jc w:val="center"/>
              <w:rPr>
                <w:rFonts w:ascii="宋体" w:hAnsi="宋体" w:cs="宋体"/>
                <w:b/>
                <w:color w:val="C00000"/>
                <w:szCs w:val="21"/>
              </w:rPr>
            </w:pPr>
            <w:r>
              <w:rPr>
                <w:rFonts w:hint="eastAsia" w:ascii="宋体" w:hAnsi="宋体" w:cs="宋体"/>
                <w:b/>
                <w:color w:val="C00000"/>
                <w:szCs w:val="21"/>
              </w:rPr>
              <w:t>项目</w:t>
            </w:r>
          </w:p>
        </w:tc>
        <w:tc>
          <w:tcPr>
            <w:tcW w:w="1195" w:type="dxa"/>
          </w:tcPr>
          <w:p>
            <w:pPr>
              <w:tabs>
                <w:tab w:val="left" w:pos="595"/>
              </w:tabs>
              <w:spacing w:line="500" w:lineRule="exact"/>
              <w:jc w:val="center"/>
              <w:rPr>
                <w:rFonts w:ascii="宋体" w:hAnsi="宋体" w:cs="宋体"/>
                <w:b/>
                <w:color w:val="C00000"/>
                <w:szCs w:val="21"/>
              </w:rPr>
            </w:pPr>
            <w:r>
              <w:rPr>
                <w:rFonts w:hint="eastAsia" w:ascii="宋体" w:hAnsi="宋体" w:cs="宋体"/>
                <w:b/>
                <w:color w:val="C00000"/>
                <w:szCs w:val="21"/>
              </w:rPr>
              <w:t>规格</w:t>
            </w:r>
          </w:p>
        </w:tc>
        <w:tc>
          <w:tcPr>
            <w:tcW w:w="927" w:type="dxa"/>
          </w:tcPr>
          <w:p>
            <w:pPr>
              <w:tabs>
                <w:tab w:val="left" w:pos="595"/>
              </w:tabs>
              <w:spacing w:line="500" w:lineRule="exact"/>
              <w:jc w:val="center"/>
              <w:rPr>
                <w:rFonts w:ascii="宋体" w:hAnsi="宋体" w:cs="宋体"/>
                <w:b/>
                <w:color w:val="C00000"/>
                <w:szCs w:val="21"/>
              </w:rPr>
            </w:pPr>
            <w:r>
              <w:rPr>
                <w:rFonts w:hint="eastAsia" w:ascii="宋体" w:hAnsi="宋体" w:cs="宋体"/>
                <w:b/>
                <w:color w:val="C00000"/>
                <w:szCs w:val="21"/>
              </w:rPr>
              <w:t>位置</w:t>
            </w:r>
          </w:p>
        </w:tc>
        <w:tc>
          <w:tcPr>
            <w:tcW w:w="4192" w:type="dxa"/>
          </w:tcPr>
          <w:p>
            <w:pPr>
              <w:tabs>
                <w:tab w:val="left" w:pos="595"/>
              </w:tabs>
              <w:spacing w:line="500" w:lineRule="exact"/>
              <w:jc w:val="center"/>
              <w:rPr>
                <w:rFonts w:ascii="宋体" w:hAnsi="宋体" w:cs="宋体"/>
                <w:b/>
                <w:color w:val="C00000"/>
                <w:szCs w:val="21"/>
              </w:rPr>
            </w:pPr>
            <w:r>
              <w:rPr>
                <w:rFonts w:hint="eastAsia" w:ascii="宋体" w:hAnsi="宋体" w:cs="宋体"/>
                <w:b/>
                <w:color w:val="C00000"/>
                <w:szCs w:val="21"/>
              </w:rPr>
              <w:t>形状（例图）</w:t>
            </w:r>
          </w:p>
        </w:tc>
        <w:tc>
          <w:tcPr>
            <w:tcW w:w="1989" w:type="dxa"/>
          </w:tcPr>
          <w:p>
            <w:pPr>
              <w:tabs>
                <w:tab w:val="left" w:pos="595"/>
              </w:tabs>
              <w:spacing w:line="500" w:lineRule="exact"/>
              <w:jc w:val="center"/>
              <w:rPr>
                <w:rFonts w:ascii="宋体" w:hAnsi="宋体" w:cs="宋体"/>
                <w:b/>
                <w:color w:val="C00000"/>
                <w:szCs w:val="21"/>
              </w:rPr>
            </w:pPr>
            <w:r>
              <w:rPr>
                <w:rFonts w:hint="eastAsia" w:ascii="宋体" w:hAnsi="宋体" w:cs="宋体"/>
                <w:b/>
                <w:color w:val="C00000"/>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47" w:hRule="atLeast"/>
        </w:trPr>
        <w:tc>
          <w:tcPr>
            <w:tcW w:w="675" w:type="dxa"/>
            <w:vAlign w:val="center"/>
          </w:tcPr>
          <w:p>
            <w:pPr>
              <w:tabs>
                <w:tab w:val="left" w:pos="595"/>
              </w:tabs>
              <w:spacing w:line="500" w:lineRule="exact"/>
              <w:jc w:val="center"/>
              <w:rPr>
                <w:rFonts w:ascii="宋体" w:hAnsi="宋体" w:cs="宋体"/>
                <w:b/>
                <w:color w:val="C00000"/>
                <w:szCs w:val="21"/>
              </w:rPr>
            </w:pPr>
            <w:r>
              <w:rPr>
                <w:rFonts w:hint="eastAsia" w:ascii="宋体" w:hAnsi="宋体" w:cs="宋体"/>
                <w:color w:val="C00000"/>
                <w:szCs w:val="21"/>
              </w:rPr>
              <w:t>1</w:t>
            </w:r>
          </w:p>
        </w:tc>
        <w:tc>
          <w:tcPr>
            <w:tcW w:w="908" w:type="dxa"/>
          </w:tcPr>
          <w:p>
            <w:pPr>
              <w:tabs>
                <w:tab w:val="left" w:pos="595"/>
              </w:tabs>
              <w:spacing w:line="500" w:lineRule="exact"/>
              <w:jc w:val="left"/>
              <w:rPr>
                <w:rFonts w:ascii="宋体" w:hAnsi="宋体" w:cs="宋体"/>
                <w:color w:val="C00000"/>
                <w:szCs w:val="21"/>
              </w:rPr>
            </w:pPr>
            <w:r>
              <w:rPr>
                <w:rFonts w:hint="eastAsia" w:ascii="宋体" w:hAnsi="宋体" w:cs="宋体"/>
                <w:color w:val="C00000"/>
                <w:szCs w:val="21"/>
              </w:rPr>
              <w:t>新</w:t>
            </w:r>
          </w:p>
          <w:p>
            <w:pPr>
              <w:tabs>
                <w:tab w:val="left" w:pos="595"/>
              </w:tabs>
              <w:spacing w:line="500" w:lineRule="exact"/>
              <w:jc w:val="left"/>
              <w:rPr>
                <w:rFonts w:ascii="宋体" w:hAnsi="宋体" w:cs="宋体"/>
                <w:color w:val="C00000"/>
                <w:szCs w:val="21"/>
              </w:rPr>
            </w:pPr>
            <w:r>
              <w:rPr>
                <w:rFonts w:hint="eastAsia" w:ascii="宋体" w:hAnsi="宋体" w:cs="宋体"/>
                <w:color w:val="C00000"/>
                <w:szCs w:val="21"/>
              </w:rPr>
              <w:t>闻</w:t>
            </w:r>
          </w:p>
          <w:p>
            <w:pPr>
              <w:tabs>
                <w:tab w:val="left" w:pos="595"/>
              </w:tabs>
              <w:spacing w:line="500" w:lineRule="exact"/>
              <w:jc w:val="left"/>
              <w:rPr>
                <w:rFonts w:ascii="宋体" w:hAnsi="宋体" w:cs="宋体"/>
                <w:color w:val="C00000"/>
                <w:szCs w:val="21"/>
              </w:rPr>
            </w:pPr>
            <w:r>
              <w:rPr>
                <w:rFonts w:hint="eastAsia" w:ascii="宋体" w:hAnsi="宋体" w:cs="宋体"/>
                <w:color w:val="C00000"/>
                <w:szCs w:val="21"/>
              </w:rPr>
              <w:t>中</w:t>
            </w:r>
          </w:p>
          <w:p>
            <w:pPr>
              <w:tabs>
                <w:tab w:val="left" w:pos="595"/>
              </w:tabs>
              <w:spacing w:line="500" w:lineRule="exact"/>
              <w:jc w:val="left"/>
              <w:rPr>
                <w:rFonts w:ascii="宋体" w:hAnsi="宋体" w:cs="宋体"/>
                <w:b/>
                <w:color w:val="C00000"/>
                <w:szCs w:val="21"/>
              </w:rPr>
            </w:pPr>
            <w:r>
              <w:rPr>
                <w:rFonts w:hint="eastAsia" w:ascii="宋体" w:hAnsi="宋体" w:cs="宋体"/>
                <w:color w:val="C00000"/>
                <w:szCs w:val="21"/>
              </w:rPr>
              <w:t>心</w:t>
            </w:r>
          </w:p>
        </w:tc>
        <w:tc>
          <w:tcPr>
            <w:tcW w:w="1195" w:type="dxa"/>
          </w:tcPr>
          <w:p>
            <w:pPr>
              <w:tabs>
                <w:tab w:val="left" w:pos="595"/>
              </w:tabs>
              <w:spacing w:line="500" w:lineRule="exact"/>
              <w:jc w:val="center"/>
              <w:rPr>
                <w:rFonts w:ascii="宋体" w:hAnsi="宋体"/>
                <w:color w:val="C00000"/>
                <w:szCs w:val="21"/>
              </w:rPr>
            </w:pPr>
            <w:r>
              <w:rPr>
                <w:rFonts w:hint="eastAsia" w:ascii="宋体" w:hAnsi="宋体" w:cs="宋体"/>
                <w:color w:val="C00000"/>
                <w:sz w:val="28"/>
                <w:szCs w:val="28"/>
              </w:rPr>
              <w:t>26m×17m</w:t>
            </w:r>
          </w:p>
        </w:tc>
        <w:tc>
          <w:tcPr>
            <w:tcW w:w="927" w:type="dxa"/>
          </w:tcPr>
          <w:p>
            <w:pPr>
              <w:tabs>
                <w:tab w:val="left" w:pos="595"/>
              </w:tabs>
              <w:spacing w:line="500" w:lineRule="exact"/>
              <w:jc w:val="left"/>
              <w:rPr>
                <w:rFonts w:ascii="宋体" w:hAnsi="宋体"/>
                <w:color w:val="C00000"/>
                <w:szCs w:val="21"/>
              </w:rPr>
            </w:pPr>
            <w:r>
              <w:rPr>
                <w:rFonts w:hint="eastAsia" w:ascii="宋体" w:hAnsi="宋体" w:cs="宋体"/>
                <w:color w:val="C00000"/>
                <w:szCs w:val="21"/>
              </w:rPr>
              <w:t>五楼</w:t>
            </w:r>
          </w:p>
        </w:tc>
        <w:tc>
          <w:tcPr>
            <w:tcW w:w="4192" w:type="dxa"/>
          </w:tcPr>
          <w:p>
            <w:pPr>
              <w:tabs>
                <w:tab w:val="left" w:pos="595"/>
              </w:tabs>
              <w:spacing w:line="500" w:lineRule="exact"/>
              <w:jc w:val="left"/>
              <w:rPr>
                <w:rFonts w:ascii="宋体" w:hAnsi="宋体" w:cs="宋体"/>
                <w:b/>
                <w:color w:val="C00000"/>
                <w:szCs w:val="21"/>
              </w:rPr>
            </w:pPr>
            <w:r>
              <w:rPr>
                <w:color w:val="C00000"/>
              </w:rPr>
              <w:drawing>
                <wp:anchor distT="0" distB="0" distL="114300" distR="114300" simplePos="0" relativeHeight="251663360" behindDoc="0" locked="0" layoutInCell="1" allowOverlap="1">
                  <wp:simplePos x="0" y="0"/>
                  <wp:positionH relativeFrom="column">
                    <wp:posOffset>183515</wp:posOffset>
                  </wp:positionH>
                  <wp:positionV relativeFrom="paragraph">
                    <wp:posOffset>480060</wp:posOffset>
                  </wp:positionV>
                  <wp:extent cx="1840230" cy="1071245"/>
                  <wp:effectExtent l="0" t="0" r="7620" b="14605"/>
                  <wp:wrapNone/>
                  <wp:docPr id="9" name="图片 2" descr="说明: 向日葵厅"/>
                  <wp:cNvGraphicFramePr/>
                  <a:graphic xmlns:a="http://schemas.openxmlformats.org/drawingml/2006/main">
                    <a:graphicData uri="http://schemas.openxmlformats.org/drawingml/2006/picture">
                      <pic:pic xmlns:pic="http://schemas.openxmlformats.org/drawingml/2006/picture">
                        <pic:nvPicPr>
                          <pic:cNvPr id="9" name="图片 2" descr="说明: 向日葵厅"/>
                          <pic:cNvPicPr/>
                        </pic:nvPicPr>
                        <pic:blipFill>
                          <a:blip r:embed="rId13">
                            <a:extLst>
                              <a:ext uri="{28A0092B-C50C-407E-A947-70E740481C1C}">
                                <a14:useLocalDpi xmlns:a14="http://schemas.microsoft.com/office/drawing/2010/main" val="0"/>
                              </a:ext>
                            </a:extLst>
                          </a:blip>
                          <a:srcRect/>
                          <a:stretch>
                            <a:fillRect/>
                          </a:stretch>
                        </pic:blipFill>
                        <pic:spPr>
                          <a:xfrm>
                            <a:off x="0" y="0"/>
                            <a:ext cx="1840230" cy="1071245"/>
                          </a:xfrm>
                          <a:prstGeom prst="rect">
                            <a:avLst/>
                          </a:prstGeom>
                          <a:noFill/>
                          <a:ln>
                            <a:noFill/>
                          </a:ln>
                        </pic:spPr>
                      </pic:pic>
                    </a:graphicData>
                  </a:graphic>
                </wp:anchor>
              </w:drawing>
            </w:r>
            <w:r>
              <w:rPr>
                <w:rFonts w:hint="eastAsia" w:ascii="宋体" w:hAnsi="宋体" w:cs="宋体"/>
                <w:color w:val="C00000"/>
                <w:szCs w:val="21"/>
              </w:rPr>
              <w:t>1个</w:t>
            </w:r>
          </w:p>
        </w:tc>
        <w:tc>
          <w:tcPr>
            <w:tcW w:w="1989" w:type="dxa"/>
            <w:vAlign w:val="center"/>
          </w:tcPr>
          <w:p>
            <w:pPr>
              <w:tabs>
                <w:tab w:val="left" w:pos="595"/>
              </w:tabs>
              <w:spacing w:line="500" w:lineRule="exact"/>
              <w:jc w:val="left"/>
              <w:rPr>
                <w:color w:val="C00000"/>
              </w:rPr>
            </w:pPr>
            <w:r>
              <w:rPr>
                <w:rFonts w:hint="eastAsia"/>
                <w:color w:val="C00000"/>
              </w:rPr>
              <w:t>半开放式；</w:t>
            </w:r>
          </w:p>
          <w:p>
            <w:pPr>
              <w:tabs>
                <w:tab w:val="left" w:pos="595"/>
              </w:tabs>
              <w:spacing w:line="500" w:lineRule="exact"/>
              <w:jc w:val="left"/>
              <w:rPr>
                <w:color w:val="C00000"/>
              </w:rPr>
            </w:pPr>
            <w:r>
              <w:rPr>
                <w:rFonts w:hint="eastAsia"/>
                <w:color w:val="C00000"/>
              </w:rPr>
              <w:t>限高2.5m</w:t>
            </w:r>
          </w:p>
          <w:p>
            <w:pPr>
              <w:pStyle w:val="22"/>
              <w:ind w:left="-10" w:leftChars="-35" w:hanging="63" w:hangingChars="30"/>
              <w:jc w:val="left"/>
              <w:rPr>
                <w:rFonts w:ascii="宋体" w:hAnsi="宋体"/>
                <w:color w:val="C00000"/>
                <w:szCs w:val="21"/>
              </w:rPr>
            </w:pPr>
            <w:r>
              <w:rPr>
                <w:rFonts w:hint="eastAsia" w:ascii="宋体" w:hAnsi="宋体" w:cs="宋体"/>
                <w:color w:val="C00000"/>
                <w:szCs w:val="21"/>
              </w:rPr>
              <w:t>白色为搭建区域</w:t>
            </w:r>
          </w:p>
        </w:tc>
      </w:tr>
    </w:tbl>
    <w:p>
      <w:pPr>
        <w:pStyle w:val="2"/>
        <w:ind w:left="0"/>
        <w:rPr>
          <w:color w:val="C00000"/>
        </w:rPr>
      </w:pPr>
    </w:p>
    <w:p>
      <w:pPr>
        <w:rPr>
          <w:rStyle w:val="35"/>
          <w:rFonts w:ascii="宋体" w:hAnsi="宋体" w:cs="楷体_GB2312"/>
          <w:bCs/>
          <w:szCs w:val="21"/>
        </w:rPr>
      </w:pPr>
      <w:r>
        <w:rPr>
          <w:rStyle w:val="35"/>
          <w:rFonts w:ascii="宋体" w:hAnsi="宋体" w:cs="楷体_GB2312"/>
          <w:bCs/>
          <w:szCs w:val="21"/>
        </w:rPr>
        <w:t>一、功能需求</w:t>
      </w:r>
    </w:p>
    <w:p>
      <w:pPr>
        <w:ind w:firstLine="420"/>
        <w:jc w:val="left"/>
        <w:rPr>
          <w:rStyle w:val="35"/>
          <w:rFonts w:ascii="宋体" w:hAnsi="宋体" w:cs="楷体_GB2312"/>
          <w:bCs/>
          <w:szCs w:val="21"/>
        </w:rPr>
      </w:pPr>
      <w:r>
        <w:rPr>
          <w:rStyle w:val="35"/>
          <w:rFonts w:ascii="宋体" w:hAnsi="宋体" w:cs="楷体_GB2312"/>
          <w:bCs/>
          <w:szCs w:val="21"/>
        </w:rPr>
        <w:t>1、五楼葵花厅总面积800平方米，将会用442平方米作为新闻中心，可利用墙面进行区分，与旁边餐厅做好隔断，面积规划要合理，顶部反光镜面部分需要处理。仓库部分拼缝处理好，线槽部分做好隐藏工作。</w:t>
      </w:r>
    </w:p>
    <w:p>
      <w:pPr>
        <w:ind w:firstLine="420"/>
        <w:jc w:val="left"/>
        <w:rPr>
          <w:rStyle w:val="35"/>
          <w:rFonts w:ascii="宋体" w:hAnsi="宋体" w:cs="楷体_GB2312"/>
          <w:bCs/>
          <w:szCs w:val="21"/>
        </w:rPr>
      </w:pPr>
      <w:r>
        <w:rPr>
          <w:rStyle w:val="35"/>
          <w:rFonts w:ascii="宋体" w:hAnsi="宋体" w:cs="楷体_GB2312"/>
          <w:bCs/>
          <w:szCs w:val="21"/>
        </w:rPr>
        <w:t>2、满足在现有的场地内完成布局并规划前台签到区及1个背景板、采访间2个、直播间2个、办公间4个（2个25平米以上，另外2个20平米左右）及独立的媒体上网区（满足同时20人就坐，约50平米左右），并配齐桌椅、沙发、可移动LED电视机2台</w:t>
      </w:r>
      <w:r>
        <w:rPr>
          <w:rStyle w:val="35"/>
          <w:rFonts w:hint="eastAsia" w:ascii="宋体" w:hAnsi="宋体" w:cs="楷体_GB2312"/>
          <w:bCs/>
          <w:szCs w:val="21"/>
          <w:lang w:eastAsia="zh-CN"/>
        </w:rPr>
        <w:t>（</w:t>
      </w:r>
      <w:r>
        <w:rPr>
          <w:rStyle w:val="35"/>
          <w:rFonts w:hint="eastAsia" w:ascii="宋体" w:hAnsi="宋体" w:cs="楷体_GB2312"/>
          <w:bCs/>
          <w:szCs w:val="21"/>
          <w:lang w:val="en-US" w:eastAsia="zh-CN"/>
        </w:rPr>
        <w:t>40寸</w:t>
      </w:r>
      <w:r>
        <w:rPr>
          <w:rStyle w:val="35"/>
          <w:rFonts w:hint="eastAsia" w:ascii="宋体" w:hAnsi="宋体" w:cs="楷体_GB2312"/>
          <w:bCs/>
          <w:szCs w:val="21"/>
          <w:lang w:eastAsia="zh-CN"/>
        </w:rPr>
        <w:t>）</w:t>
      </w:r>
      <w:r>
        <w:rPr>
          <w:rStyle w:val="35"/>
          <w:rFonts w:ascii="宋体" w:hAnsi="宋体" w:cs="楷体_GB2312"/>
          <w:bCs/>
          <w:szCs w:val="21"/>
        </w:rPr>
        <w:t>等物料。</w:t>
      </w:r>
    </w:p>
    <w:p>
      <w:pPr>
        <w:ind w:firstLine="420"/>
        <w:jc w:val="left"/>
        <w:rPr>
          <w:rStyle w:val="35"/>
          <w:rFonts w:ascii="宋体" w:hAnsi="宋体" w:cs="楷体_GB2312"/>
          <w:bCs/>
          <w:szCs w:val="21"/>
        </w:rPr>
      </w:pPr>
      <w:r>
        <w:rPr>
          <w:rStyle w:val="35"/>
          <w:rFonts w:ascii="宋体" w:hAnsi="宋体" w:cs="楷体_GB2312"/>
          <w:bCs/>
          <w:szCs w:val="21"/>
        </w:rPr>
        <w:t>3、媒体上网区桌面需准备桌布和网线槽，每个座位的网线收纳入槽中，桌面清洁美观大方。</w:t>
      </w:r>
    </w:p>
    <w:p>
      <w:pPr>
        <w:ind w:firstLine="420"/>
        <w:jc w:val="left"/>
        <w:rPr>
          <w:rStyle w:val="35"/>
          <w:rFonts w:ascii="宋体" w:hAnsi="宋体" w:cs="楷体_GB2312"/>
          <w:bCs/>
          <w:szCs w:val="21"/>
        </w:rPr>
      </w:pPr>
      <w:r>
        <w:rPr>
          <w:rStyle w:val="35"/>
          <w:rFonts w:ascii="宋体" w:hAnsi="宋体" w:cs="楷体_GB2312"/>
          <w:bCs/>
          <w:szCs w:val="21"/>
        </w:rPr>
        <w:t>4、每个房间都需</w:t>
      </w:r>
      <w:r>
        <w:rPr>
          <w:rStyle w:val="35"/>
          <w:rFonts w:hint="eastAsia" w:ascii="宋体" w:hAnsi="宋体" w:cs="楷体_GB2312"/>
          <w:bCs/>
          <w:szCs w:val="21"/>
        </w:rPr>
        <w:t>安装</w:t>
      </w:r>
      <w:r>
        <w:rPr>
          <w:rStyle w:val="35"/>
          <w:rFonts w:ascii="宋体" w:hAnsi="宋体" w:cs="楷体_GB2312"/>
          <w:bCs/>
          <w:szCs w:val="21"/>
        </w:rPr>
        <w:t>门，其中3个办公室门</w:t>
      </w:r>
      <w:r>
        <w:rPr>
          <w:rStyle w:val="35"/>
          <w:rFonts w:hint="eastAsia" w:ascii="宋体" w:hAnsi="宋体" w:cs="楷体_GB2312"/>
          <w:bCs/>
          <w:szCs w:val="21"/>
        </w:rPr>
        <w:t>需</w:t>
      </w:r>
      <w:r>
        <w:rPr>
          <w:rStyle w:val="35"/>
          <w:rFonts w:ascii="宋体" w:hAnsi="宋体" w:cs="楷体_GB2312"/>
          <w:bCs/>
          <w:szCs w:val="21"/>
        </w:rPr>
        <w:t>配</w:t>
      </w:r>
      <w:r>
        <w:rPr>
          <w:rStyle w:val="35"/>
          <w:rFonts w:hint="eastAsia" w:ascii="宋体" w:hAnsi="宋体" w:cs="楷体_GB2312"/>
          <w:bCs/>
          <w:szCs w:val="21"/>
        </w:rPr>
        <w:t>锁</w:t>
      </w:r>
      <w:r>
        <w:rPr>
          <w:rStyle w:val="35"/>
          <w:rFonts w:ascii="宋体" w:hAnsi="宋体" w:cs="楷体_GB2312"/>
          <w:bCs/>
          <w:szCs w:val="21"/>
        </w:rPr>
        <w:t>。</w:t>
      </w:r>
    </w:p>
    <w:p>
      <w:pPr>
        <w:numPr>
          <w:ilvl w:val="255"/>
          <w:numId w:val="0"/>
        </w:numPr>
        <w:rPr>
          <w:rStyle w:val="35"/>
          <w:rFonts w:ascii="宋体" w:hAnsi="宋体" w:cs="楷体_GB2312"/>
          <w:bCs/>
          <w:szCs w:val="21"/>
        </w:rPr>
      </w:pPr>
      <w:r>
        <w:rPr>
          <w:rStyle w:val="35"/>
          <w:rFonts w:ascii="宋体" w:hAnsi="宋体" w:cs="楷体_GB2312"/>
          <w:bCs/>
          <w:szCs w:val="21"/>
        </w:rPr>
        <w:t>二、设计需求</w:t>
      </w:r>
    </w:p>
    <w:p>
      <w:pPr>
        <w:ind w:firstLine="420"/>
        <w:jc w:val="left"/>
        <w:rPr>
          <w:rStyle w:val="35"/>
          <w:rFonts w:ascii="宋体" w:hAnsi="宋体" w:cs="楷体_GB2312"/>
          <w:bCs/>
          <w:szCs w:val="21"/>
        </w:rPr>
      </w:pPr>
      <w:r>
        <w:rPr>
          <w:rStyle w:val="35"/>
          <w:rFonts w:ascii="宋体" w:hAnsi="宋体" w:cs="楷体_GB2312"/>
          <w:bCs/>
          <w:szCs w:val="21"/>
        </w:rPr>
        <w:t>1、整体风格以2023年第二十五届中国国际高新技术成果交易会《视觉识别系统规范手册》为参考，符合高交会新闻中心的形象、提高高交会品牌影响力。现代感、科技感是新闻中心整体形象的基本要求。</w:t>
      </w:r>
    </w:p>
    <w:p>
      <w:pPr>
        <w:ind w:firstLine="420"/>
        <w:jc w:val="left"/>
        <w:rPr>
          <w:rStyle w:val="35"/>
          <w:rFonts w:ascii="宋体" w:hAnsi="宋体" w:cs="楷体_GB2312"/>
          <w:bCs/>
          <w:szCs w:val="21"/>
        </w:rPr>
      </w:pPr>
      <w:r>
        <w:rPr>
          <w:rStyle w:val="35"/>
          <w:rFonts w:ascii="宋体" w:hAnsi="宋体" w:cs="楷体_GB2312"/>
          <w:bCs/>
          <w:szCs w:val="21"/>
        </w:rPr>
        <w:t>2、项目出具的图稿、施工图纸必须标注其尺寸、材质、工艺等。</w:t>
      </w:r>
    </w:p>
    <w:p>
      <w:pPr>
        <w:ind w:firstLine="420"/>
        <w:jc w:val="left"/>
        <w:rPr>
          <w:rStyle w:val="35"/>
          <w:rFonts w:ascii="宋体" w:hAnsi="宋体" w:cs="楷体_GB2312"/>
          <w:bCs/>
          <w:szCs w:val="21"/>
        </w:rPr>
      </w:pPr>
      <w:r>
        <w:rPr>
          <w:rStyle w:val="35"/>
          <w:rFonts w:ascii="宋体" w:hAnsi="宋体" w:cs="楷体_GB2312"/>
          <w:bCs/>
          <w:szCs w:val="21"/>
        </w:rPr>
        <w:t>3、项目还需设置足够的即贴即用的标识和温馨提示。</w:t>
      </w:r>
    </w:p>
    <w:p>
      <w:pPr>
        <w:ind w:firstLine="420"/>
        <w:jc w:val="left"/>
        <w:rPr>
          <w:rStyle w:val="35"/>
          <w:rFonts w:ascii="宋体" w:hAnsi="宋体" w:cs="楷体_GB2312"/>
          <w:bCs/>
          <w:szCs w:val="21"/>
        </w:rPr>
      </w:pPr>
      <w:r>
        <w:rPr>
          <w:rStyle w:val="35"/>
          <w:rFonts w:ascii="宋体" w:hAnsi="宋体" w:cs="楷体_GB2312"/>
          <w:bCs/>
          <w:szCs w:val="21"/>
        </w:rPr>
        <w:t>4、签到区、背景板和媒体上网区隔离板上需有喷绘及相关图案。</w:t>
      </w:r>
    </w:p>
    <w:p>
      <w:pPr>
        <w:pStyle w:val="2"/>
        <w:ind w:left="0"/>
      </w:pPr>
    </w:p>
    <w:p>
      <w:pPr>
        <w:widowControl/>
        <w:jc w:val="left"/>
        <w:rPr>
          <w:color w:val="FF0000"/>
          <w:highlight w:val="yellow"/>
        </w:rPr>
      </w:pPr>
    </w:p>
    <w:p>
      <w:pPr>
        <w:widowControl/>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4" w:name="_Toc8298"/>
      <w:r>
        <w:rPr>
          <w:rFonts w:hint="eastAsia" w:ascii="宋体" w:hAnsi="宋体"/>
          <w:b/>
          <w:sz w:val="32"/>
          <w:szCs w:val="32"/>
        </w:rPr>
        <w:t>第二部分：开标评标流程</w:t>
      </w:r>
      <w:bookmarkEnd w:id="44"/>
    </w:p>
    <w:p>
      <w:pPr>
        <w:numPr>
          <w:ilvl w:val="0"/>
          <w:numId w:val="1"/>
        </w:numPr>
        <w:spacing w:line="360" w:lineRule="auto"/>
        <w:outlineLvl w:val="1"/>
        <w:rPr>
          <w:b/>
        </w:rPr>
      </w:pPr>
      <w:bookmarkStart w:id="45" w:name="_Toc104994641"/>
      <w:bookmarkStart w:id="46" w:name="_Toc18334"/>
      <w:bookmarkStart w:id="47" w:name="_Hlk104908581"/>
      <w:bookmarkStart w:id="48" w:name="_Hlk104908397"/>
      <w:r>
        <w:rPr>
          <w:rFonts w:hint="eastAsia"/>
          <w:b/>
        </w:rPr>
        <w:t>开标阶段</w:t>
      </w:r>
      <w:bookmarkEnd w:id="45"/>
      <w:bookmarkEnd w:id="46"/>
    </w:p>
    <w:bookmarkEnd w:id="47"/>
    <w:p>
      <w:pPr>
        <w:pStyle w:val="22"/>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2"/>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2"/>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2"/>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2"/>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2"/>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2"/>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2"/>
        <w:numPr>
          <w:ilvl w:val="0"/>
          <w:numId w:val="29"/>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9" w:name="_Toc104994642"/>
      <w:bookmarkStart w:id="50" w:name="_Toc18347"/>
      <w:r>
        <w:rPr>
          <w:rFonts w:hint="eastAsia"/>
          <w:b/>
        </w:rPr>
        <w:t>评标阶段</w:t>
      </w:r>
      <w:bookmarkEnd w:id="49"/>
      <w:bookmarkEnd w:id="50"/>
    </w:p>
    <w:p>
      <w:pPr>
        <w:pStyle w:val="22"/>
        <w:numPr>
          <w:ilvl w:val="0"/>
          <w:numId w:val="30"/>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2"/>
        <w:numPr>
          <w:ilvl w:val="0"/>
          <w:numId w:val="3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2"/>
        <w:numPr>
          <w:ilvl w:val="0"/>
          <w:numId w:val="3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2"/>
        <w:numPr>
          <w:ilvl w:val="0"/>
          <w:numId w:val="3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2"/>
        <w:numPr>
          <w:ilvl w:val="0"/>
          <w:numId w:val="3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2"/>
        <w:numPr>
          <w:ilvl w:val="0"/>
          <w:numId w:val="3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2"/>
        <w:numPr>
          <w:ilvl w:val="0"/>
          <w:numId w:val="3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2"/>
        <w:numPr>
          <w:ilvl w:val="0"/>
          <w:numId w:val="30"/>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8"/>
    <w:p>
      <w:pPr>
        <w:widowControl/>
        <w:jc w:val="left"/>
        <w:rPr>
          <w:rFonts w:ascii="仿宋_GB2312" w:hAnsi="宋体" w:eastAsia="仿宋_GB2312"/>
        </w:rPr>
      </w:pPr>
      <w:r>
        <w:br w:type="page"/>
      </w:r>
    </w:p>
    <w:p>
      <w:pPr>
        <w:pStyle w:val="11"/>
        <w:rPr>
          <w:rFonts w:ascii="宋体"/>
          <w:b/>
          <w:sz w:val="28"/>
        </w:rPr>
      </w:pPr>
    </w:p>
    <w:p>
      <w:pPr>
        <w:spacing w:line="360" w:lineRule="auto"/>
        <w:jc w:val="center"/>
        <w:outlineLvl w:val="0"/>
        <w:rPr>
          <w:rFonts w:ascii="宋体" w:hAnsi="宋体"/>
          <w:b/>
          <w:sz w:val="32"/>
          <w:szCs w:val="32"/>
        </w:rPr>
      </w:pPr>
      <w:bookmarkStart w:id="51" w:name="_Toc10363"/>
      <w:r>
        <w:rPr>
          <w:rFonts w:hint="eastAsia" w:ascii="宋体" w:hAnsi="宋体"/>
          <w:b/>
          <w:sz w:val="32"/>
          <w:szCs w:val="32"/>
        </w:rPr>
        <w:t>第三部分：评审办法</w:t>
      </w:r>
      <w:bookmarkEnd w:id="51"/>
    </w:p>
    <w:p>
      <w:pPr>
        <w:numPr>
          <w:ilvl w:val="0"/>
          <w:numId w:val="1"/>
        </w:numPr>
        <w:spacing w:line="360" w:lineRule="auto"/>
        <w:outlineLvl w:val="1"/>
        <w:rPr>
          <w:rFonts w:ascii="宋体" w:hAnsi="宋体"/>
          <w:szCs w:val="21"/>
        </w:rPr>
      </w:pPr>
      <w:bookmarkStart w:id="52" w:name="_Toc23888"/>
      <w:r>
        <w:rPr>
          <w:rFonts w:hint="eastAsia" w:ascii="宋体" w:hAnsi="宋体"/>
          <w:b/>
          <w:bCs/>
          <w:szCs w:val="21"/>
        </w:rPr>
        <w:t>评审办法</w:t>
      </w:r>
      <w:bookmarkEnd w:id="52"/>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ascii="宋体" w:hAnsi="宋体"/>
          <w:b/>
          <w:szCs w:val="21"/>
        </w:rPr>
        <w:t>100分制综合评分法</w:t>
      </w:r>
      <w:r>
        <w:rPr>
          <w:rFonts w:hint="eastAsia" w:ascii="宋体" w:hAnsi="宋体"/>
          <w:szCs w:val="21"/>
        </w:rPr>
        <w:t>进行评分。</w:t>
      </w:r>
    </w:p>
    <w:tbl>
      <w:tblPr>
        <w:tblStyle w:val="15"/>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szCs w:val="21"/>
              </w:rPr>
            </w:pPr>
            <w:r>
              <w:rPr>
                <w:rFonts w:ascii="宋体" w:hAnsi="宋体"/>
                <w:szCs w:val="21"/>
              </w:rPr>
              <w:t>20</w:t>
            </w:r>
            <w:r>
              <w:rPr>
                <w:rFonts w:hint="eastAsia" w:ascii="宋体" w:hAnsi="宋体"/>
                <w:szCs w:val="21"/>
              </w:rPr>
              <w:t>%</w:t>
            </w:r>
          </w:p>
        </w:tc>
        <w:tc>
          <w:tcPr>
            <w:tcW w:w="2131" w:type="dxa"/>
            <w:vAlign w:val="center"/>
          </w:tcPr>
          <w:p>
            <w:pPr>
              <w:autoSpaceDE w:val="0"/>
              <w:autoSpaceDN w:val="0"/>
              <w:adjustRightInd w:val="0"/>
              <w:snapToGrid w:val="0"/>
              <w:jc w:val="center"/>
              <w:rPr>
                <w:rFonts w:ascii="宋体" w:hAnsi="宋体"/>
                <w:szCs w:val="21"/>
              </w:rPr>
            </w:pPr>
            <w:r>
              <w:rPr>
                <w:rFonts w:ascii="宋体" w:hAnsi="宋体"/>
                <w:szCs w:val="21"/>
              </w:rPr>
              <w:t>40</w:t>
            </w:r>
            <w:r>
              <w:rPr>
                <w:rFonts w:hint="eastAsia" w:ascii="宋体" w:hAnsi="宋体"/>
                <w:szCs w:val="21"/>
              </w:rPr>
              <w:t>%</w:t>
            </w:r>
          </w:p>
        </w:tc>
        <w:tc>
          <w:tcPr>
            <w:tcW w:w="2585" w:type="dxa"/>
            <w:vAlign w:val="center"/>
          </w:tcPr>
          <w:p>
            <w:pPr>
              <w:autoSpaceDE w:val="0"/>
              <w:autoSpaceDN w:val="0"/>
              <w:adjustRightInd w:val="0"/>
              <w:snapToGrid w:val="0"/>
              <w:jc w:val="center"/>
              <w:rPr>
                <w:rFonts w:ascii="宋体" w:hAnsi="宋体"/>
                <w:szCs w:val="21"/>
              </w:rPr>
            </w:pPr>
            <w:r>
              <w:rPr>
                <w:rFonts w:ascii="宋体" w:hAnsi="宋体"/>
                <w:szCs w:val="21"/>
              </w:rPr>
              <w:t>40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31"/>
        </w:numPr>
        <w:spacing w:before="156" w:beforeLines="50"/>
        <w:jc w:val="left"/>
        <w:outlineLvl w:val="2"/>
        <w:rPr>
          <w:rStyle w:val="29"/>
          <w:rFonts w:ascii="宋体" w:hAnsi="宋体"/>
          <w:b/>
          <w:szCs w:val="21"/>
        </w:rPr>
      </w:pPr>
      <w:bookmarkStart w:id="53" w:name="_Toc2674"/>
      <w:r>
        <w:rPr>
          <w:rStyle w:val="29"/>
          <w:rFonts w:hint="eastAsia" w:ascii="宋体" w:hAnsi="宋体"/>
          <w:b/>
          <w:bCs/>
          <w:szCs w:val="21"/>
        </w:rPr>
        <w:t>符合性检查</w:t>
      </w:r>
      <w:bookmarkEnd w:id="53"/>
    </w:p>
    <w:tbl>
      <w:tblPr>
        <w:tblStyle w:val="14"/>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w:t>
            </w:r>
            <w:r>
              <w:rPr>
                <w:rFonts w:hint="eastAsia"/>
              </w:rPr>
              <w:t>及法定代表人、被委托人身份证扫描件并加盖投标人公章</w:t>
            </w:r>
            <w:r>
              <w:rPr>
                <w:rFonts w:hint="eastAsia" w:ascii="宋体" w:hAnsi="宋体" w:cs="仿宋"/>
                <w:szCs w:val="21"/>
              </w:rPr>
              <w:t>，如单位法定代表人为本项目授权代表，则仅提供法定代表人证明书及身份证复印件（身份证原件备查，各类证明书需加盖公章）。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hint="eastAsia" w:ascii="宋体" w:hAnsi="宋体" w:cs="仿宋"/>
                <w:szCs w:val="21"/>
              </w:rPr>
            </w:pPr>
            <w:r>
              <w:rPr>
                <w:rFonts w:hint="eastAsia" w:ascii="宋体" w:hAnsi="宋体" w:cs="仿宋"/>
                <w:szCs w:val="21"/>
              </w:rPr>
              <w:t>投标人是否提供以下证明文件：</w:t>
            </w:r>
          </w:p>
          <w:p>
            <w:pPr>
              <w:spacing w:line="360" w:lineRule="auto"/>
            </w:pPr>
            <w:r>
              <w:rPr>
                <w:rFonts w:hint="eastAsia"/>
              </w:rPr>
              <w:t>（</w:t>
            </w:r>
            <w:r>
              <w:t>1</w:t>
            </w:r>
            <w:r>
              <w:rPr>
                <w:rFonts w:hint="eastAsia"/>
              </w:rPr>
              <w:t>）投标人应为中华人民共和国境内注册且合法运作独立法人或具有独立承担民事责任能力的其它组织，未被列入经营异常名录及严重失信名单。（提供企业营业执照或法人证明材料或登记证书扫描件及“信用中国”网站</w:t>
            </w:r>
            <w:r>
              <w:t>www.creditchina.gov.cn</w:t>
            </w:r>
            <w:r>
              <w:rPr>
                <w:rFonts w:hint="eastAsia"/>
              </w:rPr>
              <w:t>“信用服务”栏查询“严重失信主体名单查询”、“经营异常名录信息查询”结果网页截图，并加盖投标人公章。被列入失信主体、经营异常的，将被拒绝参与本项目的采购活动。）</w:t>
            </w:r>
          </w:p>
          <w:p>
            <w:r>
              <w:rPr>
                <w:rFonts w:hint="eastAsia"/>
              </w:rPr>
              <w:t>（</w:t>
            </w:r>
            <w:r>
              <w:rPr>
                <w:rFonts w:hint="eastAsia"/>
                <w:lang w:val="en-US" w:eastAsia="zh-CN"/>
              </w:rPr>
              <w:t>2</w:t>
            </w:r>
            <w:r>
              <w:rPr>
                <w:rFonts w:hint="eastAsia"/>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本项目报价不得超过65.9</w:t>
            </w:r>
            <w:r>
              <w:rPr>
                <w:rFonts w:ascii="宋体" w:hAnsi="宋体" w:cs="仿宋"/>
                <w:szCs w:val="21"/>
              </w:rPr>
              <w:t>万元（含税）</w:t>
            </w:r>
            <w:r>
              <w:rPr>
                <w:rFonts w:hint="eastAsia" w:ascii="宋体" w:hAnsi="宋体" w:cs="仿宋"/>
                <w:szCs w:val="21"/>
              </w:rPr>
              <w:t>，超过上述控制金额的视为无效报价。</w:t>
            </w:r>
          </w:p>
        </w:tc>
      </w:tr>
    </w:tbl>
    <w:p>
      <w:pPr>
        <w:numPr>
          <w:ilvl w:val="0"/>
          <w:numId w:val="31"/>
        </w:numPr>
        <w:spacing w:before="156" w:beforeLines="50"/>
        <w:jc w:val="left"/>
        <w:outlineLvl w:val="2"/>
        <w:rPr>
          <w:rStyle w:val="29"/>
          <w:rFonts w:ascii="宋体" w:hAnsi="宋体"/>
          <w:b/>
          <w:bCs/>
          <w:szCs w:val="21"/>
        </w:rPr>
      </w:pPr>
      <w:bookmarkStart w:id="54" w:name="_Toc114675512"/>
      <w:bookmarkStart w:id="55" w:name="_Toc27613"/>
      <w:r>
        <w:rPr>
          <w:rStyle w:val="29"/>
          <w:rFonts w:hint="eastAsia" w:ascii="宋体" w:hAnsi="宋体"/>
          <w:b/>
          <w:bCs/>
          <w:szCs w:val="21"/>
        </w:rPr>
        <w:t>不可偏离项检查</w:t>
      </w:r>
      <w:bookmarkEnd w:id="54"/>
      <w:bookmarkEnd w:id="55"/>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31"/>
        </w:numPr>
        <w:spacing w:before="156" w:beforeLines="50"/>
        <w:jc w:val="left"/>
        <w:outlineLvl w:val="2"/>
      </w:pPr>
      <w:bookmarkStart w:id="56" w:name="_Toc114675513"/>
      <w:bookmarkStart w:id="57" w:name="_Toc27158"/>
      <w:r>
        <w:rPr>
          <w:rStyle w:val="29"/>
          <w:rFonts w:hint="eastAsia" w:ascii="宋体" w:hAnsi="宋体"/>
          <w:b/>
          <w:bCs/>
          <w:szCs w:val="21"/>
        </w:rPr>
        <w:t>综合评议指标表</w:t>
      </w:r>
      <w:bookmarkEnd w:id="56"/>
      <w:bookmarkEnd w:id="57"/>
    </w:p>
    <w:tbl>
      <w:tblPr>
        <w:tblStyle w:val="14"/>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ascii="宋体" w:hAnsi="宋体"/>
                <w:szCs w:val="21"/>
              </w:rPr>
              <w:t>20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widowControl w:val="0"/>
              <w:numPr>
                <w:ilvl w:val="0"/>
                <w:numId w:val="0"/>
              </w:numPr>
              <w:spacing w:line="360" w:lineRule="auto"/>
              <w:jc w:val="center"/>
              <w:rPr>
                <w:rFonts w:hint="default" w:ascii="宋体" w:hAnsi="宋体" w:eastAsia="宋体"/>
                <w:szCs w:val="21"/>
                <w:lang w:val="en-US" w:eastAsia="zh-CN"/>
              </w:rPr>
            </w:pPr>
            <w:r>
              <w:rPr>
                <w:rFonts w:hint="eastAsia" w:ascii="宋体" w:hAnsi="宋体" w:eastAsia="宋体"/>
                <w:szCs w:val="21"/>
                <w:lang w:val="en-US" w:eastAsia="zh-CN"/>
              </w:rPr>
              <w:t>1</w:t>
            </w:r>
          </w:p>
          <w:p>
            <w:pPr>
              <w:pStyle w:val="22"/>
              <w:widowControl w:val="0"/>
              <w:numPr>
                <w:ilvl w:val="0"/>
                <w:numId w:val="0"/>
              </w:numPr>
              <w:spacing w:line="360" w:lineRule="auto"/>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olor w:val="FF0000"/>
                <w:szCs w:val="21"/>
              </w:rPr>
            </w:pPr>
            <w:r>
              <w:rPr>
                <w:rFonts w:hint="eastAsia"/>
              </w:rPr>
              <w:t>企业资质</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rPr>
            </w:pPr>
            <w:r>
              <w:rPr>
                <w:rFonts w:ascii="宋体" w:hAnsi="宋体"/>
                <w:szCs w:val="21"/>
              </w:rPr>
              <w:t>10</w:t>
            </w:r>
            <w:r>
              <w:rPr>
                <w:rFonts w:hint="eastAsia" w:ascii="宋体" w:hAnsi="宋体"/>
                <w:szCs w:val="21"/>
              </w:rPr>
              <w:t>分</w:t>
            </w:r>
          </w:p>
        </w:tc>
        <w:tc>
          <w:tcPr>
            <w:tcW w:w="6804" w:type="dxa"/>
            <w:gridSpan w:val="2"/>
            <w:tcBorders>
              <w:tl2br w:val="nil"/>
              <w:tr2bl w:val="nil"/>
            </w:tcBorders>
            <w:tcMar>
              <w:top w:w="15" w:type="dxa"/>
              <w:left w:w="15" w:type="dxa"/>
              <w:bottom w:w="15" w:type="dxa"/>
              <w:right w:w="15" w:type="dxa"/>
            </w:tcMar>
            <w:vAlign w:val="center"/>
          </w:tcPr>
          <w:p>
            <w:pPr>
              <w:widowControl/>
              <w:numPr>
                <w:ilvl w:val="0"/>
                <w:numId w:val="32"/>
              </w:numPr>
              <w:ind w:left="0" w:firstLine="0"/>
              <w:jc w:val="left"/>
              <w:rPr>
                <w:rFonts w:ascii="宋体" w:hAnsi="宋体"/>
                <w:szCs w:val="21"/>
              </w:rPr>
            </w:pPr>
            <w:r>
              <w:rPr>
                <w:rFonts w:hint="eastAsia" w:ascii="宋体" w:hAnsi="宋体"/>
                <w:szCs w:val="21"/>
              </w:rPr>
              <w:t>投标人具有中国展览馆协会颁发的展览工程企业资质并在有效期内，按资质等级进行评分：资质为一级的得</w:t>
            </w:r>
            <w:r>
              <w:rPr>
                <w:rFonts w:ascii="宋体" w:hAnsi="宋体"/>
                <w:szCs w:val="21"/>
              </w:rPr>
              <w:t xml:space="preserve">2分；资质为二级的得1分；最高得分2 </w:t>
            </w:r>
            <w:r>
              <w:rPr>
                <w:rFonts w:hint="eastAsia" w:ascii="宋体" w:hAnsi="宋体"/>
                <w:szCs w:val="21"/>
              </w:rPr>
              <w:t>分。</w:t>
            </w:r>
          </w:p>
          <w:p>
            <w:pPr>
              <w:widowControl/>
              <w:numPr>
                <w:ilvl w:val="0"/>
                <w:numId w:val="32"/>
              </w:numPr>
              <w:ind w:left="0" w:firstLine="0"/>
              <w:jc w:val="left"/>
              <w:rPr>
                <w:rFonts w:ascii="宋体" w:hAnsi="宋体"/>
                <w:szCs w:val="21"/>
              </w:rPr>
            </w:pPr>
            <w:r>
              <w:rPr>
                <w:rFonts w:hint="eastAsia" w:ascii="宋体" w:hAnsi="宋体"/>
                <w:szCs w:val="21"/>
              </w:rPr>
              <w:t>投标人具有</w:t>
            </w:r>
            <w:r>
              <w:rPr>
                <w:rFonts w:hint="eastAsia" w:ascii="宋体" w:hAnsi="宋体"/>
                <w:szCs w:val="21"/>
                <w:lang w:val="en-US" w:eastAsia="zh-CN"/>
              </w:rPr>
              <w:t>有效</w:t>
            </w:r>
            <w:r>
              <w:rPr>
                <w:rFonts w:hint="eastAsia" w:ascii="宋体" w:hAnsi="宋体"/>
                <w:szCs w:val="21"/>
              </w:rPr>
              <w:t>市级</w:t>
            </w:r>
            <w:r>
              <w:rPr>
                <w:rFonts w:hint="eastAsia" w:ascii="宋体" w:hAnsi="宋体"/>
                <w:szCs w:val="21"/>
                <w:lang w:val="en-US" w:eastAsia="zh-CN"/>
              </w:rPr>
              <w:t>及以上</w:t>
            </w:r>
            <w:r>
              <w:rPr>
                <w:rFonts w:hint="eastAsia" w:ascii="宋体" w:hAnsi="宋体"/>
                <w:szCs w:val="21"/>
              </w:rPr>
              <w:t>会议展览业协会颁发的展览展示工程设计甲级或展览展示工程施工壹级资质的，每</w:t>
            </w:r>
            <w:r>
              <w:rPr>
                <w:rFonts w:hint="eastAsia" w:ascii="宋体" w:hAnsi="宋体"/>
                <w:szCs w:val="21"/>
                <w:lang w:val="en-US" w:eastAsia="zh-CN"/>
              </w:rPr>
              <w:t>具备</w:t>
            </w:r>
            <w:r>
              <w:rPr>
                <w:rFonts w:ascii="宋体" w:hAnsi="宋体"/>
                <w:szCs w:val="21"/>
              </w:rPr>
              <w:t>1个得1分，最高得分2分。</w:t>
            </w:r>
          </w:p>
          <w:p>
            <w:pPr>
              <w:widowControl/>
              <w:numPr>
                <w:ilvl w:val="0"/>
                <w:numId w:val="32"/>
              </w:numPr>
              <w:ind w:left="0" w:firstLine="0"/>
              <w:jc w:val="left"/>
              <w:rPr>
                <w:rFonts w:ascii="宋体" w:hAnsi="宋体"/>
                <w:szCs w:val="21"/>
              </w:rPr>
            </w:pPr>
            <w:r>
              <w:rPr>
                <w:rFonts w:hint="eastAsia" w:ascii="宋体" w:hAnsi="宋体"/>
                <w:szCs w:val="21"/>
              </w:rPr>
              <w:t>投标人具有有效质量管理体系认证证书、环境管理体系认证证书、职业健康安全管理体系认证证书，每</w:t>
            </w:r>
            <w:r>
              <w:rPr>
                <w:rFonts w:ascii="宋体" w:hAnsi="宋体"/>
                <w:szCs w:val="21"/>
              </w:rPr>
              <w:t>1</w:t>
            </w:r>
            <w:r>
              <w:rPr>
                <w:rFonts w:hint="eastAsia" w:ascii="宋体" w:hAnsi="宋体"/>
                <w:szCs w:val="21"/>
                <w:lang w:val="en-US" w:eastAsia="zh-CN"/>
              </w:rPr>
              <w:t>类</w:t>
            </w:r>
            <w:r>
              <w:rPr>
                <w:rFonts w:ascii="宋体" w:hAnsi="宋体"/>
                <w:szCs w:val="21"/>
              </w:rPr>
              <w:t xml:space="preserve">得 2 </w:t>
            </w:r>
            <w:r>
              <w:rPr>
                <w:rFonts w:hint="eastAsia" w:ascii="宋体" w:hAnsi="宋体"/>
                <w:szCs w:val="21"/>
              </w:rPr>
              <w:t>分，最高得分</w:t>
            </w:r>
            <w:r>
              <w:rPr>
                <w:rFonts w:ascii="宋体" w:hAnsi="宋体"/>
                <w:szCs w:val="21"/>
              </w:rPr>
              <w:t xml:space="preserve"> 6 </w:t>
            </w:r>
            <w:r>
              <w:rPr>
                <w:rFonts w:hint="eastAsia" w:ascii="宋体" w:hAnsi="宋体"/>
                <w:szCs w:val="21"/>
              </w:rPr>
              <w:t>分。</w:t>
            </w:r>
          </w:p>
          <w:p>
            <w:pPr>
              <w:rPr>
                <w:rFonts w:ascii="宋体" w:hAnsi="宋体"/>
                <w:szCs w:val="21"/>
              </w:rPr>
            </w:pPr>
            <w:r>
              <w:rPr>
                <w:rFonts w:hint="eastAsia" w:ascii="宋体" w:hAnsi="宋体"/>
                <w:szCs w:val="21"/>
              </w:rPr>
              <w:t>注：投标人需提供以上资质证明复印件并加盖投标人公章，不按要求或未提供的不能得分。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2"/>
              <w:numPr>
                <w:ilvl w:val="0"/>
                <w:numId w:val="0"/>
              </w:numPr>
              <w:spacing w:line="360" w:lineRule="auto"/>
              <w:ind w:leftChars="0"/>
              <w:jc w:val="center"/>
              <w:rPr>
                <w:rFonts w:hint="eastAsia" w:ascii="宋体" w:hAnsi="宋体" w:eastAsia="宋体"/>
                <w:szCs w:val="21"/>
                <w:lang w:eastAsia="zh-CN"/>
              </w:rPr>
            </w:pPr>
            <w:r>
              <w:rPr>
                <w:rFonts w:hint="eastAsia" w:ascii="宋体" w:hAnsi="宋体" w:eastAsia="宋体"/>
                <w:szCs w:val="21"/>
                <w:lang w:val="en-US" w:eastAsia="zh-CN"/>
              </w:rPr>
              <w:t>2</w:t>
            </w: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r>
              <w:rPr>
                <w:rFonts w:hint="eastAsia" w:ascii="宋体" w:hAnsi="宋体" w:cs="宋体"/>
                <w:szCs w:val="21"/>
              </w:rPr>
              <w:t>相关业绩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ascii="宋体" w:hAnsi="宋体"/>
                <w:szCs w:val="21"/>
              </w:rPr>
              <w:t>10</w:t>
            </w:r>
            <w:r>
              <w:rPr>
                <w:rFonts w:hint="eastAsia" w:ascii="宋体" w:hAnsi="宋体"/>
                <w:szCs w:val="21"/>
              </w:rPr>
              <w:t>分</w:t>
            </w:r>
          </w:p>
        </w:tc>
        <w:tc>
          <w:tcPr>
            <w:tcW w:w="6804" w:type="dxa"/>
            <w:gridSpan w:val="2"/>
            <w:tcBorders>
              <w:tl2br w:val="nil"/>
              <w:tr2bl w:val="nil"/>
            </w:tcBorders>
            <w:tcMar>
              <w:top w:w="15" w:type="dxa"/>
              <w:left w:w="15" w:type="dxa"/>
              <w:bottom w:w="15" w:type="dxa"/>
              <w:right w:w="15" w:type="dxa"/>
            </w:tcMar>
            <w:vAlign w:val="center"/>
          </w:tcPr>
          <w:p>
            <w:pPr>
              <w:widowControl/>
              <w:jc w:val="left"/>
              <w:rPr>
                <w:rFonts w:ascii="宋体" w:hAnsi="宋体"/>
                <w:szCs w:val="21"/>
              </w:rPr>
            </w:pPr>
            <w:r>
              <w:rPr>
                <w:rFonts w:hint="eastAsia" w:ascii="宋体" w:hAnsi="宋体"/>
                <w:szCs w:val="21"/>
              </w:rPr>
              <w:t>根据自</w:t>
            </w:r>
            <w:r>
              <w:rPr>
                <w:rFonts w:ascii="宋体" w:hAnsi="宋体"/>
                <w:szCs w:val="21"/>
              </w:rPr>
              <w:t>2020年1月1日至本项目招标公告发布之日止</w:t>
            </w:r>
            <w:r>
              <w:rPr>
                <w:rFonts w:hint="eastAsia" w:ascii="宋体" w:hAnsi="宋体"/>
                <w:szCs w:val="21"/>
                <w:lang w:eastAsia="zh-CN"/>
              </w:rPr>
              <w:t>（</w:t>
            </w:r>
            <w:r>
              <w:rPr>
                <w:rFonts w:hint="eastAsia" w:ascii="宋体" w:hAnsi="宋体"/>
                <w:szCs w:val="21"/>
                <w:lang w:val="en-US" w:eastAsia="zh-CN"/>
              </w:rPr>
              <w:t>以合同签订时间为准</w:t>
            </w:r>
            <w:r>
              <w:rPr>
                <w:rFonts w:hint="eastAsia" w:ascii="宋体" w:hAnsi="宋体"/>
                <w:szCs w:val="21"/>
                <w:lang w:eastAsia="zh-CN"/>
              </w:rPr>
              <w:t>）</w:t>
            </w:r>
            <w:r>
              <w:rPr>
                <w:rFonts w:ascii="宋体" w:hAnsi="宋体"/>
                <w:szCs w:val="21"/>
              </w:rPr>
              <w:t>，投标人每完成一个在深圳举办</w:t>
            </w:r>
            <w:r>
              <w:rPr>
                <w:rFonts w:ascii="宋体" w:hAnsi="宋体"/>
                <w:color w:val="auto"/>
                <w:szCs w:val="21"/>
              </w:rPr>
              <w:t>且</w:t>
            </w:r>
            <w:r>
              <w:rPr>
                <w:rFonts w:hint="eastAsia" w:ascii="宋体" w:hAnsi="宋体"/>
                <w:color w:val="auto"/>
                <w:szCs w:val="21"/>
                <w:lang w:val="en-US" w:eastAsia="zh-CN"/>
              </w:rPr>
              <w:t>展览</w:t>
            </w:r>
            <w:r>
              <w:rPr>
                <w:rFonts w:ascii="宋体" w:hAnsi="宋体"/>
                <w:color w:val="auto"/>
                <w:szCs w:val="21"/>
              </w:rPr>
              <w:t>面积</w:t>
            </w:r>
            <w:r>
              <w:rPr>
                <w:rFonts w:ascii="宋体" w:hAnsi="宋体"/>
                <w:szCs w:val="21"/>
              </w:rPr>
              <w:t>在4万</w:t>
            </w:r>
            <w:r>
              <w:rPr>
                <w:rFonts w:hint="eastAsia" w:ascii="宋体" w:hAnsi="宋体"/>
                <w:szCs w:val="21"/>
              </w:rPr>
              <w:t>平方米</w:t>
            </w:r>
            <w:r>
              <w:rPr>
                <w:rFonts w:ascii="宋体" w:hAnsi="宋体"/>
                <w:szCs w:val="21"/>
              </w:rPr>
              <w:t>以上的展会主场承建项目得2分，最高得10分。</w:t>
            </w:r>
          </w:p>
          <w:p>
            <w:pPr>
              <w:rPr>
                <w:rFonts w:ascii="宋体" w:hAnsi="宋体"/>
                <w:szCs w:val="21"/>
              </w:rPr>
            </w:pPr>
            <w:r>
              <w:rPr>
                <w:rFonts w:hint="eastAsia" w:ascii="宋体" w:hAnsi="宋体"/>
                <w:szCs w:val="21"/>
              </w:rPr>
              <w:t>注：投标人需提供能体现上述关键信息的合同复印件关键页并加盖投标人公章。</w:t>
            </w:r>
            <w:r>
              <w:rPr>
                <w:rFonts w:hint="eastAsia" w:ascii="宋体" w:hAnsi="宋体" w:cs="仿宋_GB2312"/>
                <w:szCs w:val="21"/>
              </w:rPr>
              <w:t>同关键页须体现项目名称、业主方名称、承建面积、签订时间、履约地点、甲乙双方盖章等关键信息。</w:t>
            </w:r>
            <w:r>
              <w:rPr>
                <w:rFonts w:hint="eastAsia" w:ascii="宋体" w:hAnsi="宋体"/>
                <w:szCs w:val="21"/>
              </w:rPr>
              <w:t>不清晰或不能证明上述要求的不得分。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技术服务评议项（</w:t>
            </w:r>
            <w:r>
              <w:rPr>
                <w:rFonts w:ascii="宋体" w:hAnsi="宋体"/>
                <w:szCs w:val="21"/>
              </w:rPr>
              <w:t>40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3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r>
              <w:rPr>
                <w:rFonts w:hint="eastAsia"/>
              </w:rPr>
              <w:t>设计方案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rPr>
            </w:pPr>
            <w:r>
              <w:rPr>
                <w:rFonts w:ascii="宋体" w:hAnsi="宋体"/>
                <w:szCs w:val="21"/>
              </w:rPr>
              <w:t>10分</w:t>
            </w:r>
          </w:p>
        </w:tc>
        <w:tc>
          <w:tcPr>
            <w:tcW w:w="6804" w:type="dxa"/>
            <w:gridSpan w:val="2"/>
            <w:tcBorders>
              <w:tl2br w:val="nil"/>
              <w:tr2bl w:val="nil"/>
            </w:tcBorders>
            <w:tcMar>
              <w:top w:w="15" w:type="dxa"/>
              <w:left w:w="15" w:type="dxa"/>
              <w:bottom w:w="15" w:type="dxa"/>
              <w:right w:w="15" w:type="dxa"/>
            </w:tcMar>
            <w:vAlign w:val="center"/>
          </w:tcPr>
          <w:p>
            <w:pPr>
              <w:widowControl/>
              <w:tabs>
                <w:tab w:val="left" w:pos="531"/>
              </w:tabs>
              <w:snapToGrid w:val="0"/>
              <w:jc w:val="left"/>
            </w:pPr>
            <w:r>
              <w:rPr>
                <w:rFonts w:hint="eastAsia"/>
              </w:rPr>
              <w:t>根据投标人所提供的设计方案的合理性、充分性与创新性，服务承诺等具体内容评分。须提供设计方案，并附加必要的文字描述。</w:t>
            </w:r>
          </w:p>
          <w:p>
            <w:pPr>
              <w:widowControl/>
              <w:tabs>
                <w:tab w:val="left" w:pos="531"/>
              </w:tabs>
              <w:snapToGrid w:val="0"/>
              <w:jc w:val="left"/>
            </w:pPr>
            <w:r>
              <w:rPr>
                <w:rFonts w:hint="eastAsia"/>
              </w:rPr>
              <w:t>得分要点：</w:t>
            </w:r>
          </w:p>
          <w:p>
            <w:pPr>
              <w:tabs>
                <w:tab w:val="left" w:pos="531"/>
              </w:tabs>
              <w:snapToGrid w:val="0"/>
              <w:jc w:val="left"/>
            </w:pPr>
            <w:r>
              <w:rPr>
                <w:rFonts w:hint="eastAsia"/>
              </w:rPr>
              <w:t>理解透彻、思路清晰，对整体项目进度的时间安排把控合理，能结合实际场地进行可行性规划，制定了详细规范的项目计划；</w:t>
            </w:r>
          </w:p>
          <w:p>
            <w:pPr>
              <w:widowControl/>
              <w:tabs>
                <w:tab w:val="left" w:pos="531"/>
              </w:tabs>
              <w:snapToGrid w:val="0"/>
              <w:jc w:val="left"/>
            </w:pPr>
            <w:r>
              <w:rPr>
                <w:rFonts w:hint="eastAsia"/>
              </w:rPr>
              <w:t>方案设计越新颖，越具合理性和可行性，使用新型绿色环保建材，得分越高；</w:t>
            </w:r>
          </w:p>
          <w:p>
            <w:pPr>
              <w:widowControl/>
              <w:tabs>
                <w:tab w:val="left" w:pos="531"/>
              </w:tabs>
              <w:snapToGrid w:val="0"/>
              <w:jc w:val="left"/>
              <w:rPr>
                <w:rFonts w:ascii="宋体" w:hAnsi="宋体" w:cs="宋体"/>
                <w:kern w:val="0"/>
                <w:szCs w:val="21"/>
              </w:rPr>
            </w:pPr>
            <w:r>
              <w:rPr>
                <w:rFonts w:hint="eastAsia"/>
              </w:rPr>
              <w:t>所提供设计案例方案质量为优</w:t>
            </w:r>
            <w:r>
              <w:t>10-7</w:t>
            </w:r>
            <w:r>
              <w:rPr>
                <w:rFonts w:hint="eastAsia"/>
              </w:rPr>
              <w:t>分，良</w:t>
            </w:r>
            <w:r>
              <w:t>6-3</w:t>
            </w:r>
            <w:r>
              <w:rPr>
                <w:rFonts w:hint="eastAsia"/>
              </w:rPr>
              <w:t>分，差</w:t>
            </w:r>
            <w:r>
              <w:t>2-0</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3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FF0000"/>
                <w:highlight w:val="yellow"/>
              </w:rPr>
            </w:pPr>
            <w:r>
              <w:rPr>
                <w:rFonts w:hint="eastAsia"/>
              </w:rPr>
              <w:t>服务方案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rPr>
            </w:pPr>
            <w:r>
              <w:rPr>
                <w:rFonts w:hint="eastAsia" w:ascii="宋体" w:hAnsi="宋体"/>
                <w:szCs w:val="21"/>
              </w:rPr>
              <w:t>10分</w:t>
            </w:r>
          </w:p>
        </w:tc>
        <w:tc>
          <w:tcPr>
            <w:tcW w:w="6804" w:type="dxa"/>
            <w:gridSpan w:val="2"/>
            <w:tcBorders>
              <w:tl2br w:val="nil"/>
              <w:tr2bl w:val="nil"/>
            </w:tcBorders>
            <w:tcMar>
              <w:top w:w="15" w:type="dxa"/>
              <w:left w:w="15" w:type="dxa"/>
              <w:bottom w:w="15" w:type="dxa"/>
              <w:right w:w="15" w:type="dxa"/>
            </w:tcMar>
            <w:vAlign w:val="center"/>
          </w:tcPr>
          <w:p>
            <w:r>
              <w:rPr>
                <w:rFonts w:hint="eastAsia"/>
              </w:rPr>
              <w:t>根据投标人提供的服务方案、服务承诺等进行综合评议：</w:t>
            </w:r>
          </w:p>
          <w:p>
            <w:r>
              <w:rPr>
                <w:rFonts w:hint="eastAsia"/>
              </w:rPr>
              <w:t>优得</w:t>
            </w:r>
            <w:r>
              <w:t xml:space="preserve"> 10-7</w:t>
            </w:r>
            <w:r>
              <w:rPr>
                <w:rFonts w:hint="eastAsia"/>
              </w:rPr>
              <w:t>分：服务方案全面，针对本项目可操作性强，内容清晰明确；</w:t>
            </w:r>
          </w:p>
          <w:p>
            <w:r>
              <w:rPr>
                <w:rFonts w:hint="eastAsia"/>
              </w:rPr>
              <w:t>良得 6-3 分：服务方案较全面，针对本项目可操作性较强，内容基本清晰明确；</w:t>
            </w:r>
          </w:p>
          <w:p>
            <w:r>
              <w:rPr>
                <w:rFonts w:hint="eastAsia"/>
              </w:rPr>
              <w:t>差得</w:t>
            </w:r>
            <w:r>
              <w:t xml:space="preserve"> 2-0：服务方案一般，可操作性一般，内容有欠缺。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vMerge w:val="restart"/>
            <w:tcBorders>
              <w:tl2br w:val="nil"/>
              <w:tr2bl w:val="nil"/>
            </w:tcBorders>
            <w:vAlign w:val="center"/>
          </w:tcPr>
          <w:p>
            <w:pPr>
              <w:pStyle w:val="22"/>
              <w:numPr>
                <w:ilvl w:val="0"/>
                <w:numId w:val="33"/>
              </w:numPr>
              <w:spacing w:line="360" w:lineRule="auto"/>
              <w:ind w:firstLineChars="0"/>
              <w:jc w:val="center"/>
              <w:rPr>
                <w:rFonts w:ascii="宋体" w:hAnsi="宋体" w:eastAsia="宋体"/>
                <w:szCs w:val="21"/>
              </w:rPr>
            </w:pPr>
          </w:p>
        </w:tc>
        <w:tc>
          <w:tcPr>
            <w:tcW w:w="1134" w:type="dxa"/>
            <w:vMerge w:val="restart"/>
            <w:tcBorders>
              <w:tl2br w:val="nil"/>
              <w:tr2bl w:val="nil"/>
            </w:tcBorders>
            <w:tcMar>
              <w:top w:w="15" w:type="dxa"/>
              <w:left w:w="15" w:type="dxa"/>
              <w:bottom w:w="15" w:type="dxa"/>
              <w:right w:w="15" w:type="dxa"/>
            </w:tcMar>
            <w:vAlign w:val="center"/>
          </w:tcPr>
          <w:p>
            <w:pPr>
              <w:spacing w:line="360" w:lineRule="auto"/>
              <w:jc w:val="center"/>
              <w:rPr>
                <w:highlight w:val="yellow"/>
              </w:rPr>
            </w:pPr>
            <w:r>
              <w:rPr>
                <w:rFonts w:hint="eastAsia" w:ascii="宋体" w:hAnsi="宋体"/>
                <w:szCs w:val="21"/>
              </w:rPr>
              <w:t>项目人员</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ascii="宋体" w:hAnsi="宋体" w:cs="宋体"/>
                <w:szCs w:val="21"/>
              </w:rPr>
              <w:t>5</w:t>
            </w:r>
            <w:r>
              <w:rPr>
                <w:rFonts w:hint="eastAsia" w:ascii="宋体" w:hAnsi="宋体" w:cs="宋体"/>
                <w:szCs w:val="21"/>
              </w:rPr>
              <w:t>分</w:t>
            </w:r>
          </w:p>
        </w:tc>
        <w:tc>
          <w:tcPr>
            <w:tcW w:w="6804" w:type="dxa"/>
            <w:gridSpan w:val="2"/>
            <w:tcBorders>
              <w:tl2br w:val="nil"/>
              <w:tr2bl w:val="nil"/>
            </w:tcBorders>
            <w:tcMar>
              <w:top w:w="15" w:type="dxa"/>
              <w:left w:w="15" w:type="dxa"/>
              <w:bottom w:w="15" w:type="dxa"/>
              <w:right w:w="15" w:type="dxa"/>
            </w:tcMar>
            <w:vAlign w:val="center"/>
          </w:tcPr>
          <w:p>
            <w:pPr>
              <w:numPr>
                <w:ilvl w:val="0"/>
                <w:numId w:val="34"/>
              </w:numPr>
              <w:tabs>
                <w:tab w:val="left" w:pos="531"/>
              </w:tabs>
              <w:snapToGrid w:val="0"/>
              <w:rPr>
                <w:rFonts w:ascii="宋体" w:hAnsi="宋体"/>
              </w:rPr>
            </w:pPr>
            <w:r>
              <w:rPr>
                <w:rFonts w:hint="eastAsia" w:ascii="宋体" w:hAnsi="宋体"/>
              </w:rPr>
              <w:t>投标人为本项目指派的项目总负责人的展览行业从业经验大于</w:t>
            </w:r>
            <w:r>
              <w:rPr>
                <w:rFonts w:ascii="宋体" w:hAnsi="宋体"/>
              </w:rPr>
              <w:t>5年</w:t>
            </w:r>
            <w:r>
              <w:rPr>
                <w:rFonts w:hint="eastAsia" w:ascii="宋体" w:hAnsi="宋体"/>
              </w:rPr>
              <w:t>（含）</w:t>
            </w:r>
            <w:r>
              <w:rPr>
                <w:rFonts w:ascii="宋体" w:hAnsi="宋体"/>
              </w:rPr>
              <w:t>，得3分</w:t>
            </w:r>
            <w:r>
              <w:rPr>
                <w:rFonts w:hint="eastAsia" w:ascii="宋体" w:hAnsi="宋体"/>
              </w:rPr>
              <w:t>；从业经验大于</w:t>
            </w:r>
            <w:r>
              <w:rPr>
                <w:rFonts w:ascii="宋体" w:hAnsi="宋体"/>
              </w:rPr>
              <w:t>3</w:t>
            </w:r>
            <w:r>
              <w:rPr>
                <w:rFonts w:hint="eastAsia" w:ascii="宋体" w:hAnsi="宋体"/>
              </w:rPr>
              <w:t>年（含），得</w:t>
            </w:r>
            <w:r>
              <w:rPr>
                <w:rFonts w:ascii="宋体" w:hAnsi="宋体"/>
              </w:rPr>
              <w:t>1分；</w:t>
            </w:r>
            <w:r>
              <w:rPr>
                <w:rFonts w:hint="eastAsia" w:ascii="宋体" w:hAnsi="宋体"/>
              </w:rPr>
              <w:t>3年以下不得分。</w:t>
            </w:r>
          </w:p>
          <w:p>
            <w:pPr>
              <w:numPr>
                <w:ilvl w:val="0"/>
                <w:numId w:val="34"/>
              </w:numPr>
              <w:tabs>
                <w:tab w:val="left" w:pos="531"/>
              </w:tabs>
              <w:snapToGrid w:val="0"/>
              <w:rPr>
                <w:rFonts w:ascii="宋体" w:hAnsi="宋体"/>
              </w:rPr>
            </w:pPr>
            <w:r>
              <w:rPr>
                <w:rFonts w:hint="eastAsia" w:ascii="宋体" w:hAnsi="宋体"/>
              </w:rPr>
              <w:t>投标人为本项目指派的其他核心团队成员（即展馆内会议区、国际信息发布厅、项目配对洽谈区、新闻中心的指定对接人）的展览行业从业经验均大于</w:t>
            </w:r>
            <w:r>
              <w:rPr>
                <w:rFonts w:ascii="宋体" w:hAnsi="宋体"/>
              </w:rPr>
              <w:t>3</w:t>
            </w:r>
            <w:r>
              <w:rPr>
                <w:rFonts w:hint="eastAsia" w:ascii="宋体" w:hAnsi="宋体"/>
              </w:rPr>
              <w:t>年（含），得</w:t>
            </w:r>
            <w:r>
              <w:rPr>
                <w:rFonts w:ascii="宋体" w:hAnsi="宋体"/>
              </w:rPr>
              <w:t>2分；不满足此条件不得分</w:t>
            </w:r>
            <w:r>
              <w:rPr>
                <w:rFonts w:hint="eastAsia" w:ascii="宋体" w:hAnsi="宋体"/>
              </w:rPr>
              <w:t>（其中</w:t>
            </w:r>
            <w:r>
              <w:rPr>
                <w:rFonts w:ascii="宋体" w:hAnsi="宋体"/>
              </w:rPr>
              <w:t>1人不满3年即不满足此条件）</w:t>
            </w:r>
            <w:r>
              <w:rPr>
                <w:rFonts w:hint="eastAsia" w:ascii="宋体" w:hAnsi="宋体"/>
              </w:rPr>
              <w:t>。</w:t>
            </w:r>
          </w:p>
          <w:p>
            <w:pPr>
              <w:tabs>
                <w:tab w:val="left" w:pos="531"/>
              </w:tabs>
              <w:snapToGrid w:val="0"/>
              <w:rPr>
                <w:rFonts w:ascii="宋体" w:hAnsi="宋体"/>
                <w:szCs w:val="21"/>
              </w:rPr>
            </w:pPr>
            <w:r>
              <w:rPr>
                <w:rFonts w:hint="eastAsia" w:ascii="宋体" w:hAnsi="宋体"/>
              </w:rPr>
              <w:t>备注：提供以上人员名单及岗位配置、个人简历、身份证复印件、近</w:t>
            </w:r>
            <w:r>
              <w:rPr>
                <w:rFonts w:ascii="宋体" w:hAnsi="宋体"/>
              </w:rPr>
              <w:t>3</w:t>
            </w:r>
            <w:r>
              <w:rPr>
                <w:rFonts w:hint="eastAsia" w:ascii="宋体" w:hAnsi="宋体"/>
              </w:rPr>
              <w:t>个月社保证明并加盖投标人公章。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vMerge w:val="continue"/>
            <w:tcBorders>
              <w:tl2br w:val="nil"/>
              <w:tr2bl w:val="nil"/>
            </w:tcBorders>
            <w:vAlign w:val="center"/>
          </w:tcPr>
          <w:p>
            <w:pPr>
              <w:pStyle w:val="22"/>
              <w:numPr>
                <w:ilvl w:val="0"/>
                <w:numId w:val="33"/>
              </w:numPr>
              <w:spacing w:line="360" w:lineRule="auto"/>
              <w:ind w:firstLineChars="0"/>
              <w:jc w:val="center"/>
              <w:rPr>
                <w:rFonts w:ascii="宋体" w:hAnsi="宋体" w:eastAsia="宋体"/>
                <w:szCs w:val="21"/>
              </w:rPr>
            </w:pPr>
          </w:p>
        </w:tc>
        <w:tc>
          <w:tcPr>
            <w:tcW w:w="1134" w:type="dxa"/>
            <w:vMerge w:val="continue"/>
            <w:tcBorders>
              <w:tl2br w:val="nil"/>
              <w:tr2bl w:val="nil"/>
            </w:tcBorders>
            <w:tcMar>
              <w:top w:w="15" w:type="dxa"/>
              <w:left w:w="15" w:type="dxa"/>
              <w:bottom w:w="15" w:type="dxa"/>
              <w:right w:w="15" w:type="dxa"/>
            </w:tcMar>
            <w:vAlign w:val="center"/>
          </w:tcPr>
          <w:p>
            <w:pPr>
              <w:spacing w:line="360" w:lineRule="auto"/>
              <w:jc w:val="center"/>
              <w:rPr>
                <w:highlight w:val="yellow"/>
              </w:rPr>
            </w:pP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ascii="宋体" w:hAnsi="宋体" w:cs="宋体"/>
                <w:szCs w:val="21"/>
              </w:rPr>
              <w:t>3</w:t>
            </w:r>
            <w:r>
              <w:rPr>
                <w:rFonts w:hint="eastAsia" w:ascii="宋体" w:hAnsi="宋体" w:cs="宋体"/>
                <w:szCs w:val="21"/>
              </w:rPr>
              <w:t>分</w:t>
            </w:r>
          </w:p>
        </w:tc>
        <w:tc>
          <w:tcPr>
            <w:tcW w:w="6804" w:type="dxa"/>
            <w:gridSpan w:val="2"/>
            <w:tcBorders>
              <w:tl2br w:val="nil"/>
              <w:tr2bl w:val="nil"/>
            </w:tcBorders>
            <w:tcMar>
              <w:top w:w="15" w:type="dxa"/>
              <w:left w:w="15" w:type="dxa"/>
              <w:bottom w:w="15" w:type="dxa"/>
              <w:right w:w="15" w:type="dxa"/>
            </w:tcMar>
            <w:vAlign w:val="center"/>
          </w:tcPr>
          <w:p>
            <w:pPr>
              <w:numPr>
                <w:ilvl w:val="255"/>
                <w:numId w:val="0"/>
              </w:numPr>
              <w:tabs>
                <w:tab w:val="left" w:pos="531"/>
              </w:tabs>
              <w:snapToGrid w:val="0"/>
            </w:pPr>
            <w:r>
              <w:rPr>
                <w:rFonts w:hint="eastAsia"/>
              </w:rPr>
              <w:t>根据投标人按本项目要求提供的现场服务人员（包括但不限于设备操作调试人员、现场会务人员等）的</w:t>
            </w:r>
            <w:r>
              <w:t>完备性和合理性</w:t>
            </w:r>
            <w:r>
              <w:rPr>
                <w:rFonts w:hint="eastAsia"/>
              </w:rPr>
              <w:t>等进行评分。</w:t>
            </w:r>
            <w:r>
              <w:rPr>
                <w:rFonts w:hint="eastAsia" w:ascii="宋体" w:hAnsi="宋体"/>
              </w:rPr>
              <w:t>优得</w:t>
            </w:r>
            <w:r>
              <w:rPr>
                <w:rFonts w:ascii="宋体" w:hAnsi="宋体"/>
              </w:rPr>
              <w:t>3</w:t>
            </w:r>
            <w:r>
              <w:rPr>
                <w:rFonts w:hint="eastAsia" w:ascii="宋体" w:hAnsi="宋体"/>
              </w:rPr>
              <w:t>分，一般得</w:t>
            </w:r>
            <w:r>
              <w:rPr>
                <w:rFonts w:ascii="宋体" w:hAnsi="宋体"/>
              </w:rPr>
              <w:t>1</w:t>
            </w:r>
            <w:r>
              <w:rPr>
                <w:rFonts w:hint="eastAsia" w:ascii="宋体" w:hAnsi="宋体"/>
              </w:rPr>
              <w:t>分，不符合项目要求或缺失不得分。</w:t>
            </w:r>
          </w:p>
          <w:p>
            <w:pPr>
              <w:tabs>
                <w:tab w:val="left" w:pos="531"/>
              </w:tabs>
              <w:snapToGrid w:val="0"/>
              <w:rPr>
                <w:rFonts w:ascii="宋体" w:hAnsi="宋体"/>
                <w:szCs w:val="21"/>
              </w:rPr>
            </w:pPr>
            <w:r>
              <w:rPr>
                <w:rFonts w:hint="eastAsia"/>
              </w:rPr>
              <w:t>备注：按本项目需求提供详细的人员分配方案。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vMerge w:val="continue"/>
            <w:tcBorders>
              <w:tl2br w:val="nil"/>
              <w:tr2bl w:val="nil"/>
            </w:tcBorders>
            <w:vAlign w:val="center"/>
          </w:tcPr>
          <w:p>
            <w:pPr>
              <w:pStyle w:val="22"/>
              <w:spacing w:line="360" w:lineRule="auto"/>
              <w:ind w:firstLineChars="0"/>
              <w:jc w:val="center"/>
              <w:rPr>
                <w:rFonts w:ascii="宋体" w:hAnsi="宋体" w:eastAsia="宋体"/>
                <w:szCs w:val="21"/>
              </w:rPr>
            </w:pPr>
          </w:p>
        </w:tc>
        <w:tc>
          <w:tcPr>
            <w:tcW w:w="1134" w:type="dxa"/>
            <w:vMerge w:val="continue"/>
            <w:tcBorders>
              <w:tl2br w:val="nil"/>
              <w:tr2bl w:val="nil"/>
            </w:tcBorders>
            <w:tcMar>
              <w:top w:w="15" w:type="dxa"/>
              <w:left w:w="15" w:type="dxa"/>
              <w:bottom w:w="15" w:type="dxa"/>
              <w:right w:w="15" w:type="dxa"/>
            </w:tcMar>
            <w:vAlign w:val="center"/>
          </w:tcPr>
          <w:p>
            <w:pPr>
              <w:spacing w:line="320" w:lineRule="exact"/>
              <w:jc w:val="center"/>
              <w:rPr>
                <w:highlight w:val="yellow"/>
              </w:rPr>
            </w:pP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ascii="宋体" w:hAnsi="宋体"/>
                <w:szCs w:val="21"/>
              </w:rPr>
              <w:t>3</w:t>
            </w:r>
            <w:r>
              <w:rPr>
                <w:rFonts w:hint="eastAsia" w:ascii="宋体" w:hAnsi="宋体"/>
                <w:szCs w:val="21"/>
              </w:rPr>
              <w:t>分</w:t>
            </w:r>
          </w:p>
        </w:tc>
        <w:tc>
          <w:tcPr>
            <w:tcW w:w="6804" w:type="dxa"/>
            <w:gridSpan w:val="2"/>
            <w:tcBorders>
              <w:tl2br w:val="nil"/>
              <w:tr2bl w:val="nil"/>
            </w:tcBorders>
            <w:tcMar>
              <w:top w:w="15" w:type="dxa"/>
              <w:left w:w="15" w:type="dxa"/>
              <w:bottom w:w="15" w:type="dxa"/>
              <w:right w:w="15" w:type="dxa"/>
            </w:tcMar>
            <w:vAlign w:val="center"/>
          </w:tcPr>
          <w:p>
            <w:pPr>
              <w:tabs>
                <w:tab w:val="left" w:pos="531"/>
              </w:tabs>
              <w:snapToGrid w:val="0"/>
              <w:rPr>
                <w:rFonts w:ascii="宋体" w:hAnsi="宋体"/>
                <w:szCs w:val="21"/>
              </w:rPr>
            </w:pPr>
            <w:r>
              <w:rPr>
                <w:rFonts w:hint="eastAsia" w:ascii="宋体" w:hAnsi="宋体"/>
                <w:szCs w:val="21"/>
              </w:rPr>
              <w:t>投标人承诺为本项目指派的专业专职设计师（设计类专业毕业，</w:t>
            </w:r>
            <w:r>
              <w:rPr>
                <w:rFonts w:hint="eastAsia" w:ascii="宋体" w:hAnsi="宋体"/>
                <w:szCs w:val="21"/>
                <w:lang w:val="en-US" w:eastAsia="zh-CN"/>
              </w:rPr>
              <w:t>大专</w:t>
            </w:r>
            <w:r>
              <w:rPr>
                <w:rFonts w:hint="eastAsia" w:ascii="宋体" w:hAnsi="宋体"/>
                <w:szCs w:val="21"/>
              </w:rPr>
              <w:t>及以上学历且从事设计师工作人员，非职业设计师不得纳入其中）</w:t>
            </w:r>
            <w:r>
              <w:rPr>
                <w:rFonts w:ascii="宋体" w:hAnsi="宋体"/>
                <w:szCs w:val="21"/>
              </w:rPr>
              <w:t>4</w:t>
            </w:r>
            <w:r>
              <w:rPr>
                <w:rFonts w:hint="eastAsia" w:ascii="宋体" w:hAnsi="宋体"/>
                <w:szCs w:val="21"/>
              </w:rPr>
              <w:t>人以上（含4人），得</w:t>
            </w:r>
            <w:r>
              <w:rPr>
                <w:rFonts w:ascii="宋体" w:hAnsi="宋体"/>
                <w:szCs w:val="21"/>
              </w:rPr>
              <w:t>3</w:t>
            </w:r>
            <w:r>
              <w:rPr>
                <w:rFonts w:hint="eastAsia" w:ascii="宋体" w:hAnsi="宋体"/>
                <w:szCs w:val="21"/>
              </w:rPr>
              <w:t>分；</w:t>
            </w:r>
            <w:r>
              <w:rPr>
                <w:rFonts w:ascii="宋体" w:hAnsi="宋体"/>
                <w:szCs w:val="21"/>
              </w:rPr>
              <w:t>3</w:t>
            </w:r>
            <w:r>
              <w:rPr>
                <w:rFonts w:hint="eastAsia" w:ascii="宋体" w:hAnsi="宋体"/>
                <w:szCs w:val="21"/>
              </w:rPr>
              <w:t>人得1分；</w:t>
            </w:r>
            <w:r>
              <w:rPr>
                <w:rFonts w:ascii="宋体" w:hAnsi="宋体"/>
                <w:szCs w:val="21"/>
              </w:rPr>
              <w:t>2</w:t>
            </w:r>
            <w:r>
              <w:rPr>
                <w:rFonts w:hint="eastAsia" w:ascii="宋体" w:hAnsi="宋体"/>
                <w:szCs w:val="21"/>
              </w:rPr>
              <w:t>人或以下不得分。</w:t>
            </w:r>
          </w:p>
          <w:p>
            <w:pPr>
              <w:tabs>
                <w:tab w:val="left" w:pos="531"/>
              </w:tabs>
              <w:snapToGrid w:val="0"/>
              <w:rPr>
                <w:rFonts w:ascii="宋体" w:hAnsi="宋体"/>
                <w:szCs w:val="21"/>
              </w:rPr>
            </w:pPr>
            <w:r>
              <w:rPr>
                <w:rFonts w:hint="eastAsia" w:ascii="宋体" w:hAnsi="宋体"/>
                <w:szCs w:val="21"/>
              </w:rPr>
              <w:t>备注：提供设计师个人简历、身份证、学历证书复印件并加盖投标人公章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2"/>
              <w:numPr>
                <w:ilvl w:val="0"/>
                <w:numId w:val="33"/>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highlight w:val="yellow"/>
              </w:rPr>
            </w:pPr>
            <w:r>
              <w:rPr>
                <w:rFonts w:hint="eastAsia"/>
              </w:rPr>
              <w:t>安全保障措施</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FF0000"/>
                <w:szCs w:val="21"/>
                <w:highlight w:val="yellow"/>
              </w:rPr>
            </w:pPr>
            <w:r>
              <w:rPr>
                <w:rFonts w:hint="eastAsia" w:ascii="宋体" w:hAnsi="宋体"/>
                <w:szCs w:val="21"/>
              </w:rPr>
              <w:t>9分</w:t>
            </w:r>
          </w:p>
        </w:tc>
        <w:tc>
          <w:tcPr>
            <w:tcW w:w="6804" w:type="dxa"/>
            <w:gridSpan w:val="2"/>
            <w:tcBorders>
              <w:tl2br w:val="nil"/>
              <w:tr2bl w:val="nil"/>
            </w:tcBorders>
            <w:tcMar>
              <w:top w:w="15" w:type="dxa"/>
              <w:left w:w="15" w:type="dxa"/>
              <w:bottom w:w="15" w:type="dxa"/>
              <w:right w:w="15" w:type="dxa"/>
            </w:tcMar>
            <w:vAlign w:val="center"/>
          </w:tcPr>
          <w:p>
            <w:pPr>
              <w:widowControl/>
              <w:jc w:val="left"/>
              <w:rPr>
                <w:rFonts w:ascii="宋体" w:hAnsi="宋体"/>
                <w:szCs w:val="21"/>
              </w:rPr>
            </w:pPr>
            <w:r>
              <w:rPr>
                <w:rFonts w:hint="eastAsia" w:ascii="宋体" w:hAnsi="宋体"/>
                <w:szCs w:val="21"/>
              </w:rPr>
              <w:t>根据投标人提供的安全施工保障方案、应急预案进行综合比较（包括但不限于搭建人员现场冲突、设备故障、安全事故、消防火灾等突发事件的应急预案），预案越详细、措施越周全、控制协调能力越强，得分越高：优得9分、良得6分、一般得3</w:t>
            </w:r>
            <w:r>
              <w:rPr>
                <w:rFonts w:ascii="宋体" w:hAnsi="宋体"/>
                <w:szCs w:val="21"/>
              </w:rPr>
              <w:t>分、差不得分。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w:t>
            </w:r>
            <w:r>
              <w:rPr>
                <w:rFonts w:ascii="宋体" w:hAnsi="宋体"/>
                <w:szCs w:val="21"/>
              </w:rPr>
              <w:t>n家时，去掉一个最高和最低报价后的算术平均值乘以</w:t>
            </w:r>
            <w:r>
              <w:rPr>
                <w:rFonts w:ascii="宋体" w:hAnsi="宋体"/>
                <w:szCs w:val="21"/>
                <w:u w:val="single"/>
              </w:rPr>
              <w:t xml:space="preserve">    </w:t>
            </w:r>
            <w:r>
              <w:rPr>
                <w:rFonts w:hint="eastAsia" w:ascii="宋体" w:hAnsi="宋体"/>
                <w:szCs w:val="21"/>
              </w:rPr>
              <w:t>％。当有效投标报价少于</w:t>
            </w:r>
            <w:r>
              <w:rPr>
                <w:rFonts w:ascii="宋体" w:hAnsi="宋体"/>
                <w:szCs w:val="21"/>
              </w:rPr>
              <w:t>n（含）家时，则以所有有效投标报价的算术平均值乘以</w:t>
            </w:r>
            <w:r>
              <w:rPr>
                <w:rFonts w:ascii="宋体" w:hAnsi="宋体"/>
                <w:szCs w:val="21"/>
                <w:u w:val="single"/>
              </w:rPr>
              <w:t xml:space="preserve">    </w:t>
            </w:r>
            <w:r>
              <w:rPr>
                <w:rFonts w:hint="eastAsia" w:ascii="宋体" w:hAnsi="宋体"/>
                <w:szCs w:val="21"/>
              </w:rPr>
              <w:t>％。</w:t>
            </w:r>
            <w:r>
              <w:rPr>
                <w:rFonts w:ascii="宋体" w:hAnsi="宋体"/>
                <w:szCs w:val="21"/>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rPr>
            </w:pPr>
            <w:r>
              <w:rPr>
                <w:rFonts w:ascii="宋体" w:hAnsi="宋体"/>
                <w:szCs w:val="21"/>
              </w:rPr>
              <w:sym w:font="Wingdings 2" w:char="0052"/>
            </w:r>
            <w:r>
              <w:rPr>
                <w:rFonts w:hint="eastAsia" w:ascii="宋体" w:hAnsi="宋体"/>
                <w:szCs w:val="21"/>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价格得分</w:t>
            </w:r>
            <w:r>
              <w:rPr>
                <w:rFonts w:ascii="宋体" w:hAnsi="宋体"/>
                <w:szCs w:val="21"/>
              </w:rPr>
              <w:t>=M-[（｜投标价格-基准价｜/基准价）*100/N]*</w:t>
            </w:r>
            <w:r>
              <w:rPr>
                <w:rFonts w:hint="eastAsia" w:ascii="宋体" w:hAnsi="宋体"/>
                <w:szCs w:val="21"/>
              </w:rPr>
              <w:t>扣分值</w:t>
            </w:r>
          </w:p>
          <w:p>
            <w:pPr>
              <w:autoSpaceDE w:val="0"/>
              <w:autoSpaceDN w:val="0"/>
              <w:adjustRightInd w:val="0"/>
              <w:snapToGrid w:val="0"/>
              <w:jc w:val="left"/>
              <w:rPr>
                <w:rFonts w:ascii="宋体" w:hAnsi="宋体"/>
                <w:szCs w:val="21"/>
              </w:rPr>
            </w:pPr>
            <w:r>
              <w:rPr>
                <w:rFonts w:ascii="宋体" w:hAnsi="宋体"/>
                <w:szCs w:val="21"/>
              </w:rPr>
              <w:t>M=</w:t>
            </w:r>
            <w:r>
              <w:rPr>
                <w:rFonts w:ascii="宋体" w:hAnsi="宋体"/>
                <w:szCs w:val="21"/>
                <w:u w:val="single"/>
              </w:rPr>
              <w:t xml:space="preserve">    </w:t>
            </w:r>
            <w:r>
              <w:rPr>
                <w:rFonts w:hint="eastAsia" w:ascii="宋体" w:hAnsi="宋体"/>
                <w:szCs w:val="21"/>
              </w:rPr>
              <w:t>（价格评价分项满分值），</w:t>
            </w:r>
            <w:r>
              <w:rPr>
                <w:rFonts w:ascii="宋体" w:hAnsi="宋体"/>
                <w:szCs w:val="21"/>
              </w:rPr>
              <w:t>N=</w:t>
            </w:r>
            <w:r>
              <w:rPr>
                <w:rFonts w:ascii="宋体" w:hAnsi="宋体"/>
                <w:szCs w:val="21"/>
                <w:u w:val="single"/>
              </w:rPr>
              <w:t xml:space="preserve">    </w:t>
            </w:r>
            <w:r>
              <w:rPr>
                <w:rFonts w:hint="eastAsia" w:ascii="宋体" w:hAnsi="宋体"/>
                <w:szCs w:val="21"/>
              </w:rPr>
              <w:t>，投标价格每高于</w:t>
            </w:r>
            <w:r>
              <w:rPr>
                <w:rFonts w:ascii="宋体" w:hAnsi="宋体"/>
                <w:szCs w:val="21"/>
              </w:rPr>
              <w:t>N％时，扣</w:t>
            </w:r>
            <w:r>
              <w:rPr>
                <w:rFonts w:ascii="宋体" w:hAnsi="宋体"/>
                <w:szCs w:val="21"/>
                <w:u w:val="single"/>
              </w:rPr>
              <w:t xml:space="preserve">    </w:t>
            </w:r>
            <w:r>
              <w:rPr>
                <w:rFonts w:hint="eastAsia" w:ascii="宋体" w:hAnsi="宋体"/>
                <w:szCs w:val="21"/>
              </w:rPr>
              <w:t>分；每低于</w:t>
            </w:r>
            <w:r>
              <w:rPr>
                <w:rFonts w:ascii="宋体" w:hAnsi="宋体"/>
                <w:szCs w:val="21"/>
              </w:rPr>
              <w:t>N％时，扣</w:t>
            </w:r>
            <w:r>
              <w:rPr>
                <w:rFonts w:ascii="宋体" w:hAnsi="宋体"/>
                <w:szCs w:val="21"/>
                <w:u w:val="single"/>
              </w:rPr>
              <w:t xml:space="preserve">    </w:t>
            </w:r>
            <w:r>
              <w:rPr>
                <w:rFonts w:hint="eastAsia" w:ascii="宋体" w:hAnsi="宋体"/>
                <w:szCs w:val="21"/>
              </w:rPr>
              <w:t>分；</w:t>
            </w:r>
          </w:p>
          <w:p>
            <w:pPr>
              <w:spacing w:line="240" w:lineRule="atLeast"/>
              <w:jc w:val="left"/>
              <w:rPr>
                <w:rFonts w:ascii="宋体" w:cs="宋体"/>
                <w:kern w:val="0"/>
                <w:szCs w:val="21"/>
              </w:rPr>
            </w:pPr>
            <w:r>
              <w:rPr>
                <w:rFonts w:hint="eastAsia" w:ascii="宋体" w:hAnsi="宋体"/>
                <w:szCs w:val="21"/>
              </w:rPr>
              <w:t>最低得</w:t>
            </w:r>
            <w:r>
              <w:rPr>
                <w:rFonts w:ascii="宋体" w:hAnsi="宋体"/>
                <w:szCs w:val="21"/>
              </w:rPr>
              <w:t>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sym w:font="Wingdings 2" w:char="0052"/>
            </w:r>
            <w:r>
              <w:rPr>
                <w:rFonts w:hint="eastAsia" w:ascii="宋体" w:hAnsi="宋体"/>
                <w:szCs w:val="21"/>
              </w:rPr>
              <w:t>固定乘积法</w:t>
            </w:r>
          </w:p>
        </w:tc>
        <w:tc>
          <w:tcPr>
            <w:tcW w:w="5950" w:type="dxa"/>
            <w:tcBorders>
              <w:tl2br w:val="nil"/>
              <w:tr2bl w:val="nil"/>
            </w:tcBorders>
            <w:vAlign w:val="center"/>
          </w:tcPr>
          <w:p>
            <w:pPr>
              <w:autoSpaceDE w:val="0"/>
              <w:autoSpaceDN w:val="0"/>
              <w:adjustRightInd w:val="0"/>
              <w:snapToGrid w:val="0"/>
              <w:jc w:val="left"/>
              <w:rPr>
                <w:rStyle w:val="19"/>
                <w:rFonts w:ascii="宋体" w:hAnsi="宋体"/>
              </w:rPr>
            </w:pPr>
            <w:r>
              <w:rPr>
                <w:rStyle w:val="19"/>
                <w:rFonts w:hint="eastAsia" w:ascii="宋体" w:hAnsi="宋体"/>
              </w:rPr>
              <w:t>价格得分</w:t>
            </w:r>
            <w:r>
              <w:rPr>
                <w:rStyle w:val="19"/>
                <w:rFonts w:ascii="宋体" w:hAnsi="宋体"/>
              </w:rPr>
              <w:t>=（1-A×｜1-投标报价/Z｜）×M</w:t>
            </w:r>
          </w:p>
          <w:p>
            <w:pPr>
              <w:numPr>
                <w:ilvl w:val="0"/>
                <w:numId w:val="35"/>
              </w:numPr>
              <w:autoSpaceDE w:val="0"/>
              <w:autoSpaceDN w:val="0"/>
              <w:adjustRightInd w:val="0"/>
              <w:snapToGrid w:val="0"/>
              <w:jc w:val="left"/>
              <w:rPr>
                <w:rStyle w:val="19"/>
                <w:rFonts w:ascii="宋体" w:hAnsi="宋体"/>
              </w:rPr>
            </w:pPr>
            <w:r>
              <w:rPr>
                <w:rStyle w:val="19"/>
                <w:rFonts w:ascii="宋体" w:hAnsi="宋体"/>
              </w:rPr>
              <w:t xml:space="preserve">M= </w:t>
            </w:r>
            <w:r>
              <w:rPr>
                <w:rStyle w:val="19"/>
                <w:rFonts w:hint="eastAsia" w:ascii="宋体" w:hAnsi="宋体"/>
                <w:lang w:val="en-US" w:eastAsia="zh-CN"/>
              </w:rPr>
              <w:t>40</w:t>
            </w:r>
            <w:r>
              <w:rPr>
                <w:rStyle w:val="19"/>
                <w:rFonts w:ascii="宋体" w:hAnsi="宋体"/>
              </w:rPr>
              <w:t xml:space="preserve"> （价格评价分项满分值），Z为本次招标基准价；</w:t>
            </w:r>
          </w:p>
          <w:p>
            <w:pPr>
              <w:numPr>
                <w:ilvl w:val="0"/>
                <w:numId w:val="35"/>
              </w:numPr>
              <w:autoSpaceDE w:val="0"/>
              <w:autoSpaceDN w:val="0"/>
              <w:adjustRightInd w:val="0"/>
              <w:snapToGrid w:val="0"/>
              <w:jc w:val="left"/>
              <w:rPr>
                <w:rStyle w:val="19"/>
                <w:rFonts w:ascii="宋体" w:hAnsi="宋体"/>
              </w:rPr>
            </w:pPr>
            <w:r>
              <w:rPr>
                <w:rStyle w:val="19"/>
                <w:rFonts w:ascii="宋体" w:hAnsi="宋体"/>
              </w:rPr>
              <w:t>A为价格调整系数，当投标报价低于本次招标最佳报价（即基准价）时，A=0.5；当投标报价高于次招标基准价时，取A=1；</w:t>
            </w:r>
          </w:p>
          <w:p>
            <w:pPr>
              <w:numPr>
                <w:ilvl w:val="0"/>
                <w:numId w:val="35"/>
              </w:numPr>
              <w:jc w:val="left"/>
              <w:rPr>
                <w:rFonts w:ascii="宋体" w:cs="宋体"/>
                <w:kern w:val="0"/>
                <w:szCs w:val="21"/>
              </w:rPr>
            </w:pPr>
            <w:r>
              <w:rPr>
                <w:rStyle w:val="19"/>
                <w:rFonts w:hint="eastAsia" w:ascii="宋体" w:hAnsi="宋体"/>
              </w:rPr>
              <w:t>计算分数时四舍五入取小数点后两位，当价格分＜</w:t>
            </w:r>
            <w:r>
              <w:rPr>
                <w:rStyle w:val="19"/>
                <w:rFonts w:ascii="宋体" w:hAnsi="宋体"/>
              </w:rPr>
              <w:t>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□其他</w:t>
            </w:r>
            <w:r>
              <w:rPr>
                <w:rFonts w:ascii="宋体" w:hAnsi="宋体"/>
                <w:szCs w:val="21"/>
              </w:rPr>
              <w:t>方法</w:t>
            </w:r>
          </w:p>
        </w:tc>
        <w:tc>
          <w:tcPr>
            <w:tcW w:w="5950" w:type="dxa"/>
            <w:tcBorders>
              <w:tl2br w:val="nil"/>
              <w:tr2bl w:val="nil"/>
            </w:tcBorders>
            <w:vAlign w:val="center"/>
          </w:tcPr>
          <w:p>
            <w:pPr>
              <w:spacing w:line="240" w:lineRule="atLeast"/>
              <w:jc w:val="center"/>
              <w:rPr>
                <w:rFonts w:ascii="宋体" w:cs="宋体"/>
                <w:kern w:val="0"/>
                <w:szCs w:val="21"/>
              </w:rPr>
            </w:pP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36"/>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36"/>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hint="eastAsia" w:ascii="宋体" w:hAnsi="宋体" w:eastAsia="宋体" w:cs="Times New Roman"/>
          <w:b/>
          <w:sz w:val="32"/>
          <w:szCs w:val="32"/>
        </w:rPr>
      </w:pPr>
      <w:bookmarkStart w:id="58" w:name="_Toc9934"/>
      <w:bookmarkStart w:id="59" w:name="_Toc415555517"/>
      <w:bookmarkStart w:id="60" w:name="_Toc452733912"/>
      <w:bookmarkStart w:id="61" w:name="_Toc452971269"/>
      <w:bookmarkStart w:id="62" w:name="_Toc12592"/>
      <w:r>
        <w:rPr>
          <w:rFonts w:hint="eastAsia" w:ascii="宋体" w:hAnsi="宋体" w:eastAsia="宋体" w:cs="Times New Roman"/>
          <w:b/>
          <w:sz w:val="32"/>
          <w:szCs w:val="32"/>
        </w:rPr>
        <w:t>第</w:t>
      </w:r>
      <w:r>
        <w:rPr>
          <w:rFonts w:hint="eastAsia" w:ascii="宋体" w:hAnsi="宋体" w:eastAsia="宋体" w:cs="Times New Roman"/>
          <w:b/>
          <w:sz w:val="32"/>
          <w:szCs w:val="32"/>
          <w:lang w:val="en-US" w:eastAsia="zh-CN"/>
        </w:rPr>
        <w:t>四部分</w:t>
      </w:r>
      <w:r>
        <w:rPr>
          <w:rFonts w:hint="eastAsia" w:ascii="宋体" w:hAnsi="宋体" w:eastAsia="宋体" w:cs="Times New Roman"/>
          <w:b/>
          <w:sz w:val="32"/>
          <w:szCs w:val="32"/>
        </w:rPr>
        <w:t xml:space="preserve"> 招标失败后续处理</w:t>
      </w:r>
      <w:bookmarkEnd w:id="58"/>
      <w:bookmarkEnd w:id="59"/>
      <w:bookmarkEnd w:id="60"/>
      <w:bookmarkEnd w:id="61"/>
      <w:bookmarkEnd w:id="62"/>
    </w:p>
    <w:p>
      <w:pPr>
        <w:spacing w:line="360" w:lineRule="auto"/>
        <w:rPr>
          <w:b/>
        </w:rPr>
      </w:pPr>
      <w:r>
        <w:rPr>
          <w:rFonts w:hint="eastAsia"/>
          <w:b/>
        </w:rPr>
        <w:t>一</w:t>
      </w:r>
      <w:r>
        <w:rPr>
          <w:b/>
        </w:rPr>
        <w:t xml:space="preserve"> </w:t>
      </w:r>
      <w:r>
        <w:rPr>
          <w:rFonts w:hint="eastAsia"/>
          <w:b/>
        </w:rPr>
        <w:t>说明</w:t>
      </w:r>
    </w:p>
    <w:p>
      <w:pPr>
        <w:spacing w:line="360" w:lineRule="auto"/>
      </w:pPr>
      <w:r>
        <w:t xml:space="preserve">1. </w:t>
      </w:r>
      <w:r>
        <w:rPr>
          <w:rFonts w:hint="eastAsia"/>
        </w:rPr>
        <w:t>说明</w:t>
      </w:r>
    </w:p>
    <w:p>
      <w:pPr>
        <w:spacing w:line="360" w:lineRule="auto"/>
      </w:pPr>
      <w:r>
        <w:t>1.1</w:t>
      </w:r>
      <w:r>
        <w:tab/>
      </w:r>
      <w:r>
        <w:rPr>
          <w:rFonts w:hint="eastAsia"/>
        </w:rPr>
        <w:t>为提高采购效率，公开（邀请）招标失败后，经招标人同意，不再另行制作采购文件，就根据本招标文件规定的时间、需求内容采用非公开招标采购方式完成采购。</w:t>
      </w:r>
    </w:p>
    <w:p>
      <w:pPr>
        <w:spacing w:line="360" w:lineRule="auto"/>
      </w:pPr>
      <w:r>
        <w:t>1.2</w:t>
      </w:r>
      <w:r>
        <w:tab/>
      </w:r>
      <w:r>
        <w:rPr>
          <w:rFonts w:hint="eastAsia"/>
        </w:rPr>
        <w:t>非公开招标采购方式视公开招标失败的具体情形而定。</w:t>
      </w:r>
    </w:p>
    <w:p>
      <w:pPr>
        <w:spacing w:line="360" w:lineRule="auto"/>
        <w:rPr>
          <w:b/>
        </w:rPr>
      </w:pPr>
      <w:r>
        <w:rPr>
          <w:rFonts w:hint="eastAsia"/>
          <w:b/>
        </w:rPr>
        <w:t>二</w:t>
      </w:r>
      <w:r>
        <w:rPr>
          <w:b/>
        </w:rPr>
        <w:t xml:space="preserve"> </w:t>
      </w:r>
      <w:r>
        <w:rPr>
          <w:rFonts w:hint="eastAsia"/>
          <w:b/>
        </w:rPr>
        <w:t>采购方式</w:t>
      </w:r>
    </w:p>
    <w:p>
      <w:pPr>
        <w:spacing w:line="360" w:lineRule="auto"/>
      </w:pPr>
      <w:r>
        <w:t xml:space="preserve">1. </w:t>
      </w:r>
      <w:r>
        <w:rPr>
          <w:rFonts w:hint="eastAsia"/>
        </w:rPr>
        <w:t>竞争性谈判</w:t>
      </w:r>
    </w:p>
    <w:p>
      <w:pPr>
        <w:spacing w:line="360" w:lineRule="auto"/>
      </w:pPr>
      <w:r>
        <w:t>1.1</w:t>
      </w:r>
      <w:r>
        <w:tab/>
      </w:r>
      <w:r>
        <w:rPr>
          <w:rFonts w:hint="eastAsia"/>
        </w:rPr>
        <w:t>采用竞争性谈判方式采购的情形。</w:t>
      </w:r>
    </w:p>
    <w:p>
      <w:pPr>
        <w:spacing w:line="360" w:lineRule="auto"/>
      </w:pPr>
      <w:r>
        <w:tab/>
      </w:r>
      <w:r>
        <w:rPr>
          <w:rFonts w:hint="eastAsia"/>
        </w:rPr>
        <w:t>符合下列情形之一的，采用竞争性谈判方式采购。</w:t>
      </w:r>
    </w:p>
    <w:p>
      <w:pPr>
        <w:spacing w:line="360" w:lineRule="auto"/>
      </w:pPr>
      <w:r>
        <w:tab/>
      </w:r>
      <w:r>
        <w:t>1</w:t>
      </w:r>
      <w:r>
        <w:rPr>
          <w:rFonts w:hint="eastAsia"/>
        </w:rPr>
        <w:t>）在招标采购中，符合专业条件的供应商或者对招标文件作实质性响应的供应商只有两家的。</w:t>
      </w:r>
    </w:p>
    <w:p>
      <w:pPr>
        <w:spacing w:line="360" w:lineRule="auto"/>
      </w:pPr>
      <w:r>
        <w:tab/>
      </w:r>
      <w:r>
        <w:t>2</w:t>
      </w:r>
      <w:r>
        <w:rPr>
          <w:rFonts w:hint="eastAsia"/>
        </w:rPr>
        <w:t>）经公告或者邀请只有两家符合投标资格的供应人参加投标的。</w:t>
      </w:r>
    </w:p>
    <w:p>
      <w:pPr>
        <w:spacing w:line="360" w:lineRule="auto"/>
      </w:pPr>
      <w:r>
        <w:t xml:space="preserve">2. </w:t>
      </w:r>
      <w:r>
        <w:rPr>
          <w:rFonts w:hint="eastAsia"/>
        </w:rPr>
        <w:t>单一来源采购</w:t>
      </w:r>
    </w:p>
    <w:p>
      <w:pPr>
        <w:spacing w:line="360" w:lineRule="auto"/>
      </w:pPr>
      <w:r>
        <w:t>2.1</w:t>
      </w:r>
      <w:r>
        <w:tab/>
      </w:r>
      <w:r>
        <w:rPr>
          <w:rFonts w:hint="eastAsia"/>
        </w:rPr>
        <w:t>采用单一来源方式采购的情形。</w:t>
      </w:r>
    </w:p>
    <w:p>
      <w:pPr>
        <w:spacing w:line="360" w:lineRule="auto"/>
      </w:pPr>
      <w:r>
        <w:tab/>
      </w:r>
      <w:r>
        <w:rPr>
          <w:rFonts w:hint="eastAsia"/>
        </w:rPr>
        <w:t>符合下列情形之一的，采用单一来源方式采购。</w:t>
      </w:r>
    </w:p>
    <w:p>
      <w:pPr>
        <w:spacing w:line="360" w:lineRule="auto"/>
      </w:pPr>
      <w:r>
        <w:tab/>
      </w:r>
      <w:r>
        <w:t>1</w:t>
      </w:r>
      <w:r>
        <w:rPr>
          <w:rFonts w:hint="eastAsia"/>
        </w:rPr>
        <w:t>）在招标采购中，符合专业条件的供应商或者对招标文件作实质性响应的供应商只有一家的。</w:t>
      </w:r>
    </w:p>
    <w:p>
      <w:pPr>
        <w:spacing w:line="360" w:lineRule="auto"/>
      </w:pPr>
      <w:r>
        <w:tab/>
      </w:r>
      <w:r>
        <w:t>2</w:t>
      </w:r>
      <w:r>
        <w:rPr>
          <w:rFonts w:hint="eastAsia"/>
        </w:rPr>
        <w:t>）经公告或者邀请只有一家符合投标资格的供应人参加投标的。</w:t>
      </w:r>
    </w:p>
    <w:p>
      <w:pPr>
        <w:spacing w:line="360" w:lineRule="auto"/>
        <w:rPr>
          <w:b/>
        </w:rPr>
      </w:pPr>
      <w:r>
        <w:rPr>
          <w:rFonts w:hint="eastAsia"/>
          <w:b/>
        </w:rPr>
        <w:t>三</w:t>
      </w:r>
      <w:r>
        <w:rPr>
          <w:b/>
        </w:rPr>
        <w:t xml:space="preserve"> </w:t>
      </w:r>
      <w:r>
        <w:rPr>
          <w:rFonts w:hint="eastAsia"/>
          <w:b/>
        </w:rPr>
        <w:t>采购程序</w:t>
      </w:r>
    </w:p>
    <w:p>
      <w:pPr>
        <w:spacing w:line="360" w:lineRule="auto"/>
      </w:pPr>
      <w:r>
        <w:t xml:space="preserve">1. </w:t>
      </w:r>
      <w:r>
        <w:rPr>
          <w:rFonts w:hint="eastAsia"/>
        </w:rPr>
        <w:t>竞争性谈判</w:t>
      </w:r>
    </w:p>
    <w:p>
      <w:pPr>
        <w:spacing w:line="360" w:lineRule="auto"/>
      </w:pPr>
      <w:r>
        <w:t>1.1</w:t>
      </w:r>
      <w:r>
        <w:tab/>
      </w:r>
      <w:r>
        <w:rPr>
          <w:rFonts w:hint="eastAsia"/>
        </w:rPr>
        <w:t>评审原则：符合采购要求，最终报价低者中选。</w:t>
      </w:r>
    </w:p>
    <w:p>
      <w:pPr>
        <w:spacing w:line="360" w:lineRule="auto"/>
      </w:pPr>
      <w:r>
        <w:t xml:space="preserve">1.2 </w:t>
      </w:r>
      <w:r>
        <w:rPr>
          <w:rFonts w:hint="eastAsia"/>
        </w:rPr>
        <w:t>成立谈判小组。谈判小组由采购人的代表和有关专家共三人以上的单数组成，其中专家的人数不得少于成员总数的三分之二。</w:t>
      </w:r>
    </w:p>
    <w:p>
      <w:pPr>
        <w:spacing w:line="360" w:lineRule="auto"/>
      </w:pPr>
      <w:r>
        <w:t>1.3</w:t>
      </w:r>
      <w:r>
        <w:tab/>
      </w:r>
      <w:r>
        <w:rPr>
          <w:rFonts w:hint="eastAsia"/>
        </w:rPr>
        <w:t>谈判小组将与符合相应资格条件的供应商进行谈判；</w:t>
      </w:r>
    </w:p>
    <w:p>
      <w:pPr>
        <w:spacing w:line="360" w:lineRule="auto"/>
      </w:pPr>
      <w:r>
        <w:t>1.4</w:t>
      </w:r>
      <w:r>
        <w:tab/>
      </w:r>
      <w:r>
        <w:rPr>
          <w:rFonts w:hint="eastAsia"/>
        </w:rPr>
        <w:t>采购人与供应商应当遵循相关法规规定的原则，在保证符合采购项目服务内容和质量的基础上进行采购；</w:t>
      </w:r>
    </w:p>
    <w:p>
      <w:pPr>
        <w:spacing w:line="360" w:lineRule="auto"/>
      </w:pPr>
      <w:r>
        <w:t>1.5</w:t>
      </w:r>
      <w:r>
        <w:rPr>
          <w:rFonts w:hint="eastAsia"/>
          <w:color w:val="FF0000"/>
        </w:rPr>
        <w:t>供应商最多共有三次报价机会（含初始报价）。谈判小组可视谈判情况，随时终止谈判；</w:t>
      </w:r>
    </w:p>
    <w:p>
      <w:pPr>
        <w:spacing w:line="360" w:lineRule="auto"/>
      </w:pPr>
      <w:r>
        <w:t>1.6</w:t>
      </w:r>
      <w:r>
        <w:rPr>
          <w:rFonts w:hint="eastAsia"/>
        </w:rPr>
        <w:t>谈判结束后，谈判小组应当要求参加谈判的供应商在规定时间内进行最后承诺、填写并提交《最终承诺一览表》。</w:t>
      </w:r>
    </w:p>
    <w:p>
      <w:pPr>
        <w:spacing w:line="360" w:lineRule="auto"/>
      </w:pPr>
      <w:r>
        <w:t>1.7</w:t>
      </w:r>
      <w:r>
        <w:tab/>
      </w:r>
      <w:r>
        <w:rPr>
          <w:rFonts w:hint="eastAsia"/>
        </w:rPr>
        <w:t>成交供应商确定后，招标代理机构将向成交供应商发出《成交通知书》。</w:t>
      </w:r>
    </w:p>
    <w:p>
      <w:pPr>
        <w:spacing w:line="360" w:lineRule="auto"/>
      </w:pPr>
      <w:r>
        <w:t>1.8</w:t>
      </w:r>
      <w:r>
        <w:rPr>
          <w:rFonts w:hint="eastAsia"/>
        </w:rPr>
        <w:t>《成交通知书》是合同的一个组成部分。</w:t>
      </w:r>
    </w:p>
    <w:p>
      <w:pPr>
        <w:spacing w:line="360" w:lineRule="auto"/>
      </w:pPr>
      <w:r>
        <w:t>1.9</w:t>
      </w:r>
      <w:r>
        <w:rPr>
          <w:rFonts w:hint="eastAsia"/>
        </w:rPr>
        <w:t>若最终报价相同，则抽签决定中选供应方。抽签原则：大号中标。抽签顺序：以接收文件时“文件接收登记表”上登记的顺序为准（未出席现场谈判的供应商由招标人代表代抽）。</w:t>
      </w:r>
    </w:p>
    <w:p>
      <w:pPr>
        <w:spacing w:line="360" w:lineRule="auto"/>
      </w:pPr>
      <w:r>
        <w:t xml:space="preserve">2. </w:t>
      </w:r>
      <w:r>
        <w:rPr>
          <w:rFonts w:hint="eastAsia"/>
        </w:rPr>
        <w:t>单一来源采购</w:t>
      </w:r>
    </w:p>
    <w:p>
      <w:pPr>
        <w:spacing w:line="360" w:lineRule="auto"/>
      </w:pPr>
      <w:r>
        <w:t>2.1</w:t>
      </w:r>
      <w:r>
        <w:tab/>
      </w:r>
      <w:r>
        <w:rPr>
          <w:rFonts w:hint="eastAsia"/>
        </w:rPr>
        <w:t>成立谈判小组。谈判小组由采购人的代表和有关专家共三人以上的单数组成，其中专家的人数不得少于成员总数的三分之二。</w:t>
      </w:r>
    </w:p>
    <w:p>
      <w:pPr>
        <w:spacing w:line="360" w:lineRule="auto"/>
      </w:pPr>
      <w:r>
        <w:t>2.2</w:t>
      </w:r>
      <w:r>
        <w:tab/>
      </w:r>
      <w:r>
        <w:rPr>
          <w:rFonts w:hint="eastAsia"/>
        </w:rPr>
        <w:t>谈判小组从确定符合相应资格条件的供应商参加谈判。</w:t>
      </w:r>
    </w:p>
    <w:p>
      <w:pPr>
        <w:spacing w:line="360" w:lineRule="auto"/>
        <w:jc w:val="left"/>
      </w:pPr>
      <w:r>
        <w:t>2.3</w:t>
      </w:r>
      <w:r>
        <w:tab/>
      </w:r>
      <w:r>
        <w:rPr>
          <w:rFonts w:hint="eastAsia"/>
        </w:rPr>
        <w:t>采购人与供应商应当遵循相关法规规定的原则，在保证采购项目质量和双方商定合理价格的基础上进行采购。</w:t>
      </w:r>
    </w:p>
    <w:p>
      <w:pPr>
        <w:spacing w:line="360" w:lineRule="auto"/>
      </w:pPr>
      <w:r>
        <w:t>2.4</w:t>
      </w:r>
      <w:r>
        <w:tab/>
      </w:r>
      <w:r>
        <w:rPr>
          <w:rFonts w:hint="eastAsia"/>
        </w:rPr>
        <w:t>谈判结束后，谈判小组应当要求参加谈判的供应商在规定时间内进行最后报价、填写并提交《最终报价及承诺一览表》。</w:t>
      </w:r>
    </w:p>
    <w:p>
      <w:pPr>
        <w:spacing w:line="360" w:lineRule="auto"/>
        <w:jc w:val="left"/>
      </w:pPr>
      <w:r>
        <w:t>2.5</w:t>
      </w:r>
      <w:r>
        <w:tab/>
      </w:r>
      <w:r>
        <w:rPr>
          <w:rFonts w:hint="eastAsia"/>
        </w:rPr>
        <w:t>成交供应商确定后，招标代理机构将向成交供应商发出《成交通知书》。</w:t>
      </w:r>
    </w:p>
    <w:p>
      <w:pPr>
        <w:widowControl/>
        <w:spacing w:line="360" w:lineRule="auto"/>
        <w:jc w:val="left"/>
        <w:sectPr>
          <w:pgSz w:w="11907" w:h="16840"/>
          <w:pgMar w:top="1797" w:right="1440" w:bottom="1797" w:left="1440" w:header="851" w:footer="992" w:gutter="0"/>
          <w:cols w:space="720" w:num="1"/>
        </w:sectPr>
      </w:pPr>
    </w:p>
    <w:p>
      <w:pPr>
        <w:spacing w:line="360" w:lineRule="auto"/>
        <w:jc w:val="center"/>
        <w:outlineLvl w:val="0"/>
        <w:rPr>
          <w:rFonts w:hint="eastAsia" w:ascii="宋体" w:hAnsi="宋体"/>
          <w:b/>
          <w:sz w:val="32"/>
          <w:szCs w:val="32"/>
        </w:rPr>
      </w:pPr>
    </w:p>
    <w:p>
      <w:pPr>
        <w:spacing w:line="360" w:lineRule="auto"/>
        <w:jc w:val="center"/>
        <w:outlineLvl w:val="0"/>
        <w:rPr>
          <w:rFonts w:ascii="宋体" w:hAnsi="宋体"/>
          <w:b/>
          <w:sz w:val="32"/>
          <w:szCs w:val="32"/>
        </w:rPr>
      </w:pPr>
      <w:bookmarkStart w:id="63" w:name="_Toc23296"/>
      <w:r>
        <w:rPr>
          <w:rFonts w:hint="eastAsia" w:ascii="宋体" w:hAnsi="宋体"/>
          <w:b/>
          <w:sz w:val="32"/>
          <w:szCs w:val="32"/>
        </w:rPr>
        <w:t>第</w:t>
      </w:r>
      <w:r>
        <w:rPr>
          <w:rFonts w:hint="eastAsia" w:ascii="宋体" w:hAnsi="宋体"/>
          <w:b/>
          <w:sz w:val="32"/>
          <w:szCs w:val="32"/>
          <w:lang w:val="en-US" w:eastAsia="zh-CN"/>
        </w:rPr>
        <w:t>五</w:t>
      </w:r>
      <w:r>
        <w:rPr>
          <w:rFonts w:hint="eastAsia" w:ascii="宋体" w:hAnsi="宋体"/>
          <w:b/>
          <w:sz w:val="32"/>
          <w:szCs w:val="32"/>
        </w:rPr>
        <w:t>部分：合同条款及格式</w:t>
      </w:r>
      <w:bookmarkEnd w:id="63"/>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64" w:name="_Hlk116549198"/>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64"/>
    <w:p>
      <w:pPr>
        <w:jc w:val="center"/>
        <w:rPr>
          <w:rFonts w:ascii="宋体" w:hAnsi="宋体"/>
          <w:szCs w:val="21"/>
        </w:rPr>
      </w:pPr>
      <w:bookmarkStart w:id="65" w:name="_Hlk116549211"/>
      <w:r>
        <w:rPr>
          <w:rFonts w:hint="eastAsia" w:ascii="方正小标宋简体" w:hAnsi="方正小标宋简体" w:eastAsia="方正小标宋简体" w:cs="方正小标宋简体"/>
          <w:bCs/>
          <w:kern w:val="0"/>
          <w:sz w:val="28"/>
          <w:szCs w:val="28"/>
        </w:rPr>
        <w:t>（仅供参考）</w:t>
      </w:r>
    </w:p>
    <w:bookmarkEnd w:id="65"/>
    <w:p>
      <w:pPr>
        <w:ind w:firstLine="420" w:firstLineChars="200"/>
        <w:jc w:val="left"/>
        <w:rPr>
          <w:rFonts w:ascii="宋体" w:hAnsi="宋体"/>
          <w:szCs w:val="21"/>
        </w:rPr>
      </w:pPr>
    </w:p>
    <w:p>
      <w:pPr>
        <w:spacing w:line="360" w:lineRule="auto"/>
        <w:rPr>
          <w:rFonts w:ascii="宋体" w:hAnsi="宋体"/>
          <w:szCs w:val="21"/>
        </w:rPr>
      </w:pPr>
    </w:p>
    <w:p>
      <w:pPr>
        <w:widowControl/>
        <w:snapToGrid w:val="0"/>
        <w:spacing w:line="360" w:lineRule="auto"/>
        <w:jc w:val="left"/>
        <w:rPr>
          <w:rFonts w:ascii="宋体" w:hAnsi="宋体" w:cs="宋体"/>
          <w:b/>
          <w:kern w:val="0"/>
          <w:szCs w:val="21"/>
        </w:rPr>
      </w:pPr>
      <w:r>
        <w:rPr>
          <w:rFonts w:hint="eastAsia" w:ascii="宋体" w:hAnsi="宋体" w:cs="宋体"/>
          <w:b/>
          <w:kern w:val="0"/>
          <w:szCs w:val="21"/>
        </w:rPr>
        <w:t>甲方：深圳会展中心管理有限责任公司（简称“会展中心”）</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地址：深圳市福田区福华三路深圳会展中心</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p>
    <w:p>
      <w:pPr>
        <w:autoSpaceDE w:val="0"/>
        <w:autoSpaceDN w:val="0"/>
        <w:adjustRightInd w:val="0"/>
        <w:snapToGrid w:val="0"/>
        <w:spacing w:line="360" w:lineRule="auto"/>
        <w:rPr>
          <w:rFonts w:ascii="宋体" w:hAnsi="宋体" w:cs="宋体"/>
          <w:kern w:val="0"/>
          <w:szCs w:val="21"/>
          <w:highlight w:val="yellow"/>
        </w:rPr>
      </w:pPr>
      <w:r>
        <w:rPr>
          <w:rFonts w:hint="eastAsia" w:ascii="宋体" w:hAnsi="宋体" w:cs="宋体"/>
          <w:kern w:val="0"/>
          <w:szCs w:val="21"/>
        </w:rPr>
        <w:t>电话：0755-8284</w:t>
      </w:r>
      <w:r>
        <w:rPr>
          <w:rFonts w:hint="eastAsia" w:ascii="宋体" w:hAnsi="宋体" w:cs="宋体"/>
          <w:kern w:val="0"/>
          <w:szCs w:val="21"/>
          <w:highlight w:val="yellow"/>
        </w:rPr>
        <w:t>XXXX</w:t>
      </w:r>
      <w:r>
        <w:rPr>
          <w:rFonts w:ascii="宋体" w:hAnsi="宋体" w:cs="宋体"/>
          <w:kern w:val="0"/>
          <w:szCs w:val="21"/>
          <w:highlight w:val="yellow"/>
        </w:rPr>
        <w:t xml:space="preserve"> </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widowControl/>
        <w:snapToGrid w:val="0"/>
        <w:spacing w:line="360" w:lineRule="auto"/>
        <w:ind w:firstLine="560"/>
        <w:rPr>
          <w:rFonts w:ascii="宋体" w:hAnsi="宋体" w:cs="宋体"/>
          <w:kern w:val="0"/>
          <w:szCs w:val="21"/>
        </w:rPr>
      </w:pPr>
    </w:p>
    <w:p>
      <w:pPr>
        <w:widowControl/>
        <w:snapToGrid w:val="0"/>
        <w:spacing w:line="360" w:lineRule="auto"/>
        <w:rPr>
          <w:rFonts w:ascii="宋体" w:hAnsi="宋体" w:cs="宋体"/>
          <w:b/>
          <w:kern w:val="0"/>
          <w:szCs w:val="21"/>
        </w:rPr>
      </w:pPr>
      <w:r>
        <w:rPr>
          <w:rFonts w:hint="eastAsia" w:ascii="宋体" w:hAnsi="宋体" w:cs="宋体"/>
          <w:b/>
          <w:kern w:val="0"/>
          <w:szCs w:val="21"/>
        </w:rPr>
        <w:t>乙方：</w:t>
      </w:r>
      <w:r>
        <w:rPr>
          <w:rFonts w:hint="eastAsia" w:ascii="宋体" w:hAnsi="宋体" w:cs="宋体"/>
          <w:b/>
          <w:kern w:val="0"/>
          <w:szCs w:val="21"/>
          <w:highlight w:val="yellow"/>
        </w:rPr>
        <w:t>XXXX</w:t>
      </w:r>
      <w:r>
        <w:rPr>
          <w:rFonts w:hint="eastAsia" w:ascii="宋体" w:hAnsi="宋体" w:cs="宋体"/>
          <w:b/>
          <w:kern w:val="0"/>
          <w:szCs w:val="21"/>
        </w:rPr>
        <w:t>公司（简称“</w:t>
      </w:r>
      <w:r>
        <w:rPr>
          <w:rFonts w:hint="eastAsia" w:ascii="宋体" w:hAnsi="宋体" w:cs="宋体"/>
          <w:b/>
          <w:kern w:val="0"/>
          <w:szCs w:val="21"/>
          <w:highlight w:val="yellow"/>
        </w:rPr>
        <w:t>XXXX</w:t>
      </w:r>
      <w:r>
        <w:rPr>
          <w:rFonts w:hint="eastAsia" w:ascii="宋体" w:hAnsi="宋体" w:cs="宋体"/>
          <w:b/>
          <w:kern w:val="0"/>
          <w:szCs w:val="21"/>
        </w:rPr>
        <w:t>”）</w:t>
      </w:r>
    </w:p>
    <w:p>
      <w:pPr>
        <w:widowControl/>
        <w:snapToGrid w:val="0"/>
        <w:spacing w:line="360" w:lineRule="auto"/>
        <w:rPr>
          <w:rFonts w:ascii="宋体" w:hAnsi="宋体" w:cs="宋体"/>
          <w:kern w:val="0"/>
          <w:szCs w:val="21"/>
        </w:rPr>
      </w:pPr>
      <w:r>
        <w:rPr>
          <w:rFonts w:hint="eastAsia" w:ascii="宋体" w:hAnsi="宋体" w:cs="宋体"/>
          <w:kern w:val="0"/>
          <w:szCs w:val="21"/>
        </w:rPr>
        <w:t>法定代表人：</w:t>
      </w:r>
      <w:r>
        <w:rPr>
          <w:rFonts w:hint="eastAsia" w:ascii="宋体" w:hAnsi="宋体" w:cs="宋体"/>
          <w:kern w:val="0"/>
          <w:szCs w:val="21"/>
          <w:highlight w:val="yellow"/>
        </w:rPr>
        <w:t>XXX</w:t>
      </w:r>
    </w:p>
    <w:p>
      <w:pPr>
        <w:widowControl/>
        <w:snapToGrid w:val="0"/>
        <w:spacing w:line="360" w:lineRule="auto"/>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highlight w:val="yellow"/>
        </w:rPr>
        <w:t>XXXXXXXXXXXX</w:t>
      </w:r>
    </w:p>
    <w:p>
      <w:pPr>
        <w:widowControl/>
        <w:snapToGrid w:val="0"/>
        <w:spacing w:line="360" w:lineRule="auto"/>
        <w:rPr>
          <w:rFonts w:ascii="宋体" w:hAnsi="宋体" w:cs="宋体"/>
          <w:kern w:val="0"/>
          <w:szCs w:val="21"/>
        </w:rPr>
      </w:pPr>
      <w:r>
        <w:rPr>
          <w:rFonts w:hint="eastAsia" w:ascii="宋体" w:hAnsi="宋体" w:cs="宋体"/>
          <w:kern w:val="0"/>
          <w:szCs w:val="21"/>
        </w:rPr>
        <w:t>联系人：</w:t>
      </w:r>
      <w:r>
        <w:rPr>
          <w:rFonts w:hint="eastAsia" w:ascii="宋体" w:hAnsi="宋体" w:cs="宋体"/>
          <w:kern w:val="0"/>
          <w:szCs w:val="21"/>
          <w:highlight w:val="yellow"/>
        </w:rPr>
        <w:t>XXX</w:t>
      </w:r>
      <w:r>
        <w:rPr>
          <w:rFonts w:ascii="宋体" w:hAnsi="宋体" w:cs="宋体"/>
          <w:kern w:val="0"/>
          <w:szCs w:val="21"/>
        </w:rPr>
        <w:t xml:space="preserve"> </w:t>
      </w:r>
      <w:r>
        <w:rPr>
          <w:rFonts w:hint="eastAsia" w:ascii="宋体" w:hAnsi="宋体" w:cs="宋体"/>
          <w:kern w:val="0"/>
          <w:szCs w:val="21"/>
        </w:rPr>
        <w:t xml:space="preserve">  </w:t>
      </w:r>
    </w:p>
    <w:p>
      <w:pPr>
        <w:widowControl/>
        <w:snapToGrid w:val="0"/>
        <w:spacing w:line="360" w:lineRule="auto"/>
        <w:rPr>
          <w:rFonts w:ascii="宋体" w:hAnsi="宋体" w:cs="宋体"/>
          <w:kern w:val="0"/>
          <w:szCs w:val="21"/>
          <w:highlight w:val="yellow"/>
        </w:rPr>
      </w:pPr>
      <w:r>
        <w:rPr>
          <w:rFonts w:hint="eastAsia" w:ascii="宋体" w:hAnsi="宋体" w:cs="宋体"/>
          <w:kern w:val="0"/>
          <w:szCs w:val="21"/>
        </w:rPr>
        <w:t>电话：0755-</w:t>
      </w:r>
      <w:r>
        <w:rPr>
          <w:rFonts w:hint="eastAsia" w:ascii="宋体" w:hAnsi="宋体" w:cs="宋体"/>
          <w:kern w:val="0"/>
          <w:szCs w:val="21"/>
          <w:highlight w:val="yellow"/>
        </w:rPr>
        <w:t>XXXXXX</w:t>
      </w:r>
    </w:p>
    <w:p>
      <w:pPr>
        <w:pStyle w:val="2"/>
        <w:spacing w:line="360" w:lineRule="auto"/>
        <w:ind w:left="0"/>
        <w:rPr>
          <w:rFonts w:ascii="宋体" w:hAnsi="宋体"/>
          <w:sz w:val="21"/>
          <w:szCs w:val="21"/>
        </w:rPr>
      </w:pPr>
      <w:r>
        <w:rPr>
          <w:rFonts w:hint="eastAsia" w:ascii="宋体" w:hAnsi="宋体" w:cs="宋体"/>
          <w:sz w:val="21"/>
          <w:szCs w:val="21"/>
          <w:highlight w:val="yellow"/>
        </w:rPr>
        <w:t>电子邮件：</w:t>
      </w:r>
    </w:p>
    <w:p>
      <w:pPr>
        <w:pStyle w:val="2"/>
        <w:spacing w:after="0" w:line="360" w:lineRule="auto"/>
        <w:ind w:left="0" w:firstLine="400" w:firstLineChars="200"/>
        <w:rPr>
          <w:rFonts w:ascii="宋体" w:hAnsi="宋体"/>
          <w:sz w:val="21"/>
          <w:szCs w:val="21"/>
        </w:rPr>
      </w:pPr>
    </w:p>
    <w:p>
      <w:pPr>
        <w:pStyle w:val="2"/>
        <w:spacing w:after="0" w:line="360" w:lineRule="auto"/>
        <w:ind w:left="0" w:firstLine="400" w:firstLineChars="200"/>
        <w:rPr>
          <w:rFonts w:ascii="宋体" w:hAnsi="宋体" w:cs="Arial"/>
          <w:sz w:val="21"/>
          <w:szCs w:val="21"/>
        </w:rPr>
      </w:pPr>
      <w:r>
        <w:rPr>
          <w:rFonts w:hint="eastAsia" w:ascii="宋体" w:hAnsi="宋体" w:cs="Arial"/>
          <w:sz w:val="21"/>
          <w:szCs w:val="21"/>
        </w:rPr>
        <w:t>依据《中华人民共和国民法典》及相关法律、法规的规定及行业规范，</w:t>
      </w:r>
      <w:r>
        <w:rPr>
          <w:rFonts w:hint="eastAsia" w:ascii="宋体" w:hAnsi="宋体" w:cs="仿宋"/>
          <w:sz w:val="21"/>
          <w:szCs w:val="21"/>
        </w:rPr>
        <w:t>甲、乙双方本着公平合理、平等互利、诚信自愿的原则，</w:t>
      </w:r>
      <w:r>
        <w:rPr>
          <w:rFonts w:hint="eastAsia" w:ascii="宋体" w:hAnsi="宋体" w:cs="Arial"/>
          <w:sz w:val="21"/>
          <w:szCs w:val="21"/>
        </w:rPr>
        <w:t>乙方受甲方委托为甲方提供</w:t>
      </w:r>
      <w:r>
        <w:rPr>
          <w:rFonts w:hint="eastAsia" w:ascii="宋体" w:hAnsi="宋体" w:cs="宋体"/>
          <w:sz w:val="21"/>
          <w:szCs w:val="21"/>
          <w:highlight w:val="yellow"/>
        </w:rPr>
        <w:t>XXXXXXXXXXXX</w:t>
      </w:r>
      <w:r>
        <w:rPr>
          <w:rFonts w:hint="eastAsia" w:ascii="宋体" w:hAnsi="宋体" w:cs="Arial"/>
          <w:sz w:val="21"/>
          <w:szCs w:val="21"/>
        </w:rPr>
        <w:t>服务，甲乙双方经协商一致，签订本合同，双方保证严格遵守和执行。</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服务内容及要求</w:t>
      </w:r>
    </w:p>
    <w:p>
      <w:pPr>
        <w:pStyle w:val="2"/>
        <w:numPr>
          <w:ilvl w:val="0"/>
          <w:numId w:val="38"/>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项目名称：</w:t>
      </w:r>
      <w:r>
        <w:rPr>
          <w:rFonts w:hint="eastAsia" w:ascii="宋体" w:hAnsi="宋体" w:cs="宋体"/>
          <w:sz w:val="21"/>
          <w:szCs w:val="21"/>
          <w:highlight w:val="yellow"/>
        </w:rPr>
        <w:t>XXXXXXXXXXXX</w:t>
      </w:r>
    </w:p>
    <w:p>
      <w:pPr>
        <w:pStyle w:val="2"/>
        <w:numPr>
          <w:ilvl w:val="0"/>
          <w:numId w:val="38"/>
        </w:numPr>
        <w:spacing w:after="0" w:line="360" w:lineRule="auto"/>
        <w:ind w:left="0" w:firstLine="400" w:firstLineChars="200"/>
        <w:rPr>
          <w:rFonts w:ascii="宋体" w:hAnsi="宋体" w:cs="仿宋"/>
          <w:sz w:val="21"/>
          <w:szCs w:val="21"/>
        </w:rPr>
      </w:pPr>
      <w:r>
        <w:rPr>
          <w:rFonts w:hint="eastAsia" w:ascii="宋体" w:hAnsi="宋体" w:cs="仿宋"/>
          <w:sz w:val="21"/>
          <w:szCs w:val="21"/>
        </w:rPr>
        <w:t>项目实施地点：深圳会展中心</w:t>
      </w:r>
    </w:p>
    <w:p>
      <w:pPr>
        <w:pStyle w:val="2"/>
        <w:numPr>
          <w:ilvl w:val="0"/>
          <w:numId w:val="38"/>
        </w:numPr>
        <w:spacing w:after="0" w:line="360" w:lineRule="auto"/>
        <w:ind w:left="0" w:firstLine="400" w:firstLineChars="200"/>
        <w:rPr>
          <w:rFonts w:ascii="宋体" w:hAnsi="宋体" w:cs="仿宋"/>
          <w:sz w:val="21"/>
          <w:szCs w:val="21"/>
        </w:rPr>
      </w:pPr>
      <w:r>
        <w:rPr>
          <w:rFonts w:hint="eastAsia" w:ascii="宋体" w:hAnsi="宋体" w:cs="仿宋"/>
          <w:sz w:val="21"/>
          <w:szCs w:val="21"/>
        </w:rPr>
        <w:t>服务内容</w:t>
      </w:r>
    </w:p>
    <w:p>
      <w:pPr>
        <w:pStyle w:val="2"/>
        <w:numPr>
          <w:ilvl w:val="0"/>
          <w:numId w:val="3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39"/>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38"/>
        </w:numPr>
        <w:spacing w:after="0" w:line="360" w:lineRule="auto"/>
        <w:ind w:left="0" w:firstLine="400" w:firstLineChars="200"/>
        <w:rPr>
          <w:rFonts w:ascii="宋体" w:hAnsi="宋体" w:cs="仿宋"/>
          <w:sz w:val="21"/>
          <w:szCs w:val="21"/>
        </w:rPr>
      </w:pPr>
      <w:r>
        <w:rPr>
          <w:rFonts w:hint="eastAsia" w:ascii="宋体" w:hAnsi="宋体" w:cs="仿宋"/>
          <w:sz w:val="21"/>
          <w:szCs w:val="21"/>
        </w:rPr>
        <w:t>增值服务</w:t>
      </w:r>
      <w:r>
        <w:rPr>
          <w:rFonts w:hint="eastAsia" w:ascii="宋体" w:hAnsi="宋体" w:cs="仿宋"/>
          <w:sz w:val="21"/>
          <w:szCs w:val="21"/>
          <w:highlight w:val="yellow"/>
        </w:rPr>
        <w:t>（如有）</w:t>
      </w:r>
    </w:p>
    <w:p>
      <w:pPr>
        <w:pStyle w:val="2"/>
        <w:numPr>
          <w:ilvl w:val="0"/>
          <w:numId w:val="4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4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2"/>
        <w:numPr>
          <w:ilvl w:val="0"/>
          <w:numId w:val="38"/>
        </w:numPr>
        <w:spacing w:after="0" w:line="360" w:lineRule="auto"/>
        <w:ind w:left="0" w:firstLine="400" w:firstLineChars="200"/>
        <w:rPr>
          <w:rFonts w:ascii="宋体" w:hAnsi="宋体" w:cs="仿宋"/>
          <w:sz w:val="21"/>
          <w:szCs w:val="21"/>
        </w:rPr>
      </w:pPr>
      <w:r>
        <w:rPr>
          <w:rFonts w:hint="eastAsia" w:ascii="宋体" w:hAnsi="宋体" w:cs="仿宋"/>
          <w:sz w:val="21"/>
          <w:szCs w:val="21"/>
        </w:rPr>
        <w:t>服务要求</w:t>
      </w:r>
    </w:p>
    <w:p>
      <w:pPr>
        <w:pStyle w:val="2"/>
        <w:numPr>
          <w:ilvl w:val="0"/>
          <w:numId w:val="41"/>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41"/>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服务期限</w:t>
      </w:r>
    </w:p>
    <w:p>
      <w:pPr>
        <w:pStyle w:val="2"/>
        <w:spacing w:after="0" w:line="360" w:lineRule="auto"/>
        <w:ind w:left="0" w:firstLine="400" w:firstLineChars="200"/>
        <w:rPr>
          <w:rFonts w:ascii="宋体" w:hAnsi="宋体" w:cs="仿宋"/>
          <w:b/>
          <w:bCs/>
          <w:sz w:val="21"/>
          <w:szCs w:val="21"/>
        </w:rPr>
      </w:pPr>
      <w:r>
        <w:rPr>
          <w:rFonts w:hint="eastAsia" w:ascii="宋体" w:hAnsi="宋体" w:cs="仿宋"/>
          <w:sz w:val="21"/>
          <w:szCs w:val="21"/>
        </w:rPr>
        <w:t>本项目服务期限为</w:t>
      </w:r>
      <w:r>
        <w:rPr>
          <w:rFonts w:hint="eastAsia" w:ascii="宋体" w:hAnsi="宋体" w:cs="仿宋"/>
          <w:sz w:val="21"/>
          <w:szCs w:val="21"/>
          <w:highlight w:val="yellow"/>
        </w:rPr>
        <w:t>XX年，</w:t>
      </w:r>
      <w:r>
        <w:rPr>
          <w:rFonts w:hint="eastAsia" w:ascii="宋体" w:hAnsi="宋体" w:cs="仿宋"/>
          <w:sz w:val="21"/>
          <w:szCs w:val="21"/>
        </w:rPr>
        <w:t>从本合同签订生效之日起至</w:t>
      </w:r>
      <w:r>
        <w:rPr>
          <w:rFonts w:hint="eastAsia" w:ascii="宋体" w:hAnsi="宋体" w:cs="仿宋"/>
          <w:sz w:val="21"/>
          <w:szCs w:val="21"/>
          <w:highlight w:val="yellow"/>
        </w:rPr>
        <w:t>XXXX年X月X</w:t>
      </w:r>
      <w:r>
        <w:rPr>
          <w:rFonts w:hint="eastAsia" w:ascii="宋体" w:hAnsi="宋体" w:cs="仿宋"/>
          <w:sz w:val="21"/>
          <w:szCs w:val="21"/>
        </w:rPr>
        <w:t>日止。</w:t>
      </w:r>
      <w:r>
        <w:rPr>
          <w:rFonts w:hint="eastAsia" w:ascii="宋体" w:hAnsi="宋体" w:cs="仿宋"/>
          <w:sz w:val="21"/>
          <w:szCs w:val="21"/>
          <w:highlight w:val="yellow"/>
        </w:rPr>
        <w:t>年度服务期满前两个月，乙方应主动向甲方申请对其本年度服务情况进行评审，经甲方综合考核评审服务达到优良（综合得分</w:t>
      </w:r>
      <w:r>
        <w:rPr>
          <w:rFonts w:ascii="宋体" w:hAnsi="宋体" w:cs="仿宋"/>
          <w:sz w:val="21"/>
          <w:szCs w:val="21"/>
          <w:highlight w:val="yellow"/>
        </w:rPr>
        <w:t>≥</w:t>
      </w:r>
      <w:r>
        <w:rPr>
          <w:rFonts w:hint="eastAsia" w:ascii="宋体" w:hAnsi="宋体" w:cs="仿宋"/>
          <w:sz w:val="21"/>
          <w:szCs w:val="21"/>
          <w:highlight w:val="yellow"/>
        </w:rPr>
        <w:t>80分），则执行下一年度服务合同。如综合考核评审服务未达到优良，甲方有权终止下一年度服务合同。综合考核评审细则详见附件《XXXX考核评审细则》。</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合同金额及付款要求</w:t>
      </w:r>
    </w:p>
    <w:p>
      <w:pPr>
        <w:pStyle w:val="22"/>
        <w:numPr>
          <w:ilvl w:val="1"/>
          <w:numId w:val="42"/>
        </w:numPr>
        <w:spacing w:line="360" w:lineRule="auto"/>
        <w:ind w:left="0" w:firstLine="420"/>
        <w:rPr>
          <w:rFonts w:ascii="宋体" w:hAnsi="宋体" w:eastAsia="宋体" w:cs="仿宋"/>
          <w:spacing w:val="-2"/>
          <w:szCs w:val="21"/>
        </w:rPr>
      </w:pPr>
      <w:r>
        <w:rPr>
          <w:rFonts w:hint="eastAsia" w:ascii="宋体" w:hAnsi="宋体" w:eastAsia="宋体" w:cs="仿宋"/>
          <w:szCs w:val="21"/>
        </w:rPr>
        <w:t>合同金额</w:t>
      </w:r>
    </w:p>
    <w:p>
      <w:pPr>
        <w:pStyle w:val="22"/>
        <w:numPr>
          <w:ilvl w:val="0"/>
          <w:numId w:val="43"/>
        </w:numPr>
        <w:spacing w:line="360" w:lineRule="auto"/>
        <w:rPr>
          <w:rFonts w:ascii="宋体" w:hAnsi="宋体" w:eastAsia="宋体" w:cs="仿宋"/>
          <w:spacing w:val="-2"/>
          <w:szCs w:val="21"/>
        </w:rPr>
      </w:pPr>
      <w:r>
        <w:rPr>
          <w:rFonts w:hint="eastAsia" w:ascii="宋体" w:hAnsi="宋体" w:eastAsia="宋体" w:cs="仿宋"/>
          <w:bCs/>
          <w:szCs w:val="21"/>
        </w:rPr>
        <w:t>本项</w:t>
      </w:r>
      <w:r>
        <w:rPr>
          <w:rFonts w:hint="eastAsia" w:ascii="宋体" w:hAnsi="宋体" w:eastAsia="宋体" w:cs="仿宋"/>
          <w:szCs w:val="21"/>
        </w:rPr>
        <w:t>目合同金额</w:t>
      </w:r>
      <w:r>
        <w:rPr>
          <w:rFonts w:hint="eastAsia" w:ascii="宋体" w:hAnsi="宋体" w:eastAsia="宋体" w:cs="仿宋"/>
          <w:bCs/>
          <w:szCs w:val="21"/>
        </w:rPr>
        <w:t>为¥</w:t>
      </w:r>
      <w:r>
        <w:rPr>
          <w:rFonts w:hint="eastAsia" w:ascii="宋体" w:hAnsi="宋体" w:eastAsia="宋体" w:cs="仿宋"/>
          <w:bCs/>
          <w:szCs w:val="21"/>
          <w:highlight w:val="yellow"/>
        </w:rPr>
        <w:t>XXX</w:t>
      </w:r>
      <w:r>
        <w:rPr>
          <w:rFonts w:hint="eastAsia" w:ascii="宋体" w:hAnsi="宋体" w:eastAsia="宋体" w:cs="仿宋"/>
          <w:bCs/>
          <w:szCs w:val="21"/>
        </w:rPr>
        <w:t>万元（</w:t>
      </w:r>
      <w:r>
        <w:rPr>
          <w:rFonts w:hint="eastAsia" w:ascii="宋体" w:hAnsi="宋体" w:eastAsia="宋体" w:cs="仿宋"/>
          <w:szCs w:val="21"/>
        </w:rPr>
        <w:t>大写人民币：</w:t>
      </w:r>
      <w:r>
        <w:rPr>
          <w:rFonts w:hint="eastAsia" w:ascii="宋体" w:hAnsi="宋体" w:eastAsia="宋体" w:cs="仿宋"/>
          <w:szCs w:val="21"/>
          <w:highlight w:val="yellow"/>
          <w:u w:val="single"/>
        </w:rPr>
        <w:t>XXXX</w:t>
      </w:r>
      <w:r>
        <w:rPr>
          <w:rFonts w:hint="eastAsia" w:ascii="宋体" w:hAnsi="宋体" w:eastAsia="宋体" w:cs="仿宋"/>
          <w:szCs w:val="21"/>
          <w:u w:val="single"/>
        </w:rPr>
        <w:t>元整</w:t>
      </w:r>
      <w:r>
        <w:rPr>
          <w:rFonts w:ascii="宋体" w:hAnsi="宋体" w:eastAsia="宋体" w:cs="仿宋"/>
          <w:szCs w:val="21"/>
          <w:u w:val="single"/>
        </w:rPr>
        <w:t xml:space="preserve"> </w:t>
      </w:r>
      <w:r>
        <w:rPr>
          <w:rFonts w:hint="eastAsia" w:ascii="宋体" w:hAnsi="宋体" w:eastAsia="宋体" w:cs="仿宋"/>
          <w:szCs w:val="21"/>
        </w:rPr>
        <w:t>），税率为</w:t>
      </w:r>
      <w:r>
        <w:rPr>
          <w:rFonts w:hint="eastAsia" w:ascii="宋体" w:hAnsi="宋体" w:eastAsia="宋体" w:cs="仿宋"/>
          <w:szCs w:val="21"/>
          <w:highlight w:val="yellow"/>
        </w:rPr>
        <w:t>X%</w:t>
      </w:r>
      <w:r>
        <w:rPr>
          <w:rFonts w:hint="eastAsia" w:ascii="宋体" w:hAnsi="宋体" w:eastAsia="宋体" w:cs="仿宋"/>
          <w:spacing w:val="-2"/>
          <w:szCs w:val="21"/>
        </w:rPr>
        <w:t>。</w:t>
      </w:r>
    </w:p>
    <w:p>
      <w:pPr>
        <w:pStyle w:val="22"/>
        <w:numPr>
          <w:ilvl w:val="0"/>
          <w:numId w:val="43"/>
        </w:numPr>
        <w:spacing w:line="360" w:lineRule="auto"/>
        <w:rPr>
          <w:rFonts w:ascii="宋体" w:hAnsi="宋体" w:eastAsia="宋体" w:cs="仿宋"/>
          <w:spacing w:val="-2"/>
          <w:szCs w:val="21"/>
        </w:rPr>
      </w:pPr>
      <w:r>
        <w:rPr>
          <w:rFonts w:hint="eastAsia" w:ascii="宋体" w:hAnsi="宋体" w:eastAsia="宋体" w:cs="仿宋"/>
          <w:bCs/>
          <w:szCs w:val="21"/>
        </w:rPr>
        <w:t>以上金额已经包含项目费用开具增值税</w:t>
      </w:r>
      <w:r>
        <w:rPr>
          <w:rFonts w:hint="eastAsia" w:ascii="宋体" w:hAnsi="宋体" w:eastAsia="宋体" w:cs="仿宋"/>
          <w:bCs/>
          <w:szCs w:val="21"/>
          <w:highlight w:val="yellow"/>
        </w:rPr>
        <w:t>专用</w:t>
      </w:r>
      <w:r>
        <w:rPr>
          <w:rFonts w:hint="eastAsia" w:ascii="宋体" w:hAnsi="宋体" w:eastAsia="宋体" w:cs="仿宋"/>
          <w:bCs/>
          <w:szCs w:val="21"/>
        </w:rPr>
        <w:t>发票所产生的税费及乙方完成本项目服务所发生的</w:t>
      </w:r>
      <w:r>
        <w:rPr>
          <w:rFonts w:hint="eastAsia" w:ascii="宋体" w:hAnsi="宋体" w:eastAsia="宋体" w:cs="仿宋"/>
          <w:szCs w:val="21"/>
        </w:rPr>
        <w:t>全部费用。</w:t>
      </w:r>
    </w:p>
    <w:p>
      <w:pPr>
        <w:pStyle w:val="22"/>
        <w:numPr>
          <w:ilvl w:val="1"/>
          <w:numId w:val="42"/>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付款要求</w:t>
      </w:r>
    </w:p>
    <w:p>
      <w:pPr>
        <w:pStyle w:val="22"/>
        <w:numPr>
          <w:ilvl w:val="0"/>
          <w:numId w:val="44"/>
        </w:numPr>
        <w:spacing w:line="360" w:lineRule="auto"/>
        <w:ind w:left="0" w:firstLine="412"/>
        <w:rPr>
          <w:rFonts w:ascii="宋体" w:hAnsi="宋体" w:eastAsia="宋体" w:cs="仿宋"/>
          <w:spacing w:val="-2"/>
          <w:szCs w:val="21"/>
        </w:rPr>
      </w:pPr>
      <w:r>
        <w:rPr>
          <w:rFonts w:hint="eastAsia" w:ascii="宋体" w:hAnsi="宋体" w:eastAsia="宋体" w:cs="仿宋"/>
          <w:spacing w:val="-2"/>
          <w:szCs w:val="21"/>
        </w:rPr>
        <w:t xml:space="preserve"> 合同签订，乙方完成</w:t>
      </w:r>
      <w:r>
        <w:rPr>
          <w:rFonts w:hint="eastAsia" w:ascii="宋体" w:hAnsi="宋体" w:eastAsia="宋体" w:cs="仿宋"/>
          <w:spacing w:val="-2"/>
          <w:szCs w:val="21"/>
          <w:highlight w:val="yellow"/>
        </w:rPr>
        <w:t>XXX</w:t>
      </w:r>
      <w:r>
        <w:rPr>
          <w:rFonts w:hint="eastAsia" w:ascii="宋体" w:hAnsi="宋体" w:eastAsia="宋体" w:cs="仿宋"/>
          <w:spacing w:val="-2"/>
          <w:szCs w:val="21"/>
        </w:rPr>
        <w:t>后，甲方向乙方支付合同金额</w:t>
      </w:r>
      <w:r>
        <w:rPr>
          <w:rFonts w:hint="eastAsia" w:ascii="宋体" w:hAnsi="宋体" w:eastAsia="宋体" w:cs="仿宋"/>
          <w:spacing w:val="-2"/>
          <w:szCs w:val="21"/>
          <w:highlight w:val="yellow"/>
        </w:rPr>
        <w:t>XX％</w:t>
      </w:r>
      <w:r>
        <w:rPr>
          <w:rFonts w:hint="eastAsia" w:ascii="宋体" w:hAnsi="宋体" w:eastAsia="宋体" w:cs="仿宋"/>
          <w:spacing w:val="-2"/>
          <w:szCs w:val="21"/>
        </w:rPr>
        <w:t>款项，即人民币</w:t>
      </w:r>
      <w:r>
        <w:rPr>
          <w:rFonts w:hint="eastAsia" w:ascii="宋体" w:hAnsi="宋体" w:eastAsia="宋体" w:cs="仿宋"/>
          <w:spacing w:val="-2"/>
          <w:szCs w:val="21"/>
          <w:highlight w:val="yellow"/>
        </w:rPr>
        <w:t>XXXX</w:t>
      </w:r>
      <w:r>
        <w:rPr>
          <w:rFonts w:hint="eastAsia" w:ascii="宋体" w:hAnsi="宋体" w:eastAsia="宋体" w:cs="仿宋"/>
          <w:spacing w:val="-2"/>
          <w:szCs w:val="21"/>
        </w:rPr>
        <w:t>元（大写：</w:t>
      </w:r>
      <w:r>
        <w:rPr>
          <w:rFonts w:hint="eastAsia" w:ascii="宋体" w:hAnsi="宋体" w:eastAsia="宋体" w:cs="仿宋"/>
          <w:spacing w:val="-2"/>
          <w:szCs w:val="21"/>
          <w:highlight w:val="yellow"/>
        </w:rPr>
        <w:t>XXXX</w:t>
      </w:r>
      <w:r>
        <w:rPr>
          <w:rFonts w:hint="eastAsia" w:ascii="宋体" w:hAnsi="宋体" w:eastAsia="宋体" w:cs="仿宋"/>
          <w:spacing w:val="-2"/>
          <w:szCs w:val="21"/>
        </w:rPr>
        <w:t>元整）；</w:t>
      </w:r>
    </w:p>
    <w:p>
      <w:pPr>
        <w:pStyle w:val="22"/>
        <w:numPr>
          <w:ilvl w:val="0"/>
          <w:numId w:val="44"/>
        </w:numPr>
        <w:spacing w:line="360" w:lineRule="auto"/>
        <w:ind w:left="0" w:firstLine="412"/>
        <w:rPr>
          <w:rFonts w:ascii="宋体" w:hAnsi="宋体" w:eastAsia="宋体" w:cs="仿宋"/>
          <w:szCs w:val="21"/>
        </w:rPr>
      </w:pPr>
      <w:r>
        <w:rPr>
          <w:rFonts w:hint="eastAsia" w:ascii="宋体" w:hAnsi="宋体" w:eastAsia="宋体" w:cs="仿宋"/>
          <w:spacing w:val="-2"/>
          <w:szCs w:val="21"/>
        </w:rPr>
        <w:t xml:space="preserve"> 完成本项目所有服务内容并经甲方验收合格且完成违约责任清算后，甲方支付本项目剩余款项。</w:t>
      </w:r>
    </w:p>
    <w:p>
      <w:pPr>
        <w:pStyle w:val="22"/>
        <w:numPr>
          <w:ilvl w:val="0"/>
          <w:numId w:val="44"/>
        </w:numPr>
        <w:spacing w:line="360" w:lineRule="auto"/>
        <w:ind w:left="0" w:firstLine="420"/>
        <w:rPr>
          <w:rFonts w:ascii="宋体" w:hAnsi="宋体" w:eastAsia="宋体" w:cs="仿宋"/>
          <w:szCs w:val="21"/>
        </w:rPr>
      </w:pPr>
      <w:r>
        <w:rPr>
          <w:rFonts w:hint="eastAsia" w:ascii="宋体" w:hAnsi="宋体" w:eastAsia="宋体" w:cs="仿宋"/>
          <w:szCs w:val="21"/>
        </w:rPr>
        <w:t xml:space="preserve"> 甲方办理合同款项支付前，乙方需先向甲方提供</w:t>
      </w:r>
      <w:r>
        <w:rPr>
          <w:rFonts w:hint="eastAsia" w:ascii="宋体" w:hAnsi="宋体" w:eastAsia="宋体" w:cs="仿宋"/>
          <w:szCs w:val="21"/>
          <w:highlight w:val="yellow"/>
        </w:rPr>
        <w:t>全额（等额）</w:t>
      </w:r>
      <w:r>
        <w:rPr>
          <w:rFonts w:hint="eastAsia" w:ascii="宋体" w:hAnsi="宋体" w:eastAsia="宋体" w:cs="仿宋"/>
          <w:szCs w:val="21"/>
        </w:rPr>
        <w:t>真实、合法有效的增值税</w:t>
      </w:r>
      <w:r>
        <w:rPr>
          <w:rFonts w:hint="eastAsia" w:ascii="宋体" w:hAnsi="宋体" w:eastAsia="宋体" w:cs="仿宋"/>
          <w:szCs w:val="21"/>
          <w:highlight w:val="yellow"/>
        </w:rPr>
        <w:t>专用</w:t>
      </w:r>
      <w:r>
        <w:rPr>
          <w:rFonts w:hint="eastAsia" w:ascii="宋体" w:hAnsi="宋体" w:eastAsia="宋体" w:cs="仿宋"/>
          <w:szCs w:val="21"/>
        </w:rPr>
        <w:t>发票。</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验收标准</w:t>
      </w:r>
    </w:p>
    <w:p>
      <w:pPr>
        <w:pStyle w:val="2"/>
        <w:numPr>
          <w:ilvl w:val="0"/>
          <w:numId w:val="45"/>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w:t>
      </w:r>
    </w:p>
    <w:p>
      <w:pPr>
        <w:pStyle w:val="2"/>
        <w:numPr>
          <w:ilvl w:val="0"/>
          <w:numId w:val="45"/>
        </w:numPr>
        <w:spacing w:after="0" w:line="360" w:lineRule="auto"/>
        <w:ind w:left="0" w:firstLine="402" w:firstLineChars="200"/>
        <w:rPr>
          <w:rFonts w:ascii="宋体" w:hAnsi="宋体" w:cs="宋体"/>
          <w:sz w:val="21"/>
          <w:szCs w:val="21"/>
          <w:highlight w:val="yellow"/>
        </w:rPr>
      </w:pPr>
      <w:r>
        <w:rPr>
          <w:rFonts w:hint="eastAsia" w:ascii="宋体" w:hAnsi="宋体" w:cs="仿宋"/>
          <w:b/>
          <w:bCs/>
          <w:sz w:val="21"/>
          <w:szCs w:val="21"/>
        </w:rPr>
        <w:t>.</w:t>
      </w:r>
      <w:r>
        <w:rPr>
          <w:rFonts w:hint="eastAsia" w:ascii="宋体" w:hAnsi="宋体" w:cs="宋体"/>
          <w:sz w:val="21"/>
          <w:szCs w:val="21"/>
          <w:highlight w:val="yellow"/>
        </w:rPr>
        <w:t>.....</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双方权利与义务</w:t>
      </w:r>
    </w:p>
    <w:p>
      <w:pPr>
        <w:pStyle w:val="2"/>
        <w:numPr>
          <w:ilvl w:val="0"/>
          <w:numId w:val="46"/>
        </w:numPr>
        <w:spacing w:after="0" w:line="360" w:lineRule="auto"/>
        <w:ind w:left="0" w:firstLine="400" w:firstLineChars="200"/>
        <w:rPr>
          <w:rFonts w:ascii="宋体" w:hAnsi="宋体" w:cs="仿宋"/>
          <w:sz w:val="21"/>
          <w:szCs w:val="21"/>
        </w:rPr>
      </w:pPr>
      <w:r>
        <w:rPr>
          <w:rFonts w:hint="eastAsia" w:ascii="宋体" w:hAnsi="宋体" w:cs="仿宋"/>
          <w:sz w:val="21"/>
          <w:szCs w:val="21"/>
        </w:rPr>
        <w:t>甲方权利与义务</w:t>
      </w:r>
    </w:p>
    <w:p>
      <w:pPr>
        <w:pStyle w:val="2"/>
        <w:numPr>
          <w:ilvl w:val="0"/>
          <w:numId w:val="47"/>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47"/>
        </w:numPr>
        <w:spacing w:after="0" w:line="360" w:lineRule="auto"/>
        <w:ind w:left="0" w:firstLine="400" w:firstLineChars="200"/>
        <w:rPr>
          <w:rFonts w:ascii="宋体" w:hAnsi="宋体" w:cs="宋体"/>
          <w:sz w:val="21"/>
          <w:szCs w:val="21"/>
          <w:highlight w:val="yellow"/>
        </w:rPr>
      </w:pPr>
      <w:r>
        <w:rPr>
          <w:rFonts w:hint="eastAsia" w:ascii="宋体" w:hAnsi="宋体" w:cs="宋体"/>
          <w:sz w:val="21"/>
          <w:szCs w:val="21"/>
          <w:highlight w:val="yellow"/>
        </w:rPr>
        <w:t>......</w:t>
      </w:r>
    </w:p>
    <w:p>
      <w:pPr>
        <w:pStyle w:val="2"/>
        <w:numPr>
          <w:ilvl w:val="0"/>
          <w:numId w:val="46"/>
        </w:numPr>
        <w:spacing w:after="0" w:line="360" w:lineRule="auto"/>
        <w:ind w:left="0" w:firstLine="400" w:firstLineChars="200"/>
        <w:rPr>
          <w:rFonts w:ascii="宋体" w:hAnsi="宋体" w:cs="仿宋"/>
          <w:sz w:val="21"/>
          <w:szCs w:val="21"/>
        </w:rPr>
      </w:pPr>
      <w:r>
        <w:rPr>
          <w:rFonts w:hint="eastAsia" w:ascii="宋体" w:hAnsi="宋体" w:cs="仿宋"/>
          <w:sz w:val="21"/>
          <w:szCs w:val="21"/>
        </w:rPr>
        <w:t>乙方权利与义务</w:t>
      </w:r>
    </w:p>
    <w:p>
      <w:pPr>
        <w:pStyle w:val="2"/>
        <w:numPr>
          <w:ilvl w:val="0"/>
          <w:numId w:val="4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48"/>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处罚标准</w:t>
      </w:r>
      <w:r>
        <w:rPr>
          <w:rFonts w:hint="eastAsia" w:ascii="宋体" w:hAnsi="宋体" w:cs="仿宋"/>
          <w:b/>
          <w:bCs/>
          <w:sz w:val="21"/>
          <w:szCs w:val="21"/>
          <w:highlight w:val="yellow"/>
        </w:rPr>
        <w:t>（如有）</w:t>
      </w:r>
    </w:p>
    <w:p>
      <w:pPr>
        <w:pStyle w:val="2"/>
        <w:numPr>
          <w:ilvl w:val="0"/>
          <w:numId w:val="49"/>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49"/>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知识产权归属</w:t>
      </w:r>
      <w:r>
        <w:rPr>
          <w:rFonts w:hint="eastAsia" w:ascii="宋体" w:hAnsi="宋体" w:cs="仿宋"/>
          <w:b/>
          <w:bCs/>
          <w:sz w:val="21"/>
          <w:szCs w:val="21"/>
          <w:highlight w:val="yellow"/>
        </w:rPr>
        <w:t>（如有）</w:t>
      </w:r>
    </w:p>
    <w:p>
      <w:pPr>
        <w:pStyle w:val="2"/>
        <w:numPr>
          <w:ilvl w:val="0"/>
          <w:numId w:val="50"/>
        </w:numPr>
        <w:spacing w:after="0" w:line="360" w:lineRule="auto"/>
        <w:ind w:left="0" w:firstLine="400" w:firstLineChars="200"/>
        <w:rPr>
          <w:rFonts w:ascii="宋体" w:hAnsi="宋体" w:cs="仿宋"/>
          <w:sz w:val="21"/>
          <w:szCs w:val="21"/>
        </w:rPr>
      </w:pPr>
      <w:r>
        <w:rPr>
          <w:rFonts w:hint="eastAsia" w:ascii="宋体" w:hAnsi="宋体" w:cs="宋体"/>
          <w:sz w:val="21"/>
          <w:szCs w:val="21"/>
          <w:highlight w:val="yellow"/>
        </w:rPr>
        <w:t>XXXXXXXXXXXXXXXXXXXXXXXXXX</w:t>
      </w:r>
    </w:p>
    <w:p>
      <w:pPr>
        <w:pStyle w:val="2"/>
        <w:numPr>
          <w:ilvl w:val="0"/>
          <w:numId w:val="50"/>
        </w:numPr>
        <w:spacing w:after="0" w:line="360" w:lineRule="auto"/>
        <w:ind w:left="0" w:firstLine="400" w:firstLineChars="200"/>
        <w:rPr>
          <w:rFonts w:ascii="宋体" w:hAnsi="宋体" w:cs="仿宋"/>
          <w:b/>
          <w:bCs/>
          <w:sz w:val="21"/>
          <w:szCs w:val="21"/>
        </w:rPr>
      </w:pPr>
      <w:r>
        <w:rPr>
          <w:rFonts w:hint="eastAsia" w:ascii="宋体" w:hAnsi="宋体" w:cs="宋体"/>
          <w:sz w:val="21"/>
          <w:szCs w:val="21"/>
          <w:highlight w:val="yellow"/>
        </w:rPr>
        <w:t>......</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违约责任</w:t>
      </w:r>
    </w:p>
    <w:p>
      <w:pPr>
        <w:numPr>
          <w:ilvl w:val="0"/>
          <w:numId w:val="51"/>
        </w:numPr>
        <w:snapToGrid w:val="0"/>
        <w:spacing w:line="360" w:lineRule="auto"/>
        <w:ind w:firstLine="420" w:firstLineChars="200"/>
        <w:rPr>
          <w:rFonts w:ascii="宋体" w:hAnsi="宋体" w:cs="仿宋"/>
          <w:szCs w:val="21"/>
        </w:rPr>
      </w:pPr>
      <w:r>
        <w:rPr>
          <w:rFonts w:hint="eastAsia" w:ascii="宋体" w:hAnsi="宋体" w:cs="仿宋"/>
          <w:szCs w:val="21"/>
        </w:rPr>
        <w:t>甲乙双方任何一方违反约定事项造成对方实际损失的，应在15天内向对方支付年度合同金额</w:t>
      </w:r>
      <w:r>
        <w:rPr>
          <w:rFonts w:hint="eastAsia" w:ascii="宋体" w:hAnsi="宋体" w:cs="仿宋"/>
          <w:szCs w:val="21"/>
          <w:highlight w:val="yellow"/>
        </w:rPr>
        <w:t>XX%</w:t>
      </w:r>
      <w:r>
        <w:rPr>
          <w:rFonts w:hint="eastAsia" w:ascii="宋体" w:hAnsi="宋体" w:cs="仿宋"/>
          <w:szCs w:val="21"/>
        </w:rPr>
        <w:t>的赔偿金和违约金。</w:t>
      </w:r>
    </w:p>
    <w:p>
      <w:pPr>
        <w:numPr>
          <w:ilvl w:val="0"/>
          <w:numId w:val="51"/>
        </w:numPr>
        <w:snapToGrid w:val="0"/>
        <w:spacing w:line="360" w:lineRule="auto"/>
        <w:ind w:firstLine="420" w:firstLineChars="200"/>
        <w:rPr>
          <w:rFonts w:ascii="宋体" w:hAnsi="宋体" w:cs="仿宋"/>
          <w:szCs w:val="21"/>
        </w:rPr>
      </w:pPr>
      <w:r>
        <w:rPr>
          <w:rFonts w:hint="eastAsia" w:ascii="宋体" w:hAnsi="宋体" w:cs="仿宋"/>
          <w:szCs w:val="21"/>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合同变更、终止</w:t>
      </w:r>
    </w:p>
    <w:p>
      <w:pPr>
        <w:numPr>
          <w:ilvl w:val="0"/>
          <w:numId w:val="52"/>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52"/>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52"/>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22"/>
        <w:numPr>
          <w:ilvl w:val="0"/>
          <w:numId w:val="53"/>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22"/>
        <w:numPr>
          <w:ilvl w:val="0"/>
          <w:numId w:val="53"/>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37"/>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54"/>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54"/>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34"/>
        <w:numPr>
          <w:ilvl w:val="0"/>
          <w:numId w:val="54"/>
        </w:numPr>
        <w:spacing w:line="360" w:lineRule="auto"/>
        <w:rPr>
          <w:rFonts w:ascii="宋体" w:hAnsi="宋体" w:eastAsia="宋体" w:cs="仿宋"/>
          <w:szCs w:val="21"/>
        </w:rPr>
      </w:pPr>
      <w:bookmarkStart w:id="66"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66"/>
    </w:p>
    <w:p>
      <w:pPr>
        <w:numPr>
          <w:ilvl w:val="0"/>
          <w:numId w:val="54"/>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54"/>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ascii="宋体" w:hAnsi="宋体" w:cs="仿宋"/>
          <w:b/>
          <w:bCs/>
          <w:szCs w:val="21"/>
        </w:rPr>
      </w:pPr>
      <w:r>
        <w:rPr>
          <w:rFonts w:hint="eastAsia" w:ascii="宋体" w:hAnsi="宋体" w:cs="仿宋"/>
          <w:b/>
          <w:bCs/>
          <w:szCs w:val="21"/>
        </w:rPr>
        <w:t xml:space="preserve">日期：      年   月   日       </w:t>
      </w:r>
      <w:r>
        <w:rPr>
          <w:rFonts w:ascii="宋体" w:hAnsi="宋体" w:cs="仿宋"/>
          <w:b/>
          <w:bCs/>
          <w:szCs w:val="21"/>
        </w:rPr>
        <w:br w:type="page"/>
      </w:r>
    </w:p>
    <w:p>
      <w:pPr>
        <w:spacing w:before="312" w:beforeLines="100" w:after="312" w:afterLines="100" w:line="360" w:lineRule="auto"/>
        <w:jc w:val="center"/>
        <w:outlineLvl w:val="0"/>
        <w:rPr>
          <w:rFonts w:ascii="仿宋" w:hAnsi="仿宋" w:eastAsia="仿宋"/>
          <w:sz w:val="32"/>
          <w:szCs w:val="32"/>
        </w:rPr>
      </w:pPr>
      <w:bookmarkStart w:id="67" w:name="_Toc21224"/>
      <w:r>
        <w:rPr>
          <w:rFonts w:hint="eastAsia"/>
          <w:b/>
          <w:sz w:val="32"/>
          <w:szCs w:val="32"/>
        </w:rPr>
        <w:t>第</w:t>
      </w:r>
      <w:r>
        <w:rPr>
          <w:rFonts w:hint="eastAsia"/>
          <w:b/>
          <w:sz w:val="32"/>
          <w:szCs w:val="32"/>
          <w:lang w:val="en-US" w:eastAsia="zh-CN"/>
        </w:rPr>
        <w:t>六</w:t>
      </w:r>
      <w:r>
        <w:rPr>
          <w:rFonts w:hint="eastAsia"/>
          <w:b/>
          <w:sz w:val="32"/>
          <w:szCs w:val="32"/>
        </w:rPr>
        <w:t>部分：参考附件</w:t>
      </w:r>
      <w:bookmarkEnd w:id="67"/>
    </w:p>
    <w:p>
      <w:pPr>
        <w:spacing w:line="0" w:lineRule="atLeast"/>
        <w:outlineLvl w:val="1"/>
        <w:rPr>
          <w:rFonts w:ascii="宋体" w:hAnsi="宋体"/>
        </w:rPr>
      </w:pPr>
      <w:bookmarkStart w:id="68" w:name="_Toc29462"/>
      <w:r>
        <w:rPr>
          <w:rFonts w:hint="eastAsia" w:ascii="宋体" w:hAnsi="宋体"/>
          <w:szCs w:val="21"/>
        </w:rPr>
        <w:t>附件1：</w:t>
      </w:r>
      <w:r>
        <w:rPr>
          <w:rFonts w:hint="eastAsia" w:ascii="宋体" w:hAnsi="宋体"/>
        </w:rPr>
        <w:t>报名回函</w:t>
      </w:r>
      <w:bookmarkEnd w:id="68"/>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b/>
          <w:sz w:val="21"/>
          <w:szCs w:val="21"/>
        </w:rPr>
      </w:pPr>
    </w:p>
    <w:p>
      <w:pPr>
        <w:pStyle w:val="6"/>
        <w:rPr>
          <w:rFonts w:ascii="宋体" w:hAnsi="宋体"/>
          <w:b/>
          <w:sz w:val="21"/>
          <w:szCs w:val="21"/>
        </w:rPr>
      </w:pPr>
    </w:p>
    <w:p>
      <w:pPr>
        <w:pStyle w:val="6"/>
        <w:rPr>
          <w:rFonts w:ascii="宋体" w:hAnsi="宋体"/>
          <w:b/>
          <w:sz w:val="21"/>
          <w:szCs w:val="21"/>
        </w:rPr>
      </w:pPr>
      <w:r>
        <w:rPr>
          <w:rFonts w:hint="eastAsia" w:ascii="宋体" w:hAnsi="宋体"/>
          <w:b/>
          <w:sz w:val="21"/>
          <w:szCs w:val="21"/>
        </w:rPr>
        <w:t>注：1.本件电子档及盖章后的扫描件按要求上传至指定地址；</w:t>
      </w:r>
    </w:p>
    <w:p>
      <w:pPr>
        <w:pStyle w:val="6"/>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6"/>
        <w:rPr>
          <w:b/>
          <w:sz w:val="21"/>
          <w:szCs w:val="21"/>
        </w:rPr>
      </w:pPr>
    </w:p>
    <w:p>
      <w:pPr>
        <w:widowControl/>
        <w:jc w:val="left"/>
        <w:rPr>
          <w:b/>
          <w:szCs w:val="21"/>
        </w:rPr>
      </w:pPr>
      <w:r>
        <w:rPr>
          <w:b/>
          <w:szCs w:val="21"/>
        </w:rPr>
        <w:br w:type="page"/>
      </w:r>
    </w:p>
    <w:p>
      <w:pPr>
        <w:pStyle w:val="6"/>
        <w:rPr>
          <w:b/>
          <w:sz w:val="21"/>
          <w:szCs w:val="21"/>
        </w:rPr>
      </w:pPr>
    </w:p>
    <w:p>
      <w:pPr>
        <w:spacing w:line="0" w:lineRule="atLeast"/>
        <w:outlineLvl w:val="1"/>
        <w:rPr>
          <w:rFonts w:ascii="宋体" w:hAnsi="宋体"/>
          <w:szCs w:val="21"/>
        </w:rPr>
      </w:pPr>
      <w:bookmarkStart w:id="69" w:name="_Toc781"/>
      <w:r>
        <w:rPr>
          <w:rFonts w:hint="eastAsia" w:ascii="宋体" w:hAnsi="宋体"/>
          <w:szCs w:val="21"/>
        </w:rPr>
        <w:t>附件2：投标函</w:t>
      </w:r>
      <w:bookmarkEnd w:id="69"/>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70" w:name="_Toc10511"/>
      <w:r>
        <w:rPr>
          <w:rFonts w:hint="eastAsia" w:ascii="宋体" w:hAnsi="宋体"/>
          <w:szCs w:val="21"/>
        </w:rPr>
        <w:t>附件3：投标一览表</w:t>
      </w:r>
      <w:bookmarkEnd w:id="70"/>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71"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5"/>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71"/>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72" w:name="_Toc32518"/>
      <w:r>
        <w:rPr>
          <w:rFonts w:hint="eastAsia" w:ascii="宋体" w:hAnsi="宋体"/>
          <w:szCs w:val="21"/>
        </w:rPr>
        <w:t>附件4：考察证明</w:t>
      </w:r>
      <w:bookmarkEnd w:id="72"/>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73"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74"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74"/>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73"/>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75" w:name="_Toc2076"/>
      <w:r>
        <w:rPr>
          <w:rFonts w:hint="eastAsia" w:ascii="宋体" w:hAnsi="宋体"/>
          <w:szCs w:val="21"/>
        </w:rPr>
        <w:t>附件5：技术服务响应/偏离表</w:t>
      </w:r>
      <w:bookmarkEnd w:id="7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6" w:name="_Toc211248418"/>
      <w:r>
        <w:rPr>
          <w:rFonts w:hint="eastAsia" w:ascii="方正小标宋_GBK" w:hAnsi="方正小标宋_GBK" w:eastAsia="方正小标宋_GBK"/>
          <w:b/>
          <w:sz w:val="32"/>
          <w:szCs w:val="32"/>
        </w:rPr>
        <w:t>技术服务响应/偏离表</w:t>
      </w:r>
      <w:bookmarkEnd w:id="76"/>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4"/>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5"/>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7" w:name="_Hlk127434997"/>
      <w:bookmarkStart w:id="78" w:name="_Toc211243320"/>
      <w:r>
        <w:rPr>
          <w:rFonts w:hint="eastAsia" w:ascii="仿宋" w:hAnsi="仿宋" w:eastAsia="仿宋"/>
          <w:sz w:val="30"/>
          <w:szCs w:val="30"/>
        </w:rPr>
        <w:t>法定代表人或其授权委托人（签字或盖章）：</w:t>
      </w:r>
      <w:bookmarkEnd w:id="77"/>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8"/>
      <w:bookmarkStart w:id="79" w:name="_Toc236803114"/>
      <w:bookmarkStart w:id="80" w:name="_Toc246480945"/>
      <w:r>
        <w:rPr>
          <w:rFonts w:ascii="仿宋" w:hAnsi="仿宋" w:eastAsia="仿宋"/>
          <w:sz w:val="28"/>
          <w:szCs w:val="28"/>
        </w:rPr>
        <w:br w:type="page"/>
      </w:r>
    </w:p>
    <w:p>
      <w:pPr>
        <w:spacing w:line="0" w:lineRule="atLeast"/>
        <w:outlineLvl w:val="1"/>
        <w:rPr>
          <w:rFonts w:ascii="宋体" w:hAnsi="宋体"/>
          <w:szCs w:val="21"/>
        </w:rPr>
      </w:pPr>
      <w:bookmarkStart w:id="81" w:name="_Toc25368"/>
      <w:r>
        <w:rPr>
          <w:rFonts w:hint="eastAsia" w:ascii="宋体" w:hAnsi="宋体"/>
          <w:szCs w:val="21"/>
        </w:rPr>
        <w:t>附件6：商务条款响应/偏离表</w:t>
      </w:r>
      <w:bookmarkEnd w:id="79"/>
      <w:bookmarkEnd w:id="80"/>
      <w:bookmarkEnd w:id="81"/>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82" w:name="_Toc211248420"/>
      <w:r>
        <w:rPr>
          <w:rFonts w:hint="eastAsia" w:ascii="方正小标宋_GBK" w:hAnsi="方正小标宋_GBK" w:eastAsia="方正小标宋_GBK"/>
          <w:b/>
          <w:sz w:val="32"/>
          <w:szCs w:val="32"/>
        </w:rPr>
        <w:t>商务条款响应/偏离表</w:t>
      </w:r>
      <w:bookmarkEnd w:id="82"/>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4"/>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56"/>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83" w:name="_Toc236803111"/>
      <w:bookmarkStart w:id="84" w:name="_Toc395883088"/>
      <w:bookmarkStart w:id="85" w:name="_Toc478387764"/>
      <w:r>
        <w:rPr>
          <w:rFonts w:ascii="仿宋" w:hAnsi="仿宋" w:eastAsia="仿宋"/>
          <w:sz w:val="28"/>
          <w:szCs w:val="28"/>
        </w:rPr>
        <w:br w:type="page"/>
      </w:r>
    </w:p>
    <w:p>
      <w:pPr>
        <w:spacing w:line="0" w:lineRule="atLeast"/>
        <w:outlineLvl w:val="1"/>
        <w:rPr>
          <w:rFonts w:ascii="宋体" w:hAnsi="宋体"/>
          <w:szCs w:val="21"/>
        </w:rPr>
      </w:pPr>
      <w:bookmarkStart w:id="86" w:name="_Toc27104"/>
      <w:r>
        <w:rPr>
          <w:rFonts w:hint="eastAsia" w:ascii="宋体" w:hAnsi="宋体"/>
          <w:szCs w:val="21"/>
        </w:rPr>
        <w:t>附件7：报价一览表（货物）</w:t>
      </w:r>
      <w:r>
        <w:rPr>
          <w:rFonts w:hint="eastAsia" w:ascii="宋体" w:hAnsi="宋体"/>
          <w:color w:val="FF0000"/>
          <w:szCs w:val="21"/>
        </w:rPr>
        <w:t>（本项目不适用）</w:t>
      </w:r>
      <w:bookmarkEnd w:id="86"/>
    </w:p>
    <w:bookmarkEnd w:id="83"/>
    <w:bookmarkEnd w:id="84"/>
    <w:bookmarkEnd w:id="85"/>
    <w:p>
      <w:pPr>
        <w:spacing w:before="120" w:after="240"/>
        <w:jc w:val="center"/>
        <w:rPr>
          <w:rFonts w:ascii="宋体" w:hAnsi="宋体"/>
          <w:b/>
          <w:sz w:val="32"/>
          <w:szCs w:val="32"/>
        </w:rPr>
      </w:pPr>
      <w:bookmarkStart w:id="87" w:name="_Toc211248412"/>
      <w:r>
        <w:rPr>
          <w:rFonts w:hint="eastAsia" w:ascii="方正小标宋_GBK" w:hAnsi="方正小标宋_GBK" w:eastAsia="方正小标宋_GBK"/>
          <w:b/>
          <w:sz w:val="32"/>
          <w:szCs w:val="32"/>
        </w:rPr>
        <w:t>报价一览表</w:t>
      </w:r>
      <w:bookmarkEnd w:id="87"/>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57"/>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57"/>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5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57"/>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8" w:name="_Toc82095917"/>
      <w:bookmarkStart w:id="89"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88"/>
    <w:bookmarkEnd w:id="89"/>
    <w:p>
      <w:pPr>
        <w:spacing w:line="0" w:lineRule="atLeast"/>
        <w:outlineLvl w:val="1"/>
        <w:rPr>
          <w:rFonts w:ascii="宋体" w:hAnsi="宋体"/>
          <w:szCs w:val="21"/>
        </w:rPr>
      </w:pPr>
      <w:bookmarkStart w:id="90" w:name="_Toc24322"/>
      <w:r>
        <w:rPr>
          <w:rFonts w:hint="eastAsia" w:ascii="宋体" w:hAnsi="宋体"/>
          <w:szCs w:val="21"/>
        </w:rPr>
        <w:t>附件8：报价一览表（服务）</w:t>
      </w:r>
      <w:bookmarkEnd w:id="90"/>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4"/>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2"/>
        <w:numPr>
          <w:ilvl w:val="1"/>
          <w:numId w:val="58"/>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2"/>
        <w:numPr>
          <w:ilvl w:val="1"/>
          <w:numId w:val="58"/>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2"/>
        <w:numPr>
          <w:ilvl w:val="1"/>
          <w:numId w:val="58"/>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91" w:name="_Toc12572"/>
      <w:r>
        <w:rPr>
          <w:rFonts w:hint="eastAsia" w:ascii="宋体" w:hAnsi="宋体"/>
          <w:szCs w:val="21"/>
        </w:rPr>
        <w:t>附件9：报价一览表（工程）</w:t>
      </w:r>
      <w:r>
        <w:rPr>
          <w:rFonts w:hint="eastAsia" w:ascii="宋体" w:hAnsi="宋体"/>
          <w:color w:val="FF0000"/>
          <w:szCs w:val="21"/>
        </w:rPr>
        <w:t>（本项目不适用）</w:t>
      </w:r>
      <w:bookmarkEnd w:id="91"/>
    </w:p>
    <w:p>
      <w:pPr>
        <w:spacing w:line="0" w:lineRule="atLeast"/>
        <w:outlineLvl w:val="1"/>
        <w:rPr>
          <w:rFonts w:ascii="宋体" w:hAnsi="宋体"/>
          <w:szCs w:val="21"/>
        </w:rPr>
      </w:pP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59"/>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59"/>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59"/>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59"/>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92" w:name="_Toc31870"/>
      <w:r>
        <w:rPr>
          <w:rFonts w:hint="eastAsia" w:ascii="宋体" w:hAnsi="宋体"/>
          <w:szCs w:val="21"/>
        </w:rPr>
        <w:t>附件10：法定代表人证明书</w:t>
      </w:r>
      <w:bookmarkEnd w:id="92"/>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2"/>
        <w:numPr>
          <w:ilvl w:val="1"/>
          <w:numId w:val="60"/>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2"/>
        <w:numPr>
          <w:ilvl w:val="1"/>
          <w:numId w:val="60"/>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2"/>
        <w:numPr>
          <w:ilvl w:val="1"/>
          <w:numId w:val="60"/>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93" w:name="_Toc479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93"/>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2"/>
        <w:numPr>
          <w:ilvl w:val="1"/>
          <w:numId w:val="61"/>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2"/>
        <w:numPr>
          <w:ilvl w:val="1"/>
          <w:numId w:val="61"/>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2"/>
        <w:numPr>
          <w:ilvl w:val="1"/>
          <w:numId w:val="61"/>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0pt;margin-top:16.7pt;height:126.75pt;width:201.25pt;z-index:251662336;mso-width-relative:page;mso-height-relative:page;" fillcolor="#FFFFFF" filled="t" stroked="t" coordsize="21600,21600" o:gfxdata="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y2XA1wAAAAcBAAAPAAAAAAAAAAEAIAAAACIAAABkcnMvZG93bnJl&#10;di54bWxQSwECFAAUAAAACACHTuJA+IU3BTcCAACQBAAADgAAAAAAAAABACAAAAAmAQAAZHJzL2Uy&#10;b0RvYy54bWxQSwUGAAAAAAYABgBZAQAAzwU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20.5pt;margin-top:16.65pt;height:126.75pt;width:198.25pt;z-index:251661312;mso-width-relative:page;mso-height-relative:page;" fillcolor="#FFFFFF" filled="t" stroked="t" coordsize="21600,21600" o:gfxdata="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NSa0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94" w:name="_Toc28325"/>
      <w:r>
        <w:rPr>
          <w:rFonts w:hint="eastAsia" w:ascii="宋体" w:hAnsi="宋体"/>
          <w:szCs w:val="21"/>
        </w:rPr>
        <w:t>附件</w:t>
      </w:r>
      <w:r>
        <w:rPr>
          <w:rFonts w:ascii="宋体" w:hAnsi="宋体"/>
          <w:szCs w:val="21"/>
        </w:rPr>
        <w:t>1</w:t>
      </w:r>
      <w:r>
        <w:rPr>
          <w:rFonts w:hint="eastAsia" w:ascii="宋体" w:hAnsi="宋体"/>
          <w:szCs w:val="21"/>
        </w:rPr>
        <w:t>2：经营业绩一览表</w:t>
      </w:r>
      <w:bookmarkEnd w:id="94"/>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4"/>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2"/>
        <w:numPr>
          <w:ilvl w:val="1"/>
          <w:numId w:val="62"/>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2"/>
        <w:numPr>
          <w:ilvl w:val="1"/>
          <w:numId w:val="62"/>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2"/>
        <w:numPr>
          <w:ilvl w:val="1"/>
          <w:numId w:val="62"/>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2"/>
        <w:numPr>
          <w:ilvl w:val="1"/>
          <w:numId w:val="62"/>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95" w:name="_Toc10246"/>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95"/>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6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6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6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6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6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63"/>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6" w:name="_Toc32341"/>
      <w:r>
        <w:rPr>
          <w:rFonts w:ascii="仿宋" w:hAnsi="仿宋" w:eastAsia="仿宋"/>
          <w:sz w:val="28"/>
          <w:szCs w:val="28"/>
        </w:rPr>
        <w:br w:type="page"/>
      </w:r>
    </w:p>
    <w:p>
      <w:pPr>
        <w:spacing w:line="0" w:lineRule="atLeast"/>
        <w:outlineLvl w:val="1"/>
        <w:rPr>
          <w:rFonts w:ascii="宋体" w:hAnsi="宋体"/>
          <w:szCs w:val="21"/>
        </w:rPr>
      </w:pPr>
      <w:bookmarkStart w:id="97" w:name="_Toc22917"/>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6"/>
      <w:bookmarkEnd w:id="97"/>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6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6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64"/>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98" w:name="_Toc100848654"/>
      <w:bookmarkStart w:id="99" w:name="_Toc7316"/>
      <w:r>
        <w:rPr>
          <w:rFonts w:hint="eastAsia" w:ascii="宋体" w:hAnsi="宋体"/>
        </w:rPr>
        <w:t>附件15：投标文件密码</w:t>
      </w:r>
      <w:bookmarkEnd w:id="98"/>
      <w:r>
        <w:rPr>
          <w:rFonts w:hint="eastAsia" w:ascii="宋体" w:hAnsi="宋体"/>
        </w:rPr>
        <w:t>单</w:t>
      </w:r>
      <w:bookmarkEnd w:id="99"/>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100"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100"/>
    </w:p>
    <w:p>
      <w:pPr>
        <w:jc w:val="center"/>
        <w:rPr>
          <w:rFonts w:ascii="宋体" w:hAnsi="宋体"/>
          <w:b/>
          <w:sz w:val="32"/>
          <w:szCs w:val="32"/>
        </w:rPr>
      </w:pPr>
      <w:r>
        <w:rPr>
          <w:rFonts w:hint="eastAsia" w:ascii="宋体" w:hAnsi="宋体"/>
          <w:b/>
          <w:sz w:val="32"/>
          <w:szCs w:val="32"/>
        </w:rPr>
        <w:t>投标文件密码单</w:t>
      </w:r>
    </w:p>
    <w:p>
      <w:pPr>
        <w:pStyle w:val="11"/>
        <w:rPr>
          <w:rFonts w:ascii="仿宋" w:hAnsi="仿宋" w:eastAsia="仿宋"/>
          <w:b/>
          <w:sz w:val="28"/>
          <w:szCs w:val="28"/>
        </w:rPr>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8"/>
          <w:szCs w:val="28"/>
        </w:rPr>
      </w:pPr>
    </w:p>
    <w:p>
      <w:pPr>
        <w:pStyle w:val="11"/>
        <w:rPr>
          <w:rFonts w:ascii="仿宋" w:hAnsi="仿宋" w:eastAsia="仿宋"/>
          <w:b/>
          <w:color w:val="FF0000"/>
          <w:sz w:val="28"/>
          <w:szCs w:val="28"/>
        </w:rPr>
      </w:pPr>
      <w:r>
        <w:rPr>
          <w:rFonts w:hint="eastAsia" w:ascii="仿宋" w:hAnsi="仿宋" w:eastAsia="仿宋"/>
          <w:b/>
          <w:color w:val="FF0000"/>
          <w:sz w:val="28"/>
          <w:szCs w:val="28"/>
        </w:rPr>
        <w:t>【特别注意】</w:t>
      </w:r>
    </w:p>
    <w:p>
      <w:pPr>
        <w:pStyle w:val="11"/>
        <w:numPr>
          <w:ilvl w:val="0"/>
          <w:numId w:val="65"/>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1"/>
        <w:numPr>
          <w:ilvl w:val="0"/>
          <w:numId w:val="65"/>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1"/>
      </w:pPr>
    </w:p>
    <w:p>
      <w:pPr>
        <w:pStyle w:val="11"/>
      </w:pPr>
    </w:p>
    <w:p>
      <w:pPr>
        <w:spacing w:line="360" w:lineRule="auto"/>
        <w:jc w:val="left"/>
        <w:rPr>
          <w:rFonts w:ascii="仿宋" w:hAnsi="仿宋" w:eastAsia="仿宋"/>
          <w:sz w:val="28"/>
          <w:szCs w:val="28"/>
        </w:rPr>
      </w:pPr>
      <w:bookmarkStart w:id="101"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bookmarkEnd w:id="101"/>
    </w:p>
    <w:p>
      <w:pPr>
        <w:pStyle w:val="11"/>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7797"/>
        <w:tab w:val="clear" w:pos="8306"/>
      </w:tabs>
      <w:ind w:right="-764" w:rightChars="-364"/>
      <w:jc w:val="right"/>
      <w:rPr>
        <w:rFonts w:ascii="宋体" w:hAnsi="宋体" w:cs="宋体"/>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D194B"/>
    <w:multiLevelType w:val="singleLevel"/>
    <w:tmpl w:val="86FD194B"/>
    <w:lvl w:ilvl="0" w:tentative="0">
      <w:start w:val="1"/>
      <w:numFmt w:val="decimal"/>
      <w:suff w:val="nothing"/>
      <w:lvlText w:val="（%1）"/>
      <w:lvlJc w:val="left"/>
    </w:lvl>
  </w:abstractNum>
  <w:abstractNum w:abstractNumId="1">
    <w:nsid w:val="88BA99F8"/>
    <w:multiLevelType w:val="singleLevel"/>
    <w:tmpl w:val="88BA99F8"/>
    <w:lvl w:ilvl="0" w:tentative="0">
      <w:start w:val="1"/>
      <w:numFmt w:val="chineseCounting"/>
      <w:suff w:val="nothing"/>
      <w:lvlText w:val="（%1）"/>
      <w:lvlJc w:val="left"/>
      <w:rPr>
        <w:rFonts w:hint="eastAsia"/>
      </w:rPr>
    </w:lvl>
  </w:abstractNum>
  <w:abstractNum w:abstractNumId="2">
    <w:nsid w:val="8F33FDD4"/>
    <w:multiLevelType w:val="singleLevel"/>
    <w:tmpl w:val="8F33FDD4"/>
    <w:lvl w:ilvl="0" w:tentative="0">
      <w:start w:val="1"/>
      <w:numFmt w:val="decimal"/>
      <w:suff w:val="space"/>
      <w:lvlText w:val="%1."/>
      <w:lvlJc w:val="left"/>
    </w:lvl>
  </w:abstractNum>
  <w:abstractNum w:abstractNumId="3">
    <w:nsid w:val="912DCF42"/>
    <w:multiLevelType w:val="singleLevel"/>
    <w:tmpl w:val="912DCF42"/>
    <w:lvl w:ilvl="0" w:tentative="0">
      <w:start w:val="1"/>
      <w:numFmt w:val="decimal"/>
      <w:suff w:val="space"/>
      <w:lvlText w:val="%1."/>
      <w:lvlJc w:val="left"/>
      <w:rPr>
        <w:rFonts w:hint="default" w:ascii="宋体" w:hAnsi="宋体" w:eastAsia="宋体" w:cs="宋体"/>
      </w:rPr>
    </w:lvl>
  </w:abstractNum>
  <w:abstractNum w:abstractNumId="4">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5">
    <w:nsid w:val="938C1909"/>
    <w:multiLevelType w:val="singleLevel"/>
    <w:tmpl w:val="938C1909"/>
    <w:lvl w:ilvl="0" w:tentative="0">
      <w:start w:val="1"/>
      <w:numFmt w:val="decimal"/>
      <w:suff w:val="space"/>
      <w:lvlText w:val="%1."/>
      <w:lvlJc w:val="left"/>
    </w:lvl>
  </w:abstractNum>
  <w:abstractNum w:abstractNumId="6">
    <w:nsid w:val="A2281775"/>
    <w:multiLevelType w:val="singleLevel"/>
    <w:tmpl w:val="A2281775"/>
    <w:lvl w:ilvl="0" w:tentative="0">
      <w:start w:val="1"/>
      <w:numFmt w:val="decimal"/>
      <w:suff w:val="space"/>
      <w:lvlText w:val="%1."/>
      <w:lvlJc w:val="left"/>
    </w:lvl>
  </w:abstractNum>
  <w:abstractNum w:abstractNumId="7">
    <w:nsid w:val="AA8348C1"/>
    <w:multiLevelType w:val="singleLevel"/>
    <w:tmpl w:val="AA8348C1"/>
    <w:lvl w:ilvl="0" w:tentative="0">
      <w:start w:val="1"/>
      <w:numFmt w:val="decimal"/>
      <w:lvlText w:val="%1."/>
      <w:lvlJc w:val="left"/>
      <w:pPr>
        <w:ind w:left="425" w:hanging="425"/>
      </w:pPr>
      <w:rPr>
        <w:rFonts w:hint="default"/>
        <w:sz w:val="20"/>
        <w:szCs w:val="20"/>
      </w:rPr>
    </w:lvl>
  </w:abstractNum>
  <w:abstractNum w:abstractNumId="8">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9">
    <w:nsid w:val="CA690857"/>
    <w:multiLevelType w:val="singleLevel"/>
    <w:tmpl w:val="CA690857"/>
    <w:lvl w:ilvl="0" w:tentative="0">
      <w:start w:val="1"/>
      <w:numFmt w:val="decimal"/>
      <w:lvlText w:val="（%1）"/>
      <w:lvlJc w:val="left"/>
      <w:pPr>
        <w:ind w:left="420" w:hanging="420"/>
      </w:pPr>
      <w:rPr>
        <w:rFonts w:hint="eastAsia"/>
      </w:rPr>
    </w:lvl>
  </w:abstractNum>
  <w:abstractNum w:abstractNumId="10">
    <w:nsid w:val="CF7FE85F"/>
    <w:multiLevelType w:val="singleLevel"/>
    <w:tmpl w:val="CF7FE85F"/>
    <w:lvl w:ilvl="0" w:tentative="0">
      <w:start w:val="1"/>
      <w:numFmt w:val="decimal"/>
      <w:lvlText w:val="%1."/>
      <w:lvlJc w:val="left"/>
      <w:pPr>
        <w:ind w:left="425" w:hanging="425"/>
      </w:pPr>
      <w:rPr>
        <w:rFonts w:hint="default"/>
      </w:rPr>
    </w:lvl>
  </w:abstractNum>
  <w:abstractNum w:abstractNumId="11">
    <w:nsid w:val="D3051835"/>
    <w:multiLevelType w:val="singleLevel"/>
    <w:tmpl w:val="D3051835"/>
    <w:lvl w:ilvl="0" w:tentative="0">
      <w:start w:val="1"/>
      <w:numFmt w:val="decimal"/>
      <w:suff w:val="space"/>
      <w:lvlText w:val="%1."/>
      <w:lvlJc w:val="left"/>
    </w:lvl>
  </w:abstractNum>
  <w:abstractNum w:abstractNumId="12">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3">
    <w:nsid w:val="DAA5A57F"/>
    <w:multiLevelType w:val="singleLevel"/>
    <w:tmpl w:val="DAA5A57F"/>
    <w:lvl w:ilvl="0" w:tentative="0">
      <w:start w:val="1"/>
      <w:numFmt w:val="decimal"/>
      <w:suff w:val="space"/>
      <w:lvlText w:val="%1."/>
      <w:lvlJc w:val="left"/>
    </w:lvl>
  </w:abstractNum>
  <w:abstractNum w:abstractNumId="14">
    <w:nsid w:val="DB4D60E3"/>
    <w:multiLevelType w:val="singleLevel"/>
    <w:tmpl w:val="DB4D60E3"/>
    <w:lvl w:ilvl="0" w:tentative="0">
      <w:start w:val="1"/>
      <w:numFmt w:val="decimal"/>
      <w:suff w:val="space"/>
      <w:lvlText w:val="%1."/>
      <w:lvlJc w:val="left"/>
    </w:lvl>
  </w:abstractNum>
  <w:abstractNum w:abstractNumId="15">
    <w:nsid w:val="EA25A8D5"/>
    <w:multiLevelType w:val="multilevel"/>
    <w:tmpl w:val="EA25A8D5"/>
    <w:lvl w:ilvl="0" w:tentative="0">
      <w:start w:val="4"/>
      <w:numFmt w:val="chineseCountingThousand"/>
      <w:lvlText w:val="%1、"/>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Chinese"/>
      <w:suff w:val="nothing"/>
      <w:lvlText w:val="%4"/>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lowerLetter"/>
      <w:suff w:val="nothing"/>
      <w:lvlText w:val="%6．"/>
      <w:lvlJc w:val="left"/>
      <w:pPr>
        <w:ind w:left="0" w:firstLine="0"/>
      </w:pPr>
      <w:rPr>
        <w:rFonts w:hint="eastAsia"/>
      </w:rPr>
    </w:lvl>
    <w:lvl w:ilvl="6" w:tentative="0">
      <w:start w:val="1"/>
      <w:numFmt w:val="lowerLetter"/>
      <w:suff w:val="nothing"/>
      <w:lvlText w:val="%7）"/>
      <w:lvlJc w:val="left"/>
      <w:pPr>
        <w:ind w:left="0" w:firstLine="0"/>
      </w:pPr>
      <w:rPr>
        <w:rFonts w:hint="eastAsia"/>
      </w:rPr>
    </w:lvl>
    <w:lvl w:ilvl="7" w:tentative="0">
      <w:start w:val="1"/>
      <w:numFmt w:val="lowerRoman"/>
      <w:suff w:val="nothing"/>
      <w:lvlText w:val="%8．"/>
      <w:lvlJc w:val="left"/>
      <w:pPr>
        <w:ind w:left="0" w:firstLine="0"/>
      </w:pPr>
      <w:rPr>
        <w:rFonts w:hint="eastAsia"/>
      </w:rPr>
    </w:lvl>
    <w:lvl w:ilvl="8" w:tentative="0">
      <w:start w:val="1"/>
      <w:numFmt w:val="lowerRoman"/>
      <w:suff w:val="nothing"/>
      <w:lvlText w:val="%9）"/>
      <w:lvlJc w:val="left"/>
      <w:pPr>
        <w:ind w:left="0" w:firstLine="0"/>
      </w:pPr>
      <w:rPr>
        <w:rFonts w:hint="eastAsia"/>
      </w:rPr>
    </w:lvl>
  </w:abstractNum>
  <w:abstractNum w:abstractNumId="16">
    <w:nsid w:val="EBB28CBD"/>
    <w:multiLevelType w:val="singleLevel"/>
    <w:tmpl w:val="EBB28CBD"/>
    <w:lvl w:ilvl="0" w:tentative="0">
      <w:start w:val="1"/>
      <w:numFmt w:val="decimal"/>
      <w:suff w:val="space"/>
      <w:lvlText w:val="%1."/>
      <w:lvlJc w:val="left"/>
      <w:pPr>
        <w:ind w:left="520" w:firstLine="0"/>
      </w:pPr>
    </w:lvl>
  </w:abstractNum>
  <w:abstractNum w:abstractNumId="17">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8">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13"/>
    <w:multiLevelType w:val="singleLevel"/>
    <w:tmpl w:val="00000013"/>
    <w:lvl w:ilvl="0" w:tentative="0">
      <w:start w:val="1"/>
      <w:numFmt w:val="decimal"/>
      <w:lvlText w:val="%1."/>
      <w:lvlJc w:val="left"/>
      <w:pPr>
        <w:ind w:left="420" w:hanging="420"/>
      </w:pPr>
    </w:lvl>
  </w:abstractNum>
  <w:abstractNum w:abstractNumId="22">
    <w:nsid w:val="09061D62"/>
    <w:multiLevelType w:val="singleLevel"/>
    <w:tmpl w:val="09061D62"/>
    <w:lvl w:ilvl="0" w:tentative="0">
      <w:start w:val="1"/>
      <w:numFmt w:val="decimal"/>
      <w:lvlText w:val="(%1)"/>
      <w:lvlJc w:val="left"/>
      <w:pPr>
        <w:ind w:left="425" w:hanging="425"/>
      </w:pPr>
      <w:rPr>
        <w:rFonts w:hint="default" w:ascii="宋体" w:hAnsi="宋体" w:eastAsia="宋体" w:cs="宋体"/>
      </w:rPr>
    </w:lvl>
  </w:abstractNum>
  <w:abstractNum w:abstractNumId="23">
    <w:nsid w:val="10646DEC"/>
    <w:multiLevelType w:val="singleLevel"/>
    <w:tmpl w:val="10646DEC"/>
    <w:lvl w:ilvl="0" w:tentative="0">
      <w:start w:val="1"/>
      <w:numFmt w:val="decimal"/>
      <w:lvlText w:val="%1."/>
      <w:lvlJc w:val="left"/>
      <w:pPr>
        <w:ind w:left="425" w:hanging="425"/>
      </w:pPr>
      <w:rPr>
        <w:rFonts w:hint="default"/>
        <w:sz w:val="21"/>
        <w:szCs w:val="21"/>
      </w:rPr>
    </w:lvl>
  </w:abstractNum>
  <w:abstractNum w:abstractNumId="24">
    <w:nsid w:val="11D69C2C"/>
    <w:multiLevelType w:val="singleLevel"/>
    <w:tmpl w:val="11D69C2C"/>
    <w:lvl w:ilvl="0" w:tentative="0">
      <w:start w:val="1"/>
      <w:numFmt w:val="decimal"/>
      <w:suff w:val="space"/>
      <w:lvlText w:val="%1."/>
      <w:lvlJc w:val="left"/>
    </w:lvl>
  </w:abstractNum>
  <w:abstractNum w:abstractNumId="25">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7">
    <w:nsid w:val="19563E06"/>
    <w:multiLevelType w:val="multilevel"/>
    <w:tmpl w:val="19563E06"/>
    <w:lvl w:ilvl="0" w:tentative="0">
      <w:start w:val="3"/>
      <w:numFmt w:val="chineseCountingThousand"/>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1A751F6F"/>
    <w:multiLevelType w:val="singleLevel"/>
    <w:tmpl w:val="1A751F6F"/>
    <w:lvl w:ilvl="0" w:tentative="0">
      <w:start w:val="1"/>
      <w:numFmt w:val="chineseCounting"/>
      <w:lvlText w:val="%1、"/>
      <w:lvlJc w:val="left"/>
      <w:pPr>
        <w:ind w:left="440" w:hanging="440"/>
      </w:pPr>
      <w:rPr>
        <w:rFonts w:hint="eastAsia" w:ascii="宋体" w:hAnsi="宋体" w:eastAsia="宋体" w:cs="仿宋"/>
        <w:b/>
        <w:bCs/>
      </w:rPr>
    </w:lvl>
  </w:abstractNum>
  <w:abstractNum w:abstractNumId="29">
    <w:nsid w:val="20AB9193"/>
    <w:multiLevelType w:val="singleLevel"/>
    <w:tmpl w:val="20AB9193"/>
    <w:lvl w:ilvl="0" w:tentative="0">
      <w:start w:val="1"/>
      <w:numFmt w:val="decimal"/>
      <w:lvlText w:val="%1."/>
      <w:lvlJc w:val="left"/>
      <w:pPr>
        <w:ind w:left="425" w:hanging="425"/>
      </w:pPr>
      <w:rPr>
        <w:rFonts w:hint="default"/>
      </w:rPr>
    </w:lvl>
  </w:abstractNum>
  <w:abstractNum w:abstractNumId="30">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2ED784F"/>
    <w:multiLevelType w:val="singleLevel"/>
    <w:tmpl w:val="22ED784F"/>
    <w:lvl w:ilvl="0" w:tentative="0">
      <w:start w:val="2"/>
      <w:numFmt w:val="decimal"/>
      <w:suff w:val="nothing"/>
      <w:lvlText w:val="（%1）"/>
      <w:lvlJc w:val="left"/>
    </w:lvl>
  </w:abstractNum>
  <w:abstractNum w:abstractNumId="32">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33">
    <w:nsid w:val="24D3FA7F"/>
    <w:multiLevelType w:val="singleLevel"/>
    <w:tmpl w:val="24D3FA7F"/>
    <w:lvl w:ilvl="0" w:tentative="0">
      <w:start w:val="1"/>
      <w:numFmt w:val="decimal"/>
      <w:suff w:val="nothing"/>
      <w:lvlText w:val="（%1）"/>
      <w:lvlJc w:val="left"/>
      <w:rPr>
        <w:rFonts w:hint="default"/>
        <w:b/>
        <w:bCs/>
        <w:sz w:val="21"/>
        <w:szCs w:val="21"/>
      </w:rPr>
    </w:lvl>
  </w:abstractNum>
  <w:abstractNum w:abstractNumId="34">
    <w:nsid w:val="251E48F9"/>
    <w:multiLevelType w:val="singleLevel"/>
    <w:tmpl w:val="251E48F9"/>
    <w:lvl w:ilvl="0" w:tentative="0">
      <w:start w:val="1"/>
      <w:numFmt w:val="decimal"/>
      <w:lvlText w:val="(%1)"/>
      <w:lvlJc w:val="left"/>
      <w:pPr>
        <w:ind w:left="425" w:hanging="425"/>
      </w:pPr>
      <w:rPr>
        <w:rFonts w:hint="default"/>
      </w:rPr>
    </w:lvl>
  </w:abstractNum>
  <w:abstractNum w:abstractNumId="35">
    <w:nsid w:val="26210C53"/>
    <w:multiLevelType w:val="multilevel"/>
    <w:tmpl w:val="26210C53"/>
    <w:lvl w:ilvl="0" w:tentative="0">
      <w:start w:val="1"/>
      <w:numFmt w:val="chineseCountingThousand"/>
      <w:lvlText w:val="%1、"/>
      <w:lvlJc w:val="left"/>
      <w:pPr>
        <w:ind w:left="440" w:hanging="440"/>
      </w:pPr>
      <w:rPr>
        <w:rFonts w:ascii="宋体" w:hAnsi="宋体" w:eastAsia="宋体"/>
        <w:sz w:val="24"/>
        <w:szCs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6">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8E10C89"/>
    <w:multiLevelType w:val="singleLevel"/>
    <w:tmpl w:val="28E10C89"/>
    <w:lvl w:ilvl="0" w:tentative="0">
      <w:start w:val="1"/>
      <w:numFmt w:val="decimal"/>
      <w:suff w:val="space"/>
      <w:lvlText w:val="%1."/>
      <w:lvlJc w:val="left"/>
    </w:lvl>
  </w:abstractNum>
  <w:abstractNum w:abstractNumId="39">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43">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D9BE630"/>
    <w:multiLevelType w:val="singleLevel"/>
    <w:tmpl w:val="3D9BE630"/>
    <w:lvl w:ilvl="0" w:tentative="0">
      <w:start w:val="2"/>
      <w:numFmt w:val="decimal"/>
      <w:suff w:val="nothing"/>
      <w:lvlText w:val="（%1）"/>
      <w:lvlJc w:val="left"/>
      <w:pPr>
        <w:ind w:left="-420"/>
      </w:pPr>
    </w:lvl>
  </w:abstractNum>
  <w:abstractNum w:abstractNumId="46">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47">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8">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49">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51">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52">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6E80D2D"/>
    <w:multiLevelType w:val="singleLevel"/>
    <w:tmpl w:val="56E80D2D"/>
    <w:lvl w:ilvl="0" w:tentative="0">
      <w:start w:val="1"/>
      <w:numFmt w:val="decimal"/>
      <w:suff w:val="nothing"/>
      <w:lvlText w:val="（%1）"/>
      <w:lvlJc w:val="left"/>
      <w:rPr>
        <w:rFonts w:hint="default"/>
        <w:sz w:val="21"/>
        <w:szCs w:val="21"/>
      </w:rPr>
    </w:lvl>
  </w:abstractNum>
  <w:abstractNum w:abstractNumId="54">
    <w:nsid w:val="58153E43"/>
    <w:multiLevelType w:val="singleLevel"/>
    <w:tmpl w:val="58153E43"/>
    <w:lvl w:ilvl="0" w:tentative="0">
      <w:start w:val="1"/>
      <w:numFmt w:val="decimal"/>
      <w:lvlText w:val="%1."/>
      <w:lvlJc w:val="left"/>
      <w:pPr>
        <w:ind w:left="425" w:hanging="425"/>
      </w:pPr>
      <w:rPr>
        <w:rFonts w:hint="default"/>
        <w:b w:val="0"/>
        <w:bCs w:val="0"/>
      </w:rPr>
    </w:lvl>
  </w:abstractNum>
  <w:abstractNum w:abstractNumId="55">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00B5462"/>
    <w:multiLevelType w:val="multilevel"/>
    <w:tmpl w:val="600B5462"/>
    <w:lvl w:ilvl="0" w:tentative="0">
      <w:start w:val="1"/>
      <w:numFmt w:val="chineseCountingThousand"/>
      <w:lvlText w:val="%1、"/>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Chinese"/>
      <w:suff w:val="nothing"/>
      <w:lvlText w:val="%4"/>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lowerLetter"/>
      <w:suff w:val="nothing"/>
      <w:lvlText w:val="%6．"/>
      <w:lvlJc w:val="left"/>
      <w:pPr>
        <w:ind w:left="0" w:firstLine="0"/>
      </w:pPr>
      <w:rPr>
        <w:rFonts w:hint="eastAsia"/>
      </w:rPr>
    </w:lvl>
    <w:lvl w:ilvl="6" w:tentative="0">
      <w:start w:val="1"/>
      <w:numFmt w:val="lowerLetter"/>
      <w:suff w:val="nothing"/>
      <w:lvlText w:val="%7）"/>
      <w:lvlJc w:val="left"/>
      <w:pPr>
        <w:ind w:left="0" w:firstLine="0"/>
      </w:pPr>
      <w:rPr>
        <w:rFonts w:hint="eastAsia"/>
      </w:rPr>
    </w:lvl>
    <w:lvl w:ilvl="7" w:tentative="0">
      <w:start w:val="1"/>
      <w:numFmt w:val="lowerRoman"/>
      <w:suff w:val="nothing"/>
      <w:lvlText w:val="%8．"/>
      <w:lvlJc w:val="left"/>
      <w:pPr>
        <w:ind w:left="0" w:firstLine="0"/>
      </w:pPr>
      <w:rPr>
        <w:rFonts w:hint="eastAsia"/>
      </w:rPr>
    </w:lvl>
    <w:lvl w:ilvl="8" w:tentative="0">
      <w:start w:val="1"/>
      <w:numFmt w:val="lowerRoman"/>
      <w:suff w:val="nothing"/>
      <w:lvlText w:val="%9）"/>
      <w:lvlJc w:val="left"/>
      <w:pPr>
        <w:ind w:left="0" w:firstLine="0"/>
      </w:pPr>
      <w:rPr>
        <w:rFonts w:hint="eastAsia"/>
      </w:rPr>
    </w:lvl>
  </w:abstractNum>
  <w:abstractNum w:abstractNumId="57">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58">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59">
    <w:nsid w:val="6E590B5F"/>
    <w:multiLevelType w:val="multilevel"/>
    <w:tmpl w:val="6E590B5F"/>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0">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61">
    <w:nsid w:val="77A7FF9D"/>
    <w:multiLevelType w:val="singleLevel"/>
    <w:tmpl w:val="77A7FF9D"/>
    <w:lvl w:ilvl="0" w:tentative="0">
      <w:start w:val="1"/>
      <w:numFmt w:val="decimal"/>
      <w:lvlText w:val="%1."/>
      <w:lvlJc w:val="left"/>
      <w:pPr>
        <w:ind w:left="425" w:hanging="425"/>
      </w:pPr>
      <w:rPr>
        <w:rFonts w:hint="default"/>
      </w:rPr>
    </w:lvl>
  </w:abstractNum>
  <w:abstractNum w:abstractNumId="62">
    <w:nsid w:val="7B4A4E0C"/>
    <w:multiLevelType w:val="singleLevel"/>
    <w:tmpl w:val="7B4A4E0C"/>
    <w:lvl w:ilvl="0" w:tentative="0">
      <w:start w:val="1"/>
      <w:numFmt w:val="decimal"/>
      <w:lvlText w:val="（%1）"/>
      <w:lvlJc w:val="left"/>
      <w:pPr>
        <w:ind w:left="420" w:hanging="420"/>
      </w:pPr>
      <w:rPr>
        <w:rFonts w:hint="eastAsia"/>
        <w:color w:val="auto"/>
      </w:rPr>
    </w:lvl>
  </w:abstractNum>
  <w:abstractNum w:abstractNumId="63">
    <w:nsid w:val="7ED17433"/>
    <w:multiLevelType w:val="singleLevel"/>
    <w:tmpl w:val="7ED17433"/>
    <w:lvl w:ilvl="0" w:tentative="0">
      <w:start w:val="1"/>
      <w:numFmt w:val="decimal"/>
      <w:lvlText w:val="（%1）"/>
      <w:lvlJc w:val="left"/>
      <w:pPr>
        <w:ind w:left="420" w:hanging="420"/>
      </w:pPr>
      <w:rPr>
        <w:rFonts w:hint="eastAsia"/>
      </w:rPr>
    </w:lvl>
  </w:abstractNum>
  <w:num w:numId="1">
    <w:abstractNumId w:val="51"/>
  </w:num>
  <w:num w:numId="2">
    <w:abstractNumId w:val="58"/>
  </w:num>
  <w:num w:numId="3">
    <w:abstractNumId w:val="41"/>
  </w:num>
  <w:num w:numId="4">
    <w:abstractNumId w:val="9"/>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52"/>
  </w:num>
  <w:num w:numId="8">
    <w:abstractNumId w:val="44"/>
  </w:num>
  <w:num w:numId="9">
    <w:abstractNumId w:val="25"/>
  </w:num>
  <w:num w:numId="10">
    <w:abstractNumId w:val="62"/>
  </w:num>
  <w:num w:numId="11">
    <w:abstractNumId w:val="63"/>
  </w:num>
  <w:num w:numId="12">
    <w:abstractNumId w:val="28"/>
  </w:num>
  <w:num w:numId="13">
    <w:abstractNumId w:val="59"/>
  </w:num>
  <w:num w:numId="14">
    <w:abstractNumId w:val="22"/>
  </w:num>
  <w:num w:numId="15">
    <w:abstractNumId w:val="53"/>
  </w:num>
  <w:num w:numId="16">
    <w:abstractNumId w:val="33"/>
  </w:num>
  <w:num w:numId="17">
    <w:abstractNumId w:val="35"/>
  </w:num>
  <w:num w:numId="18">
    <w:abstractNumId w:val="54"/>
  </w:num>
  <w:num w:numId="19">
    <w:abstractNumId w:val="27"/>
  </w:num>
  <w:num w:numId="20">
    <w:abstractNumId w:val="7"/>
  </w:num>
  <w:num w:numId="21">
    <w:abstractNumId w:val="15"/>
  </w:num>
  <w:num w:numId="22">
    <w:abstractNumId w:val="23"/>
  </w:num>
  <w:num w:numId="23">
    <w:abstractNumId w:val="56"/>
  </w:num>
  <w:num w:numId="24">
    <w:abstractNumId w:val="5"/>
  </w:num>
  <w:num w:numId="25">
    <w:abstractNumId w:val="3"/>
  </w:num>
  <w:num w:numId="26">
    <w:abstractNumId w:val="61"/>
  </w:num>
  <w:num w:numId="27">
    <w:abstractNumId w:val="31"/>
  </w:num>
  <w:num w:numId="28">
    <w:abstractNumId w:val="45"/>
  </w:num>
  <w:num w:numId="29">
    <w:abstractNumId w:val="11"/>
  </w:num>
  <w:num w:numId="30">
    <w:abstractNumId w:val="38"/>
  </w:num>
  <w:num w:numId="31">
    <w:abstractNumId w:val="20"/>
  </w:num>
  <w:num w:numId="32">
    <w:abstractNumId w:val="34"/>
  </w:num>
  <w:num w:numId="33">
    <w:abstractNumId w:val="40"/>
  </w:num>
  <w:num w:numId="34">
    <w:abstractNumId w:val="0"/>
  </w:num>
  <w:num w:numId="35">
    <w:abstractNumId w:val="6"/>
  </w:num>
  <w:num w:numId="36">
    <w:abstractNumId w:val="13"/>
  </w:num>
  <w:num w:numId="37">
    <w:abstractNumId w:val="46"/>
  </w:num>
  <w:num w:numId="38">
    <w:abstractNumId w:val="42"/>
  </w:num>
  <w:num w:numId="39">
    <w:abstractNumId w:val="16"/>
  </w:num>
  <w:num w:numId="40">
    <w:abstractNumId w:val="29"/>
  </w:num>
  <w:num w:numId="41">
    <w:abstractNumId w:val="10"/>
  </w:num>
  <w:num w:numId="42">
    <w:abstractNumId w:val="55"/>
  </w:num>
  <w:num w:numId="43">
    <w:abstractNumId w:val="24"/>
  </w:num>
  <w:num w:numId="44">
    <w:abstractNumId w:val="48"/>
  </w:num>
  <w:num w:numId="45">
    <w:abstractNumId w:val="8"/>
  </w:num>
  <w:num w:numId="46">
    <w:abstractNumId w:val="32"/>
  </w:num>
  <w:num w:numId="47">
    <w:abstractNumId w:val="2"/>
  </w:num>
  <w:num w:numId="48">
    <w:abstractNumId w:val="14"/>
  </w:num>
  <w:num w:numId="49">
    <w:abstractNumId w:val="12"/>
  </w:num>
  <w:num w:numId="50">
    <w:abstractNumId w:val="60"/>
  </w:num>
  <w:num w:numId="51">
    <w:abstractNumId w:val="1"/>
  </w:num>
  <w:num w:numId="52">
    <w:abstractNumId w:val="4"/>
  </w:num>
  <w:num w:numId="53">
    <w:abstractNumId w:val="43"/>
  </w:num>
  <w:num w:numId="54">
    <w:abstractNumId w:val="17"/>
  </w:num>
  <w:num w:numId="55">
    <w:abstractNumId w:val="19"/>
  </w:num>
  <w:num w:numId="56">
    <w:abstractNumId w:val="18"/>
  </w:num>
  <w:num w:numId="57">
    <w:abstractNumId w:val="57"/>
  </w:num>
  <w:num w:numId="58">
    <w:abstractNumId w:val="47"/>
  </w:num>
  <w:num w:numId="59">
    <w:abstractNumId w:val="39"/>
  </w:num>
  <w:num w:numId="60">
    <w:abstractNumId w:val="36"/>
  </w:num>
  <w:num w:numId="61">
    <w:abstractNumId w:val="49"/>
  </w:num>
  <w:num w:numId="62">
    <w:abstractNumId w:val="30"/>
  </w:num>
  <w:num w:numId="63">
    <w:abstractNumId w:val="21"/>
  </w:num>
  <w:num w:numId="64">
    <w:abstractNumId w:val="50"/>
  </w:num>
  <w:num w:numId="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0ZDgyNzllMDZjOWU0NDNkZTcxMTg4Y2I4NzBiYTMifQ=="/>
  </w:docVars>
  <w:rsids>
    <w:rsidRoot w:val="007C50B2"/>
    <w:rsid w:val="00003A9B"/>
    <w:rsid w:val="000071F5"/>
    <w:rsid w:val="000109CF"/>
    <w:rsid w:val="0001408F"/>
    <w:rsid w:val="00020D3D"/>
    <w:rsid w:val="0002431D"/>
    <w:rsid w:val="000262A2"/>
    <w:rsid w:val="00030ED4"/>
    <w:rsid w:val="0003792E"/>
    <w:rsid w:val="0004792E"/>
    <w:rsid w:val="0005325D"/>
    <w:rsid w:val="0006307A"/>
    <w:rsid w:val="00071803"/>
    <w:rsid w:val="00074891"/>
    <w:rsid w:val="00077160"/>
    <w:rsid w:val="00080360"/>
    <w:rsid w:val="00084118"/>
    <w:rsid w:val="00093F3A"/>
    <w:rsid w:val="00095512"/>
    <w:rsid w:val="000A2942"/>
    <w:rsid w:val="000A77C8"/>
    <w:rsid w:val="000C0416"/>
    <w:rsid w:val="000C45B3"/>
    <w:rsid w:val="000C7053"/>
    <w:rsid w:val="000E3E7C"/>
    <w:rsid w:val="000F16F8"/>
    <w:rsid w:val="000F23B0"/>
    <w:rsid w:val="001052B4"/>
    <w:rsid w:val="001107A5"/>
    <w:rsid w:val="001223CE"/>
    <w:rsid w:val="001238C4"/>
    <w:rsid w:val="0012732B"/>
    <w:rsid w:val="0013213B"/>
    <w:rsid w:val="001356BD"/>
    <w:rsid w:val="0013663B"/>
    <w:rsid w:val="00137AB2"/>
    <w:rsid w:val="00141B72"/>
    <w:rsid w:val="001427DC"/>
    <w:rsid w:val="00151C50"/>
    <w:rsid w:val="00162AA4"/>
    <w:rsid w:val="0017163D"/>
    <w:rsid w:val="001723D2"/>
    <w:rsid w:val="00172CEE"/>
    <w:rsid w:val="00174846"/>
    <w:rsid w:val="00180E0D"/>
    <w:rsid w:val="0018170D"/>
    <w:rsid w:val="001959E5"/>
    <w:rsid w:val="001978B2"/>
    <w:rsid w:val="001A20B4"/>
    <w:rsid w:val="001A282A"/>
    <w:rsid w:val="001A5286"/>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2C7894"/>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B7F3C"/>
    <w:rsid w:val="003D0358"/>
    <w:rsid w:val="003E4A63"/>
    <w:rsid w:val="003E55E9"/>
    <w:rsid w:val="003E6092"/>
    <w:rsid w:val="003E66A3"/>
    <w:rsid w:val="003E7621"/>
    <w:rsid w:val="003F1E01"/>
    <w:rsid w:val="00411D5A"/>
    <w:rsid w:val="004235D9"/>
    <w:rsid w:val="00427D5D"/>
    <w:rsid w:val="00432C74"/>
    <w:rsid w:val="00434E45"/>
    <w:rsid w:val="00441F17"/>
    <w:rsid w:val="004526E3"/>
    <w:rsid w:val="004607EA"/>
    <w:rsid w:val="004707D2"/>
    <w:rsid w:val="00471ED2"/>
    <w:rsid w:val="00476C96"/>
    <w:rsid w:val="004775EE"/>
    <w:rsid w:val="00492F1D"/>
    <w:rsid w:val="004A0594"/>
    <w:rsid w:val="004A0D6B"/>
    <w:rsid w:val="004A51A7"/>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32D90"/>
    <w:rsid w:val="00544B6E"/>
    <w:rsid w:val="00547CAB"/>
    <w:rsid w:val="00550A0A"/>
    <w:rsid w:val="00554298"/>
    <w:rsid w:val="00565EDC"/>
    <w:rsid w:val="005700E9"/>
    <w:rsid w:val="005815FC"/>
    <w:rsid w:val="005A26F8"/>
    <w:rsid w:val="005A480E"/>
    <w:rsid w:val="005B03C2"/>
    <w:rsid w:val="005B1453"/>
    <w:rsid w:val="005B328D"/>
    <w:rsid w:val="005B6FDE"/>
    <w:rsid w:val="005C5034"/>
    <w:rsid w:val="005D123F"/>
    <w:rsid w:val="005E43D8"/>
    <w:rsid w:val="005E4792"/>
    <w:rsid w:val="005F16B3"/>
    <w:rsid w:val="005F71F0"/>
    <w:rsid w:val="00604C0B"/>
    <w:rsid w:val="00606010"/>
    <w:rsid w:val="006115F6"/>
    <w:rsid w:val="00620CA5"/>
    <w:rsid w:val="00621681"/>
    <w:rsid w:val="00622CAA"/>
    <w:rsid w:val="00624CE5"/>
    <w:rsid w:val="00630585"/>
    <w:rsid w:val="006311FC"/>
    <w:rsid w:val="00632039"/>
    <w:rsid w:val="006333BC"/>
    <w:rsid w:val="006635D2"/>
    <w:rsid w:val="00664471"/>
    <w:rsid w:val="00681577"/>
    <w:rsid w:val="006815B1"/>
    <w:rsid w:val="00687753"/>
    <w:rsid w:val="006942FF"/>
    <w:rsid w:val="006A4FED"/>
    <w:rsid w:val="006B0205"/>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24A7A"/>
    <w:rsid w:val="0073279E"/>
    <w:rsid w:val="007347D6"/>
    <w:rsid w:val="007542A8"/>
    <w:rsid w:val="007559E5"/>
    <w:rsid w:val="00760715"/>
    <w:rsid w:val="007672EE"/>
    <w:rsid w:val="0076763C"/>
    <w:rsid w:val="007744CB"/>
    <w:rsid w:val="0077621A"/>
    <w:rsid w:val="00781DFA"/>
    <w:rsid w:val="00782E08"/>
    <w:rsid w:val="00790A8A"/>
    <w:rsid w:val="007933D2"/>
    <w:rsid w:val="00797D85"/>
    <w:rsid w:val="007A63A5"/>
    <w:rsid w:val="007C02CE"/>
    <w:rsid w:val="007C3EB8"/>
    <w:rsid w:val="007C50B2"/>
    <w:rsid w:val="007E6A50"/>
    <w:rsid w:val="00803FA2"/>
    <w:rsid w:val="00806BEA"/>
    <w:rsid w:val="008117C1"/>
    <w:rsid w:val="0081270D"/>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46881"/>
    <w:rsid w:val="00960B05"/>
    <w:rsid w:val="00963D73"/>
    <w:rsid w:val="00970D35"/>
    <w:rsid w:val="00976465"/>
    <w:rsid w:val="0098029E"/>
    <w:rsid w:val="0098263B"/>
    <w:rsid w:val="00982922"/>
    <w:rsid w:val="00991233"/>
    <w:rsid w:val="009A1467"/>
    <w:rsid w:val="009A37EC"/>
    <w:rsid w:val="009A699B"/>
    <w:rsid w:val="009A6EF3"/>
    <w:rsid w:val="009B7189"/>
    <w:rsid w:val="009C0135"/>
    <w:rsid w:val="009C4CF2"/>
    <w:rsid w:val="009D1C89"/>
    <w:rsid w:val="009D3B77"/>
    <w:rsid w:val="009D7A17"/>
    <w:rsid w:val="009E19A2"/>
    <w:rsid w:val="009E25C8"/>
    <w:rsid w:val="009E2781"/>
    <w:rsid w:val="009E3D67"/>
    <w:rsid w:val="009E47FF"/>
    <w:rsid w:val="009E7342"/>
    <w:rsid w:val="009F77D8"/>
    <w:rsid w:val="00A0064A"/>
    <w:rsid w:val="00A0267F"/>
    <w:rsid w:val="00A21E09"/>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E2550"/>
    <w:rsid w:val="00AF0777"/>
    <w:rsid w:val="00AF0A7F"/>
    <w:rsid w:val="00AF1254"/>
    <w:rsid w:val="00AF348F"/>
    <w:rsid w:val="00AF730B"/>
    <w:rsid w:val="00B02F8D"/>
    <w:rsid w:val="00B049D6"/>
    <w:rsid w:val="00B1365B"/>
    <w:rsid w:val="00B20BE2"/>
    <w:rsid w:val="00B21864"/>
    <w:rsid w:val="00B37A2F"/>
    <w:rsid w:val="00B40F3E"/>
    <w:rsid w:val="00B44E4F"/>
    <w:rsid w:val="00B522B7"/>
    <w:rsid w:val="00B65C5E"/>
    <w:rsid w:val="00B671B8"/>
    <w:rsid w:val="00B76BC6"/>
    <w:rsid w:val="00B924F8"/>
    <w:rsid w:val="00BA7AC7"/>
    <w:rsid w:val="00BC0C0B"/>
    <w:rsid w:val="00BC40BD"/>
    <w:rsid w:val="00BD120A"/>
    <w:rsid w:val="00BD37F5"/>
    <w:rsid w:val="00BD666B"/>
    <w:rsid w:val="00BF1D5C"/>
    <w:rsid w:val="00BF52E8"/>
    <w:rsid w:val="00C01654"/>
    <w:rsid w:val="00C15CC0"/>
    <w:rsid w:val="00C30244"/>
    <w:rsid w:val="00C5180D"/>
    <w:rsid w:val="00C53AB0"/>
    <w:rsid w:val="00C53D1D"/>
    <w:rsid w:val="00C57330"/>
    <w:rsid w:val="00C61A27"/>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E6C02"/>
    <w:rsid w:val="00CF3F58"/>
    <w:rsid w:val="00D05E1F"/>
    <w:rsid w:val="00D121D1"/>
    <w:rsid w:val="00D13594"/>
    <w:rsid w:val="00D2411A"/>
    <w:rsid w:val="00D30FB6"/>
    <w:rsid w:val="00D36CF5"/>
    <w:rsid w:val="00D41B8A"/>
    <w:rsid w:val="00D4224E"/>
    <w:rsid w:val="00D43550"/>
    <w:rsid w:val="00D466F7"/>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2E6"/>
    <w:rsid w:val="00E27F91"/>
    <w:rsid w:val="00E31BD7"/>
    <w:rsid w:val="00E3285E"/>
    <w:rsid w:val="00E45D07"/>
    <w:rsid w:val="00E677C6"/>
    <w:rsid w:val="00E70687"/>
    <w:rsid w:val="00E710FC"/>
    <w:rsid w:val="00E75726"/>
    <w:rsid w:val="00E86CB7"/>
    <w:rsid w:val="00E8779B"/>
    <w:rsid w:val="00E928C6"/>
    <w:rsid w:val="00EA0513"/>
    <w:rsid w:val="00EB3FCD"/>
    <w:rsid w:val="00EB6D05"/>
    <w:rsid w:val="00EC2E5A"/>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3EA0"/>
    <w:rsid w:val="00F467E3"/>
    <w:rsid w:val="00F47201"/>
    <w:rsid w:val="00F47238"/>
    <w:rsid w:val="00F525B8"/>
    <w:rsid w:val="00F53D25"/>
    <w:rsid w:val="00F64816"/>
    <w:rsid w:val="00F73354"/>
    <w:rsid w:val="00FA092E"/>
    <w:rsid w:val="00FA63B5"/>
    <w:rsid w:val="00FA6D58"/>
    <w:rsid w:val="00FB05F4"/>
    <w:rsid w:val="00FD52D3"/>
    <w:rsid w:val="00FE074C"/>
    <w:rsid w:val="00FE72DF"/>
    <w:rsid w:val="00FF2F91"/>
    <w:rsid w:val="02B47C4D"/>
    <w:rsid w:val="03CE548F"/>
    <w:rsid w:val="04450729"/>
    <w:rsid w:val="04D46768"/>
    <w:rsid w:val="04EC3DA3"/>
    <w:rsid w:val="04F90B5F"/>
    <w:rsid w:val="0539574C"/>
    <w:rsid w:val="053A1CC8"/>
    <w:rsid w:val="05416200"/>
    <w:rsid w:val="05A64E85"/>
    <w:rsid w:val="05B821F2"/>
    <w:rsid w:val="06856661"/>
    <w:rsid w:val="06DD49EE"/>
    <w:rsid w:val="07605FA9"/>
    <w:rsid w:val="077B4608"/>
    <w:rsid w:val="07BB74B6"/>
    <w:rsid w:val="07D7576E"/>
    <w:rsid w:val="08493DEA"/>
    <w:rsid w:val="086E4EC9"/>
    <w:rsid w:val="08C0326E"/>
    <w:rsid w:val="0AFA1BEF"/>
    <w:rsid w:val="0B734A64"/>
    <w:rsid w:val="0CDE01F2"/>
    <w:rsid w:val="0DD201F4"/>
    <w:rsid w:val="0DE96793"/>
    <w:rsid w:val="0F4526B6"/>
    <w:rsid w:val="10091618"/>
    <w:rsid w:val="12175C6E"/>
    <w:rsid w:val="12F572A6"/>
    <w:rsid w:val="134C0C32"/>
    <w:rsid w:val="136A3700"/>
    <w:rsid w:val="13C97C76"/>
    <w:rsid w:val="14325945"/>
    <w:rsid w:val="14F83664"/>
    <w:rsid w:val="152B3E3A"/>
    <w:rsid w:val="152B64B8"/>
    <w:rsid w:val="15740DA4"/>
    <w:rsid w:val="18A06DDB"/>
    <w:rsid w:val="18ED72A3"/>
    <w:rsid w:val="19327999"/>
    <w:rsid w:val="195A6BC0"/>
    <w:rsid w:val="1B0A0C22"/>
    <w:rsid w:val="1B6D441D"/>
    <w:rsid w:val="1B7F562B"/>
    <w:rsid w:val="1C5670DA"/>
    <w:rsid w:val="1E6E54BA"/>
    <w:rsid w:val="1F7074E6"/>
    <w:rsid w:val="201453B6"/>
    <w:rsid w:val="205F0E69"/>
    <w:rsid w:val="212432F0"/>
    <w:rsid w:val="21F23926"/>
    <w:rsid w:val="227A4EED"/>
    <w:rsid w:val="228D0750"/>
    <w:rsid w:val="22AC7446"/>
    <w:rsid w:val="241430A6"/>
    <w:rsid w:val="24786106"/>
    <w:rsid w:val="248E4027"/>
    <w:rsid w:val="25A5748F"/>
    <w:rsid w:val="25BE1EBF"/>
    <w:rsid w:val="25D85A3C"/>
    <w:rsid w:val="267E19B6"/>
    <w:rsid w:val="26E95967"/>
    <w:rsid w:val="28BD55B0"/>
    <w:rsid w:val="2A1D36D7"/>
    <w:rsid w:val="2B9E3425"/>
    <w:rsid w:val="2BD84FDD"/>
    <w:rsid w:val="2BFA4386"/>
    <w:rsid w:val="2C5F38F4"/>
    <w:rsid w:val="2CD73EA3"/>
    <w:rsid w:val="2CFC78E9"/>
    <w:rsid w:val="2D845ED0"/>
    <w:rsid w:val="2EAB6E76"/>
    <w:rsid w:val="2FCC3878"/>
    <w:rsid w:val="30381F4F"/>
    <w:rsid w:val="31CC2B78"/>
    <w:rsid w:val="34A05B77"/>
    <w:rsid w:val="34F5482E"/>
    <w:rsid w:val="353558D8"/>
    <w:rsid w:val="35761BFC"/>
    <w:rsid w:val="362D006F"/>
    <w:rsid w:val="37097428"/>
    <w:rsid w:val="38AC36F6"/>
    <w:rsid w:val="394A3FAD"/>
    <w:rsid w:val="39C20091"/>
    <w:rsid w:val="3A3139C5"/>
    <w:rsid w:val="3A5F4A82"/>
    <w:rsid w:val="3AAD7F79"/>
    <w:rsid w:val="3B991A52"/>
    <w:rsid w:val="3BB26AC4"/>
    <w:rsid w:val="3C35255B"/>
    <w:rsid w:val="3CA7512C"/>
    <w:rsid w:val="3CC60243"/>
    <w:rsid w:val="3D3159C4"/>
    <w:rsid w:val="3D3679ED"/>
    <w:rsid w:val="3E8C2DCA"/>
    <w:rsid w:val="3EAB62E3"/>
    <w:rsid w:val="3F864787"/>
    <w:rsid w:val="408D7227"/>
    <w:rsid w:val="40C360C8"/>
    <w:rsid w:val="41407E51"/>
    <w:rsid w:val="416718EC"/>
    <w:rsid w:val="41B14A73"/>
    <w:rsid w:val="439D7A21"/>
    <w:rsid w:val="43D97719"/>
    <w:rsid w:val="447267E8"/>
    <w:rsid w:val="44742FF0"/>
    <w:rsid w:val="449F3221"/>
    <w:rsid w:val="44E431E5"/>
    <w:rsid w:val="451A5282"/>
    <w:rsid w:val="45F006B8"/>
    <w:rsid w:val="46526D56"/>
    <w:rsid w:val="46B30DE6"/>
    <w:rsid w:val="492A4A83"/>
    <w:rsid w:val="495C1F5C"/>
    <w:rsid w:val="4A5756A7"/>
    <w:rsid w:val="4AF77150"/>
    <w:rsid w:val="4B5F3613"/>
    <w:rsid w:val="4B8B03E4"/>
    <w:rsid w:val="4D9A3F67"/>
    <w:rsid w:val="4DDF67CC"/>
    <w:rsid w:val="4EE12BFB"/>
    <w:rsid w:val="50FA6A61"/>
    <w:rsid w:val="51794BC1"/>
    <w:rsid w:val="51B1492B"/>
    <w:rsid w:val="5282590B"/>
    <w:rsid w:val="53D25371"/>
    <w:rsid w:val="540F1FD2"/>
    <w:rsid w:val="548F5F14"/>
    <w:rsid w:val="54BF4EE5"/>
    <w:rsid w:val="54E1544A"/>
    <w:rsid w:val="54FF701C"/>
    <w:rsid w:val="557B7259"/>
    <w:rsid w:val="561F6663"/>
    <w:rsid w:val="57315BF2"/>
    <w:rsid w:val="57476D14"/>
    <w:rsid w:val="57594B93"/>
    <w:rsid w:val="594A6990"/>
    <w:rsid w:val="5A2E0F40"/>
    <w:rsid w:val="5A6A5332"/>
    <w:rsid w:val="5AAD4AF2"/>
    <w:rsid w:val="5B9051B3"/>
    <w:rsid w:val="5D3B6304"/>
    <w:rsid w:val="5E8307E5"/>
    <w:rsid w:val="5F2200CC"/>
    <w:rsid w:val="60475C3F"/>
    <w:rsid w:val="60785544"/>
    <w:rsid w:val="60A60070"/>
    <w:rsid w:val="612263AF"/>
    <w:rsid w:val="61A26997"/>
    <w:rsid w:val="622C21AB"/>
    <w:rsid w:val="629B4D54"/>
    <w:rsid w:val="62BC7174"/>
    <w:rsid w:val="62D00ABF"/>
    <w:rsid w:val="63F360C0"/>
    <w:rsid w:val="640C25AF"/>
    <w:rsid w:val="651633CE"/>
    <w:rsid w:val="6541126B"/>
    <w:rsid w:val="657654B4"/>
    <w:rsid w:val="6743798B"/>
    <w:rsid w:val="67697339"/>
    <w:rsid w:val="67703441"/>
    <w:rsid w:val="683A303D"/>
    <w:rsid w:val="68E97B63"/>
    <w:rsid w:val="6A5B2F9C"/>
    <w:rsid w:val="6B1E605C"/>
    <w:rsid w:val="6C5E0507"/>
    <w:rsid w:val="6C6B5505"/>
    <w:rsid w:val="6DF67C63"/>
    <w:rsid w:val="6E3F209B"/>
    <w:rsid w:val="6ED02117"/>
    <w:rsid w:val="705B643E"/>
    <w:rsid w:val="722B2DE0"/>
    <w:rsid w:val="725336E8"/>
    <w:rsid w:val="74783A1C"/>
    <w:rsid w:val="74AB354D"/>
    <w:rsid w:val="74B05132"/>
    <w:rsid w:val="766146C3"/>
    <w:rsid w:val="76C52AAF"/>
    <w:rsid w:val="76E063E5"/>
    <w:rsid w:val="772A35DE"/>
    <w:rsid w:val="77C80792"/>
    <w:rsid w:val="781B5752"/>
    <w:rsid w:val="784C4856"/>
    <w:rsid w:val="78FC2395"/>
    <w:rsid w:val="798425C1"/>
    <w:rsid w:val="79A35F22"/>
    <w:rsid w:val="79BF662E"/>
    <w:rsid w:val="7A751935"/>
    <w:rsid w:val="7B2952F2"/>
    <w:rsid w:val="7C2E6448"/>
    <w:rsid w:val="7CF46BD3"/>
    <w:rsid w:val="7DD259F5"/>
    <w:rsid w:val="7EBC5017"/>
    <w:rsid w:val="7F472447"/>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toc 3"/>
    <w:basedOn w:val="1"/>
    <w:next w:val="1"/>
    <w:unhideWhenUsed/>
    <w:qFormat/>
    <w:uiPriority w:val="39"/>
    <w:pPr>
      <w:ind w:left="840" w:leftChars="400"/>
    </w:pPr>
  </w:style>
  <w:style w:type="paragraph" w:styleId="5">
    <w:name w:val="Balloon Text"/>
    <w:basedOn w:val="1"/>
    <w:link w:val="26"/>
    <w:semiHidden/>
    <w:unhideWhenUsed/>
    <w:qFormat/>
    <w:uiPriority w:val="99"/>
    <w:rPr>
      <w:sz w:val="18"/>
      <w:szCs w:val="18"/>
    </w:rPr>
  </w:style>
  <w:style w:type="paragraph" w:styleId="6">
    <w:name w:val="footer"/>
    <w:basedOn w:val="1"/>
    <w:link w:val="28"/>
    <w:unhideWhenUsed/>
    <w:qFormat/>
    <w:uiPriority w:val="99"/>
    <w:pPr>
      <w:tabs>
        <w:tab w:val="center" w:pos="4153"/>
        <w:tab w:val="right" w:pos="8306"/>
      </w:tabs>
      <w:snapToGrid w:val="0"/>
      <w:jc w:val="left"/>
    </w:pPr>
    <w:rPr>
      <w:sz w:val="18"/>
      <w:szCs w:val="18"/>
    </w:rPr>
  </w:style>
  <w:style w:type="paragraph" w:styleId="7">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33"/>
    <w:semiHidden/>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Body Text 2"/>
    <w:basedOn w:val="1"/>
    <w:link w:val="32"/>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styleId="20">
    <w:name w:val="footnote reference"/>
    <w:basedOn w:val="16"/>
    <w:semiHidden/>
    <w:unhideWhenUsed/>
    <w:qFormat/>
    <w:uiPriority w:val="99"/>
    <w:rPr>
      <w:vertAlign w:val="superscript"/>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6"/>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6"/>
    <w:link w:val="5"/>
    <w:semiHidden/>
    <w:qFormat/>
    <w:uiPriority w:val="99"/>
    <w:rPr>
      <w:rFonts w:ascii="Times New Roman" w:hAnsi="Times New Roman" w:eastAsia="宋体" w:cs="Times New Roman"/>
      <w:sz w:val="18"/>
      <w:szCs w:val="18"/>
    </w:rPr>
  </w:style>
  <w:style w:type="character" w:customStyle="1" w:styleId="27">
    <w:name w:val="页眉 字符"/>
    <w:basedOn w:val="16"/>
    <w:link w:val="7"/>
    <w:qFormat/>
    <w:uiPriority w:val="99"/>
    <w:rPr>
      <w:rFonts w:ascii="Times New Roman" w:hAnsi="Times New Roman" w:eastAsia="宋体" w:cs="Times New Roman"/>
      <w:sz w:val="18"/>
      <w:szCs w:val="18"/>
    </w:rPr>
  </w:style>
  <w:style w:type="character" w:customStyle="1" w:styleId="28">
    <w:name w:val="页脚 字符"/>
    <w:basedOn w:val="16"/>
    <w:link w:val="6"/>
    <w:qFormat/>
    <w:uiPriority w:val="99"/>
    <w:rPr>
      <w:rFonts w:ascii="Times New Roman" w:hAnsi="Times New Roman" w:eastAsia="宋体" w:cs="Times New Roman"/>
      <w:sz w:val="18"/>
      <w:szCs w:val="18"/>
    </w:rPr>
  </w:style>
  <w:style w:type="character" w:customStyle="1" w:styleId="29">
    <w:name w:val="标题1"/>
    <w:basedOn w:val="16"/>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2">
    <w:name w:val="正文文本 2 字符"/>
    <w:basedOn w:val="16"/>
    <w:link w:val="11"/>
    <w:qFormat/>
    <w:uiPriority w:val="0"/>
    <w:rPr>
      <w:rFonts w:ascii="仿宋_GB2312" w:hAnsi="宋体" w:eastAsia="仿宋_GB2312"/>
      <w:kern w:val="2"/>
      <w:sz w:val="21"/>
      <w:szCs w:val="24"/>
    </w:rPr>
  </w:style>
  <w:style w:type="character" w:customStyle="1" w:styleId="33">
    <w:name w:val="脚注文本 字符"/>
    <w:basedOn w:val="16"/>
    <w:link w:val="9"/>
    <w:semiHidden/>
    <w:qFormat/>
    <w:uiPriority w:val="99"/>
    <w:rPr>
      <w:kern w:val="2"/>
      <w:sz w:val="18"/>
      <w:szCs w:val="18"/>
    </w:rPr>
  </w:style>
  <w:style w:type="paragraph" w:customStyle="1" w:styleId="34">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35">
    <w:name w:val="xdrichtextbox"/>
    <w:basedOn w:val="16"/>
    <w:qFormat/>
    <w:uiPriority w:val="0"/>
  </w:style>
  <w:style w:type="paragraph" w:customStyle="1" w:styleId="36">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37">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40</Pages>
  <Words>20755</Words>
  <Characters>22067</Characters>
  <Lines>191</Lines>
  <Paragraphs>54</Paragraphs>
  <TotalTime>2</TotalTime>
  <ScaleCrop>false</ScaleCrop>
  <LinksUpToDate>false</LinksUpToDate>
  <CharactersWithSpaces>24503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2023-08-24T07:52:00Z</dcterms:created>
  <dc:creator>Tony Young</dc:creator>
  <cp:lastModifiedBy>szcec</cp:lastModifiedBy>
  <cp:lastPrinted>2023-09-25T09:08:00Z</cp:lastPrinted>
  <dcterms:modified xsi:type="dcterms:W3CDTF">2023-10-21T13:28:10Z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259D53E863D74EB4890521C1E066CA21</vt:lpwstr>
  </property>
</Properties>
</file>