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sz w:val="32"/>
          <w:szCs w:val="32"/>
        </w:rPr>
        <w:t>项目名称：第二十五届高交会新闻中心运营项目</w:t>
      </w:r>
      <w:r>
        <w:rPr>
          <w:rFonts w:hint="eastAsia" w:ascii="方正小标宋简体" w:hAnsi="方正小标宋_GBK" w:eastAsia="方正小标宋简体" w:cs="方正小标宋_GBK"/>
          <w:b/>
          <w:sz w:val="32"/>
          <w:szCs w:val="32"/>
          <w:lang w:eastAsia="zh-CN"/>
        </w:rPr>
        <w:t>（</w:t>
      </w:r>
      <w:r>
        <w:rPr>
          <w:rFonts w:hint="eastAsia" w:ascii="方正小标宋简体" w:hAnsi="方正小标宋_GBK" w:eastAsia="方正小标宋简体" w:cs="方正小标宋_GBK"/>
          <w:b/>
          <w:sz w:val="32"/>
          <w:szCs w:val="32"/>
          <w:lang w:val="en-US" w:eastAsia="zh-CN"/>
        </w:rPr>
        <w:t>二次启动</w:t>
      </w:r>
      <w:r>
        <w:rPr>
          <w:rFonts w:hint="eastAsia" w:ascii="方正小标宋简体" w:hAnsi="方正小标宋_GBK" w:eastAsia="方正小标宋简体" w:cs="方正小标宋_GBK"/>
          <w:b/>
          <w:sz w:val="32"/>
          <w:szCs w:val="32"/>
          <w:lang w:eastAsia="zh-CN"/>
        </w:rPr>
        <w:t>）</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10</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highlight w:val="none"/>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8"/>
          <w:rFonts w:ascii="宋体" w:hAnsi="宋体" w:cs="宋体"/>
          <w:b/>
          <w:bCs/>
        </w:rPr>
        <w:t>一、</w:t>
      </w:r>
      <w:r>
        <w:rPr>
          <w:rStyle w:val="18"/>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8"/>
          <w:rFonts w:ascii="宋体" w:hAnsi="宋体" w:cs="宋体"/>
          <w:b/>
          <w:bCs/>
        </w:rPr>
        <w:t>二、</w:t>
      </w:r>
      <w:r>
        <w:rPr>
          <w:rStyle w:val="18"/>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8"/>
          <w:b/>
          <w:bCs/>
        </w:rPr>
        <w:t>三、</w:t>
      </w:r>
      <w:r>
        <w:rPr>
          <w:rStyle w:val="18"/>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8"/>
          <w:rFonts w:ascii="宋体" w:hAnsi="宋体" w:cs="宋体"/>
          <w:b/>
          <w:bCs/>
        </w:rPr>
        <w:t>四、</w:t>
      </w:r>
      <w:r>
        <w:rPr>
          <w:rStyle w:val="18"/>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8"/>
          <w:rFonts w:ascii="宋体" w:hAnsi="宋体" w:cs="宋体"/>
          <w:b/>
          <w:bCs/>
        </w:rPr>
        <w:t>五、</w:t>
      </w:r>
      <w:r>
        <w:rPr>
          <w:rStyle w:val="18"/>
          <w:rFonts w:ascii="宋体" w:hAnsi="宋体" w:cs="宋体"/>
          <w:b/>
        </w:rPr>
        <w:t>其他项目说明资料</w:t>
      </w:r>
      <w:r>
        <w:tab/>
      </w:r>
      <w:r>
        <w:rPr>
          <w:rFonts w:hint="eastAsia"/>
          <w:lang w:val="en-US" w:eastAsia="zh-CN"/>
        </w:rPr>
        <w:t>8</w:t>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8"/>
          <w:rFonts w:ascii="宋体" w:hAnsi="宋体" w:cs="宋体"/>
          <w:b/>
          <w:bCs/>
        </w:rPr>
        <w:t>六、</w:t>
      </w:r>
      <w:r>
        <w:rPr>
          <w:rStyle w:val="18"/>
          <w:rFonts w:ascii="宋体" w:hAnsi="宋体" w:cs="宋体"/>
          <w:b/>
        </w:rPr>
        <w:t>开标评标流程</w:t>
      </w:r>
      <w:r>
        <w:tab/>
      </w:r>
      <w:r>
        <w:rPr>
          <w:rFonts w:hint="eastAsia"/>
          <w:lang w:val="en-US" w:eastAsia="zh-CN"/>
        </w:rPr>
        <w:t>8</w:t>
      </w:r>
      <w:r>
        <w:fldChar w:fldCharType="end"/>
      </w:r>
    </w:p>
    <w:p>
      <w:pPr>
        <w:pStyle w:val="9"/>
        <w:tabs>
          <w:tab w:val="right" w:leader="dot" w:pos="9530"/>
        </w:tabs>
        <w:rPr>
          <w:rFonts w:hint="eastAsia" w:eastAsia="宋体" w:asciiTheme="minorHAnsi" w:hAnsiTheme="minorHAnsi" w:cstheme="minorBidi"/>
          <w:szCs w:val="22"/>
          <w:lang w:val="en-US" w:eastAsia="zh-CN"/>
        </w:rPr>
      </w:pPr>
      <w:r>
        <w:fldChar w:fldCharType="begin"/>
      </w:r>
      <w:r>
        <w:instrText xml:space="preserve"> HYPERLINK \l "_Toc128989099" </w:instrText>
      </w:r>
      <w:r>
        <w:fldChar w:fldCharType="separate"/>
      </w:r>
      <w:r>
        <w:rPr>
          <w:rStyle w:val="18"/>
          <w:rFonts w:ascii="宋体" w:hAnsi="宋体" w:cs="宋体"/>
          <w:b/>
          <w:bCs/>
        </w:rPr>
        <w:t>七、</w:t>
      </w:r>
      <w:r>
        <w:rPr>
          <w:rStyle w:val="18"/>
          <w:rFonts w:ascii="宋体" w:hAnsi="宋体" w:cs="宋体"/>
          <w:b/>
        </w:rPr>
        <w:t>评审办法</w:t>
      </w:r>
      <w:r>
        <w:tab/>
      </w:r>
      <w:r>
        <w:rPr>
          <w:rFonts w:hint="eastAsia"/>
          <w:lang w:val="en-US" w:eastAsia="zh-CN"/>
        </w:rPr>
        <w:t>8</w:t>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8"/>
          <w:rFonts w:ascii="宋体" w:hAnsi="宋体" w:cs="宋体"/>
        </w:rPr>
        <w:t>（一）</w:t>
      </w:r>
      <w:r>
        <w:rPr>
          <w:rFonts w:asciiTheme="minorHAnsi" w:hAnsiTheme="minorHAnsi" w:eastAsiaTheme="minorEastAsia" w:cstheme="minorBidi"/>
          <w:szCs w:val="22"/>
        </w:rPr>
        <w:tab/>
      </w:r>
      <w:r>
        <w:rPr>
          <w:rStyle w:val="18"/>
          <w:rFonts w:ascii="宋体" w:hAnsi="宋体" w:cs="宋体"/>
        </w:rPr>
        <w:t>符合性检查</w:t>
      </w:r>
      <w:r>
        <w:tab/>
      </w:r>
      <w:r>
        <w:rPr>
          <w:rFonts w:hint="eastAsia"/>
          <w:lang w:val="en-US" w:eastAsia="zh-CN"/>
        </w:rPr>
        <w:t>9</w:t>
      </w:r>
      <w:r>
        <w:fldChar w:fldCharType="end"/>
      </w:r>
    </w:p>
    <w:p>
      <w:pPr>
        <w:pStyle w:val="10"/>
        <w:tabs>
          <w:tab w:val="left" w:pos="1134"/>
          <w:tab w:val="right" w:leader="dot" w:pos="9530"/>
        </w:tabs>
      </w:pPr>
      <w:r>
        <w:fldChar w:fldCharType="begin"/>
      </w:r>
      <w:r>
        <w:instrText xml:space="preserve"> HYPERLINK \l "_Toc128989101" </w:instrText>
      </w:r>
      <w:r>
        <w:fldChar w:fldCharType="separate"/>
      </w:r>
      <w:r>
        <w:rPr>
          <w:rStyle w:val="18"/>
          <w:rFonts w:ascii="宋体" w:hAnsi="宋体" w:cs="宋体"/>
        </w:rPr>
        <w:t>（二）</w:t>
      </w:r>
      <w:r>
        <w:rPr>
          <w:rFonts w:asciiTheme="minorHAnsi" w:hAnsiTheme="minorHAnsi" w:eastAsiaTheme="minorEastAsia" w:cstheme="minorBidi"/>
          <w:szCs w:val="22"/>
        </w:rPr>
        <w:tab/>
      </w:r>
      <w:r>
        <w:rPr>
          <w:rStyle w:val="18"/>
          <w:rFonts w:ascii="宋体" w:hAnsi="宋体" w:cs="宋体"/>
        </w:rPr>
        <w:t>价格评议</w:t>
      </w:r>
      <w:r>
        <w:tab/>
      </w:r>
      <w:r>
        <w:rPr>
          <w:rFonts w:hint="eastAsia"/>
          <w:lang w:val="en-US" w:eastAsia="zh-CN"/>
        </w:rPr>
        <w:t>9</w:t>
      </w:r>
      <w:r>
        <w:fldChar w:fldCharType="end"/>
      </w:r>
    </w:p>
    <w:p>
      <w:pPr>
        <w:pStyle w:val="10"/>
        <w:tabs>
          <w:tab w:val="left" w:pos="1134"/>
          <w:tab w:val="right" w:leader="dot" w:pos="9530"/>
        </w:tabs>
      </w:pPr>
      <w:r>
        <w:fldChar w:fldCharType="begin"/>
      </w:r>
      <w:r>
        <w:instrText xml:space="preserve"> HYPERLINK \l "_Toc128989101" </w:instrText>
      </w:r>
      <w:r>
        <w:fldChar w:fldCharType="separate"/>
      </w:r>
      <w:r>
        <w:rPr>
          <w:rStyle w:val="18"/>
          <w:rFonts w:ascii="宋体" w:hAnsi="宋体" w:cs="宋体"/>
        </w:rPr>
        <w:t>（</w:t>
      </w:r>
      <w:r>
        <w:rPr>
          <w:rStyle w:val="18"/>
          <w:rFonts w:hint="eastAsia" w:ascii="宋体" w:hAnsi="宋体" w:cs="宋体"/>
          <w:lang w:val="en-US" w:eastAsia="zh-CN"/>
        </w:rPr>
        <w:t>三</w:t>
      </w:r>
      <w:r>
        <w:rPr>
          <w:rStyle w:val="18"/>
          <w:rFonts w:ascii="宋体" w:hAnsi="宋体" w:cs="宋体"/>
        </w:rPr>
        <w:t>）</w:t>
      </w:r>
      <w:r>
        <w:rPr>
          <w:rFonts w:asciiTheme="minorHAnsi" w:hAnsiTheme="minorHAnsi" w:eastAsiaTheme="minorEastAsia" w:cstheme="minorBidi"/>
          <w:szCs w:val="22"/>
        </w:rPr>
        <w:tab/>
      </w:r>
      <w:r>
        <w:rPr>
          <w:rFonts w:hint="eastAsia" w:asciiTheme="minorHAnsi" w:hAnsiTheme="minorHAnsi" w:eastAsiaTheme="minorEastAsia" w:cstheme="minorBidi"/>
          <w:szCs w:val="22"/>
          <w:lang w:val="en-US" w:eastAsia="zh-CN"/>
        </w:rPr>
        <w:t>综合评议指标表</w:t>
      </w:r>
      <w:r>
        <w:tab/>
      </w:r>
      <w:r>
        <w:rPr>
          <w:rFonts w:hint="eastAsia"/>
          <w:lang w:val="en-US" w:eastAsia="zh-CN"/>
        </w:rPr>
        <w:t>9</w:t>
      </w:r>
      <w:r>
        <w:fldChar w:fldCharType="end"/>
      </w:r>
    </w:p>
    <w:p>
      <w:pPr>
        <w:pStyle w:val="9"/>
        <w:tabs>
          <w:tab w:val="right" w:leader="dot" w:pos="9530"/>
        </w:tabs>
        <w:rPr>
          <w:rFonts w:hint="eastAsia" w:eastAsia="宋体"/>
          <w:lang w:val="en-US" w:eastAsia="zh-CN"/>
        </w:rPr>
      </w:pPr>
      <w:r>
        <w:fldChar w:fldCharType="begin"/>
      </w:r>
      <w:r>
        <w:instrText xml:space="preserve"> HYPERLINK \l "_Toc128989102" </w:instrText>
      </w:r>
      <w:r>
        <w:fldChar w:fldCharType="separate"/>
      </w:r>
      <w:r>
        <w:rPr>
          <w:rStyle w:val="18"/>
          <w:rFonts w:ascii="宋体" w:hAnsi="宋体" w:cs="宋体"/>
          <w:b/>
          <w:bCs/>
        </w:rPr>
        <w:t>八、</w:t>
      </w:r>
      <w:r>
        <w:rPr>
          <w:rStyle w:val="18"/>
          <w:rFonts w:ascii="宋体" w:hAnsi="宋体" w:cs="宋体"/>
          <w:b/>
        </w:rPr>
        <w:t>采购结果</w:t>
      </w:r>
      <w:r>
        <w:tab/>
      </w:r>
      <w:r>
        <w:rPr>
          <w:rFonts w:hint="eastAsia"/>
          <w:lang w:val="en-US" w:eastAsia="zh-CN"/>
        </w:rPr>
        <w:t>1</w:t>
      </w:r>
      <w:r>
        <w:fldChar w:fldCharType="end"/>
      </w:r>
      <w:r>
        <w:rPr>
          <w:rFonts w:hint="eastAsia"/>
          <w:lang w:val="en-US" w:eastAsia="zh-CN"/>
        </w:rPr>
        <w:t>3</w:t>
      </w:r>
    </w:p>
    <w:p>
      <w:pPr>
        <w:pStyle w:val="9"/>
        <w:tabs>
          <w:tab w:val="right" w:leader="dot" w:pos="9530"/>
        </w:tabs>
        <w:rPr>
          <w:rStyle w:val="18"/>
          <w:rFonts w:hint="default" w:ascii="宋体" w:hAnsi="宋体" w:eastAsia="宋体" w:cs="宋体"/>
          <w:b/>
          <w:bCs/>
          <w:color w:val="auto"/>
          <w:highlight w:val="none"/>
          <w:lang w:val="en-US" w:eastAsia="zh-CN"/>
        </w:rPr>
      </w:pPr>
      <w:r>
        <w:fldChar w:fldCharType="begin"/>
      </w:r>
      <w:r>
        <w:instrText xml:space="preserve"> HYPERLINK \l "_Toc128989103" </w:instrText>
      </w:r>
      <w:r>
        <w:fldChar w:fldCharType="separate"/>
      </w:r>
      <w:r>
        <w:rPr>
          <w:rStyle w:val="18"/>
          <w:rFonts w:ascii="宋体" w:hAnsi="宋体" w:cs="宋体"/>
          <w:b/>
          <w:bCs/>
        </w:rPr>
        <w:t>九、</w:t>
      </w:r>
      <w:r>
        <w:rPr>
          <w:rStyle w:val="18"/>
          <w:rFonts w:hint="eastAsia" w:ascii="宋体" w:hAnsi="宋体" w:cs="宋体"/>
          <w:b/>
          <w:bCs/>
          <w:color w:val="auto"/>
          <w:highlight w:val="none"/>
          <w:lang w:val="en-US" w:eastAsia="zh-CN"/>
        </w:rPr>
        <w:t>招标失败后续处</w:t>
      </w:r>
      <w:r>
        <w:rPr>
          <w:rStyle w:val="18"/>
          <w:rFonts w:hint="eastAsia" w:cs="宋体"/>
          <w:b/>
          <w:bCs w:val="0"/>
          <w:lang w:val="en-US" w:eastAsia="zh-CN"/>
        </w:rPr>
        <w:t>理</w:t>
      </w:r>
      <w:r>
        <w:rPr>
          <w:color w:val="auto"/>
          <w:highlight w:val="none"/>
        </w:rPr>
        <w:tab/>
      </w:r>
      <w:r>
        <w:rPr>
          <w:rFonts w:hint="eastAsia"/>
          <w:color w:val="auto"/>
          <w:highlight w:val="none"/>
          <w:lang w:val="en-US" w:eastAsia="zh-CN"/>
        </w:rPr>
        <w:t>13</w:t>
      </w:r>
    </w:p>
    <w:p>
      <w:pPr>
        <w:rPr>
          <w:rFonts w:hint="default" w:eastAsia="宋体" w:asciiTheme="minorHAnsi" w:hAnsiTheme="minorHAnsi" w:cstheme="minorBidi"/>
          <w:szCs w:val="22"/>
          <w:lang w:val="en-US" w:eastAsia="zh-CN"/>
        </w:rPr>
      </w:pPr>
      <w:r>
        <w:fldChar w:fldCharType="end"/>
      </w:r>
      <w:r>
        <w:fldChar w:fldCharType="begin"/>
      </w:r>
      <w:r>
        <w:instrText xml:space="preserve"> HYPERLINK \l "_Toc128989103" </w:instrText>
      </w:r>
      <w:r>
        <w:fldChar w:fldCharType="separate"/>
      </w:r>
      <w:r>
        <w:rPr>
          <w:rStyle w:val="18"/>
          <w:rFonts w:hint="eastAsia" w:ascii="宋体" w:hAnsi="宋体" w:cs="宋体"/>
          <w:b/>
          <w:color w:val="auto"/>
          <w:highlight w:val="none"/>
          <w:lang w:val="en-US" w:eastAsia="zh-CN"/>
        </w:rPr>
        <w:t>十、</w:t>
      </w:r>
      <w:r>
        <w:rPr>
          <w:rStyle w:val="18"/>
          <w:rFonts w:ascii="宋体" w:hAnsi="宋体" w:cs="宋体"/>
          <w:b/>
          <w:color w:val="auto"/>
          <w:highlight w:val="none"/>
        </w:rPr>
        <w:t>合同条款及格式</w:t>
      </w:r>
      <w:r>
        <w:fldChar w:fldCharType="end"/>
      </w:r>
      <w:r>
        <w:rPr>
          <w:rFonts w:hint="eastAsia"/>
          <w:lang w:val="en-US" w:eastAsia="zh-CN"/>
        </w:rPr>
        <w:t>.............................................................................................................................................14</w:t>
      </w:r>
    </w:p>
    <w:p>
      <w:pPr>
        <w:pStyle w:val="9"/>
        <w:tabs>
          <w:tab w:val="right" w:leader="dot" w:pos="9530"/>
        </w:tabs>
        <w:rPr>
          <w:rFonts w:hint="eastAsia" w:eastAsia="宋体" w:asciiTheme="minorHAnsi" w:hAnsiTheme="minorHAnsi" w:cstheme="minorBidi"/>
          <w:szCs w:val="22"/>
          <w:lang w:val="en-US" w:eastAsia="zh-CN"/>
        </w:rPr>
      </w:pPr>
      <w:r>
        <w:fldChar w:fldCharType="begin"/>
      </w:r>
      <w:r>
        <w:instrText xml:space="preserve"> HYPERLINK \l "_Toc128989104" </w:instrText>
      </w:r>
      <w:r>
        <w:fldChar w:fldCharType="separate"/>
      </w:r>
      <w:r>
        <w:rPr>
          <w:rStyle w:val="18"/>
          <w:rFonts w:ascii="宋体" w:hAnsi="宋体" w:cs="宋体"/>
          <w:b/>
          <w:bCs/>
        </w:rPr>
        <w:t>十</w:t>
      </w:r>
      <w:r>
        <w:rPr>
          <w:rStyle w:val="18"/>
          <w:rFonts w:hint="eastAsia" w:ascii="宋体" w:hAnsi="宋体" w:cs="宋体"/>
          <w:b/>
          <w:bCs/>
          <w:lang w:eastAsia="zh-CN"/>
        </w:rPr>
        <w:t>一</w:t>
      </w:r>
      <w:r>
        <w:rPr>
          <w:rStyle w:val="18"/>
          <w:rFonts w:ascii="宋体" w:hAnsi="宋体" w:cs="宋体"/>
          <w:b/>
          <w:bCs/>
        </w:rPr>
        <w:t>、</w:t>
      </w:r>
      <w:r>
        <w:rPr>
          <w:rStyle w:val="18"/>
          <w:rFonts w:ascii="宋体" w:hAnsi="宋体" w:cs="宋体"/>
          <w:b/>
        </w:rPr>
        <w:t>附件</w:t>
      </w:r>
      <w:r>
        <w:tab/>
      </w:r>
      <w:r>
        <w:rPr>
          <w:rFonts w:hint="eastAsia"/>
          <w:lang w:val="en-US" w:eastAsia="zh-CN"/>
        </w:rPr>
        <w:t>1</w:t>
      </w:r>
      <w:r>
        <w:fldChar w:fldCharType="end"/>
      </w:r>
      <w:r>
        <w:rPr>
          <w:rFonts w:hint="eastAsia"/>
          <w:lang w:val="en-US" w:eastAsia="zh-CN"/>
        </w:rPr>
        <w:t>5</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"_Toc128989105" </w:instrText>
      </w:r>
      <w:r>
        <w:fldChar w:fldCharType="separate"/>
      </w:r>
      <w:r>
        <w:rPr>
          <w:rStyle w:val="18"/>
          <w:rFonts w:ascii="仿宋" w:hAnsi="仿宋" w:eastAsia="仿宋" w:cs="仿宋"/>
        </w:rPr>
        <w:t>附件1：报名回函</w:t>
      </w:r>
      <w:r>
        <w:tab/>
      </w:r>
      <w:r>
        <w:rPr>
          <w:rFonts w:hint="eastAsia"/>
          <w:lang w:val="en-US" w:eastAsia="zh-CN"/>
        </w:rPr>
        <w:t>1</w:t>
      </w:r>
      <w:r>
        <w:fldChar w:fldCharType="end"/>
      </w:r>
      <w:r>
        <w:rPr>
          <w:rFonts w:hint="eastAsia"/>
          <w:lang w:val="en-US" w:eastAsia="zh-CN"/>
        </w:rPr>
        <w:t>5</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"_Toc128989106" </w:instrText>
      </w:r>
      <w:r>
        <w:fldChar w:fldCharType="separate"/>
      </w:r>
      <w:r>
        <w:rPr>
          <w:rStyle w:val="18"/>
          <w:rFonts w:ascii="仿宋" w:hAnsi="仿宋" w:eastAsia="仿宋" w:cs="仿宋"/>
        </w:rPr>
        <w:t>附件2：考察证明</w:t>
      </w:r>
      <w:r>
        <w:tab/>
      </w:r>
      <w:r>
        <w:rPr>
          <w:rFonts w:hint="eastAsia"/>
          <w:lang w:val="en-US" w:eastAsia="zh-CN"/>
        </w:rPr>
        <w:t>1</w:t>
      </w:r>
      <w:r>
        <w:fldChar w:fldCharType="end"/>
      </w:r>
      <w:r>
        <w:rPr>
          <w:rFonts w:hint="eastAsia"/>
          <w:lang w:val="en-US" w:eastAsia="zh-CN"/>
        </w:rPr>
        <w:t>6</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"_Toc128989107" </w:instrText>
      </w:r>
      <w:r>
        <w:fldChar w:fldCharType="separate"/>
      </w:r>
      <w:r>
        <w:rPr>
          <w:rStyle w:val="18"/>
          <w:rFonts w:ascii="仿宋" w:hAnsi="仿宋" w:eastAsia="仿宋" w:cs="仿宋"/>
        </w:rPr>
        <w:t>附件3：报价一览表（货物）（本项目不适用）</w:t>
      </w:r>
      <w:r>
        <w:tab/>
      </w:r>
      <w:r>
        <w:rPr>
          <w:rFonts w:hint="eastAsia"/>
          <w:lang w:val="en-US" w:eastAsia="zh-CN"/>
        </w:rPr>
        <w:t>1</w:t>
      </w:r>
      <w:r>
        <w:fldChar w:fldCharType="end"/>
      </w:r>
      <w:r>
        <w:rPr>
          <w:rFonts w:hint="eastAsia"/>
          <w:lang w:val="en-US" w:eastAsia="zh-CN"/>
        </w:rPr>
        <w:t>7</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"_Toc128989108" </w:instrText>
      </w:r>
      <w:r>
        <w:fldChar w:fldCharType="separate"/>
      </w:r>
      <w:r>
        <w:rPr>
          <w:rStyle w:val="18"/>
          <w:rFonts w:ascii="仿宋" w:hAnsi="仿宋" w:eastAsia="仿宋" w:cs="仿宋"/>
        </w:rPr>
        <w:t>附件4：报价一览表（服务）</w:t>
      </w:r>
      <w:r>
        <w:tab/>
      </w:r>
      <w:r>
        <w:rPr>
          <w:rFonts w:hint="eastAsia"/>
          <w:lang w:val="en-US" w:eastAsia="zh-CN"/>
        </w:rPr>
        <w:t>1</w:t>
      </w:r>
      <w:r>
        <w:fldChar w:fldCharType="end"/>
      </w:r>
      <w:r>
        <w:rPr>
          <w:rFonts w:hint="eastAsia"/>
          <w:lang w:val="en-US" w:eastAsia="zh-CN"/>
        </w:rPr>
        <w:t>8</w:t>
      </w:r>
    </w:p>
    <w:p>
      <w:pPr>
        <w:pStyle w:val="9"/>
        <w:tabs>
          <w:tab w:val="right" w:leader="dot" w:pos="9530"/>
        </w:tabs>
        <w:ind w:firstLine="424" w:firstLineChars="202"/>
        <w:jc w:val="left"/>
        <w:rPr>
          <w:rFonts w:hint="default" w:eastAsia="宋体" w:asciiTheme="minorHAnsi" w:hAnsiTheme="minorHAnsi" w:cstheme="minorBidi"/>
          <w:szCs w:val="22"/>
          <w:lang w:val="en-US" w:eastAsia="zh-CN"/>
        </w:rPr>
      </w:pPr>
      <w:r>
        <w:fldChar w:fldCharType="begin"/>
      </w:r>
      <w:r>
        <w:instrText xml:space="preserve"> HYPERLINK \l "_Toc128989109" </w:instrText>
      </w:r>
      <w:r>
        <w:fldChar w:fldCharType="separate"/>
      </w:r>
      <w:r>
        <w:rPr>
          <w:rStyle w:val="18"/>
          <w:rFonts w:ascii="仿宋" w:hAnsi="仿宋" w:eastAsia="仿宋" w:cs="仿宋"/>
        </w:rPr>
        <w:t>附件5：报价一览表（工程）（本项目不适用）</w:t>
      </w:r>
      <w:r>
        <w:tab/>
      </w:r>
      <w:r>
        <w:fldChar w:fldCharType="end"/>
      </w:r>
      <w:r>
        <w:rPr>
          <w:rFonts w:hint="eastAsia"/>
          <w:lang w:val="en-US" w:eastAsia="zh-CN"/>
        </w:rPr>
        <w:t>19</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"_Toc128989110" </w:instrText>
      </w:r>
      <w:r>
        <w:fldChar w:fldCharType="separate"/>
      </w:r>
      <w:r>
        <w:rPr>
          <w:rStyle w:val="18"/>
          <w:rFonts w:ascii="仿宋" w:hAnsi="仿宋" w:eastAsia="仿宋" w:cs="仿宋"/>
        </w:rPr>
        <w:t>附件6：商务条款响应/偏离表</w:t>
      </w:r>
      <w:r>
        <w:tab/>
      </w:r>
      <w:r>
        <w:rPr>
          <w:rFonts w:hint="eastAsia"/>
          <w:lang w:val="en-US" w:eastAsia="zh-CN"/>
        </w:rPr>
        <w:t>2</w:t>
      </w:r>
      <w:r>
        <w:fldChar w:fldCharType="end"/>
      </w:r>
      <w:r>
        <w:rPr>
          <w:rFonts w:hint="eastAsia"/>
          <w:lang w:val="en-US" w:eastAsia="zh-CN"/>
        </w:rPr>
        <w:t>0</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"_Toc128989111" </w:instrText>
      </w:r>
      <w:r>
        <w:fldChar w:fldCharType="separate"/>
      </w:r>
      <w:r>
        <w:rPr>
          <w:rStyle w:val="18"/>
          <w:rFonts w:ascii="仿宋" w:hAnsi="仿宋" w:eastAsia="仿宋" w:cs="仿宋"/>
        </w:rPr>
        <w:t>附件7： 技术（服务）响应/偏离表</w:t>
      </w:r>
      <w:r>
        <w:tab/>
      </w:r>
      <w:r>
        <w:rPr>
          <w:rFonts w:hint="eastAsia"/>
          <w:lang w:val="en-US" w:eastAsia="zh-CN"/>
        </w:rPr>
        <w:t>2</w:t>
      </w:r>
      <w:r>
        <w:fldChar w:fldCharType="end"/>
      </w:r>
      <w:r>
        <w:rPr>
          <w:rFonts w:hint="eastAsia"/>
          <w:lang w:val="en-US" w:eastAsia="zh-CN"/>
        </w:rPr>
        <w:t>1</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"_Toc128989112" </w:instrText>
      </w:r>
      <w:r>
        <w:fldChar w:fldCharType="separate"/>
      </w:r>
      <w:r>
        <w:rPr>
          <w:rStyle w:val="18"/>
          <w:rFonts w:ascii="仿宋" w:hAnsi="仿宋" w:eastAsia="仿宋" w:cs="仿宋"/>
        </w:rPr>
        <w:t>附件8：法定代表人证明书</w:t>
      </w:r>
      <w:r>
        <w:tab/>
      </w:r>
      <w:r>
        <w:rPr>
          <w:rFonts w:hint="eastAsia"/>
          <w:lang w:val="en-US" w:eastAsia="zh-CN"/>
        </w:rPr>
        <w:t>2</w:t>
      </w:r>
      <w:r>
        <w:fldChar w:fldCharType="end"/>
      </w:r>
      <w:r>
        <w:rPr>
          <w:rFonts w:hint="eastAsia"/>
          <w:lang w:val="en-US" w:eastAsia="zh-CN"/>
        </w:rPr>
        <w:t>2</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"_Toc128989113" </w:instrText>
      </w:r>
      <w:r>
        <w:fldChar w:fldCharType="separate"/>
      </w:r>
      <w:r>
        <w:rPr>
          <w:rStyle w:val="18"/>
          <w:rFonts w:ascii="仿宋" w:hAnsi="仿宋" w:eastAsia="仿宋" w:cs="仿宋"/>
        </w:rPr>
        <w:t>附件9：法人授权委托证明书</w:t>
      </w:r>
      <w:r>
        <w:tab/>
      </w:r>
      <w:r>
        <w:rPr>
          <w:rFonts w:hint="eastAsia"/>
          <w:lang w:val="en-US" w:eastAsia="zh-CN"/>
        </w:rPr>
        <w:t>2</w:t>
      </w:r>
      <w:r>
        <w:fldChar w:fldCharType="end"/>
      </w:r>
      <w:r>
        <w:rPr>
          <w:rFonts w:hint="eastAsia"/>
          <w:lang w:val="en-US" w:eastAsia="zh-CN"/>
        </w:rPr>
        <w:t>3</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"_Toc128989114" </w:instrText>
      </w:r>
      <w:r>
        <w:fldChar w:fldCharType="separate"/>
      </w:r>
      <w:r>
        <w:rPr>
          <w:rStyle w:val="18"/>
          <w:rFonts w:ascii="仿宋" w:hAnsi="仿宋" w:eastAsia="仿宋" w:cs="仿宋"/>
        </w:rPr>
        <w:t>附件10：经营业绩一览表</w:t>
      </w:r>
      <w:r>
        <w:tab/>
      </w:r>
      <w:r>
        <w:rPr>
          <w:rFonts w:hint="eastAsia"/>
          <w:lang w:val="en-US" w:eastAsia="zh-CN"/>
        </w:rPr>
        <w:t>2</w:t>
      </w:r>
      <w:r>
        <w:fldChar w:fldCharType="end"/>
      </w:r>
      <w:r>
        <w:rPr>
          <w:rFonts w:hint="eastAsia"/>
          <w:lang w:val="en-US" w:eastAsia="zh-CN"/>
        </w:rPr>
        <w:t>4</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"_Toc128989115" </w:instrText>
      </w:r>
      <w:r>
        <w:fldChar w:fldCharType="separate"/>
      </w:r>
      <w:r>
        <w:rPr>
          <w:rStyle w:val="18"/>
          <w:rFonts w:ascii="仿宋" w:hAnsi="仿宋" w:eastAsia="仿宋" w:cs="仿宋"/>
        </w:rPr>
        <w:t>附件11：售后服务承诺书/质量保修服务承诺书（根据项目类型选择）</w:t>
      </w:r>
      <w:r>
        <w:tab/>
      </w:r>
      <w:r>
        <w:rPr>
          <w:rFonts w:hint="eastAsia"/>
          <w:lang w:val="en-US" w:eastAsia="zh-CN"/>
        </w:rPr>
        <w:t>2</w:t>
      </w:r>
      <w:r>
        <w:fldChar w:fldCharType="end"/>
      </w:r>
      <w:r>
        <w:rPr>
          <w:rFonts w:hint="eastAsia"/>
          <w:lang w:val="en-US" w:eastAsia="zh-CN"/>
        </w:rPr>
        <w:t>5</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"_Toc128989116" </w:instrText>
      </w:r>
      <w:r>
        <w:fldChar w:fldCharType="separate"/>
      </w:r>
      <w:r>
        <w:rPr>
          <w:rStyle w:val="18"/>
          <w:rFonts w:ascii="仿宋" w:hAnsi="仿宋" w:eastAsia="仿宋" w:cs="仿宋"/>
        </w:rPr>
        <w:t>附件12：履约情况及社会信誉承诺书</w:t>
      </w:r>
      <w:r>
        <w:tab/>
      </w:r>
      <w:r>
        <w:rPr>
          <w:rFonts w:hint="eastAsia"/>
          <w:lang w:val="en-US" w:eastAsia="zh-CN"/>
        </w:rPr>
        <w:t>2</w:t>
      </w:r>
      <w:r>
        <w:fldChar w:fldCharType="end"/>
      </w:r>
      <w:r>
        <w:rPr>
          <w:rFonts w:hint="eastAsia"/>
          <w:lang w:val="en-US" w:eastAsia="zh-CN"/>
        </w:rPr>
        <w:t>6</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"_Toc128989117" </w:instrText>
      </w:r>
      <w:r>
        <w:fldChar w:fldCharType="separate"/>
      </w:r>
      <w:r>
        <w:rPr>
          <w:rStyle w:val="18"/>
          <w:rFonts w:ascii="仿宋" w:hAnsi="仿宋" w:eastAsia="仿宋" w:cs="仿宋"/>
        </w:rPr>
        <w:t>附件13：投标文件密码</w:t>
      </w:r>
      <w:r>
        <w:tab/>
      </w:r>
      <w:r>
        <w:rPr>
          <w:rFonts w:hint="eastAsia"/>
          <w:lang w:val="en-US" w:eastAsia="zh-CN"/>
        </w:rPr>
        <w:t>2</w:t>
      </w:r>
      <w:r>
        <w:fldChar w:fldCharType="end"/>
      </w:r>
      <w:r>
        <w:rPr>
          <w:rFonts w:hint="eastAsia"/>
          <w:lang w:val="en-US" w:eastAsia="zh-CN"/>
        </w:rPr>
        <w:t>7</w:t>
      </w:r>
    </w:p>
    <w:p>
      <w:pPr>
        <w:pStyle w:val="11"/>
        <w:spacing w:line="360" w:lineRule="auto"/>
        <w:rPr>
          <w:rFonts w:hint="eastAsia" w:ascii="仿宋" w:hAnsi="仿宋" w:eastAsia="仿宋" w:cs="仿宋"/>
          <w:b/>
          <w:sz w:val="24"/>
        </w:rPr>
      </w:pPr>
      <w:r>
        <w:rPr>
          <w:rFonts w:hint="eastAsia" w:ascii="仿宋" w:hAnsi="仿宋" w:eastAsia="仿宋" w:cs="仿宋"/>
          <w:b/>
          <w:sz w:val="24"/>
        </w:rPr>
        <w:fldChar w:fldCharType="end"/>
      </w:r>
    </w:p>
    <w:p>
      <w:pPr>
        <w:bidi w:val="0"/>
        <w:rPr>
          <w:rFonts w:hint="eastAsia"/>
        </w:rPr>
      </w:pPr>
    </w:p>
    <w:p>
      <w:pPr>
        <w:bidi w:val="0"/>
        <w:rPr>
          <w:rFonts w:hint="eastAsia"/>
        </w:rPr>
      </w:pPr>
    </w:p>
    <w:p>
      <w:pPr>
        <w:bidi w:val="0"/>
        <w:rPr>
          <w:rFonts w:hint="eastAsia"/>
        </w:rPr>
      </w:pPr>
    </w:p>
    <w:p>
      <w:pPr>
        <w:bidi w:val="0"/>
        <w:rPr>
          <w:rFonts w:hint="eastAsia"/>
        </w:rPr>
      </w:pPr>
    </w:p>
    <w:p>
      <w:pPr>
        <w:tabs>
          <w:tab w:val="left" w:pos="5476"/>
        </w:tabs>
        <w:bidi w:val="0"/>
        <w:jc w:val="left"/>
        <w:rPr>
          <w:rFonts w:hint="eastAsia" w:eastAsia="宋体"/>
          <w:lang w:eastAsia="zh-CN"/>
        </w:rPr>
        <w:sectPr>
          <w:headerReference r:id="rId3" w:type="default"/>
          <w:footerReference r:id="rId4" w:type="default"/>
          <w:pgSz w:w="11906" w:h="16838"/>
          <w:pgMar w:top="1134" w:right="926" w:bottom="1020" w:left="1327" w:header="640" w:footer="1020" w:gutter="0"/>
          <w:cols w:space="720" w:num="1"/>
          <w:docGrid w:type="lines" w:linePitch="312" w:charSpace="0"/>
        </w:sectPr>
      </w:pPr>
      <w:r>
        <w:rPr>
          <w:rFonts w:hint="eastAsia"/>
          <w:lang w:eastAsia="zh-CN"/>
        </w:rPr>
        <w:tab/>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cs="宋体"/>
                <w:color w:val="000000"/>
                <w:szCs w:val="21"/>
                <w:highlight w:val="none"/>
              </w:rPr>
              <w:t>黄先生</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电话：0755-8284</w:t>
            </w:r>
            <w:r>
              <w:rPr>
                <w:rFonts w:hint="eastAsia" w:ascii="宋体" w:hAnsi="宋体" w:cs="宋体"/>
                <w:color w:val="000000"/>
                <w:szCs w:val="21"/>
                <w:highlight w:val="none"/>
              </w:rPr>
              <w:t>8822</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szCs w:val="21"/>
                <w:highlight w:val="none"/>
                <w:lang w:val="en-US" w:eastAsia="zh-CN"/>
              </w:rPr>
              <w:t>cghyz</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color w:val="FF0000"/>
                <w:szCs w:val="21"/>
                <w:highlight w:val="yellow"/>
                <w:lang w:eastAsia="zh-CN"/>
              </w:rPr>
            </w:pPr>
            <w:r>
              <w:rPr>
                <w:rFonts w:hint="eastAsia" w:ascii="宋体" w:hAnsi="宋体"/>
                <w:color w:val="auto"/>
                <w:szCs w:val="21"/>
                <w:highlight w:val="none"/>
              </w:rPr>
              <w:t>第二十五届高交会新闻中心运营项目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二次启动</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FF0000"/>
                <w:szCs w:val="21"/>
                <w:highlight w:val="yellow"/>
                <w:lang w:val="en-US" w:eastAsia="zh-CN"/>
              </w:rPr>
              <w:t>服务</w:t>
            </w:r>
            <w:r>
              <w:rPr>
                <w:rFonts w:hint="eastAsia" w:ascii="宋体" w:hAnsi="宋体"/>
                <w:color w:val="FF0000"/>
                <w:szCs w:val="21"/>
                <w:highlight w:val="yellow"/>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rPr>
              <w:t>为更好地服务第二十</w:t>
            </w:r>
            <w:r>
              <w:rPr>
                <w:rFonts w:hint="eastAsia" w:ascii="宋体" w:hAnsi="宋体"/>
                <w:szCs w:val="21"/>
                <w:lang w:eastAsia="zh-CN"/>
              </w:rPr>
              <w:t>五</w:t>
            </w:r>
            <w:r>
              <w:rPr>
                <w:rFonts w:hint="eastAsia" w:ascii="宋体" w:hAnsi="宋体"/>
                <w:szCs w:val="21"/>
              </w:rPr>
              <w:t>届高交会参会媒体，并配合上级</w:t>
            </w:r>
            <w:r>
              <w:rPr>
                <w:rFonts w:hint="eastAsia" w:ascii="宋体" w:hAnsi="宋体"/>
                <w:szCs w:val="21"/>
                <w:lang w:eastAsia="zh-CN"/>
              </w:rPr>
              <w:t>部门</w:t>
            </w:r>
            <w:r>
              <w:rPr>
                <w:rFonts w:hint="eastAsia" w:ascii="宋体" w:hAnsi="宋体"/>
                <w:szCs w:val="21"/>
              </w:rPr>
              <w:t>完成高交会新闻中心的现场服务工作，将新闻中心的服务运营工作全面交由一家合作单位负责，优化新闻中心内的各项服务，为媒体提供一个良好的办公环境和报道氛围。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24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https://cg.szcec.com/sharing/AGnMlTpnn，</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30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31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https://cg.szcec.com/sharing/XyjzjIvuD，</w:t>
            </w:r>
            <w:r>
              <w:rPr>
                <w:rFonts w:hint="eastAsia" w:ascii="宋体" w:hAnsi="宋体"/>
                <w:szCs w:val="21"/>
              </w:rPr>
              <w:t>并致电确认</w:t>
            </w:r>
            <w:bookmarkStart w:id="1" w:name="_Toc478110532"/>
            <w:bookmarkStart w:id="2" w:name="_Toc478393187"/>
            <w:bookmarkStart w:id="3" w:name="_Toc478392822"/>
            <w:r>
              <w:rPr>
                <w:rFonts w:hint="eastAsia" w:ascii="宋体" w:hAnsi="宋体"/>
                <w:szCs w:val="21"/>
              </w:rPr>
              <w:t>。</w:t>
            </w:r>
            <w:r>
              <w:rPr>
                <w:rFonts w:hint="eastAsia" w:ascii="宋体" w:hAnsi="宋体"/>
              </w:rPr>
              <w:t>注意事项如下：</w:t>
            </w:r>
          </w:p>
          <w:p>
            <w:pPr>
              <w:pStyle w:val="28"/>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8"/>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keepNext w:val="0"/>
              <w:keepLines w:val="0"/>
              <w:widowControl/>
              <w:suppressLineNumbers w:val="0"/>
              <w:tabs>
                <w:tab w:val="left" w:pos="0"/>
                <w:tab w:val="left" w:pos="993"/>
              </w:tabs>
              <w:adjustRightInd w:val="0"/>
              <w:snapToGrid w:val="0"/>
              <w:spacing w:before="0" w:beforeAutospacing="0" w:after="0" w:afterAutospacing="0"/>
              <w:ind w:left="0" w:right="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5分钟内将投标文件解密密码上传至https://cg.szcec.com/sharing/oyXwYXnTl</w:t>
            </w:r>
            <w:bookmarkStart w:id="53" w:name="_GoBack"/>
            <w:bookmarkEnd w:id="53"/>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28"/>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8"/>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A3"/>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8"/>
        <w:numPr>
          <w:ilvl w:val="0"/>
          <w:numId w:val="7"/>
        </w:numPr>
        <w:spacing w:line="360" w:lineRule="auto"/>
        <w:ind w:left="0" w:firstLine="420" w:firstLineChars="0"/>
        <w:rPr>
          <w:rFonts w:ascii="宋体" w:hAnsi="宋体" w:cs="宋体"/>
          <w:szCs w:val="21"/>
        </w:rPr>
      </w:pPr>
      <w:bookmarkStart w:id="5" w:name="_Toc478387747"/>
      <w:bookmarkStart w:id="6" w:name="_Toc517278751"/>
      <w:bookmarkStart w:id="7"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5" w:hanging="5"/>
              <w:rPr>
                <w:rFonts w:ascii="宋体" w:hAnsi="宋体" w:cs="宋体"/>
                <w:szCs w:val="21"/>
              </w:rPr>
            </w:pP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9"/>
              </w:numPr>
              <w:tabs>
                <w:tab w:val="left" w:pos="531"/>
              </w:tabs>
              <w:snapToGrid w:val="0"/>
              <w:ind w:left="5" w:hanging="5"/>
              <w:rPr>
                <w:rFonts w:ascii="宋体" w:hAnsi="宋体" w:cs="宋体"/>
              </w:rPr>
            </w:pPr>
            <w:bookmarkStart w:id="10" w:name="OLE_LINK3"/>
            <w:bookmarkStart w:id="11" w:name="OLE_LINK4"/>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bookmarkEnd w:id="10"/>
            <w:bookmarkEnd w:id="11"/>
          </w:p>
          <w:p>
            <w:pPr>
              <w:numPr>
                <w:ilvl w:val="0"/>
                <w:numId w:val="9"/>
              </w:numPr>
              <w:tabs>
                <w:tab w:val="left" w:pos="531"/>
              </w:tabs>
              <w:snapToGrid w:val="0"/>
              <w:rPr>
                <w:rFonts w:hint="eastAsia" w:ascii="宋体" w:hAnsi="宋体" w:cs="宋体"/>
                <w:color w:val="auto"/>
                <w:szCs w:val="21"/>
                <w:highlight w:val="none"/>
              </w:rPr>
            </w:pPr>
            <w:r>
              <w:rPr>
                <w:rFonts w:hint="eastAsia" w:ascii="宋体" w:hAnsi="宋体" w:cs="宋体"/>
                <w:color w:val="auto"/>
                <w:szCs w:val="21"/>
                <w:highlight w:val="none"/>
                <w:lang w:val="en-US" w:eastAsia="zh-CN"/>
              </w:rPr>
              <w:t>参加单位</w:t>
            </w:r>
            <w:r>
              <w:rPr>
                <w:rFonts w:hint="eastAsia" w:ascii="宋体" w:hAnsi="宋体" w:cs="宋体"/>
                <w:color w:val="auto"/>
                <w:szCs w:val="21"/>
                <w:highlight w:val="none"/>
              </w:rPr>
              <w:t>自2019年9月1日截止至招标公告发布日，有为展会做过服务的相关经验。（提供上述项目经验的合同关键页复印件并加盖公章，合同关键页包含但不限于项目名称、业主方名称、合同主要内容、签订时间、履约地点、甲乙双方盖章等信息）。</w:t>
            </w:r>
          </w:p>
          <w:p>
            <w:pPr>
              <w:numPr>
                <w:ilvl w:val="0"/>
                <w:numId w:val="9"/>
              </w:numPr>
              <w:tabs>
                <w:tab w:val="left" w:pos="531"/>
              </w:tabs>
              <w:snapToGrid w:val="0"/>
              <w:rPr>
                <w:rFonts w:ascii="宋体" w:hAnsi="宋体" w:cs="宋体"/>
                <w:kern w:val="0"/>
                <w:sz w:val="24"/>
              </w:rPr>
            </w:pPr>
            <w:r>
              <w:rPr>
                <w:rFonts w:hint="eastAsia" w:ascii="宋体" w:hAnsi="宋体" w:cs="宋体"/>
                <w:color w:val="auto"/>
                <w:szCs w:val="21"/>
                <w:highlight w:val="none"/>
              </w:rPr>
              <w:t>本项目不接受联合体投标，不允许分包、转包。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宋体" w:hAnsi="宋体" w:cs="宋体"/>
                <w:szCs w:val="21"/>
              </w:rPr>
            </w:pPr>
            <w:r>
              <w:rPr>
                <w:rFonts w:hint="eastAsia" w:ascii="宋体" w:hAnsi="宋体" w:cs="宋体"/>
                <w:szCs w:val="21"/>
              </w:rPr>
              <w:t>（1）报价以人民币为结算币种，本项目为综合总价合同。报价应包含未税总价、含税总价、税率及分项报价。</w:t>
            </w:r>
          </w:p>
          <w:p>
            <w:pPr>
              <w:snapToGrid w:val="0"/>
              <w:spacing w:line="0" w:lineRule="atLeast"/>
              <w:rPr>
                <w:rFonts w:hint="eastAsia" w:ascii="宋体" w:hAnsi="宋体" w:cs="宋体"/>
                <w:szCs w:val="21"/>
              </w:rPr>
            </w:pPr>
            <w:r>
              <w:rPr>
                <w:rFonts w:hint="eastAsia" w:ascii="宋体" w:hAnsi="宋体" w:cs="宋体"/>
                <w:szCs w:val="21"/>
              </w:rPr>
              <w:t>（2）报价不得出现可选择性的报价,含有备选方案的报价将导致废标。</w:t>
            </w:r>
          </w:p>
          <w:p>
            <w:pPr>
              <w:snapToGrid w:val="0"/>
              <w:spacing w:line="0" w:lineRule="atLeast"/>
              <w:rPr>
                <w:rFonts w:ascii="宋体" w:hAnsi="宋体" w:cs="宋体"/>
                <w:sz w:val="24"/>
              </w:rPr>
            </w:pPr>
            <w:r>
              <w:rPr>
                <w:rFonts w:hint="eastAsia" w:ascii="宋体" w:hAnsi="宋体" w:cs="宋体"/>
                <w:szCs w:val="21"/>
              </w:rPr>
              <w:t>（3）报价包括但不限于宣传费、印刷费、人工费、设备设施费用及增值税等完成本项目所需的全部费用。招标人不再另行支付其他费用。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 w:val="24"/>
              </w:rPr>
            </w:pPr>
            <w:r>
              <w:rPr>
                <w:rFonts w:hint="eastAsia" w:ascii="宋体" w:hAnsi="宋体" w:cs="宋体"/>
              </w:rPr>
              <w:t>本项目控制金额为人</w:t>
            </w:r>
            <w:r>
              <w:rPr>
                <w:rFonts w:hint="eastAsia" w:ascii="宋体" w:hAnsi="宋体" w:cs="宋体"/>
                <w:color w:val="auto"/>
                <w:highlight w:val="none"/>
              </w:rPr>
              <w:t>民币</w:t>
            </w:r>
            <w:r>
              <w:rPr>
                <w:rFonts w:hint="eastAsia" w:ascii="宋体" w:hAnsi="宋体" w:cs="宋体"/>
                <w:color w:val="auto"/>
                <w:highlight w:val="none"/>
                <w:lang w:val="en-US" w:eastAsia="zh-CN"/>
              </w:rPr>
              <w:t>12</w:t>
            </w:r>
            <w:r>
              <w:rPr>
                <w:rFonts w:hint="eastAsia" w:ascii="宋体" w:hAnsi="宋体" w:cs="宋体"/>
                <w:color w:val="auto"/>
                <w:highlight w:val="none"/>
              </w:rPr>
              <w:t>万元（含税</w:t>
            </w:r>
            <w:r>
              <w:rPr>
                <w:rFonts w:hint="eastAsia" w:ascii="宋体" w:hAnsi="宋体" w:cs="宋体"/>
              </w:rPr>
              <w:t>），报价高于上述控制金额的，参加单位的响应文件视同无效。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hint="eastAsia" w:ascii="宋体" w:hAnsi="宋体" w:cs="宋体"/>
                <w:kern w:val="0"/>
                <w:sz w:val="21"/>
                <w:szCs w:val="21"/>
              </w:rPr>
            </w:pPr>
            <w:r>
              <w:rPr>
                <w:rFonts w:hint="eastAsia" w:ascii="宋体" w:hAnsi="宋体" w:cs="宋体"/>
                <w:kern w:val="0"/>
                <w:sz w:val="21"/>
                <w:szCs w:val="21"/>
              </w:rPr>
              <w:t>（1）付款方式；在项目结束且结果经招标人验收合格后，招标人一次性支付项目全部款项。中标人须提供等额有效增值税发票。</w:t>
            </w:r>
          </w:p>
          <w:p>
            <w:pPr>
              <w:pStyle w:val="28"/>
              <w:spacing w:line="0" w:lineRule="atLeast"/>
              <w:ind w:firstLine="0" w:firstLineChars="0"/>
              <w:rPr>
                <w:rFonts w:ascii="宋体" w:hAnsi="宋体" w:cs="宋体"/>
                <w:kern w:val="0"/>
                <w:sz w:val="24"/>
              </w:rPr>
            </w:pPr>
            <w:r>
              <w:rPr>
                <w:rFonts w:hint="eastAsia" w:ascii="宋体" w:hAnsi="宋体" w:cs="宋体"/>
                <w:kern w:val="0"/>
                <w:sz w:val="21"/>
                <w:szCs w:val="21"/>
              </w:rPr>
              <w:t>（2）有关合同价格详细事宜以合同条款为准。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工期/服务期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hint="default" w:ascii="宋体" w:hAnsi="宋体" w:eastAsia="宋体" w:cs="宋体"/>
                <w:color w:val="auto"/>
                <w:kern w:val="0"/>
                <w:sz w:val="24"/>
                <w:highlight w:val="none"/>
                <w:lang w:val="en-US" w:eastAsia="zh-CN"/>
              </w:rPr>
            </w:pPr>
            <w:r>
              <w:rPr>
                <w:rFonts w:hint="eastAsia" w:ascii="宋体" w:hAnsi="宋体" w:cs="宋体"/>
                <w:color w:val="auto"/>
                <w:highlight w:val="none"/>
                <w:lang w:val="en-US" w:eastAsia="zh-CN"/>
              </w:rPr>
              <w:t>40天</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项目负责人</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pacing w:line="360" w:lineRule="auto"/>
              <w:ind w:left="31" w:leftChars="15" w:firstLine="0" w:firstLineChars="0"/>
              <w:jc w:val="left"/>
              <w:rPr>
                <w:rFonts w:ascii="宋体" w:hAnsi="宋体" w:cs="宋体"/>
                <w:kern w:val="0"/>
                <w:sz w:val="24"/>
              </w:rPr>
            </w:pPr>
            <w:r>
              <w:rPr>
                <w:rFonts w:hint="eastAsia" w:ascii="宋体" w:hAnsi="宋体" w:cs="仿宋_GB2312"/>
                <w:color w:val="auto"/>
                <w:sz w:val="21"/>
                <w:szCs w:val="21"/>
                <w:lang w:val="en-US" w:eastAsia="zh-CN"/>
              </w:rPr>
              <w:t>参加单位</w:t>
            </w:r>
            <w:r>
              <w:rPr>
                <w:rFonts w:hint="eastAsia" w:ascii="宋体" w:hAnsi="宋体" w:eastAsia="宋体" w:cs="仿宋_GB2312"/>
                <w:color w:val="auto"/>
                <w:sz w:val="21"/>
                <w:szCs w:val="21"/>
              </w:rPr>
              <w:t>须指定项目负责人，并提供该负责人姓名、电话、职务及身份证复印件（加盖公章，原件备查）等信息，负责联络协调及跟进该项目具体实施。</w:t>
            </w:r>
            <w:r>
              <w:rPr>
                <w:rFonts w:hint="eastAsia" w:ascii="宋体" w:hAnsi="宋体" w:cs="仿宋_GB2312"/>
                <w:color w:val="auto"/>
                <w:sz w:val="21"/>
                <w:szCs w:val="21"/>
                <w:lang w:val="en-US" w:eastAsia="zh-CN"/>
              </w:rPr>
              <w:t>该负责人不得随意更换，如确需更换需得到招标人同意后方可替换。</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lang w:eastAsia="zh-CN"/>
              </w:rPr>
            </w:pPr>
            <w:r>
              <w:rPr>
                <w:rFonts w:hint="eastAsia" w:ascii="宋体" w:hAnsi="宋体" w:cs="宋体"/>
                <w:color w:val="auto"/>
                <w:szCs w:val="21"/>
                <w:highlight w:val="none"/>
                <w:lang w:eastAsia="zh-CN"/>
              </w:rPr>
              <w:t>其他要求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numPr>
                <w:ilvl w:val="0"/>
                <w:numId w:val="0"/>
              </w:numPr>
              <w:tabs>
                <w:tab w:val="left" w:pos="531"/>
              </w:tabs>
              <w:snapToGrid w:val="0"/>
              <w:spacing w:line="360" w:lineRule="auto"/>
              <w:ind w:leftChars="0"/>
              <w:rPr>
                <w:rFonts w:hint="eastAsia" w:ascii="宋体" w:hAnsi="宋体" w:eastAsia="宋体" w:cs="仿宋_GB2312"/>
                <w:color w:val="auto"/>
                <w:kern w:val="2"/>
                <w:sz w:val="21"/>
                <w:szCs w:val="21"/>
                <w:lang w:val="en-US" w:eastAsia="zh-CN" w:bidi="ar-SA"/>
              </w:rPr>
            </w:pP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1</w:t>
            </w:r>
            <w:r>
              <w:rPr>
                <w:rFonts w:hint="eastAsia" w:ascii="宋体" w:hAnsi="宋体" w:eastAsia="宋体" w:cs="仿宋_GB2312"/>
                <w:color w:val="auto"/>
                <w:sz w:val="21"/>
                <w:szCs w:val="21"/>
                <w:lang w:eastAsia="zh-CN"/>
              </w:rPr>
              <w:t>）</w:t>
            </w:r>
            <w:r>
              <w:rPr>
                <w:rFonts w:hint="eastAsia" w:ascii="宋体" w:hAnsi="宋体" w:eastAsia="宋体" w:cs="仿宋_GB2312"/>
                <w:color w:val="auto"/>
                <w:kern w:val="2"/>
                <w:sz w:val="21"/>
                <w:szCs w:val="21"/>
                <w:lang w:val="en-US" w:eastAsia="zh-CN" w:bidi="ar-SA"/>
              </w:rPr>
              <w:t>如因不可抗力导致高交会或论坛停止举办的，自通知发布之时合同即自动终止并解除，此期间投标人因如约履行本项目合同且已实际发生的直接费用，招标人须按实予以结算。同时，招标人不再承担投标人由此造成的其他间接费用和损失，投标人亦不得再就上述事项进行任何形式的索赔。</w:t>
            </w:r>
          </w:p>
          <w:p>
            <w:pPr>
              <w:pStyle w:val="28"/>
              <w:numPr>
                <w:ilvl w:val="0"/>
                <w:numId w:val="0"/>
              </w:numPr>
              <w:tabs>
                <w:tab w:val="left" w:pos="531"/>
              </w:tabs>
              <w:snapToGrid w:val="0"/>
              <w:spacing w:line="360" w:lineRule="auto"/>
              <w:ind w:leftChars="0"/>
              <w:rPr>
                <w:rFonts w:hint="eastAsia" w:ascii="宋体" w:hAnsi="宋体" w:eastAsia="宋体" w:cs="仿宋_GB2312"/>
                <w:color w:val="auto"/>
                <w:kern w:val="2"/>
                <w:sz w:val="21"/>
                <w:szCs w:val="21"/>
                <w:lang w:val="en-US" w:eastAsia="zh-CN" w:bidi="ar-SA"/>
              </w:rPr>
            </w:pP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2</w:t>
            </w:r>
            <w:r>
              <w:rPr>
                <w:rFonts w:hint="eastAsia" w:ascii="宋体" w:hAnsi="宋体" w:eastAsia="宋体" w:cs="仿宋_GB2312"/>
                <w:color w:val="auto"/>
                <w:sz w:val="21"/>
                <w:szCs w:val="21"/>
                <w:lang w:eastAsia="zh-CN"/>
              </w:rPr>
              <w:t>）</w:t>
            </w:r>
            <w:r>
              <w:rPr>
                <w:rFonts w:hint="eastAsia" w:ascii="宋体" w:hAnsi="宋体" w:eastAsia="宋体" w:cs="仿宋_GB2312"/>
                <w:color w:val="auto"/>
                <w:kern w:val="2"/>
                <w:sz w:val="21"/>
                <w:szCs w:val="21"/>
                <w:lang w:val="en-US" w:eastAsia="zh-CN" w:bidi="ar-SA"/>
              </w:rPr>
              <w:t>如因不可抗力导致高交会会期或其它相关事项、要素发生变动的，投标人须无条件配合调整相关服务（如增减服务内容、延期、展会地点或举办形式调整等），并视情况签订相应的补充协议。</w:t>
            </w:r>
          </w:p>
          <w:p>
            <w:pPr>
              <w:pStyle w:val="28"/>
              <w:numPr>
                <w:ilvl w:val="0"/>
                <w:numId w:val="0"/>
              </w:numPr>
              <w:snapToGrid w:val="0"/>
              <w:spacing w:line="360" w:lineRule="auto"/>
              <w:ind w:left="0" w:leftChars="0" w:firstLine="0" w:firstLineChars="0"/>
              <w:jc w:val="left"/>
              <w:rPr>
                <w:rFonts w:hint="eastAsia" w:ascii="宋体" w:hAnsi="宋体" w:cs="宋体"/>
                <w:szCs w:val="21"/>
                <w:lang w:val="en-US" w:eastAsia="zh-CN"/>
              </w:rPr>
            </w:pPr>
            <w:r>
              <w:rPr>
                <w:rFonts w:hint="eastAsia"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3</w:t>
            </w:r>
            <w:r>
              <w:rPr>
                <w:rFonts w:hint="eastAsia" w:ascii="宋体" w:hAnsi="宋体" w:eastAsia="宋体" w:cs="仿宋_GB2312"/>
                <w:color w:val="auto"/>
                <w:sz w:val="21"/>
                <w:szCs w:val="21"/>
                <w:lang w:eastAsia="zh-CN"/>
              </w:rPr>
              <w:t>）</w:t>
            </w:r>
            <w:r>
              <w:rPr>
                <w:rFonts w:hint="eastAsia" w:ascii="宋体" w:hAnsi="宋体" w:eastAsia="宋体" w:cs="仿宋_GB2312"/>
                <w:color w:val="auto"/>
                <w:kern w:val="2"/>
                <w:sz w:val="21"/>
                <w:szCs w:val="21"/>
                <w:lang w:val="en-US" w:eastAsia="zh-CN" w:bidi="ar-SA"/>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color w:val="auto"/>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rPr>
            </w:pPr>
            <w:r>
              <w:rPr>
                <w:rFonts w:hint="eastAsia" w:ascii="宋体" w:hAnsi="宋体" w:cs="宋体"/>
                <w:szCs w:val="21"/>
              </w:rPr>
              <w:t>总体要求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hint="eastAsia" w:ascii="宋体" w:hAnsi="宋体" w:eastAsia="宋体" w:cs="宋体"/>
                <w:lang w:val="en-US" w:eastAsia="zh-CN"/>
              </w:rPr>
            </w:pPr>
            <w:r>
              <w:rPr>
                <w:rFonts w:hint="eastAsia" w:ascii="宋体" w:hAnsi="宋体" w:eastAsia="宋体" w:cs="宋体"/>
                <w:lang w:val="en-US" w:eastAsia="zh-CN"/>
              </w:rPr>
              <w:t>（1）高交会新闻中心运营服务：</w:t>
            </w:r>
          </w:p>
          <w:p>
            <w:pPr>
              <w:numPr>
                <w:ilvl w:val="0"/>
                <w:numId w:val="0"/>
              </w:numPr>
              <w:spacing w:line="360" w:lineRule="auto"/>
              <w:ind w:leftChars="0"/>
              <w:jc w:val="left"/>
              <w:rPr>
                <w:rFonts w:hint="eastAsia" w:ascii="宋体" w:hAnsi="宋体" w:eastAsia="宋体" w:cs="宋体"/>
                <w:lang w:val="en-US" w:eastAsia="zh-CN"/>
              </w:rPr>
            </w:pPr>
            <w:r>
              <w:rPr>
                <w:rFonts w:hint="eastAsia" w:ascii="宋体" w:hAnsi="宋体" w:eastAsia="宋体" w:cs="宋体"/>
                <w:lang w:val="en-US" w:eastAsia="zh-CN"/>
              </w:rPr>
              <w:t>高交会新闻中心于11月5日至11月20日运营，运营期间参加单位须至少安排6名专职工作人员为高交会新闻中心提供运营服务，工作内容包含但不仅限于媒体咨询、媒体报名、电话接听咨询、采访证件发放、记者餐券发放的相关服务工作。</w:t>
            </w:r>
          </w:p>
          <w:p>
            <w:pPr>
              <w:numPr>
                <w:ilvl w:val="0"/>
                <w:numId w:val="0"/>
              </w:numPr>
              <w:spacing w:line="360" w:lineRule="auto"/>
              <w:ind w:leftChars="0"/>
              <w:jc w:val="left"/>
              <w:rPr>
                <w:rFonts w:hint="eastAsia" w:ascii="宋体" w:hAnsi="宋体" w:eastAsia="宋体" w:cs="宋体"/>
                <w:lang w:val="en-US" w:eastAsia="zh-CN"/>
              </w:rPr>
            </w:pPr>
            <w:r>
              <w:rPr>
                <w:rFonts w:hint="eastAsia" w:ascii="宋体" w:hAnsi="宋体" w:eastAsia="宋体" w:cs="宋体"/>
                <w:lang w:val="en-US" w:eastAsia="zh-CN"/>
              </w:rPr>
              <w:t>（2）接待服务：</w:t>
            </w:r>
          </w:p>
          <w:p>
            <w:pPr>
              <w:numPr>
                <w:ilvl w:val="0"/>
                <w:numId w:val="0"/>
              </w:numPr>
              <w:spacing w:line="360" w:lineRule="auto"/>
              <w:ind w:leftChars="0"/>
              <w:jc w:val="left"/>
              <w:rPr>
                <w:rFonts w:hint="eastAsia" w:ascii="宋体" w:hAnsi="宋体" w:eastAsia="宋体" w:cs="宋体"/>
                <w:lang w:val="en-US" w:eastAsia="zh-CN"/>
              </w:rPr>
            </w:pPr>
            <w:r>
              <w:rPr>
                <w:rFonts w:hint="eastAsia" w:ascii="宋体" w:hAnsi="宋体" w:eastAsia="宋体" w:cs="宋体"/>
                <w:lang w:val="en-US" w:eastAsia="zh-CN"/>
              </w:rPr>
              <w:t>参加单位在11月13日至11月19日提供专职工作人员6名提供接待服务工作。活动期间参加单位按照要求配合活动相关的准备工作以及活动期间的接待工作，工作内容包含但不仅限于现场设备收发、指示牌摆放、会议用品整理、签到接待、指引等。</w:t>
            </w:r>
          </w:p>
          <w:p>
            <w:pPr>
              <w:numPr>
                <w:ilvl w:val="0"/>
                <w:numId w:val="0"/>
              </w:numPr>
              <w:spacing w:line="360" w:lineRule="auto"/>
              <w:ind w:leftChars="0"/>
              <w:jc w:val="left"/>
              <w:rPr>
                <w:rFonts w:hint="eastAsia" w:ascii="宋体" w:hAnsi="宋体" w:eastAsia="宋体" w:cs="宋体"/>
                <w:lang w:val="en-US" w:eastAsia="zh-CN"/>
              </w:rPr>
            </w:pPr>
            <w:r>
              <w:rPr>
                <w:rFonts w:hint="eastAsia" w:ascii="宋体" w:hAnsi="宋体" w:eastAsia="宋体" w:cs="宋体"/>
                <w:lang w:val="en-US" w:eastAsia="zh-CN"/>
              </w:rPr>
              <w:t>（3）《高交会好新闻》视频制作：</w:t>
            </w:r>
          </w:p>
          <w:p>
            <w:pPr>
              <w:numPr>
                <w:ilvl w:val="0"/>
                <w:numId w:val="0"/>
              </w:numPr>
              <w:spacing w:line="360" w:lineRule="auto"/>
              <w:ind w:leftChars="0"/>
              <w:jc w:val="left"/>
              <w:rPr>
                <w:rFonts w:ascii="宋体" w:hAnsi="宋体" w:cs="宋体"/>
                <w:sz w:val="24"/>
              </w:rPr>
            </w:pPr>
            <w:r>
              <w:rPr>
                <w:rFonts w:hint="eastAsia" w:ascii="宋体" w:hAnsi="宋体" w:eastAsia="宋体" w:cs="宋体"/>
                <w:lang w:val="en-US" w:eastAsia="zh-CN"/>
              </w:rPr>
              <w:t>参加单位在高交会期间，每天从线上搜集整理高交会重点、热点新闻，并将收集的新闻素材制作成30秒左右的视频，视频内容需根据高交会新闻的热度、亮点，形成高交会好新闻排行榜。参加单位在高交会举办期间，每天出一条《高交会好新闻》，共计5条。</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rPr>
            </w:pPr>
            <w:r>
              <w:rPr>
                <w:rFonts w:hint="eastAsia" w:ascii="宋体" w:hAnsi="宋体" w:cs="宋体"/>
                <w:szCs w:val="21"/>
                <w:lang w:val="en-US" w:eastAsia="zh-CN"/>
              </w:rPr>
              <w:t>服务</w:t>
            </w:r>
            <w:r>
              <w:rPr>
                <w:rFonts w:hint="eastAsia" w:ascii="宋体" w:hAnsi="宋体" w:cs="宋体"/>
                <w:szCs w:val="21"/>
              </w:rPr>
              <w:t>方案</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sz w:val="24"/>
              </w:rPr>
            </w:pPr>
            <w:r>
              <w:rPr>
                <w:rFonts w:hint="eastAsia" w:ascii="宋体" w:hAnsi="宋体" w:cs="仿宋_GB2312"/>
                <w:szCs w:val="21"/>
                <w:lang w:val="en-US" w:eastAsia="zh-CN"/>
              </w:rPr>
              <w:t>投标人需针对本项目工作，就上述总体要求的实现提供具体措施、服务人员配备数量等服务方案。</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bookmarkStart w:id="12" w:name="_Toc128989097"/>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rPr>
            </w:pPr>
            <w:r>
              <w:rPr>
                <w:rFonts w:hint="eastAsia" w:ascii="宋体" w:hAnsi="宋体" w:cs="宋体"/>
                <w:szCs w:val="21"/>
                <w:lang w:val="en-US" w:eastAsia="zh-CN"/>
              </w:rPr>
              <w:t>项目团队</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hint="eastAsia" w:ascii="宋体" w:hAnsi="宋体" w:eastAsia="宋体" w:cs="宋体"/>
                <w:lang w:val="en-US" w:eastAsia="zh-CN"/>
              </w:rPr>
            </w:pPr>
            <w:r>
              <w:rPr>
                <w:rFonts w:hint="eastAsia" w:ascii="宋体" w:hAnsi="宋体" w:eastAsia="宋体" w:cs="宋体"/>
                <w:lang w:val="en-US" w:eastAsia="zh-CN"/>
              </w:rPr>
              <w:t>（1）针对本项目，配置不少于</w:t>
            </w:r>
            <w:r>
              <w:rPr>
                <w:rFonts w:hint="eastAsia" w:ascii="宋体" w:hAnsi="宋体" w:cs="宋体"/>
                <w:lang w:val="en-US" w:eastAsia="zh-CN"/>
              </w:rPr>
              <w:t>12</w:t>
            </w:r>
            <w:r>
              <w:rPr>
                <w:rFonts w:hint="eastAsia" w:ascii="宋体" w:hAnsi="宋体" w:eastAsia="宋体" w:cs="宋体"/>
                <w:lang w:val="en-US" w:eastAsia="zh-CN"/>
              </w:rPr>
              <w:t>人的团队（负责人除外），团队岗位须至少覆盖</w:t>
            </w:r>
            <w:r>
              <w:rPr>
                <w:rFonts w:hint="eastAsia" w:ascii="宋体" w:hAnsi="宋体" w:eastAsia="宋体" w:cs="宋体"/>
                <w:highlight w:val="none"/>
                <w:lang w:val="en-US" w:eastAsia="zh-CN"/>
              </w:rPr>
              <w:t>新闻中心运营、</w:t>
            </w:r>
            <w:r>
              <w:rPr>
                <w:rFonts w:hint="eastAsia" w:ascii="宋体" w:hAnsi="宋体" w:cs="宋体"/>
                <w:highlight w:val="none"/>
                <w:lang w:val="en-US" w:eastAsia="zh-CN"/>
              </w:rPr>
              <w:t>接待服务</w:t>
            </w:r>
            <w:r>
              <w:rPr>
                <w:rFonts w:hint="eastAsia" w:ascii="宋体" w:hAnsi="宋体" w:eastAsia="宋体" w:cs="宋体"/>
                <w:highlight w:val="none"/>
                <w:lang w:val="en-US" w:eastAsia="zh-CN"/>
              </w:rPr>
              <w:t>、</w:t>
            </w:r>
            <w:r>
              <w:rPr>
                <w:rFonts w:hint="eastAsia" w:ascii="宋体" w:hAnsi="宋体" w:cs="宋体"/>
                <w:highlight w:val="none"/>
                <w:lang w:val="en-US" w:eastAsia="zh-CN"/>
              </w:rPr>
              <w:t>媒体咨询及指引服务、视频制作等</w:t>
            </w:r>
            <w:r>
              <w:rPr>
                <w:rFonts w:hint="eastAsia" w:ascii="宋体" w:hAnsi="宋体" w:eastAsia="宋体" w:cs="宋体"/>
                <w:highlight w:val="none"/>
                <w:lang w:val="en-US" w:eastAsia="zh-CN"/>
              </w:rPr>
              <w:t>。</w:t>
            </w:r>
          </w:p>
          <w:p>
            <w:pPr>
              <w:numPr>
                <w:ilvl w:val="0"/>
                <w:numId w:val="0"/>
              </w:numPr>
              <w:spacing w:line="360" w:lineRule="auto"/>
              <w:ind w:left="0" w:leftChars="0" w:firstLine="0" w:firstLineChars="0"/>
              <w:jc w:val="left"/>
              <w:rPr>
                <w:rFonts w:ascii="宋体" w:hAnsi="宋体" w:cs="宋体"/>
                <w:sz w:val="24"/>
              </w:rPr>
            </w:pPr>
            <w:r>
              <w:rPr>
                <w:rFonts w:hint="eastAsia" w:ascii="宋体" w:hAnsi="宋体" w:eastAsia="宋体" w:cs="宋体"/>
                <w:lang w:val="en-US" w:eastAsia="zh-CN"/>
              </w:rPr>
              <w:t>（2）</w:t>
            </w:r>
            <w:r>
              <w:rPr>
                <w:rFonts w:hint="eastAsia" w:ascii="宋体" w:hAnsi="宋体" w:eastAsia="宋体" w:cs="宋体"/>
                <w:color w:val="auto"/>
                <w:szCs w:val="21"/>
              </w:rPr>
              <w:t>对于中标人为执行本项目</w:t>
            </w:r>
            <w:r>
              <w:rPr>
                <w:rFonts w:hint="eastAsia" w:ascii="宋体" w:hAnsi="宋体" w:eastAsia="宋体" w:cs="宋体"/>
                <w:color w:val="auto"/>
                <w:szCs w:val="21"/>
                <w:lang w:val="en-US" w:eastAsia="zh-CN"/>
              </w:rPr>
              <w:t>所投入的非参加单位企业自有人员</w:t>
            </w:r>
            <w:r>
              <w:rPr>
                <w:rFonts w:hint="eastAsia" w:ascii="宋体" w:hAnsi="宋体" w:eastAsia="宋体" w:cs="宋体"/>
                <w:color w:val="auto"/>
                <w:szCs w:val="21"/>
              </w:rPr>
              <w:t>，中标人需自行承担其工资、保险、餐饮交通补贴等；并保证对</w:t>
            </w:r>
            <w:r>
              <w:rPr>
                <w:rFonts w:hint="eastAsia" w:ascii="宋体" w:hAnsi="宋体" w:eastAsia="宋体" w:cs="宋体"/>
                <w:color w:val="auto"/>
                <w:szCs w:val="21"/>
                <w:lang w:val="en-US" w:eastAsia="zh-CN"/>
              </w:rPr>
              <w:t>该类</w:t>
            </w:r>
            <w:r>
              <w:rPr>
                <w:rFonts w:hint="eastAsia" w:ascii="宋体" w:hAnsi="宋体" w:eastAsia="宋体" w:cs="宋体"/>
                <w:color w:val="auto"/>
                <w:szCs w:val="21"/>
              </w:rPr>
              <w:t>工作人员进行</w:t>
            </w:r>
            <w:r>
              <w:rPr>
                <w:rFonts w:hint="eastAsia" w:ascii="宋体" w:hAnsi="宋体" w:cs="宋体"/>
                <w:color w:val="auto"/>
                <w:szCs w:val="21"/>
                <w:lang w:val="en-US" w:eastAsia="zh-CN"/>
              </w:rPr>
              <w:t>基本工作技能</w:t>
            </w:r>
            <w:r>
              <w:rPr>
                <w:rFonts w:hint="eastAsia" w:ascii="宋体" w:hAnsi="宋体" w:eastAsia="宋体" w:cs="宋体"/>
                <w:color w:val="auto"/>
                <w:szCs w:val="21"/>
              </w:rPr>
              <w:t>培训，包括但不仅限于服务技能、安全要求等。</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rPr>
            </w:pPr>
            <w:r>
              <w:rPr>
                <w:rFonts w:hint="eastAsia" w:ascii="宋体" w:hAnsi="宋体" w:cs="宋体"/>
                <w:szCs w:val="21"/>
              </w:rPr>
              <w:t>服务承诺</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pacing w:line="360" w:lineRule="auto"/>
              <w:ind w:left="31" w:leftChars="15" w:firstLine="0" w:firstLineChars="0"/>
              <w:jc w:val="left"/>
              <w:rPr>
                <w:rFonts w:ascii="宋体" w:hAnsi="宋体" w:cs="宋体"/>
                <w:sz w:val="24"/>
              </w:rPr>
            </w:pPr>
            <w:r>
              <w:rPr>
                <w:rFonts w:hint="eastAsia" w:ascii="宋体" w:hAnsi="宋体" w:eastAsia="宋体" w:cs="宋体"/>
                <w:szCs w:val="21"/>
                <w:lang w:val="en-US" w:eastAsia="zh-CN"/>
              </w:rPr>
              <w:t>投标人针对本项目工作，就包括但不仅限此次项目的总体要求质量、完成时间、现场服务人员数量及应急预案、现场实现书面承诺。</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sz w:val="24"/>
              </w:rPr>
            </w:pPr>
            <w:r>
              <w:rPr>
                <w:rFonts w:hint="eastAsia" w:ascii="宋体" w:hAnsi="宋体" w:cs="宋体"/>
                <w:szCs w:val="21"/>
              </w:rPr>
              <w:t>验收要求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ind w:left="31" w:leftChars="15" w:firstLine="0"/>
              <w:jc w:val="left"/>
              <w:rPr>
                <w:rFonts w:hint="eastAsia" w:ascii="宋体" w:hAnsi="宋体" w:eastAsia="宋体" w:cs="宋体"/>
                <w:lang w:val="en-US" w:eastAsia="zh-CN"/>
              </w:rPr>
            </w:pPr>
            <w:r>
              <w:rPr>
                <w:rFonts w:hint="eastAsia" w:ascii="宋体" w:hAnsi="宋体" w:eastAsia="宋体" w:cs="宋体"/>
                <w:lang w:val="en-US" w:eastAsia="zh-CN"/>
              </w:rPr>
              <w:t>（1）本届高交</w:t>
            </w:r>
            <w:r>
              <w:rPr>
                <w:rFonts w:hint="eastAsia" w:ascii="宋体" w:hAnsi="宋体" w:eastAsia="宋体" w:cs="宋体"/>
                <w:highlight w:val="none"/>
                <w:lang w:val="en-US" w:eastAsia="zh-CN"/>
              </w:rPr>
              <w:t>会结束后，需提供项目总结报告，内容包含本次项目中</w:t>
            </w:r>
            <w:r>
              <w:rPr>
                <w:rFonts w:hint="eastAsia" w:ascii="宋体" w:hAnsi="宋体" w:cs="宋体"/>
                <w:highlight w:val="none"/>
                <w:lang w:val="en-US" w:eastAsia="zh-CN"/>
              </w:rPr>
              <w:t>新闻中心运营、接待服务的具体执行情况，以及《高交会好新闻》成片等</w:t>
            </w:r>
            <w:r>
              <w:rPr>
                <w:rFonts w:hint="eastAsia" w:ascii="宋体" w:hAnsi="宋体" w:eastAsia="宋体" w:cs="宋体"/>
                <w:highlight w:val="none"/>
                <w:lang w:val="en-US" w:eastAsia="zh-CN"/>
              </w:rPr>
              <w:t>。</w:t>
            </w:r>
          </w:p>
          <w:p>
            <w:pPr>
              <w:numPr>
                <w:ilvl w:val="0"/>
                <w:numId w:val="0"/>
              </w:numPr>
              <w:tabs>
                <w:tab w:val="left" w:pos="531"/>
              </w:tabs>
              <w:spacing w:line="360" w:lineRule="auto"/>
              <w:ind w:left="31" w:leftChars="15" w:firstLine="0" w:firstLineChars="0"/>
              <w:jc w:val="left"/>
              <w:rPr>
                <w:rFonts w:hint="eastAsia" w:ascii="宋体" w:hAnsi="宋体" w:eastAsia="宋体" w:cs="宋体"/>
                <w:szCs w:val="21"/>
                <w:lang w:val="en-US" w:eastAsia="zh-CN"/>
              </w:rPr>
            </w:pPr>
            <w:r>
              <w:rPr>
                <w:rFonts w:hint="eastAsia" w:ascii="宋体" w:hAnsi="宋体" w:eastAsia="宋体" w:cs="宋体"/>
                <w:lang w:val="en-US" w:eastAsia="zh-CN"/>
              </w:rPr>
              <w:t>（2）招标人有权对中标单位所提供的各阶段服务进行检查，中标单位须按照招标人所提</w:t>
            </w:r>
            <w:r>
              <w:rPr>
                <w:rFonts w:hint="eastAsia" w:ascii="宋体" w:hAnsi="宋体" w:eastAsia="宋体" w:cs="宋体"/>
                <w:szCs w:val="21"/>
                <w:lang w:val="en-US" w:eastAsia="zh-CN"/>
              </w:rPr>
              <w:t>出的要求执行；中标单位有权就招标人所提出的变动要求，给出专业的建设性意见。</w:t>
            </w:r>
          </w:p>
          <w:p>
            <w:pPr>
              <w:numPr>
                <w:ilvl w:val="0"/>
                <w:numId w:val="0"/>
              </w:numPr>
              <w:tabs>
                <w:tab w:val="left" w:pos="531"/>
              </w:tabs>
              <w:spacing w:line="360" w:lineRule="auto"/>
              <w:ind w:left="31" w:leftChars="15" w:firstLine="0" w:firstLineChars="0"/>
              <w:jc w:val="left"/>
              <w:rPr>
                <w:rFonts w:ascii="宋体" w:hAnsi="宋体" w:cs="宋体"/>
                <w:sz w:val="24"/>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szCs w:val="21"/>
                <w:lang w:val="en-US" w:eastAsia="zh-CN"/>
              </w:rPr>
              <w:t>项目结束后，不配合招标人提供完整总结报告的，扣除项目金额5%作为处罚金。</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6</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color w:val="auto"/>
                <w:szCs w:val="21"/>
              </w:rPr>
              <w:t>安全管理</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33"/>
              </w:tabs>
              <w:snapToGrid w:val="0"/>
              <w:spacing w:line="360" w:lineRule="auto"/>
              <w:jc w:val="left"/>
              <w:rPr>
                <w:rFonts w:ascii="宋体" w:hAnsi="宋体" w:cs="宋体"/>
                <w:sz w:val="24"/>
              </w:rPr>
            </w:pPr>
            <w:r>
              <w:rPr>
                <w:rFonts w:hint="eastAsia" w:ascii="宋体" w:hAnsi="宋体" w:eastAsia="宋体"/>
                <w:color w:val="auto"/>
                <w:szCs w:val="21"/>
              </w:rPr>
              <w:t>中标单位</w:t>
            </w:r>
            <w:r>
              <w:rPr>
                <w:rFonts w:hint="eastAsia" w:ascii="宋体" w:hAnsi="宋体" w:cs="仿宋_GB2312"/>
                <w:szCs w:val="21"/>
                <w:lang w:val="en-US" w:eastAsia="zh-CN"/>
              </w:rPr>
              <w:t>所提供工作人员须遵</w:t>
            </w:r>
            <w:r>
              <w:rPr>
                <w:rFonts w:hint="eastAsia" w:ascii="宋体" w:hAnsi="宋体" w:eastAsia="宋体"/>
                <w:color w:val="auto"/>
                <w:szCs w:val="21"/>
              </w:rPr>
              <w:t>守国家、所属地政府及深圳会展中心的相关规章制度，中标单位须建立安全责任制，采取有效的措施保障现场的安全、维护现场的正常工作秩序，在服务过程中要做好人员、成品、半成品及设备设施的保护。服务过程中不出现任何因中标单位管理不善、组织不力或监管缺失等造成的人身安全事故、火灾事故和财产损失等安全事故，如因此造成安全责任事故及财产损失的由中标单位负全部责任。</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s="宋体"/>
                <w:szCs w:val="21"/>
              </w:rPr>
            </w:pPr>
            <w:r>
              <w:rPr>
                <w:rFonts w:hint="eastAsia" w:ascii="宋体" w:hAnsi="宋体" w:cs="宋体"/>
                <w:szCs w:val="21"/>
              </w:rPr>
              <w:t>不可偏离</w:t>
            </w:r>
          </w:p>
        </w:tc>
      </w:tr>
    </w:tbl>
    <w:p>
      <w:pPr>
        <w:numPr>
          <w:ilvl w:val="0"/>
          <w:numId w:val="1"/>
        </w:numPr>
        <w:spacing w:line="300" w:lineRule="auto"/>
        <w:outlineLvl w:val="0"/>
        <w:rPr>
          <w:rFonts w:ascii="宋体" w:hAnsi="宋体" w:cs="宋体"/>
          <w:b/>
          <w:sz w:val="24"/>
        </w:rPr>
      </w:pPr>
      <w:r>
        <w:rPr>
          <w:rFonts w:hint="eastAsia" w:ascii="宋体" w:hAnsi="宋体" w:cs="宋体"/>
          <w:b/>
          <w:sz w:val="24"/>
        </w:rPr>
        <w:t>其他项目说明资料</w:t>
      </w:r>
      <w:bookmarkEnd w:id="12"/>
    </w:p>
    <w:p>
      <w:pPr>
        <w:pStyle w:val="11"/>
        <w:ind w:firstLine="1050" w:firstLineChars="500"/>
        <w:rPr>
          <w:rFonts w:hint="eastAsia" w:ascii="宋体" w:eastAsia="宋体" w:cs="宋体"/>
          <w:color w:val="FF0000"/>
          <w:highlight w:val="yellow"/>
          <w:lang w:eastAsia="zh-CN"/>
        </w:rPr>
      </w:pPr>
      <w:r>
        <w:rPr>
          <w:rFonts w:hint="eastAsia" w:ascii="宋体" w:eastAsia="宋体" w:cs="宋体"/>
          <w:color w:val="FF0000"/>
          <w:highlight w:val="yellow"/>
          <w:lang w:eastAsia="zh-CN"/>
        </w:rPr>
        <w:t>无</w:t>
      </w:r>
    </w:p>
    <w:p>
      <w:pPr>
        <w:numPr>
          <w:ilvl w:val="0"/>
          <w:numId w:val="1"/>
        </w:numPr>
        <w:spacing w:line="300" w:lineRule="auto"/>
        <w:outlineLvl w:val="0"/>
        <w:rPr>
          <w:rFonts w:ascii="宋体" w:hAnsi="宋体" w:cs="宋体"/>
          <w:b/>
          <w:sz w:val="24"/>
        </w:rPr>
      </w:pPr>
      <w:bookmarkStart w:id="13" w:name="_Toc128989098"/>
      <w:r>
        <w:rPr>
          <w:rFonts w:hint="eastAsia" w:ascii="宋体" w:hAnsi="宋体" w:cs="宋体"/>
          <w:b/>
          <w:sz w:val="24"/>
        </w:rPr>
        <w:t>开标评标流程</w:t>
      </w:r>
      <w:bookmarkEnd w:id="13"/>
    </w:p>
    <w:p>
      <w:pPr>
        <w:numPr>
          <w:ilvl w:val="0"/>
          <w:numId w:val="10"/>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0"/>
        </w:numPr>
        <w:ind w:hanging="5"/>
        <w:rPr>
          <w:rFonts w:ascii="宋体" w:hAnsi="宋体" w:cs="宋体"/>
          <w:szCs w:val="21"/>
        </w:rPr>
      </w:pPr>
      <w:r>
        <w:rPr>
          <w:rFonts w:hint="eastAsia" w:ascii="宋体" w:hAnsi="宋体"/>
          <w:szCs w:val="21"/>
        </w:rPr>
        <w:t>宣读开标注意事项、流程；</w:t>
      </w:r>
    </w:p>
    <w:p>
      <w:pPr>
        <w:numPr>
          <w:ilvl w:val="0"/>
          <w:numId w:val="10"/>
        </w:numPr>
        <w:ind w:hanging="5"/>
        <w:rPr>
          <w:rFonts w:ascii="宋体" w:hAnsi="宋体" w:cs="宋体"/>
          <w:szCs w:val="21"/>
        </w:rPr>
      </w:pPr>
      <w:r>
        <w:rPr>
          <w:rFonts w:hint="eastAsia" w:ascii="宋体" w:hAnsi="宋体" w:cs="宋体"/>
          <w:szCs w:val="21"/>
        </w:rPr>
        <w:t>评标小组推选组长；</w:t>
      </w:r>
    </w:p>
    <w:p>
      <w:pPr>
        <w:numPr>
          <w:ilvl w:val="0"/>
          <w:numId w:val="10"/>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0"/>
        </w:numPr>
        <w:ind w:hanging="5"/>
        <w:rPr>
          <w:rFonts w:ascii="宋体" w:hAnsi="宋体" w:cs="宋体"/>
          <w:szCs w:val="21"/>
        </w:rPr>
      </w:pPr>
      <w:r>
        <w:rPr>
          <w:rFonts w:hint="eastAsia" w:ascii="宋体" w:hAnsi="宋体" w:cs="宋体"/>
          <w:szCs w:val="21"/>
        </w:rPr>
        <w:t>商务及技术/服务需求响应性评定；</w:t>
      </w:r>
    </w:p>
    <w:p>
      <w:pPr>
        <w:numPr>
          <w:ilvl w:val="0"/>
          <w:numId w:val="10"/>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4" w:name="_Toc128989099"/>
      <w:r>
        <w:rPr>
          <w:rFonts w:hint="eastAsia" w:ascii="宋体" w:hAnsi="宋体" w:cs="宋体"/>
          <w:b/>
          <w:sz w:val="24"/>
        </w:rPr>
        <w:t>评审办法</w:t>
      </w:r>
      <w:bookmarkEnd w:id="14"/>
    </w:p>
    <w:p>
      <w:pPr>
        <w:spacing w:line="360" w:lineRule="auto"/>
        <w:ind w:firstLine="420" w:firstLineChars="200"/>
        <w:rPr>
          <w:rFonts w:ascii="宋体" w:hAnsi="宋体"/>
          <w:szCs w:val="21"/>
        </w:rPr>
      </w:pPr>
      <w:r>
        <w:rPr>
          <w:rFonts w:hint="eastAsia" w:ascii="宋体" w:hAnsi="宋体"/>
          <w:szCs w:val="21"/>
        </w:rPr>
        <w:t>首先对</w:t>
      </w:r>
      <w:r>
        <w:rPr>
          <w:rFonts w:hint="eastAsia" w:ascii="宋体" w:hAnsi="宋体"/>
          <w:szCs w:val="21"/>
          <w:lang w:val="en-US" w:eastAsia="zh-CN"/>
        </w:rPr>
        <w:t>参加单位</w:t>
      </w:r>
      <w:r>
        <w:rPr>
          <w:rFonts w:hint="eastAsia" w:ascii="宋体" w:hAnsi="宋体"/>
          <w:szCs w:val="21"/>
        </w:rPr>
        <w:t>进行符合性审查，然后进行不可偏离项检查。对通过符合性审查及不可偏离项检查的</w:t>
      </w:r>
      <w:r>
        <w:rPr>
          <w:rFonts w:hint="eastAsia" w:ascii="宋体" w:hAnsi="宋体"/>
          <w:szCs w:val="21"/>
          <w:lang w:val="en-US" w:eastAsia="zh-CN"/>
        </w:rPr>
        <w:t>参加单位</w:t>
      </w:r>
      <w:r>
        <w:rPr>
          <w:rFonts w:hint="eastAsia" w:ascii="宋体" w:hAnsi="宋体"/>
          <w:szCs w:val="21"/>
        </w:rPr>
        <w:t>，采用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1"/>
        </w:numPr>
        <w:spacing w:before="156" w:beforeLines="50"/>
        <w:jc w:val="left"/>
        <w:outlineLvl w:val="2"/>
        <w:rPr>
          <w:rStyle w:val="26"/>
          <w:rFonts w:ascii="宋体" w:hAnsi="宋体"/>
          <w:b/>
          <w:szCs w:val="21"/>
        </w:rPr>
      </w:pPr>
      <w:bookmarkStart w:id="15" w:name="_Toc116550355"/>
      <w:r>
        <w:rPr>
          <w:rStyle w:val="26"/>
          <w:rFonts w:hint="eastAsia" w:ascii="宋体" w:hAnsi="宋体"/>
          <w:b/>
          <w:bCs/>
          <w:szCs w:val="21"/>
        </w:rPr>
        <w:t>符合性检查</w:t>
      </w:r>
      <w:bookmarkEnd w:id="15"/>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lang w:val="en-US" w:eastAsia="zh-CN"/>
              </w:rPr>
              <w:t>参加单位</w:t>
            </w:r>
            <w:r>
              <w:rPr>
                <w:rFonts w:hint="eastAsia" w:ascii="宋体" w:hAnsi="宋体" w:cs="仿宋"/>
                <w:bCs/>
                <w:szCs w:val="21"/>
              </w:rPr>
              <w:t>提交的投标文件是否按要求编制目录、加密；投标文件的加密密码按要求发送至</w:t>
            </w:r>
            <w:r>
              <w:rPr>
                <w:rFonts w:hint="eastAsia" w:ascii="宋体" w:hAnsi="宋体" w:cs="仿宋"/>
                <w:bCs/>
                <w:szCs w:val="21"/>
                <w:lang w:val="en-US" w:eastAsia="zh-CN"/>
              </w:rPr>
              <w:t>采购</w:t>
            </w:r>
            <w:r>
              <w:rPr>
                <w:rFonts w:hint="eastAsia" w:ascii="宋体" w:hAnsi="宋体" w:cs="仿宋"/>
                <w:bCs/>
                <w:szCs w:val="21"/>
              </w:rPr>
              <w:t>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lang w:val="en-US" w:eastAsia="zh-CN"/>
              </w:rPr>
              <w:t>参加单位</w:t>
            </w:r>
            <w:r>
              <w:rPr>
                <w:rFonts w:hint="eastAsia" w:ascii="宋体" w:hAnsi="宋体" w:cs="仿宋"/>
                <w:bCs/>
                <w:szCs w:val="21"/>
              </w:rPr>
              <w:t>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0"/>
                <w:numId w:val="0"/>
              </w:numPr>
              <w:tabs>
                <w:tab w:val="left" w:pos="531"/>
              </w:tabs>
              <w:snapToGrid w:val="0"/>
              <w:spacing w:line="360" w:lineRule="auto"/>
              <w:ind w:left="-1" w:leftChars="0" w:firstLine="0" w:firstLineChars="0"/>
              <w:rPr>
                <w:rFonts w:hint="eastAsia" w:eastAsia="宋体"/>
                <w:highlight w:val="none"/>
                <w:lang w:eastAsia="zh-CN"/>
              </w:rPr>
            </w:pPr>
            <w:r>
              <w:rPr>
                <w:rFonts w:hint="eastAsia"/>
                <w:highlight w:val="none"/>
                <w:lang w:eastAsia="zh-CN"/>
              </w:rPr>
              <w:t>投标人</w:t>
            </w:r>
            <w:r>
              <w:rPr>
                <w:rFonts w:hint="default"/>
                <w:highlight w:val="none"/>
              </w:rPr>
              <w:t>是否提供以下证明文件</w:t>
            </w:r>
            <w:r>
              <w:rPr>
                <w:rFonts w:hint="eastAsia"/>
                <w:highlight w:val="none"/>
                <w:lang w:eastAsia="zh-CN"/>
              </w:rPr>
              <w:t>：</w:t>
            </w:r>
          </w:p>
          <w:p>
            <w:pPr>
              <w:numPr>
                <w:ilvl w:val="0"/>
                <w:numId w:val="0"/>
              </w:numPr>
              <w:tabs>
                <w:tab w:val="left" w:pos="531"/>
              </w:tabs>
              <w:snapToGrid w:val="0"/>
              <w:ind w:leftChars="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ind w:leftChars="0"/>
              <w:rPr>
                <w:rFonts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p>
          <w:p>
            <w:pPr>
              <w:numPr>
                <w:ilvl w:val="0"/>
                <w:numId w:val="0"/>
              </w:numPr>
              <w:tabs>
                <w:tab w:val="left" w:pos="531"/>
              </w:tabs>
              <w:snapToGrid w:val="0"/>
              <w:ind w:left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（3）参加单位</w:t>
            </w:r>
            <w:r>
              <w:rPr>
                <w:rFonts w:hint="eastAsia" w:ascii="宋体" w:hAnsi="宋体" w:cs="宋体"/>
                <w:color w:val="auto"/>
                <w:szCs w:val="21"/>
                <w:highlight w:val="none"/>
              </w:rPr>
              <w:t>自2019年9月1日截止至招标公告发布日，有为展会做过服务的相关经验。（提供上述项目经验的合同关键页复印件并加盖公章，合同关键页包含但不限于项目名称、业主方名称、合同主要内容、签订时间、履约地点、甲乙双方盖章等信息）。</w:t>
            </w:r>
          </w:p>
          <w:p>
            <w:pPr>
              <w:numPr>
                <w:ilvl w:val="0"/>
                <w:numId w:val="0"/>
              </w:numPr>
              <w:tabs>
                <w:tab w:val="left" w:pos="531"/>
              </w:tabs>
              <w:snapToGrid w:val="0"/>
              <w:spacing w:line="360" w:lineRule="auto"/>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本项目不接受联合体投标，不允许分包、转包。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highlight w:val="yellow"/>
                <w:lang w:val="en-US" w:eastAsia="zh-CN"/>
              </w:rPr>
              <w:t>12</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1"/>
        </w:numPr>
        <w:spacing w:before="156" w:beforeLines="50"/>
        <w:jc w:val="left"/>
        <w:outlineLvl w:val="2"/>
        <w:rPr>
          <w:rStyle w:val="26"/>
          <w:rFonts w:ascii="宋体" w:hAnsi="宋体"/>
          <w:b/>
          <w:bCs/>
          <w:szCs w:val="21"/>
        </w:rPr>
      </w:pPr>
      <w:bookmarkStart w:id="16" w:name="_Toc114675512"/>
      <w:bookmarkStart w:id="17" w:name="_Toc116550356"/>
      <w:r>
        <w:rPr>
          <w:rStyle w:val="26"/>
          <w:rFonts w:hint="eastAsia" w:ascii="宋体" w:hAnsi="宋体"/>
          <w:b/>
          <w:bCs/>
          <w:szCs w:val="21"/>
        </w:rPr>
        <w:t>不可偏离项检查</w:t>
      </w:r>
      <w:bookmarkEnd w:id="16"/>
      <w:bookmarkEnd w:id="17"/>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1"/>
        </w:numPr>
        <w:spacing w:before="156" w:beforeLines="50"/>
        <w:jc w:val="left"/>
        <w:outlineLvl w:val="2"/>
        <w:rPr>
          <w:rFonts w:ascii="宋体" w:hAnsi="宋体"/>
          <w:b/>
          <w:bCs/>
          <w:szCs w:val="21"/>
        </w:rPr>
      </w:pPr>
      <w:bookmarkStart w:id="18" w:name="_Toc114675513"/>
      <w:bookmarkStart w:id="19" w:name="_Toc116550357"/>
      <w:r>
        <w:rPr>
          <w:rStyle w:val="26"/>
          <w:rFonts w:hint="eastAsia" w:ascii="宋体" w:hAnsi="宋体"/>
          <w:b/>
          <w:bCs/>
          <w:szCs w:val="21"/>
        </w:rPr>
        <w:t>综合评议指标表</w:t>
      </w:r>
      <w:bookmarkEnd w:id="18"/>
      <w:bookmarkEnd w:id="19"/>
    </w:p>
    <w:p>
      <w:pPr>
        <w:pStyle w:val="2"/>
        <w:rPr>
          <w:rStyle w:val="26"/>
          <w:rFonts w:hint="eastAsia" w:ascii="宋体" w:hAnsi="宋体"/>
          <w:b/>
          <w:bCs/>
          <w:szCs w:val="21"/>
        </w:rPr>
      </w:pPr>
    </w:p>
    <w:p>
      <w:pPr>
        <w:pStyle w:val="2"/>
        <w:rPr>
          <w:rStyle w:val="26"/>
          <w:rFonts w:hint="eastAsia" w:ascii="宋体" w:hAnsi="宋体"/>
          <w:b/>
          <w:bCs/>
          <w:szCs w:val="21"/>
        </w:rPr>
      </w:pPr>
    </w:p>
    <w:p>
      <w:pPr>
        <w:pStyle w:val="2"/>
        <w:rPr>
          <w:rStyle w:val="26"/>
          <w:rFonts w:hint="eastAsia" w:ascii="宋体" w:hAnsi="宋体"/>
          <w:b/>
          <w:bCs/>
          <w:szCs w:val="21"/>
        </w:rPr>
      </w:pPr>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color w:val="FF0000"/>
                <w:szCs w:val="21"/>
                <w:highlight w:val="yellow"/>
                <w:lang w:val="en-US" w:eastAsia="zh-CN"/>
              </w:rPr>
              <w:t>20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ascii="宋体" w:hAnsi="宋体"/>
                <w:color w:val="FF0000"/>
                <w:szCs w:val="21"/>
              </w:rPr>
            </w:pPr>
            <w:r>
              <w:rPr>
                <w:rFonts w:hint="eastAsia" w:ascii="宋体" w:hAnsi="宋体" w:cs="宋体"/>
                <w:color w:val="auto"/>
              </w:rPr>
              <w:t>案例业绩</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ascii="宋体" w:hAnsi="宋体"/>
                <w:color w:val="FF0000"/>
                <w:szCs w:val="21"/>
              </w:rPr>
            </w:pPr>
            <w:r>
              <w:rPr>
                <w:rFonts w:hint="eastAsia" w:ascii="宋体" w:hAnsi="宋体" w:cs="宋体"/>
                <w:color w:val="auto"/>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hint="eastAsia" w:ascii="宋体" w:hAnsi="宋体" w:eastAsia="宋体" w:cs="宋体"/>
              </w:rPr>
            </w:pPr>
            <w:r>
              <w:rPr>
                <w:rFonts w:hint="eastAsia" w:ascii="宋体" w:hAnsi="宋体" w:cs="宋体"/>
                <w:lang w:val="en-US" w:eastAsia="zh-CN"/>
              </w:rPr>
              <w:t>参加单位</w:t>
            </w:r>
            <w:r>
              <w:rPr>
                <w:rFonts w:hint="eastAsia" w:ascii="宋体" w:hAnsi="宋体" w:eastAsia="宋体" w:cs="宋体"/>
              </w:rPr>
              <w:t>须提供证明其专业实力的</w:t>
            </w:r>
            <w:r>
              <w:rPr>
                <w:rFonts w:hint="eastAsia" w:ascii="宋体" w:hAnsi="宋体" w:cs="仿宋_GB2312"/>
                <w:color w:val="auto"/>
                <w:sz w:val="21"/>
                <w:szCs w:val="21"/>
                <w:highlight w:val="yellow"/>
                <w:lang w:val="en-US" w:eastAsia="zh-CN"/>
              </w:rPr>
              <w:t>展会接待服务案例</w:t>
            </w:r>
            <w:r>
              <w:rPr>
                <w:rFonts w:hint="eastAsia" w:ascii="宋体" w:hAnsi="宋体" w:eastAsia="宋体" w:cs="宋体"/>
                <w:highlight w:val="none"/>
              </w:rPr>
              <w:t>（</w:t>
            </w:r>
            <w:r>
              <w:rPr>
                <w:rFonts w:hint="eastAsia" w:ascii="宋体" w:hAnsi="宋体" w:eastAsia="宋体" w:cs="宋体"/>
              </w:rPr>
              <w:t>合同签订时间须在2019年9月1日至</w:t>
            </w:r>
            <w:r>
              <w:rPr>
                <w:rFonts w:hint="eastAsia" w:ascii="宋体" w:hAnsi="宋体" w:cs="宋体"/>
                <w:lang w:val="en-US" w:eastAsia="zh-CN"/>
              </w:rPr>
              <w:t>招标</w:t>
            </w:r>
            <w:r>
              <w:rPr>
                <w:rFonts w:hint="eastAsia" w:ascii="宋体" w:hAnsi="宋体" w:eastAsia="宋体" w:cs="宋体"/>
              </w:rPr>
              <w:t>公告发布之日期间），须提供合同关键页复印件及案例实施情况描述，根据案例具体情况进行评议：</w:t>
            </w:r>
          </w:p>
          <w:p>
            <w:pPr>
              <w:spacing w:line="360" w:lineRule="auto"/>
              <w:rPr>
                <w:rFonts w:hint="eastAsia" w:ascii="宋体" w:hAnsi="宋体" w:eastAsia="宋体" w:cs="宋体"/>
              </w:rPr>
            </w:pPr>
            <w:r>
              <w:rPr>
                <w:rFonts w:hint="eastAsia" w:ascii="宋体" w:hAnsi="宋体" w:eastAsia="宋体" w:cs="宋体"/>
              </w:rPr>
              <w:t>（1）上述案例中</w:t>
            </w:r>
            <w:r>
              <w:rPr>
                <w:rFonts w:hint="eastAsia" w:ascii="宋体" w:hAnsi="宋体" w:cs="宋体"/>
                <w:lang w:eastAsia="zh-CN"/>
              </w:rPr>
              <w:t>，</w:t>
            </w:r>
            <w:r>
              <w:rPr>
                <w:rFonts w:hint="eastAsia" w:ascii="宋体" w:hAnsi="宋体" w:eastAsia="宋体" w:cs="宋体"/>
              </w:rPr>
              <w:t>对服务对象规模进行评议</w:t>
            </w:r>
            <w:r>
              <w:rPr>
                <w:rFonts w:hint="eastAsia" w:ascii="宋体" w:hAnsi="宋体" w:cs="宋体"/>
                <w:lang w:eastAsia="zh-CN"/>
              </w:rPr>
              <w:t>。</w:t>
            </w:r>
            <w:r>
              <w:rPr>
                <w:rFonts w:hint="eastAsia" w:ascii="宋体" w:hAnsi="宋体" w:eastAsia="宋体" w:cs="宋体"/>
              </w:rPr>
              <w:t>服务对象为</w:t>
            </w:r>
            <w:r>
              <w:rPr>
                <w:rFonts w:hint="eastAsia" w:ascii="宋体" w:hAnsi="宋体" w:cs="宋体"/>
                <w:lang w:val="en-US" w:eastAsia="zh-CN"/>
              </w:rPr>
              <w:t>10万平米（含）以上</w:t>
            </w:r>
            <w:r>
              <w:rPr>
                <w:rFonts w:hint="eastAsia" w:ascii="宋体" w:hAnsi="宋体" w:eastAsia="宋体" w:cs="宋体"/>
              </w:rPr>
              <w:t>大型展会的，得</w:t>
            </w:r>
            <w:r>
              <w:rPr>
                <w:rFonts w:hint="eastAsia" w:ascii="宋体" w:hAnsi="宋体" w:cs="宋体"/>
                <w:lang w:val="en-US" w:eastAsia="zh-CN"/>
              </w:rPr>
              <w:t>5</w:t>
            </w:r>
            <w:r>
              <w:rPr>
                <w:rFonts w:hint="eastAsia" w:ascii="宋体" w:hAnsi="宋体" w:eastAsia="宋体" w:cs="宋体"/>
              </w:rPr>
              <w:t>分，服务对象为</w:t>
            </w:r>
            <w:r>
              <w:rPr>
                <w:rFonts w:hint="eastAsia" w:ascii="宋体" w:hAnsi="宋体" w:cs="宋体"/>
                <w:lang w:val="en-US" w:eastAsia="zh-CN"/>
              </w:rPr>
              <w:t>5万-10万平米（含）的</w:t>
            </w:r>
            <w:r>
              <w:rPr>
                <w:rFonts w:hint="eastAsia" w:ascii="宋体" w:hAnsi="宋体" w:eastAsia="宋体" w:cs="宋体"/>
              </w:rPr>
              <w:t>中型展会、活动的，得</w:t>
            </w:r>
            <w:r>
              <w:rPr>
                <w:rFonts w:hint="eastAsia" w:ascii="宋体" w:hAnsi="宋体" w:cs="宋体"/>
                <w:lang w:val="en-US" w:eastAsia="zh-CN"/>
              </w:rPr>
              <w:t>3</w:t>
            </w:r>
            <w:r>
              <w:rPr>
                <w:rFonts w:hint="eastAsia" w:ascii="宋体" w:hAnsi="宋体" w:eastAsia="宋体" w:cs="宋体"/>
              </w:rPr>
              <w:t>分，</w:t>
            </w:r>
            <w:r>
              <w:rPr>
                <w:rFonts w:hint="eastAsia" w:ascii="宋体" w:hAnsi="宋体" w:cs="宋体"/>
                <w:lang w:val="en-US" w:eastAsia="zh-CN"/>
              </w:rPr>
              <w:t>服务对象低于5万平米</w:t>
            </w:r>
            <w:r>
              <w:rPr>
                <w:rFonts w:hint="eastAsia" w:ascii="宋体" w:hAnsi="宋体" w:eastAsia="宋体" w:cs="宋体"/>
              </w:rPr>
              <w:t>对象得</w:t>
            </w:r>
            <w:r>
              <w:rPr>
                <w:rFonts w:hint="eastAsia" w:ascii="宋体" w:hAnsi="宋体" w:cs="宋体"/>
                <w:lang w:val="en-US" w:eastAsia="zh-CN"/>
              </w:rPr>
              <w:t>1</w:t>
            </w:r>
            <w:r>
              <w:rPr>
                <w:rFonts w:hint="eastAsia" w:ascii="宋体" w:hAnsi="宋体" w:eastAsia="宋体" w:cs="宋体"/>
              </w:rPr>
              <w:t>分。</w:t>
            </w:r>
          </w:p>
          <w:p>
            <w:pPr>
              <w:spacing w:line="360" w:lineRule="auto"/>
              <w:rPr>
                <w:rFonts w:hint="eastAsia" w:ascii="宋体" w:hAnsi="宋体" w:eastAsia="宋体" w:cs="宋体"/>
              </w:rPr>
            </w:pPr>
            <w:r>
              <w:rPr>
                <w:rFonts w:hint="eastAsia" w:ascii="宋体" w:hAnsi="宋体" w:eastAsia="宋体" w:cs="宋体"/>
              </w:rPr>
              <w:t>（2）上述案例中，根据项目完成指标进行评议。完成指标如服务</w:t>
            </w:r>
            <w:r>
              <w:rPr>
                <w:rFonts w:hint="eastAsia" w:ascii="宋体" w:hAnsi="宋体" w:cs="宋体"/>
                <w:lang w:eastAsia="zh-CN"/>
              </w:rPr>
              <w:t>人次</w:t>
            </w:r>
            <w:r>
              <w:rPr>
                <w:rFonts w:hint="eastAsia" w:ascii="宋体" w:hAnsi="宋体" w:eastAsia="宋体" w:cs="宋体"/>
              </w:rPr>
              <w:t>、</w:t>
            </w:r>
            <w:r>
              <w:rPr>
                <w:rFonts w:hint="eastAsia" w:ascii="宋体" w:hAnsi="宋体" w:cs="宋体"/>
                <w:lang w:eastAsia="zh-CN"/>
              </w:rPr>
              <w:t>项目成员</w:t>
            </w:r>
            <w:r>
              <w:rPr>
                <w:rFonts w:hint="eastAsia" w:ascii="宋体" w:hAnsi="宋体" w:eastAsia="宋体" w:cs="宋体"/>
              </w:rPr>
              <w:t>数量、岗位分类及分布情况、</w:t>
            </w:r>
            <w:r>
              <w:rPr>
                <w:rFonts w:hint="eastAsia" w:ascii="宋体" w:hAnsi="宋体" w:cs="宋体"/>
                <w:lang w:eastAsia="zh-CN"/>
              </w:rPr>
              <w:t>客户满意度</w:t>
            </w:r>
            <w:r>
              <w:rPr>
                <w:rFonts w:hint="eastAsia" w:ascii="宋体" w:hAnsi="宋体" w:eastAsia="宋体" w:cs="宋体"/>
              </w:rPr>
              <w:t>等。</w:t>
            </w:r>
          </w:p>
          <w:p>
            <w:pPr>
              <w:spacing w:line="360" w:lineRule="auto"/>
              <w:rPr>
                <w:rFonts w:hint="eastAsia" w:ascii="宋体" w:hAnsi="宋体" w:eastAsia="宋体" w:cs="宋体"/>
              </w:rPr>
            </w:pPr>
            <w:r>
              <w:rPr>
                <w:rFonts w:hint="eastAsia" w:ascii="宋体" w:hAnsi="宋体" w:eastAsia="宋体" w:cs="宋体"/>
              </w:rPr>
              <w:t>优秀得</w:t>
            </w:r>
            <w:r>
              <w:rPr>
                <w:rFonts w:hint="eastAsia" w:ascii="宋体" w:hAnsi="宋体" w:cs="宋体"/>
                <w:lang w:val="en-US" w:eastAsia="zh-CN"/>
              </w:rPr>
              <w:t>5</w:t>
            </w:r>
            <w:r>
              <w:rPr>
                <w:rFonts w:hint="eastAsia" w:ascii="宋体" w:hAnsi="宋体" w:eastAsia="宋体" w:cs="宋体"/>
              </w:rPr>
              <w:t>分，良好得</w:t>
            </w:r>
            <w:r>
              <w:rPr>
                <w:rFonts w:hint="eastAsia" w:ascii="宋体" w:hAnsi="宋体" w:cs="宋体"/>
                <w:lang w:val="en-US" w:eastAsia="zh-CN"/>
              </w:rPr>
              <w:t>3</w:t>
            </w:r>
            <w:r>
              <w:rPr>
                <w:rFonts w:hint="eastAsia" w:ascii="宋体" w:hAnsi="宋体" w:eastAsia="宋体" w:cs="宋体"/>
              </w:rPr>
              <w:t>分，一般得</w:t>
            </w:r>
            <w:r>
              <w:rPr>
                <w:rFonts w:hint="eastAsia" w:ascii="宋体" w:hAnsi="宋体" w:cs="宋体"/>
                <w:lang w:val="en-US" w:eastAsia="zh-CN"/>
              </w:rPr>
              <w:t>1</w:t>
            </w:r>
            <w:r>
              <w:rPr>
                <w:rFonts w:hint="eastAsia" w:ascii="宋体" w:hAnsi="宋体" w:eastAsia="宋体" w:cs="宋体"/>
              </w:rPr>
              <w:t>分，否则不得分。</w:t>
            </w:r>
          </w:p>
          <w:p>
            <w:pPr>
              <w:spacing w:line="360" w:lineRule="auto"/>
              <w:rPr>
                <w:rFonts w:hint="eastAsia" w:ascii="宋体" w:hAnsi="宋体" w:eastAsia="宋体" w:cs="宋体"/>
              </w:rPr>
            </w:pPr>
            <w:r>
              <w:rPr>
                <w:rFonts w:hint="eastAsia" w:ascii="宋体" w:hAnsi="宋体" w:eastAsia="宋体" w:cs="宋体"/>
              </w:rPr>
              <w:t>（须提供包含上述评审要素信息的相应业绩项目的实施情况或项目案例结案报告或履约评价等证明资料）。</w:t>
            </w:r>
          </w:p>
          <w:p>
            <w:pPr>
              <w:spacing w:line="360" w:lineRule="auto"/>
              <w:rPr>
                <w:rFonts w:hint="eastAsia" w:ascii="宋体" w:hAnsi="宋体" w:eastAsia="宋体" w:cs="宋体"/>
                <w:b/>
                <w:bCs/>
              </w:rPr>
            </w:pPr>
            <w:r>
              <w:rPr>
                <w:rFonts w:hint="eastAsia" w:ascii="宋体" w:hAnsi="宋体" w:eastAsia="宋体" w:cs="宋体"/>
                <w:b/>
                <w:bCs/>
              </w:rPr>
              <w:t>评议依据：</w:t>
            </w:r>
          </w:p>
          <w:p>
            <w:pPr>
              <w:spacing w:line="360" w:lineRule="auto"/>
              <w:rPr>
                <w:rFonts w:hint="eastAsia" w:ascii="宋体" w:hAnsi="宋体" w:eastAsia="宋体" w:cs="宋体"/>
              </w:rPr>
            </w:pPr>
            <w:r>
              <w:rPr>
                <w:rFonts w:hint="eastAsia" w:ascii="宋体" w:hAnsi="宋体" w:cs="宋体"/>
                <w:lang w:val="en-US" w:eastAsia="zh-CN"/>
              </w:rPr>
              <w:t>（1）参加单位</w:t>
            </w:r>
            <w:r>
              <w:rPr>
                <w:rFonts w:hint="eastAsia" w:ascii="宋体" w:hAnsi="宋体" w:eastAsia="宋体" w:cs="宋体"/>
              </w:rPr>
              <w:t>须提供能够体现上述评议信息（如合同双方名称、签订时间、合同标的及主要内容等）的合同关键页扫描件、案例实施情况描述并加盖投标人公章。</w:t>
            </w:r>
          </w:p>
          <w:p>
            <w:pPr>
              <w:snapToGrid/>
              <w:spacing w:line="360" w:lineRule="auto"/>
              <w:rPr>
                <w:rFonts w:ascii="宋体" w:hAnsi="宋体"/>
                <w:color w:val="FF0000"/>
                <w:szCs w:val="21"/>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lang w:val="en-US" w:eastAsia="zh-CN"/>
              </w:rPr>
              <w:t>参加单位</w:t>
            </w:r>
            <w:r>
              <w:rPr>
                <w:rFonts w:hint="eastAsia" w:ascii="宋体" w:hAnsi="宋体" w:eastAsia="宋体" w:cs="宋体"/>
              </w:rPr>
              <w:t>未提供或所提供合同证明、案例实施情况描述等文件描述不清、不能判断的，均不得分。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color w:val="FF0000"/>
                <w:highlight w:val="yellow"/>
              </w:rPr>
            </w:pPr>
            <w:r>
              <w:rPr>
                <w:rFonts w:hint="eastAsia" w:ascii="宋体" w:hAnsi="宋体" w:cs="宋体"/>
                <w:color w:val="auto"/>
                <w:lang w:val="en-US" w:eastAsia="zh-CN"/>
              </w:rPr>
              <w:t>负责人情况</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ascii="宋体" w:hAnsi="宋体"/>
                <w:color w:val="FF0000"/>
                <w:szCs w:val="21"/>
                <w:highlight w:val="yellow"/>
              </w:rPr>
            </w:pPr>
            <w:r>
              <w:rPr>
                <w:rFonts w:hint="eastAsia" w:ascii="宋体" w:hAnsi="宋体" w:cs="宋体"/>
                <w:color w:val="auto"/>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pStyle w:val="11"/>
              <w:rPr>
                <w:rFonts w:hint="eastAsia" w:ascii="宋体" w:hAnsi="宋体" w:eastAsia="宋体" w:cs="宋体"/>
              </w:rPr>
            </w:pPr>
            <w:r>
              <w:rPr>
                <w:rFonts w:hint="eastAsia" w:ascii="宋体" w:eastAsia="宋体" w:cs="宋体"/>
                <w:lang w:val="en-US" w:eastAsia="zh-CN"/>
              </w:rPr>
              <w:t>参加单位须安排一位项目负责人，负责新闻中心运</w:t>
            </w:r>
            <w:r>
              <w:rPr>
                <w:rFonts w:hint="eastAsia" w:ascii="宋体" w:eastAsia="宋体" w:cs="宋体"/>
                <w:highlight w:val="none"/>
                <w:lang w:val="en-US" w:eastAsia="zh-CN"/>
              </w:rPr>
              <w:t>营及接待服务</w:t>
            </w:r>
            <w:r>
              <w:rPr>
                <w:rFonts w:hint="eastAsia" w:ascii="宋体" w:eastAsia="宋体" w:cs="宋体"/>
                <w:lang w:val="en-US" w:eastAsia="zh-CN"/>
              </w:rPr>
              <w:t>的整体统筹。</w:t>
            </w:r>
          </w:p>
          <w:p>
            <w:pPr>
              <w:spacing w:line="360" w:lineRule="auto"/>
              <w:rPr>
                <w:rFonts w:hint="eastAsia" w:ascii="宋体" w:hAnsi="宋体" w:cs="宋体"/>
                <w:highlight w:val="none"/>
                <w:lang w:val="en-US" w:eastAsia="zh-CN"/>
              </w:rPr>
            </w:pPr>
            <w:r>
              <w:rPr>
                <w:rFonts w:hint="eastAsia" w:ascii="宋体" w:hAnsi="宋体" w:cs="宋体"/>
                <w:lang w:val="en-US" w:eastAsia="zh-CN"/>
              </w:rPr>
              <w:t>对项目负责人工作业绩进行评议，</w:t>
            </w:r>
            <w:r>
              <w:rPr>
                <w:rFonts w:hint="eastAsia" w:ascii="宋体" w:hAnsi="宋体" w:eastAsia="宋体" w:cs="宋体"/>
                <w:highlight w:val="none"/>
              </w:rPr>
              <w:t>项目负责人有过</w:t>
            </w:r>
            <w:r>
              <w:rPr>
                <w:rFonts w:hint="eastAsia" w:ascii="宋体" w:hAnsi="宋体" w:cs="宋体"/>
                <w:highlight w:val="none"/>
                <w:lang w:val="en-US" w:eastAsia="zh-CN"/>
              </w:rPr>
              <w:t>10万平米（含）以上大型展会活动接待</w:t>
            </w:r>
            <w:r>
              <w:rPr>
                <w:rFonts w:hint="eastAsia" w:ascii="宋体" w:hAnsi="宋体" w:eastAsia="宋体" w:cs="宋体"/>
                <w:highlight w:val="none"/>
              </w:rPr>
              <w:t>经验的，得10分</w:t>
            </w:r>
            <w:r>
              <w:rPr>
                <w:rFonts w:hint="eastAsia" w:ascii="宋体" w:hAnsi="宋体" w:cs="宋体"/>
                <w:highlight w:val="none"/>
                <w:lang w:eastAsia="zh-CN"/>
              </w:rPr>
              <w:t>，</w:t>
            </w:r>
            <w:r>
              <w:rPr>
                <w:rFonts w:hint="eastAsia" w:ascii="宋体" w:hAnsi="宋体" w:cs="宋体"/>
                <w:highlight w:val="none"/>
                <w:lang w:val="en-US" w:eastAsia="zh-CN"/>
              </w:rPr>
              <w:t>有</w:t>
            </w:r>
            <w:r>
              <w:rPr>
                <w:rFonts w:hint="eastAsia" w:ascii="宋体" w:hAnsi="宋体" w:eastAsia="宋体" w:cs="宋体"/>
                <w:highlight w:val="none"/>
              </w:rPr>
              <w:t>过</w:t>
            </w:r>
            <w:r>
              <w:rPr>
                <w:rFonts w:hint="eastAsia" w:ascii="宋体" w:hAnsi="宋体" w:cs="宋体"/>
                <w:highlight w:val="none"/>
                <w:lang w:val="en-US" w:eastAsia="zh-CN"/>
              </w:rPr>
              <w:t>5万-10万平米（含）中型展会、活动接待经验的，得6分，否则不得分。</w:t>
            </w:r>
          </w:p>
          <w:p>
            <w:pPr>
              <w:pStyle w:val="11"/>
              <w:rPr>
                <w:rFonts w:hint="eastAsia"/>
                <w:lang w:val="en-US" w:eastAsia="zh-CN"/>
              </w:rPr>
            </w:pPr>
          </w:p>
          <w:p>
            <w:pPr>
              <w:spacing w:line="360" w:lineRule="auto"/>
              <w:rPr>
                <w:rFonts w:hint="default"/>
                <w:b/>
                <w:bCs/>
                <w:lang w:val="en-US"/>
              </w:rPr>
            </w:pPr>
            <w:r>
              <w:rPr>
                <w:rFonts w:hint="eastAsia" w:ascii="宋体" w:hAnsi="宋体" w:eastAsia="宋体" w:cs="宋体"/>
                <w:b/>
                <w:bCs/>
              </w:rPr>
              <w:t>评议依据：</w:t>
            </w:r>
          </w:p>
          <w:p>
            <w:pPr>
              <w:spacing w:line="360" w:lineRule="auto"/>
              <w:rPr>
                <w:rFonts w:ascii="宋体" w:hAnsi="宋体"/>
                <w:color w:val="FF0000"/>
                <w:szCs w:val="21"/>
              </w:rPr>
            </w:pPr>
            <w:r>
              <w:rPr>
                <w:rFonts w:hint="eastAsia" w:ascii="宋体" w:eastAsia="宋体" w:cs="宋体"/>
                <w:lang w:val="en-US" w:eastAsia="zh-CN"/>
              </w:rPr>
              <w:t>参加单位</w:t>
            </w:r>
            <w:r>
              <w:rPr>
                <w:rFonts w:hint="eastAsia" w:ascii="宋体" w:hAnsi="宋体" w:eastAsia="宋体" w:cs="宋体"/>
              </w:rPr>
              <w:t>须提供项目负责人身份证，</w:t>
            </w:r>
            <w:r>
              <w:rPr>
                <w:rFonts w:hint="eastAsia" w:ascii="宋体" w:hAnsi="宋体" w:cs="宋体"/>
                <w:lang w:val="en-US" w:eastAsia="zh-CN"/>
              </w:rPr>
              <w:t>简历、工作业绩及</w:t>
            </w:r>
            <w:r>
              <w:rPr>
                <w:rFonts w:hint="eastAsia" w:ascii="宋体" w:hAnsi="宋体" w:eastAsia="宋体" w:cs="宋体"/>
              </w:rPr>
              <w:t>证明文件，包括但不限于</w:t>
            </w:r>
            <w:r>
              <w:rPr>
                <w:rFonts w:hint="eastAsia" w:ascii="宋体" w:hAnsi="宋体" w:cs="宋体"/>
                <w:lang w:val="en-US" w:eastAsia="zh-CN"/>
              </w:rPr>
              <w:t>含有项目负责人信息的合同关键页复印件</w:t>
            </w:r>
            <w:r>
              <w:rPr>
                <w:rFonts w:hint="eastAsia" w:ascii="宋体" w:hAnsi="宋体" w:eastAsia="宋体" w:cs="宋体"/>
              </w:rPr>
              <w:t>、项目总结报告</w:t>
            </w:r>
            <w:r>
              <w:rPr>
                <w:rFonts w:hint="eastAsia" w:ascii="宋体" w:hAnsi="宋体" w:cs="宋体"/>
                <w:lang w:eastAsia="zh-CN"/>
              </w:rPr>
              <w:t>、</w:t>
            </w:r>
            <w:r>
              <w:rPr>
                <w:rFonts w:hint="eastAsia" w:ascii="宋体" w:hAnsi="宋体" w:cs="宋体"/>
                <w:lang w:val="en-US" w:eastAsia="zh-CN"/>
              </w:rPr>
              <w:t>甲方开具的证明</w:t>
            </w:r>
            <w:r>
              <w:rPr>
                <w:rFonts w:hint="eastAsia" w:ascii="宋体" w:hAnsi="宋体" w:eastAsia="宋体" w:cs="宋体"/>
              </w:rPr>
              <w:t>等，并加盖</w:t>
            </w:r>
            <w:r>
              <w:rPr>
                <w:rFonts w:hint="eastAsia" w:ascii="宋体" w:hAnsi="宋体" w:cs="宋体"/>
                <w:lang w:eastAsia="zh-CN"/>
              </w:rPr>
              <w:t>投标人</w:t>
            </w:r>
            <w:r>
              <w:rPr>
                <w:rFonts w:hint="eastAsia" w:ascii="宋体" w:hAnsi="宋体" w:eastAsia="宋体" w:cs="宋体"/>
              </w:rPr>
              <w:t>公章。</w:t>
            </w:r>
            <w:r>
              <w:rPr>
                <w:rFonts w:hint="eastAsia" w:ascii="宋体" w:hAnsi="宋体" w:cs="宋体"/>
                <w:lang w:val="en-US" w:eastAsia="zh-CN"/>
              </w:rPr>
              <w:t>所提供的资料不清或无法判定者不得分。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9351" w:type="dxa"/>
            <w:gridSpan w:val="5"/>
            <w:tcBorders>
              <w:tl2br w:val="nil"/>
              <w:tr2bl w:val="nil"/>
            </w:tcBorders>
            <w:vAlign w:val="center"/>
          </w:tcPr>
          <w:p>
            <w:pPr>
              <w:spacing w:line="360" w:lineRule="auto"/>
              <w:jc w:val="center"/>
              <w:rPr>
                <w:rFonts w:ascii="宋体" w:hAnsi="宋体"/>
                <w:color w:val="FF0000"/>
                <w:szCs w:val="21"/>
                <w:highlight w:val="yellow"/>
              </w:rPr>
            </w:pPr>
            <w:r>
              <w:rPr>
                <w:rFonts w:hint="eastAsia" w:ascii="宋体" w:hAnsi="宋体"/>
                <w:b/>
                <w:color w:val="auto"/>
                <w:szCs w:val="21"/>
              </w:rPr>
              <w:t>技术服务评议项（</w:t>
            </w:r>
            <w:r>
              <w:rPr>
                <w:rFonts w:hint="eastAsia" w:ascii="宋体" w:hAnsi="宋体"/>
                <w:b/>
                <w:color w:val="auto"/>
                <w:szCs w:val="21"/>
                <w:lang w:val="en-US" w:eastAsia="zh-CN"/>
              </w:rPr>
              <w:t>40</w:t>
            </w:r>
            <w:r>
              <w:rPr>
                <w:rFonts w:ascii="宋体" w:hAnsi="宋体"/>
                <w:b/>
                <w:color w:val="auto"/>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color w:val="FF0000"/>
                <w:highlight w:val="yellow"/>
              </w:rPr>
            </w:pPr>
            <w:r>
              <w:rPr>
                <w:rFonts w:hint="eastAsia" w:ascii="宋体" w:hAnsi="宋体" w:cs="宋体"/>
                <w:color w:val="auto"/>
                <w:lang w:val="en-US" w:eastAsia="zh-CN"/>
              </w:rPr>
              <w:t>服务</w:t>
            </w:r>
            <w:r>
              <w:rPr>
                <w:rFonts w:hint="eastAsia" w:ascii="宋体" w:hAnsi="宋体" w:cs="宋体"/>
                <w:color w:val="auto"/>
              </w:rPr>
              <w:t>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cs="宋体"/>
                <w:color w:val="auto"/>
                <w:highlight w:val="none"/>
                <w:lang w:val="en-US" w:eastAsia="zh-CN"/>
              </w:rPr>
              <w:t>20</w:t>
            </w:r>
            <w:r>
              <w:rPr>
                <w:rFonts w:hint="eastAsia" w:ascii="宋体" w:hAnsi="宋体" w:eastAsia="宋体" w:cs="宋体"/>
                <w:color w:val="auto"/>
                <w:highlight w:val="none"/>
              </w:rPr>
              <w:t>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（1）新闻中心运营服务：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从人员配置合理性、进度规划可行性、计划是否详细、可操作性4个方面综合评定：优秀</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分，良好</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分，一般</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分，差0分。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接待</w:t>
            </w:r>
            <w:r>
              <w:rPr>
                <w:rFonts w:hint="eastAsia" w:ascii="宋体" w:hAnsi="宋体" w:eastAsia="宋体" w:cs="宋体"/>
                <w:color w:val="auto"/>
                <w:highlight w:val="none"/>
                <w:lang w:val="en-US" w:eastAsia="zh-CN"/>
              </w:rPr>
              <w:t>服务：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从人员配置合理性、</w:t>
            </w:r>
            <w:r>
              <w:rPr>
                <w:rFonts w:hint="eastAsia" w:ascii="宋体" w:hAnsi="宋体" w:cs="宋体"/>
                <w:color w:val="auto"/>
                <w:highlight w:val="none"/>
                <w:lang w:val="en-US" w:eastAsia="zh-CN"/>
              </w:rPr>
              <w:t>接待</w:t>
            </w:r>
            <w:r>
              <w:rPr>
                <w:rFonts w:hint="eastAsia" w:ascii="宋体" w:hAnsi="宋体" w:eastAsia="宋体" w:cs="宋体"/>
                <w:color w:val="auto"/>
                <w:highlight w:val="none"/>
                <w:lang w:val="en-US" w:eastAsia="zh-CN"/>
              </w:rPr>
              <w:t>配合服务计划是否详细、可操作性3个方面综合评定：优秀</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分，良好</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分，一般</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分，差0分。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《高交会好新闻》</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从提交内容方案的完整性、内容脉络是否清晰、方案可操作性</w:t>
            </w:r>
            <w:r>
              <w:rPr>
                <w:rFonts w:hint="eastAsia" w:ascii="宋体" w:hAnsi="宋体" w:eastAsia="宋体" w:cs="宋体"/>
                <w:color w:val="auto"/>
                <w:highlight w:val="none"/>
                <w:lang w:val="en-US" w:eastAsia="zh-CN"/>
              </w:rPr>
              <w:t>3个方面综合评定：优秀</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分，良好</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分，一般</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分，差0分。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）应急措施：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从应急方案的完整性、可操作性进行评定：优秀3分，一般1分，差0分。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）增值服务：</w:t>
            </w:r>
          </w:p>
          <w:p>
            <w:pPr>
              <w:spacing w:line="360" w:lineRule="auto"/>
              <w:rPr>
                <w:rFonts w:ascii="宋体" w:hAnsi="宋体"/>
                <w:color w:val="FF0000"/>
                <w:szCs w:val="21"/>
                <w:highlight w:val="yellow"/>
              </w:rPr>
            </w:pPr>
            <w:r>
              <w:rPr>
                <w:rFonts w:hint="eastAsia" w:ascii="宋体" w:hAnsi="宋体" w:eastAsia="宋体" w:cs="宋体"/>
                <w:color w:val="auto"/>
                <w:highlight w:val="none"/>
                <w:lang w:val="en-US" w:eastAsia="zh-CN"/>
              </w:rPr>
              <w:t>提供增值服务承诺，从增值服务的可操作性、服务内容完整性进行评定：优秀</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分，一般1分，差0分。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color w:val="FF0000"/>
                <w:highlight w:val="yellow"/>
              </w:rPr>
            </w:pPr>
            <w:r>
              <w:rPr>
                <w:rFonts w:hint="eastAsia" w:ascii="宋体" w:hAnsi="宋体" w:cs="宋体"/>
                <w:color w:val="auto"/>
                <w:lang w:val="en-US" w:eastAsia="zh-CN"/>
              </w:rPr>
              <w:t>团队实力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w:t>
            </w:r>
            <w:r>
              <w:rPr>
                <w:rFonts w:hint="eastAsia" w:ascii="宋体" w:hAnsi="宋体" w:cs="宋体"/>
                <w:color w:val="auto"/>
                <w:highlight w:val="none"/>
                <w:lang w:val="en-US" w:eastAsia="zh-CN"/>
              </w:rPr>
              <w:t>参加单位</w:t>
            </w:r>
            <w:r>
              <w:rPr>
                <w:rFonts w:hint="eastAsia" w:ascii="宋体" w:hAnsi="宋体" w:eastAsia="宋体" w:cs="宋体"/>
                <w:color w:val="auto"/>
                <w:highlight w:val="none"/>
                <w:lang w:val="en-US" w:eastAsia="zh-CN"/>
              </w:rPr>
              <w:t>为本项目派出的成员配置进行评定：</w:t>
            </w:r>
          </w:p>
          <w:p>
            <w:pPr>
              <w:widowControl/>
              <w:spacing w:line="360" w:lineRule="auto"/>
              <w:ind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（1）派出的项目成员中，有</w:t>
            </w:r>
            <w:r>
              <w:rPr>
                <w:rFonts w:hint="eastAsia" w:ascii="宋体" w:hAnsi="宋体" w:cs="宋体"/>
                <w:color w:val="auto"/>
                <w:highlight w:val="none"/>
                <w:lang w:val="en-US" w:eastAsia="zh-CN"/>
              </w:rPr>
              <w:t>媒体</w:t>
            </w:r>
            <w:r>
              <w:rPr>
                <w:rFonts w:hint="eastAsia" w:ascii="宋体" w:hAnsi="宋体" w:eastAsia="宋体" w:cs="宋体"/>
                <w:color w:val="auto"/>
                <w:highlight w:val="none"/>
                <w:lang w:val="en-US" w:eastAsia="zh-CN"/>
              </w:rPr>
              <w:t>中心运营服务工作经验的，得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分，无则不得分。</w:t>
            </w:r>
          </w:p>
          <w:p>
            <w:pPr>
              <w:widowControl/>
              <w:spacing w:line="360" w:lineRule="auto"/>
              <w:ind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（2）派出的项目成员中，有</w:t>
            </w:r>
            <w:r>
              <w:rPr>
                <w:rFonts w:hint="eastAsia" w:ascii="宋体" w:hAnsi="宋体" w:cs="宋体"/>
                <w:color w:val="auto"/>
                <w:highlight w:val="none"/>
                <w:lang w:val="en-US" w:eastAsia="zh-CN"/>
              </w:rPr>
              <w:t>展会接待服务</w:t>
            </w:r>
            <w:r>
              <w:rPr>
                <w:rFonts w:hint="eastAsia" w:ascii="宋体" w:hAnsi="宋体" w:eastAsia="宋体" w:cs="宋体"/>
                <w:color w:val="auto"/>
                <w:highlight w:val="none"/>
                <w:lang w:val="en-US" w:eastAsia="zh-CN"/>
              </w:rPr>
              <w:t>工作经验的，得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分，无则不得分。</w:t>
            </w:r>
          </w:p>
          <w:p>
            <w:pPr>
              <w:pStyle w:val="2"/>
              <w:ind w:left="0" w:leftChars="0" w:firstLine="0" w:firstLineChars="0"/>
              <w:rPr>
                <w:rFonts w:hint="eastAsia"/>
                <w:color w:val="auto"/>
                <w:lang w:val="en-US" w:eastAsia="zh-CN"/>
              </w:rPr>
            </w:pPr>
            <w:r>
              <w:rPr>
                <w:rFonts w:hint="eastAsia" w:ascii="宋体" w:hAnsi="宋体" w:eastAsia="宋体" w:cs="宋体"/>
                <w:color w:val="auto"/>
                <w:highlight w:val="none"/>
                <w:lang w:val="en-US" w:eastAsia="zh-CN"/>
              </w:rPr>
              <w:t>（3）派出的项目成员中，有</w:t>
            </w:r>
            <w:r>
              <w:rPr>
                <w:rFonts w:hint="eastAsia" w:ascii="宋体" w:hAnsi="宋体" w:cs="宋体"/>
                <w:color w:val="auto"/>
                <w:highlight w:val="none"/>
                <w:lang w:val="en-US" w:eastAsia="zh-CN"/>
              </w:rPr>
              <w:t>展会媒体组织、邀请服务经验的，</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分，无则不得分。</w:t>
            </w:r>
            <w:r>
              <w:rPr>
                <w:rFonts w:hint="eastAsia" w:ascii="宋体" w:hAnsi="宋体" w:cs="宋体"/>
                <w:color w:val="auto"/>
                <w:highlight w:val="none"/>
                <w:lang w:val="en-US" w:eastAsia="zh-CN"/>
              </w:rPr>
              <w:t xml:space="preserve"> </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评议依据</w:t>
            </w:r>
            <w:r>
              <w:rPr>
                <w:rFonts w:hint="eastAsia" w:ascii="宋体" w:hAnsi="宋体" w:eastAsia="宋体" w:cs="宋体"/>
                <w:b/>
                <w:bCs/>
                <w:color w:val="auto"/>
                <w:highlight w:val="none"/>
                <w:lang w:val="en-US" w:eastAsia="zh-CN"/>
              </w:rPr>
              <w:t>：</w:t>
            </w:r>
          </w:p>
          <w:p>
            <w:pPr>
              <w:widowControl/>
              <w:spacing w:line="360" w:lineRule="auto"/>
              <w:ind w:right="0" w:rightChars="0"/>
              <w:jc w:val="left"/>
              <w:rPr>
                <w:rFonts w:ascii="宋体" w:hAnsi="宋体"/>
                <w:color w:val="FF0000"/>
                <w:szCs w:val="21"/>
                <w:highlight w:val="yellow"/>
              </w:rPr>
            </w:pPr>
            <w:r>
              <w:rPr>
                <w:rFonts w:hint="eastAsia" w:ascii="宋体" w:hAnsi="宋体" w:eastAsia="宋体" w:cs="宋体"/>
                <w:color w:val="auto"/>
                <w:highlight w:val="none"/>
                <w:lang w:val="en-US" w:eastAsia="zh-CN"/>
              </w:rPr>
              <w:t>要求</w:t>
            </w:r>
            <w:r>
              <w:rPr>
                <w:rFonts w:hint="eastAsia" w:ascii="宋体" w:hAnsi="宋体" w:cs="宋体"/>
                <w:color w:val="auto"/>
                <w:highlight w:val="none"/>
                <w:lang w:val="en-US" w:eastAsia="zh-CN"/>
              </w:rPr>
              <w:t>参加单位</w:t>
            </w:r>
            <w:r>
              <w:rPr>
                <w:rFonts w:hint="eastAsia" w:ascii="宋体" w:hAnsi="宋体" w:eastAsia="宋体" w:cs="宋体"/>
                <w:color w:val="auto"/>
                <w:highlight w:val="none"/>
                <w:lang w:val="en-US" w:eastAsia="zh-CN"/>
              </w:rPr>
              <w:t>提供项目团队成员工作证明文件、简历并加盖投标单位公章。未提供或提供的材料因不清晰等原因，无法证实上述评议内容的，不得分</w:t>
            </w:r>
            <w:r>
              <w:rPr>
                <w:rFonts w:hint="eastAsia" w:ascii="宋体" w:hAnsi="宋体" w:cs="宋体"/>
                <w:color w:val="auto"/>
                <w:highlight w:val="none"/>
                <w:lang w:val="en-US" w:eastAsia="zh-CN"/>
              </w:rPr>
              <w:t>；要求以上项目团队成员不重复计分。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highlight w:val="yellow"/>
              </w:rPr>
            </w:pPr>
            <w:r>
              <w:rPr>
                <w:rFonts w:hint="eastAsia" w:ascii="宋体" w:hAnsi="宋体" w:cs="宋体"/>
                <w:color w:val="auto"/>
              </w:rPr>
              <w:t>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tc>
        <w:tc>
          <w:tcPr>
            <w:tcW w:w="6804" w:type="dxa"/>
            <w:gridSpan w:val="2"/>
            <w:tcBorders>
              <w:tl2br w:val="nil"/>
              <w:tr2bl w:val="nil"/>
            </w:tcBorders>
            <w:tcMar>
              <w:top w:w="15" w:type="dxa"/>
              <w:left w:w="15" w:type="dxa"/>
              <w:bottom w:w="15" w:type="dxa"/>
              <w:right w:w="15" w:type="dxa"/>
            </w:tcMar>
            <w:vAlign w:val="center"/>
          </w:tcPr>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w:t>
            </w:r>
            <w:r>
              <w:rPr>
                <w:rFonts w:hint="eastAsia" w:ascii="宋体" w:hAnsi="宋体" w:cs="宋体"/>
                <w:highlight w:val="none"/>
                <w:lang w:val="en-US" w:eastAsia="zh-CN"/>
              </w:rPr>
              <w:t>参加单位</w:t>
            </w:r>
            <w:r>
              <w:rPr>
                <w:rFonts w:hint="eastAsia" w:ascii="宋体" w:hAnsi="宋体" w:eastAsia="宋体" w:cs="宋体"/>
                <w:highlight w:val="none"/>
                <w:lang w:val="en-US" w:eastAsia="zh-CN"/>
              </w:rPr>
              <w:t>提交的服务承诺进行评议，服务响应速度越快、现场质量保证越符合实际，承诺内容越全面，得分越高：</w:t>
            </w:r>
          </w:p>
          <w:p>
            <w:pPr>
              <w:spacing w:line="360" w:lineRule="auto"/>
              <w:rPr>
                <w:rFonts w:ascii="宋体" w:hAnsi="宋体"/>
                <w:color w:val="FF0000"/>
                <w:szCs w:val="21"/>
                <w:highlight w:val="yellow"/>
              </w:rPr>
            </w:pPr>
            <w:r>
              <w:rPr>
                <w:rFonts w:hint="eastAsia" w:ascii="宋体" w:hAnsi="宋体" w:eastAsia="宋体" w:cs="宋体"/>
                <w:highlight w:val="none"/>
                <w:lang w:val="en-US" w:eastAsia="zh-CN"/>
              </w:rPr>
              <w:t>优秀5分，良好3分，一般1分，无0分。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13"/>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rPr>
              <w:t>××</w:t>
            </w:r>
            <w:r>
              <w:rPr>
                <w:rStyle w:val="19"/>
                <w:rFonts w:hint="eastAsia" w:ascii="宋体" w:hAnsi="宋体"/>
                <w:highlight w:val="none"/>
              </w:rPr>
              <w:t xml:space="preserve"> （价格评价分项满分值），Z为本次招标基准价；</w:t>
            </w:r>
          </w:p>
          <w:p>
            <w:pPr>
              <w:numPr>
                <w:ilvl w:val="0"/>
                <w:numId w:val="13"/>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A为价格调整系数，当投标报价低于本次招标最佳报价（即基准价）时，A=0.5；当投标报价高于次招标基准价时，取A=1；</w:t>
            </w:r>
          </w:p>
          <w:p>
            <w:pPr>
              <w:numPr>
                <w:ilvl w:val="0"/>
                <w:numId w:val="13"/>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spacing w:line="240" w:lineRule="atLeast"/>
              <w:jc w:val="center"/>
              <w:rPr>
                <w:rFonts w:ascii="宋体" w:cs="宋体"/>
                <w:kern w:val="0"/>
                <w:szCs w:val="21"/>
                <w:highlight w:val="yellow"/>
              </w:rPr>
            </w:pPr>
            <w:r>
              <w:rPr>
                <w:rFonts w:hint="eastAsia" w:ascii="宋体" w:cs="宋体"/>
                <w:kern w:val="0"/>
                <w:szCs w:val="21"/>
                <w:highlight w:val="none"/>
              </w:rPr>
              <w:t>其他方法：价格得分=（1-|投标报价-基准价|÷基准价）×价格权重分。投标报价取有效投标报价税前值，基准价取有效投标报价平均价税前值，投标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4"/>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4"/>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pStyle w:val="2"/>
      </w:pPr>
    </w:p>
    <w:p>
      <w:pPr>
        <w:numPr>
          <w:ilvl w:val="0"/>
          <w:numId w:val="1"/>
        </w:numPr>
        <w:spacing w:line="300" w:lineRule="auto"/>
        <w:outlineLvl w:val="0"/>
        <w:rPr>
          <w:rFonts w:ascii="宋体" w:hAnsi="宋体" w:cs="宋体"/>
          <w:b/>
          <w:sz w:val="24"/>
        </w:rPr>
      </w:pPr>
      <w:bookmarkStart w:id="20" w:name="_Toc128989102"/>
      <w:r>
        <w:rPr>
          <w:rFonts w:hint="eastAsia" w:ascii="宋体" w:hAnsi="宋体" w:cs="宋体"/>
          <w:b/>
          <w:sz w:val="24"/>
        </w:rPr>
        <w:t>采购结果</w:t>
      </w:r>
      <w:bookmarkEnd w:id="20"/>
    </w:p>
    <w:p>
      <w:pPr>
        <w:spacing w:line="300" w:lineRule="auto"/>
        <w:ind w:firstLine="420" w:firstLineChars="200"/>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21" w:name="_Toc128989103"/>
      <w:r>
        <w:rPr>
          <w:rFonts w:hint="eastAsia" w:ascii="宋体" w:hAnsi="宋体" w:cs="宋体"/>
          <w:b/>
          <w:sz w:val="24"/>
          <w:lang w:eastAsia="zh-CN"/>
        </w:rPr>
        <w:t>招标失败后续处理</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（一）说明</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 为提高采购效率，公开（邀请）招标失败后，招标人不再另行制作采购文件，将根据本招标文件规定的时间、需求内容采用非公开招标采购方式完成采购。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 非公开招标采购方式视公开招标失败的具体情形而定。</w:t>
      </w:r>
    </w:p>
    <w:p>
      <w:pPr>
        <w:spacing w:line="300" w:lineRule="auto"/>
        <w:ind w:firstLine="420" w:firstLineChars="200"/>
        <w:rPr>
          <w:rFonts w:hint="eastAsia" w:ascii="宋体" w:hAnsi="宋体" w:eastAsia="宋体" w:cs="宋体"/>
          <w:color w:val="auto"/>
          <w:szCs w:val="21"/>
          <w:highlight w:val="none"/>
          <w:lang w:val="en-US" w:eastAsia="zh-CN"/>
        </w:rPr>
      </w:pP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（二）采购方式</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 竞争性谈判</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1.1采用竞争性谈判方式采购的情形。</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符合下列情形之一的，采用竞争性谈判方式采购。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1）在招标采购中，符合专业条件的供应商或者对招标文件作实质性响应的供应商只有两家的。</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2）经公告或者邀请只有两家符合投标资格的供应人参加投标的。</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 单一来源采购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2.1采用单一来源方式采购的情形。</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符合下列情形之一的，采用单一来源方式采购。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1）在招标采购中，符合专业条件的供应商或者对招标文件作实质性响应的供应商只有一家的。</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2）经公告或者邀请只有一家符合投标资格的供应人参加投标的。</w:t>
      </w:r>
    </w:p>
    <w:p>
      <w:pPr>
        <w:spacing w:line="300" w:lineRule="auto"/>
        <w:ind w:firstLine="420" w:firstLineChars="200"/>
        <w:rPr>
          <w:rFonts w:hint="eastAsia" w:ascii="宋体" w:hAnsi="宋体" w:eastAsia="宋体" w:cs="宋体"/>
          <w:color w:val="auto"/>
          <w:szCs w:val="21"/>
          <w:highlight w:val="none"/>
          <w:lang w:val="en-US" w:eastAsia="zh-CN"/>
        </w:rPr>
      </w:pP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（三）采购程序</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 竞争性谈判</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1.1评审原则：符合采购要求，最终报价最低价为价格评议项基准价，价格分计算公式不变。</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1.2 成立谈判小组。谈判小组由5人组成。</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1.3谈判小组将与符合相应资格条件的供应商进行谈判；</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1.4招标人与供应商应当遵循相关法规规定的原则，在保证符合采购项目服务内容和质量的基础上进行采购；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1.5供应商最多共有三次报价机会（含初始报价）。谈判小组可视谈判情况，随时终止谈判；</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1.6谈判结束后，谈判小组应当要求参加谈判的供应商在规定时间内进行最后承诺、填写并提交《最终报价单》（含现场承诺内容）。</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1.7成交供应商确定后，招标人向成交供应商发出《中选通知书》。</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1.8《中选通知书》是合同的一个组成部分。</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1.9若最终报价相同，则抽签决定中选供应方。抽签原则：大号中标。抽签顺序：以接收文件时文件上传时间的顺序为准（未出席现场谈判的供应商由招标人代表代抽）。</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 单一来源采购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2.1成立谈判小组。谈判小组由三人及以上的单数组成。</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2.2谈判小组从确定符合相应资格条件的供应商参加谈判。</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2.3招标人与供应商应当遵循相关法规规定的原则，在保证采购项目质量和双方商定合理价格的基础上进行采购。</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2.4谈判结束后，谈判小组应当要求参加谈判的供应商在规定时间内进行最后报价、填写并提交《最终报价》及《现场承诺书》。</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2.5成交供应商确定后，招标人将向成交供应商发出《成交通知书》。</w:t>
      </w:r>
    </w:p>
    <w:p>
      <w:pPr>
        <w:numPr>
          <w:ilvl w:val="0"/>
          <w:numId w:val="0"/>
        </w:numPr>
        <w:spacing w:line="300" w:lineRule="auto"/>
        <w:ind w:left="420" w:leftChars="0"/>
        <w:outlineLvl w:val="0"/>
        <w:rPr>
          <w:rFonts w:ascii="宋体" w:hAnsi="宋体" w:cs="宋体"/>
          <w:b/>
          <w:sz w:val="24"/>
        </w:rPr>
      </w:pPr>
    </w:p>
    <w:p>
      <w:pPr>
        <w:numPr>
          <w:ilvl w:val="0"/>
          <w:numId w:val="1"/>
        </w:numPr>
        <w:spacing w:line="300" w:lineRule="auto"/>
        <w:outlineLvl w:val="0"/>
        <w:rPr>
          <w:rFonts w:ascii="宋体" w:hAnsi="宋体" w:cs="宋体"/>
          <w:b/>
          <w:sz w:val="24"/>
        </w:rPr>
      </w:pPr>
      <w:r>
        <w:rPr>
          <w:rFonts w:hint="eastAsia" w:ascii="宋体" w:hAnsi="宋体" w:cs="宋体"/>
          <w:b/>
          <w:sz w:val="24"/>
        </w:rPr>
        <w:t>合同条款及格式</w:t>
      </w:r>
      <w:bookmarkEnd w:id="21"/>
    </w:p>
    <w:p>
      <w:pPr>
        <w:pStyle w:val="28"/>
        <w:ind w:left="420" w:firstLine="0" w:firstLineChars="0"/>
        <w:jc w:val="center"/>
        <w:rPr>
          <w:rFonts w:ascii="方正小标宋简体" w:hAnsi="方正小标宋简体" w:eastAsia="方正小标宋简体" w:cs="方正小标宋简体"/>
          <w:bCs/>
          <w:kern w:val="0"/>
          <w:sz w:val="28"/>
          <w:szCs w:val="28"/>
        </w:rPr>
      </w:pPr>
      <w:bookmarkStart w:id="22"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22"/>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11"/>
      </w:pPr>
    </w:p>
    <w:p>
      <w:pPr>
        <w:pStyle w:val="11"/>
        <w:jc w:val="center"/>
        <w:rPr>
          <w:rFonts w:ascii="方正公文小标宋" w:hAnsi="方正公文小标宋" w:eastAsia="方正公文小标宋" w:cs="方正公文小标宋"/>
          <w:b/>
          <w:bCs/>
          <w:color w:val="FF0000"/>
          <w:sz w:val="44"/>
          <w:szCs w:val="44"/>
          <w:highlight w:val="yellow"/>
        </w:rPr>
      </w:pPr>
      <w:bookmarkStart w:id="23" w:name="_Toc25002"/>
      <w:r>
        <w:rPr>
          <w:rFonts w:hint="eastAsia" w:ascii="方正公文小标宋" w:hAnsi="方正公文小标宋" w:eastAsia="方正公文小标宋" w:cs="方正公文小标宋"/>
          <w:b/>
          <w:bCs/>
          <w:color w:val="FF0000"/>
          <w:sz w:val="44"/>
          <w:szCs w:val="44"/>
          <w:highlight w:val="yellow"/>
        </w:rPr>
        <w:t>请补充合同条款具体内容</w:t>
      </w:r>
      <w:bookmarkEnd w:id="23"/>
    </w:p>
    <w:p>
      <w:pPr>
        <w:pStyle w:val="11"/>
      </w:pPr>
    </w:p>
    <w:p>
      <w:pPr>
        <w:pStyle w:val="11"/>
      </w:pPr>
    </w:p>
    <w:p>
      <w:pPr>
        <w:pStyle w:val="11"/>
      </w:pPr>
    </w:p>
    <w:p>
      <w:pPr>
        <w:pStyle w:val="11"/>
      </w:pP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r>
              <w:rPr>
                <w:rFonts w:hint="eastAsia" w:ascii="宋体" w:eastAsia="宋体"/>
                <w:sz w:val="24"/>
              </w:rPr>
              <w:t>甲方（公章）：深圳会展中心管理有限责任公司</w:t>
            </w:r>
          </w:p>
          <w:p>
            <w:pPr>
              <w:pStyle w:val="11"/>
              <w:rPr>
                <w:rFonts w:ascii="宋体" w:eastAsia="宋体"/>
                <w:sz w:val="24"/>
                <w:u w:val="single"/>
              </w:rPr>
            </w:pPr>
            <w:r>
              <w:rPr>
                <w:rFonts w:hint="eastAsia" w:ascii="宋体" w:eastAsia="宋体"/>
                <w:sz w:val="24"/>
              </w:rPr>
              <w:t>甲方代表：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c>
          <w:tcPr>
            <w:tcW w:w="4964" w:type="dxa"/>
          </w:tcPr>
          <w:p>
            <w:pPr>
              <w:pStyle w:val="11"/>
              <w:rPr>
                <w:rFonts w:ascii="宋体" w:eastAsia="宋体"/>
                <w:sz w:val="24"/>
                <w:u w:val="single"/>
              </w:rPr>
            </w:pPr>
            <w:r>
              <w:rPr>
                <w:rFonts w:hint="eastAsia" w:ascii="宋体" w:eastAsia="宋体"/>
                <w:sz w:val="24"/>
              </w:rPr>
              <w:t>乙方（公章）：</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乙方代表：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r>
    </w:tbl>
    <w:p/>
    <w:p/>
    <w:p/>
    <w:p/>
    <w:p/>
    <w:p/>
    <w:p/>
    <w:p/>
    <w:p/>
    <w:p/>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pStyle w:val="2"/>
        <w:ind w:left="0" w:leftChars="0" w:firstLine="0" w:firstLineChars="0"/>
        <w:rPr>
          <w:rFonts w:hint="default" w:eastAsia="宋体"/>
          <w:lang w:val="en-US" w:eastAsia="zh-CN"/>
        </w:rPr>
      </w:pPr>
      <w:r>
        <w:rPr>
          <w:rFonts w:hint="eastAsia" w:ascii="宋体" w:hAnsi="宋体" w:cs="宋体"/>
          <w:b/>
          <w:sz w:val="24"/>
          <w:lang w:val="en-US" w:eastAsia="zh-CN"/>
        </w:rPr>
        <w:t xml:space="preserve"> 十一、附件</w:t>
      </w:r>
    </w:p>
    <w:p>
      <w:pPr>
        <w:pStyle w:val="11"/>
        <w:rPr>
          <w:rFonts w:ascii="仿宋" w:hAnsi="仿宋" w:eastAsia="仿宋" w:cs="仿宋"/>
          <w:sz w:val="28"/>
          <w:szCs w:val="28"/>
        </w:rPr>
      </w:pPr>
      <w:bookmarkStart w:id="24" w:name="_Toc478387760"/>
    </w:p>
    <w:p>
      <w:pPr>
        <w:spacing w:line="0" w:lineRule="atLeast"/>
        <w:outlineLvl w:val="0"/>
        <w:rPr>
          <w:rFonts w:ascii="宋体" w:hAnsi="宋体"/>
        </w:rPr>
      </w:pPr>
      <w:bookmarkStart w:id="25" w:name="_Toc128989105"/>
      <w:r>
        <w:rPr>
          <w:rFonts w:hint="eastAsia" w:ascii="仿宋" w:hAnsi="仿宋" w:eastAsia="仿宋" w:cs="仿宋"/>
          <w:sz w:val="28"/>
          <w:szCs w:val="28"/>
        </w:rPr>
        <w:t>附件1：报名回函</w:t>
      </w:r>
      <w:bookmarkEnd w:id="25"/>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6" w:name="_Toc128989106"/>
      <w:r>
        <w:rPr>
          <w:rFonts w:hint="eastAsia" w:ascii="仿宋" w:hAnsi="仿宋" w:eastAsia="仿宋" w:cs="仿宋"/>
          <w:sz w:val="28"/>
          <w:szCs w:val="28"/>
        </w:rPr>
        <w:t>附件2：考察证明</w:t>
      </w:r>
      <w:bookmarkEnd w:id="24"/>
      <w:bookmarkEnd w:id="26"/>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7"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8"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8"/>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15"/>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9" w:name="_Toc25356"/>
      <w:r>
        <w:rPr>
          <w:rFonts w:hint="eastAsia" w:ascii="仿宋" w:hAnsi="仿宋" w:eastAsia="仿宋" w:cs="仿宋"/>
          <w:sz w:val="28"/>
          <w:szCs w:val="28"/>
        </w:rPr>
        <w:t>日期：_________年____月____日</w:t>
      </w:r>
      <w:bookmarkEnd w:id="29"/>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30" w:name="_Toc128989108"/>
      <w:r>
        <w:rPr>
          <w:rFonts w:hint="eastAsia" w:ascii="仿宋" w:hAnsi="仿宋" w:eastAsia="仿宋" w:cs="仿宋"/>
          <w:sz w:val="28"/>
          <w:szCs w:val="28"/>
        </w:rPr>
        <w:t>附件4：报价一览表（服务）</w:t>
      </w:r>
      <w:bookmarkEnd w:id="30"/>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31" w:name="_Toc211248412"/>
      <w:r>
        <w:rPr>
          <w:rFonts w:hint="eastAsia" w:ascii="仿宋" w:hAnsi="仿宋" w:eastAsia="仿宋" w:cs="仿宋"/>
          <w:sz w:val="28"/>
          <w:szCs w:val="28"/>
        </w:rPr>
        <w:br w:type="page"/>
      </w:r>
      <w:bookmarkEnd w:id="31"/>
      <w:bookmarkStart w:id="32" w:name="_Toc128989109"/>
      <w:bookmarkStart w:id="33"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32"/>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17"/>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4" w:name="_Toc128989110"/>
      <w:r>
        <w:rPr>
          <w:rFonts w:hint="eastAsia" w:ascii="仿宋" w:hAnsi="仿宋" w:eastAsia="仿宋" w:cs="仿宋"/>
          <w:color w:val="000000"/>
          <w:sz w:val="28"/>
          <w:szCs w:val="28"/>
        </w:rPr>
        <w:t>附件6：商务条款响应/偏离表</w:t>
      </w:r>
      <w:bookmarkEnd w:id="34"/>
    </w:p>
    <w:p>
      <w:pPr>
        <w:adjustRightInd w:val="0"/>
        <w:snapToGrid w:val="0"/>
        <w:spacing w:before="240" w:after="240" w:line="400" w:lineRule="exact"/>
        <w:jc w:val="center"/>
        <w:rPr>
          <w:rFonts w:ascii="仿宋" w:hAnsi="仿宋" w:eastAsia="仿宋" w:cs="仿宋"/>
          <w:color w:val="000000"/>
          <w:sz w:val="28"/>
          <w:szCs w:val="28"/>
        </w:rPr>
      </w:pPr>
      <w:bookmarkStart w:id="35"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5"/>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6" w:name="_Toc236803114"/>
      <w:bookmarkStart w:id="37" w:name="_Toc128989111"/>
      <w:bookmarkStart w:id="38" w:name="_Toc85808702"/>
      <w:r>
        <w:rPr>
          <w:rFonts w:hint="eastAsia" w:ascii="仿宋" w:hAnsi="仿宋" w:eastAsia="仿宋" w:cs="仿宋"/>
          <w:color w:val="000000"/>
          <w:sz w:val="28"/>
          <w:szCs w:val="28"/>
        </w:rPr>
        <w:t>附件7： 技术（服务）响应/偏离表</w:t>
      </w:r>
      <w:bookmarkEnd w:id="36"/>
      <w:bookmarkEnd w:id="37"/>
      <w:bookmarkEnd w:id="38"/>
    </w:p>
    <w:p>
      <w:pPr>
        <w:adjustRightInd w:val="0"/>
        <w:snapToGrid w:val="0"/>
        <w:spacing w:before="240" w:after="240" w:line="400" w:lineRule="exact"/>
        <w:jc w:val="center"/>
        <w:rPr>
          <w:rFonts w:ascii="仿宋" w:hAnsi="仿宋" w:eastAsia="仿宋" w:cs="仿宋"/>
          <w:color w:val="000000"/>
          <w:sz w:val="28"/>
          <w:szCs w:val="28"/>
        </w:rPr>
      </w:pPr>
      <w:bookmarkStart w:id="39"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9"/>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40" w:name="_Toc128989112"/>
      <w:r>
        <w:rPr>
          <w:rFonts w:hint="eastAsia" w:ascii="仿宋" w:hAnsi="仿宋" w:eastAsia="仿宋" w:cs="仿宋"/>
          <w:sz w:val="28"/>
          <w:szCs w:val="28"/>
        </w:rPr>
        <w:t>附件8：法定代表人证明书</w:t>
      </w:r>
      <w:bookmarkEnd w:id="33"/>
      <w:bookmarkEnd w:id="40"/>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41"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2" w:name="_Toc128989113"/>
      <w:r>
        <w:rPr>
          <w:rFonts w:hint="eastAsia" w:ascii="仿宋" w:hAnsi="仿宋" w:eastAsia="仿宋" w:cs="仿宋"/>
          <w:sz w:val="28"/>
          <w:szCs w:val="28"/>
        </w:rPr>
        <w:t>附件9：法人授权委托证明书</w:t>
      </w:r>
      <w:bookmarkEnd w:id="41"/>
      <w:bookmarkEnd w:id="42"/>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3" w:name="_Toc54773235"/>
      <w:bookmarkStart w:id="44" w:name="_Toc128989114"/>
      <w:r>
        <w:rPr>
          <w:rFonts w:hint="eastAsia" w:ascii="仿宋" w:hAnsi="仿宋" w:eastAsia="仿宋" w:cs="仿宋"/>
          <w:sz w:val="28"/>
          <w:szCs w:val="28"/>
        </w:rPr>
        <w:t>附件10：经营业绩一览表</w:t>
      </w:r>
      <w:bookmarkEnd w:id="43"/>
      <w:bookmarkEnd w:id="44"/>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5" w:name="_Toc54773236"/>
      <w:bookmarkStart w:id="46" w:name="_Toc128989115"/>
      <w:r>
        <w:rPr>
          <w:rFonts w:hint="eastAsia" w:ascii="仿宋" w:hAnsi="仿宋" w:eastAsia="仿宋" w:cs="仿宋"/>
          <w:sz w:val="28"/>
          <w:szCs w:val="28"/>
        </w:rPr>
        <w:t>附件11：售后服务承诺书</w:t>
      </w:r>
      <w:bookmarkEnd w:id="45"/>
      <w:r>
        <w:rPr>
          <w:rFonts w:ascii="仿宋" w:hAnsi="仿宋" w:eastAsia="仿宋" w:cs="仿宋"/>
          <w:sz w:val="28"/>
          <w:szCs w:val="28"/>
        </w:rPr>
        <w:t>/质量保修服务承诺书（根据项目类型选择）</w:t>
      </w:r>
      <w:bookmarkEnd w:id="46"/>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7" w:name="_Toc32341"/>
      <w:r>
        <w:rPr>
          <w:rFonts w:hint="eastAsia" w:ascii="仿宋" w:hAnsi="仿宋" w:eastAsia="仿宋" w:cs="仿宋"/>
          <w:sz w:val="28"/>
          <w:szCs w:val="28"/>
        </w:rPr>
        <w:br w:type="page"/>
      </w:r>
      <w:bookmarkStart w:id="48" w:name="_Toc128989116"/>
      <w:bookmarkStart w:id="49" w:name="_Toc54773237"/>
      <w:r>
        <w:rPr>
          <w:rFonts w:hint="eastAsia" w:ascii="仿宋" w:hAnsi="仿宋" w:eastAsia="仿宋" w:cs="仿宋"/>
          <w:sz w:val="28"/>
          <w:szCs w:val="28"/>
        </w:rPr>
        <w:t>附件12：履约情况及社会信誉承诺书</w:t>
      </w:r>
      <w:bookmarkEnd w:id="47"/>
      <w:bookmarkEnd w:id="48"/>
      <w:bookmarkEnd w:id="49"/>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0"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50"/>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1" w:name="_Toc128989117"/>
      <w:r>
        <w:rPr>
          <w:rFonts w:hint="eastAsia" w:ascii="仿宋" w:hAnsi="仿宋" w:eastAsia="仿宋" w:cs="仿宋"/>
          <w:sz w:val="28"/>
          <w:szCs w:val="28"/>
        </w:rPr>
        <w:t>附件13：投标文件密码</w:t>
      </w:r>
      <w:bookmarkEnd w:id="51"/>
    </w:p>
    <w:p>
      <w:pPr>
        <w:spacing w:line="360" w:lineRule="auto"/>
        <w:jc w:val="center"/>
        <w:rPr>
          <w:rFonts w:ascii="宋体" w:hAnsi="宋体"/>
          <w:b/>
          <w:sz w:val="44"/>
          <w:szCs w:val="44"/>
        </w:rPr>
      </w:pPr>
    </w:p>
    <w:p>
      <w:pPr>
        <w:jc w:val="center"/>
        <w:rPr>
          <w:rFonts w:ascii="宋体" w:hAnsi="宋体"/>
          <w:b/>
          <w:color w:val="000000"/>
          <w:sz w:val="32"/>
          <w:szCs w:val="32"/>
        </w:rPr>
      </w:pPr>
      <w:bookmarkStart w:id="52"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2"/>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3">
    <w:nsid w:val="DAA5A57F"/>
    <w:multiLevelType w:val="singleLevel"/>
    <w:tmpl w:val="DAA5A57F"/>
    <w:lvl w:ilvl="0" w:tentative="0">
      <w:start w:val="1"/>
      <w:numFmt w:val="decimal"/>
      <w:suff w:val="space"/>
      <w:lvlText w:val="%1."/>
      <w:lvlJc w:val="left"/>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6">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72D6470"/>
    <w:multiLevelType w:val="singleLevel"/>
    <w:tmpl w:val="472D6470"/>
    <w:lvl w:ilvl="0" w:tentative="0">
      <w:start w:val="1"/>
      <w:numFmt w:val="decimal"/>
      <w:lvlText w:val="%1."/>
      <w:lvlJc w:val="left"/>
      <w:pPr>
        <w:ind w:left="425" w:hanging="425"/>
      </w:pPr>
      <w:rPr>
        <w:rFonts w:hint="default"/>
      </w:rPr>
    </w:lvl>
  </w:abstractNum>
  <w:abstractNum w:abstractNumId="18">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9">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1">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4">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23"/>
  </w:num>
  <w:num w:numId="3">
    <w:abstractNumId w:val="14"/>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9"/>
  </w:num>
  <w:num w:numId="9">
    <w:abstractNumId w:val="2"/>
  </w:num>
  <w:num w:numId="10">
    <w:abstractNumId w:val="17"/>
  </w:num>
  <w:num w:numId="11">
    <w:abstractNumId w:val="6"/>
  </w:num>
  <w:num w:numId="12">
    <w:abstractNumId w:val="11"/>
  </w:num>
  <w:num w:numId="13">
    <w:abstractNumId w:val="0"/>
  </w:num>
  <w:num w:numId="14">
    <w:abstractNumId w:val="3"/>
  </w:num>
  <w:num w:numId="15">
    <w:abstractNumId w:val="22"/>
  </w:num>
  <w:num w:numId="16">
    <w:abstractNumId w:val="15"/>
  </w:num>
  <w:num w:numId="17">
    <w:abstractNumId w:val="13"/>
  </w:num>
  <w:num w:numId="18">
    <w:abstractNumId w:val="4"/>
  </w:num>
  <w:num w:numId="19">
    <w:abstractNumId w:val="8"/>
  </w:num>
  <w:num w:numId="20">
    <w:abstractNumId w:val="5"/>
  </w:num>
  <w:num w:numId="21">
    <w:abstractNumId w:val="24"/>
  </w:num>
  <w:num w:numId="22">
    <w:abstractNumId w:val="16"/>
  </w:num>
  <w:num w:numId="23">
    <w:abstractNumId w:val="21"/>
  </w:num>
  <w:num w:numId="24">
    <w:abstractNumId w:val="7"/>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MWFlNWVjNDdlZjdiMjA5OTQzNDhmZTQyZTIyYmM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0531A4"/>
    <w:rsid w:val="0287517D"/>
    <w:rsid w:val="030E435A"/>
    <w:rsid w:val="038B1947"/>
    <w:rsid w:val="03914474"/>
    <w:rsid w:val="05623C89"/>
    <w:rsid w:val="06A72A7B"/>
    <w:rsid w:val="06D05917"/>
    <w:rsid w:val="09550008"/>
    <w:rsid w:val="0B8245EA"/>
    <w:rsid w:val="0BB540F7"/>
    <w:rsid w:val="0CBF3E0A"/>
    <w:rsid w:val="0D6C68DD"/>
    <w:rsid w:val="0DE325EB"/>
    <w:rsid w:val="0FE67E91"/>
    <w:rsid w:val="0FF30054"/>
    <w:rsid w:val="11320E17"/>
    <w:rsid w:val="114C469F"/>
    <w:rsid w:val="11672EFE"/>
    <w:rsid w:val="12233FCD"/>
    <w:rsid w:val="12843799"/>
    <w:rsid w:val="13045041"/>
    <w:rsid w:val="17F6273C"/>
    <w:rsid w:val="1828123D"/>
    <w:rsid w:val="18A31A7B"/>
    <w:rsid w:val="18A624A5"/>
    <w:rsid w:val="1A0B25CB"/>
    <w:rsid w:val="1B9969DF"/>
    <w:rsid w:val="1B9A1A18"/>
    <w:rsid w:val="1CCD79EE"/>
    <w:rsid w:val="1D012599"/>
    <w:rsid w:val="1D9D4BEE"/>
    <w:rsid w:val="1E020668"/>
    <w:rsid w:val="1E1C321D"/>
    <w:rsid w:val="1E6A5405"/>
    <w:rsid w:val="22C64C6F"/>
    <w:rsid w:val="22C90A12"/>
    <w:rsid w:val="240A0F8E"/>
    <w:rsid w:val="252941C0"/>
    <w:rsid w:val="25C164BB"/>
    <w:rsid w:val="28413D6F"/>
    <w:rsid w:val="28C21443"/>
    <w:rsid w:val="2916750F"/>
    <w:rsid w:val="298D33FE"/>
    <w:rsid w:val="2A347D50"/>
    <w:rsid w:val="2A694883"/>
    <w:rsid w:val="2B733A0B"/>
    <w:rsid w:val="2D341708"/>
    <w:rsid w:val="2DD81582"/>
    <w:rsid w:val="2FAD3F9D"/>
    <w:rsid w:val="2FB81CD2"/>
    <w:rsid w:val="32A82BA2"/>
    <w:rsid w:val="33984304"/>
    <w:rsid w:val="347E0722"/>
    <w:rsid w:val="3486272E"/>
    <w:rsid w:val="360109F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D0C7562"/>
    <w:rsid w:val="3E857452"/>
    <w:rsid w:val="3F5E1222"/>
    <w:rsid w:val="4049701A"/>
    <w:rsid w:val="41AE46E3"/>
    <w:rsid w:val="42985BF3"/>
    <w:rsid w:val="44663420"/>
    <w:rsid w:val="4479539E"/>
    <w:rsid w:val="44D742D8"/>
    <w:rsid w:val="452E5288"/>
    <w:rsid w:val="481C5C5C"/>
    <w:rsid w:val="481E68EB"/>
    <w:rsid w:val="48CE13E3"/>
    <w:rsid w:val="48D32A87"/>
    <w:rsid w:val="48EC789E"/>
    <w:rsid w:val="4A3C41E3"/>
    <w:rsid w:val="4C314B4E"/>
    <w:rsid w:val="4C844900"/>
    <w:rsid w:val="4E3426DD"/>
    <w:rsid w:val="4E976357"/>
    <w:rsid w:val="50764612"/>
    <w:rsid w:val="51CB596B"/>
    <w:rsid w:val="523A5B1F"/>
    <w:rsid w:val="529A166F"/>
    <w:rsid w:val="52EE0307"/>
    <w:rsid w:val="52F57C70"/>
    <w:rsid w:val="53FE2BDF"/>
    <w:rsid w:val="55052414"/>
    <w:rsid w:val="55C74643"/>
    <w:rsid w:val="561332A1"/>
    <w:rsid w:val="56A13D01"/>
    <w:rsid w:val="57CC741D"/>
    <w:rsid w:val="59392E6F"/>
    <w:rsid w:val="5991464D"/>
    <w:rsid w:val="5B6C034E"/>
    <w:rsid w:val="5C9546B7"/>
    <w:rsid w:val="5CA52C31"/>
    <w:rsid w:val="5EB66460"/>
    <w:rsid w:val="5EE607B4"/>
    <w:rsid w:val="5F7C7776"/>
    <w:rsid w:val="619B20E5"/>
    <w:rsid w:val="63141A74"/>
    <w:rsid w:val="67027BAA"/>
    <w:rsid w:val="67DD1DA1"/>
    <w:rsid w:val="688D0768"/>
    <w:rsid w:val="68D4038F"/>
    <w:rsid w:val="690F7201"/>
    <w:rsid w:val="69A30E21"/>
    <w:rsid w:val="6A107439"/>
    <w:rsid w:val="6A5B7033"/>
    <w:rsid w:val="6AD21273"/>
    <w:rsid w:val="6CCF5389"/>
    <w:rsid w:val="6D1D4BE9"/>
    <w:rsid w:val="6D9018A4"/>
    <w:rsid w:val="6E1B6D8D"/>
    <w:rsid w:val="6E597A7A"/>
    <w:rsid w:val="6EF70BC7"/>
    <w:rsid w:val="6F4A172C"/>
    <w:rsid w:val="6FBE3414"/>
    <w:rsid w:val="74701065"/>
    <w:rsid w:val="75106734"/>
    <w:rsid w:val="751975AF"/>
    <w:rsid w:val="755A63B4"/>
    <w:rsid w:val="75864917"/>
    <w:rsid w:val="764269C5"/>
    <w:rsid w:val="778B51DA"/>
    <w:rsid w:val="77EF718C"/>
    <w:rsid w:val="78D435AA"/>
    <w:rsid w:val="7A734913"/>
    <w:rsid w:val="7AAD518C"/>
    <w:rsid w:val="7CC844A3"/>
    <w:rsid w:val="7D261880"/>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2019</Words>
  <Characters>11510</Characters>
  <Lines>95</Lines>
  <Paragraphs>27</Paragraphs>
  <TotalTime>39</TotalTime>
  <ScaleCrop>false</ScaleCrop>
  <LinksUpToDate>false</LinksUpToDate>
  <CharactersWithSpaces>13502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2023-10-23T10:43:05Z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3C6AD4F347FB40A6924E101CE68C2CB1_13</vt:lpwstr>
  </property>
</Properties>
</file>