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简体" w:eastAsia="方正小标宋简体" w:cs="方正小标宋简体"/>
          <w:b/>
          <w:sz w:val="32"/>
          <w:szCs w:val="32"/>
        </w:rPr>
        <w:t>深圳会展中心电梯安全评估</w:t>
      </w:r>
      <w:r>
        <w:rPr>
          <w:rFonts w:hint="eastAsia" w:ascii="方正小标宋简体" w:hAnsi="方正小标宋简体" w:eastAsia="方正小标宋简体" w:cs="方正小标宋简体"/>
          <w:b/>
          <w:sz w:val="32"/>
          <w:szCs w:val="32"/>
          <w:lang w:eastAsia="zh-CN"/>
        </w:rPr>
        <w:t>项目（</w:t>
      </w:r>
      <w:r>
        <w:rPr>
          <w:rFonts w:hint="eastAsia" w:ascii="方正小标宋简体" w:hAnsi="方正小标宋简体" w:eastAsia="方正小标宋简体" w:cs="方正小标宋简体"/>
          <w:b/>
          <w:sz w:val="32"/>
          <w:szCs w:val="32"/>
          <w:lang w:val="en-US" w:eastAsia="zh-CN"/>
        </w:rPr>
        <w:t>2023年</w:t>
      </w:r>
      <w:r>
        <w:rPr>
          <w:rFonts w:hint="eastAsia" w:ascii="方正小标宋简体" w:hAnsi="方正小标宋简体" w:eastAsia="方正小标宋简体" w:cs="方正小标宋简体"/>
          <w:b/>
          <w:sz w:val="32"/>
          <w:szCs w:val="32"/>
          <w:lang w:eastAsia="zh-CN"/>
        </w:rPr>
        <w:t>）</w:t>
      </w: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4"/>
        <w:rPr>
          <w:rFonts w:ascii="方正小标宋_GBK" w:hAnsi="方正小标宋_GBK" w:eastAsia="方正小标宋_GBK" w:cs="方正小标宋_GBK"/>
          <w:b/>
          <w:sz w:val="32"/>
          <w:szCs w:val="32"/>
        </w:rPr>
      </w:pPr>
    </w:p>
    <w:p>
      <w:pPr>
        <w:pStyle w:val="4"/>
        <w:rPr>
          <w:rFonts w:ascii="方正小标宋_GBK" w:hAnsi="方正小标宋_GBK" w:eastAsia="方正小标宋_GBK" w:cs="方正小标宋_GBK"/>
          <w:b/>
          <w:sz w:val="32"/>
          <w:szCs w:val="32"/>
        </w:rPr>
      </w:pPr>
    </w:p>
    <w:p>
      <w:pPr>
        <w:pStyle w:val="4"/>
        <w:rPr>
          <w:rFonts w:ascii="方正小标宋_GBK" w:hAnsi="方正小标宋_GBK" w:eastAsia="方正小标宋_GBK" w:cs="方正小标宋_GBK"/>
          <w:b/>
          <w:sz w:val="32"/>
          <w:szCs w:val="32"/>
        </w:rPr>
      </w:pPr>
      <w:bookmarkStart w:id="94" w:name="_GoBack"/>
      <w:bookmarkEnd w:id="94"/>
    </w:p>
    <w:p>
      <w:pPr>
        <w:pStyle w:val="4"/>
        <w:rPr>
          <w:rFonts w:ascii="方正小标宋_GBK" w:hAnsi="方正小标宋_GBK" w:eastAsia="方正小标宋_GBK" w:cs="方正小标宋_GBK"/>
          <w:b/>
          <w:sz w:val="32"/>
          <w:szCs w:val="32"/>
        </w:rPr>
      </w:pPr>
    </w:p>
    <w:p>
      <w:pPr>
        <w:pStyle w:val="4"/>
        <w:rPr>
          <w:rFonts w:ascii="方正小标宋_GBK" w:hAnsi="方正小标宋_GBK" w:eastAsia="方正小标宋_GBK" w:cs="方正小标宋_GBK"/>
          <w:b/>
          <w:sz w:val="32"/>
          <w:szCs w:val="32"/>
        </w:rPr>
      </w:pPr>
    </w:p>
    <w:p>
      <w:pPr>
        <w:pStyle w:val="4"/>
        <w:rPr>
          <w:rFonts w:ascii="方正小标宋_GBK" w:hAnsi="方正小标宋_GBK" w:eastAsia="方正小标宋_GBK" w:cs="方正小标宋_GBK"/>
          <w:b/>
          <w:sz w:val="32"/>
          <w:szCs w:val="32"/>
        </w:rPr>
      </w:pPr>
    </w:p>
    <w:p>
      <w:pPr>
        <w:pStyle w:val="4"/>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11</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19"/>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19"/>
          <w:rFonts w:ascii="宋体" w:hAnsi="宋体" w:cs="仿宋"/>
          <w:bCs/>
        </w:rPr>
        <w:t>一、</w:t>
      </w:r>
      <w:r>
        <w:rPr>
          <w:rStyle w:val="19"/>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19"/>
          <w:rFonts w:ascii="宋体" w:hAnsi="宋体" w:cs="仿宋"/>
          <w:bCs/>
        </w:rPr>
        <w:t>二、</w:t>
      </w:r>
      <w:r>
        <w:rPr>
          <w:rStyle w:val="19"/>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19"/>
          <w:rFonts w:ascii="宋体" w:hAnsi="宋体" w:cs="仿宋"/>
          <w:bCs/>
        </w:rPr>
        <w:t>三、</w:t>
      </w:r>
      <w:r>
        <w:rPr>
          <w:rStyle w:val="19"/>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19"/>
          <w:rFonts w:ascii="宋体" w:hAnsi="宋体" w:cs="仿宋"/>
          <w:bCs/>
        </w:rPr>
        <w:t>四、</w:t>
      </w:r>
      <w:r>
        <w:rPr>
          <w:rStyle w:val="19"/>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19"/>
          <w:rFonts w:ascii="宋体" w:hAnsi="宋体" w:cs="仿宋"/>
          <w:bCs/>
        </w:rPr>
        <w:t>五、</w:t>
      </w:r>
      <w:r>
        <w:rPr>
          <w:rStyle w:val="19"/>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19"/>
          <w:rFonts w:ascii="宋体" w:hAnsi="宋体"/>
          <w:b/>
        </w:rPr>
        <w:t>第二部分：开标评标流程</w:t>
      </w:r>
      <w:r>
        <w:tab/>
      </w:r>
      <w:r>
        <w:fldChar w:fldCharType="begin"/>
      </w:r>
      <w:r>
        <w:instrText xml:space="preserve"> PAGEREF _Toc116550350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19"/>
          <w:rFonts w:ascii="宋体" w:hAnsi="宋体" w:cs="仿宋"/>
          <w:bCs/>
        </w:rPr>
        <w:t>六、</w:t>
      </w:r>
      <w:r>
        <w:rPr>
          <w:rStyle w:val="19"/>
        </w:rPr>
        <w:t xml:space="preserve"> 开标阶段</w:t>
      </w:r>
      <w:r>
        <w:tab/>
      </w:r>
      <w:r>
        <w:fldChar w:fldCharType="begin"/>
      </w:r>
      <w:r>
        <w:instrText xml:space="preserve"> PAGEREF _Toc116550351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19"/>
          <w:rFonts w:ascii="宋体" w:hAnsi="宋体" w:cs="仿宋"/>
          <w:bCs/>
        </w:rPr>
        <w:t>七、</w:t>
      </w:r>
      <w:r>
        <w:rPr>
          <w:rStyle w:val="19"/>
        </w:rPr>
        <w:t xml:space="preserve"> 评标阶段</w:t>
      </w:r>
      <w:r>
        <w:tab/>
      </w:r>
      <w:r>
        <w:fldChar w:fldCharType="begin"/>
      </w:r>
      <w:r>
        <w:instrText xml:space="preserve"> PAGEREF _Toc116550352 \h </w:instrText>
      </w:r>
      <w:r>
        <w:fldChar w:fldCharType="separate"/>
      </w:r>
      <w:r>
        <w:t>6</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19"/>
          <w:rFonts w:ascii="宋体" w:hAnsi="宋体"/>
          <w:b/>
        </w:rPr>
        <w:t>第三部分：评审办法</w:t>
      </w:r>
      <w:r>
        <w:tab/>
      </w:r>
      <w:r>
        <w:fldChar w:fldCharType="begin"/>
      </w:r>
      <w:r>
        <w:instrText xml:space="preserve"> PAGEREF _Toc116550353 \h </w:instrText>
      </w:r>
      <w:r>
        <w:fldChar w:fldCharType="separate"/>
      </w:r>
      <w:r>
        <w:t>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19"/>
          <w:rFonts w:ascii="宋体" w:hAnsi="宋体" w:cs="仿宋"/>
          <w:bCs/>
        </w:rPr>
        <w:t>八、</w:t>
      </w:r>
      <w:r>
        <w:rPr>
          <w:rStyle w:val="19"/>
          <w:rFonts w:ascii="宋体" w:hAnsi="宋体"/>
          <w:bCs/>
        </w:rPr>
        <w:t xml:space="preserve"> 评审办法</w:t>
      </w:r>
      <w:r>
        <w:tab/>
      </w:r>
      <w:r>
        <w:fldChar w:fldCharType="begin"/>
      </w:r>
      <w:r>
        <w:instrText xml:space="preserve"> PAGEREF _Toc116550354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19"/>
          <w:rFonts w:ascii="宋体" w:hAnsi="宋体"/>
        </w:rPr>
        <w:t>（一）</w:t>
      </w:r>
      <w:r>
        <w:rPr>
          <w:rFonts w:asciiTheme="minorHAnsi" w:hAnsiTheme="minorHAnsi" w:eastAsiaTheme="minorEastAsia" w:cstheme="minorBidi"/>
          <w:szCs w:val="22"/>
        </w:rPr>
        <w:tab/>
      </w:r>
      <w:r>
        <w:rPr>
          <w:rStyle w:val="19"/>
          <w:rFonts w:ascii="宋体" w:hAnsi="宋体"/>
          <w:bCs/>
        </w:rPr>
        <w:t>符合性检查</w:t>
      </w:r>
      <w:r>
        <w:tab/>
      </w:r>
      <w:r>
        <w:fldChar w:fldCharType="begin"/>
      </w:r>
      <w:r>
        <w:instrText xml:space="preserve"> PAGEREF _Toc116550355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19"/>
          <w:rFonts w:ascii="宋体" w:hAnsi="宋体"/>
          <w:bCs/>
        </w:rPr>
        <w:t>（二）</w:t>
      </w:r>
      <w:r>
        <w:rPr>
          <w:rFonts w:asciiTheme="minorHAnsi" w:hAnsiTheme="minorHAnsi" w:eastAsiaTheme="minorEastAsia" w:cstheme="minorBidi"/>
          <w:szCs w:val="22"/>
        </w:rPr>
        <w:tab/>
      </w:r>
      <w:r>
        <w:rPr>
          <w:rStyle w:val="19"/>
          <w:rFonts w:ascii="宋体" w:hAnsi="宋体"/>
          <w:bCs/>
        </w:rPr>
        <w:t>不可偏离项检查</w:t>
      </w:r>
      <w:r>
        <w:tab/>
      </w:r>
      <w:r>
        <w:fldChar w:fldCharType="begin"/>
      </w:r>
      <w:r>
        <w:instrText xml:space="preserve"> PAGEREF _Toc116550356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19"/>
          <w:rFonts w:ascii="宋体" w:hAnsi="宋体"/>
          <w:bCs/>
        </w:rPr>
        <w:t>（三）</w:t>
      </w:r>
      <w:r>
        <w:rPr>
          <w:rFonts w:asciiTheme="minorHAnsi" w:hAnsiTheme="minorHAnsi" w:eastAsiaTheme="minorEastAsia" w:cstheme="minorBidi"/>
          <w:szCs w:val="22"/>
        </w:rPr>
        <w:tab/>
      </w:r>
      <w:r>
        <w:rPr>
          <w:rStyle w:val="19"/>
          <w:rFonts w:ascii="宋体" w:hAnsi="宋体"/>
          <w:bCs/>
        </w:rPr>
        <w:t>综合评议指标表</w:t>
      </w:r>
      <w:r>
        <w:tab/>
      </w:r>
      <w:r>
        <w:fldChar w:fldCharType="begin"/>
      </w:r>
      <w:r>
        <w:instrText xml:space="preserve"> PAGEREF _Toc116550357 \h </w:instrText>
      </w:r>
      <w:r>
        <w:fldChar w:fldCharType="separate"/>
      </w:r>
      <w:r>
        <w:t>7</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19"/>
          <w:rFonts w:ascii="宋体" w:hAnsi="宋体"/>
          <w:b/>
        </w:rPr>
        <w:t>第四部分：合同条款及格式</w:t>
      </w:r>
      <w:r>
        <w:tab/>
      </w:r>
      <w:r>
        <w:fldChar w:fldCharType="begin"/>
      </w:r>
      <w:r>
        <w:instrText xml:space="preserve"> PAGEREF _Toc116550358 \h </w:instrText>
      </w:r>
      <w:r>
        <w:fldChar w:fldCharType="separate"/>
      </w:r>
      <w:r>
        <w:t>10</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19"/>
          <w:b/>
        </w:rPr>
        <w:t>第五部分：参考附件</w:t>
      </w:r>
      <w:r>
        <w:tab/>
      </w:r>
      <w:r>
        <w:fldChar w:fldCharType="begin"/>
      </w:r>
      <w:r>
        <w:instrText xml:space="preserve"> PAGEREF _Toc116550359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19"/>
          <w:rFonts w:ascii="宋体" w:hAnsi="宋体"/>
        </w:rPr>
        <w:t>附件1：报名回函</w:t>
      </w:r>
      <w:r>
        <w:tab/>
      </w:r>
      <w:r>
        <w:fldChar w:fldCharType="begin"/>
      </w:r>
      <w:r>
        <w:instrText xml:space="preserve"> PAGEREF _Toc116550360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19"/>
          <w:rFonts w:ascii="宋体" w:hAnsi="宋体"/>
        </w:rPr>
        <w:t>附件2：投标函</w:t>
      </w:r>
      <w:r>
        <w:tab/>
      </w:r>
      <w:r>
        <w:fldChar w:fldCharType="begin"/>
      </w:r>
      <w:r>
        <w:instrText xml:space="preserve"> PAGEREF _Toc116550361 \h </w:instrText>
      </w:r>
      <w:r>
        <w:fldChar w:fldCharType="separate"/>
      </w:r>
      <w:r>
        <w:t>17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19"/>
          <w:rFonts w:ascii="宋体" w:hAnsi="宋体"/>
        </w:rPr>
        <w:t>附件3：投标一览表</w:t>
      </w:r>
      <w:r>
        <w:tab/>
      </w:r>
      <w:r>
        <w:fldChar w:fldCharType="begin"/>
      </w:r>
      <w:r>
        <w:instrText xml:space="preserve"> PAGEREF _Toc116550362 \h </w:instrText>
      </w:r>
      <w:r>
        <w:fldChar w:fldCharType="separate"/>
      </w:r>
      <w:r>
        <w:t>18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19"/>
          <w:rFonts w:ascii="宋体" w:hAnsi="宋体"/>
        </w:rPr>
        <w:t>附件4：考察证明</w:t>
      </w:r>
      <w:r>
        <w:tab/>
      </w:r>
      <w:r>
        <w:fldChar w:fldCharType="begin"/>
      </w:r>
      <w:r>
        <w:instrText xml:space="preserve"> PAGEREF _Toc116550363 \h </w:instrText>
      </w:r>
      <w:r>
        <w:fldChar w:fldCharType="separate"/>
      </w:r>
      <w:r>
        <w:t>19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19"/>
          <w:rFonts w:ascii="宋体" w:hAnsi="宋体"/>
        </w:rPr>
        <w:t>附件5：技术服务响应/偏离表</w:t>
      </w:r>
      <w:r>
        <w:tab/>
      </w:r>
      <w:r>
        <w:fldChar w:fldCharType="begin"/>
      </w:r>
      <w:r>
        <w:instrText xml:space="preserve"> PAGEREF _Toc116550364 \h </w:instrText>
      </w:r>
      <w:r>
        <w:fldChar w:fldCharType="separate"/>
      </w:r>
      <w:r>
        <w:t>20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19"/>
          <w:rFonts w:ascii="宋体" w:hAnsi="宋体"/>
        </w:rPr>
        <w:t>附件6：商务条款响应/偏离表</w:t>
      </w:r>
      <w:r>
        <w:tab/>
      </w:r>
      <w:r>
        <w:fldChar w:fldCharType="begin"/>
      </w:r>
      <w:r>
        <w:instrText xml:space="preserve"> PAGEREF _Toc116550365 \h </w:instrText>
      </w:r>
      <w:r>
        <w:fldChar w:fldCharType="separate"/>
      </w:r>
      <w:r>
        <w:t>21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19"/>
          <w:rFonts w:ascii="宋体" w:hAnsi="宋体"/>
        </w:rPr>
        <w:t>附件7：报价一览表（货物）（本项目不适用）</w:t>
      </w:r>
      <w:r>
        <w:tab/>
      </w:r>
      <w:r>
        <w:fldChar w:fldCharType="begin"/>
      </w:r>
      <w:r>
        <w:instrText xml:space="preserve"> PAGEREF _Toc116550366 \h </w:instrText>
      </w:r>
      <w:r>
        <w:fldChar w:fldCharType="separate"/>
      </w:r>
      <w:r>
        <w:t>22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19"/>
          <w:rFonts w:ascii="宋体" w:hAnsi="宋体"/>
        </w:rPr>
        <w:t>附件8：报价一览表（服务）（本项目不适用）</w:t>
      </w:r>
      <w:r>
        <w:tab/>
      </w:r>
      <w:r>
        <w:fldChar w:fldCharType="begin"/>
      </w:r>
      <w:r>
        <w:instrText xml:space="preserve"> PAGEREF _Toc116550367 \h </w:instrText>
      </w:r>
      <w:r>
        <w:fldChar w:fldCharType="separate"/>
      </w:r>
      <w:r>
        <w:t>23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19"/>
          <w:rFonts w:ascii="宋体" w:hAnsi="宋体"/>
        </w:rPr>
        <w:t>附件9：报价一览表（工程）</w:t>
      </w:r>
      <w:r>
        <w:tab/>
      </w:r>
      <w:r>
        <w:fldChar w:fldCharType="begin"/>
      </w:r>
      <w:r>
        <w:instrText xml:space="preserve"> PAGEREF _Toc116550368 \h </w:instrText>
      </w:r>
      <w:r>
        <w:fldChar w:fldCharType="separate"/>
      </w:r>
      <w:r>
        <w:t>24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19"/>
          <w:rFonts w:ascii="宋体" w:hAnsi="宋体"/>
        </w:rPr>
        <w:t>附件10：法定代表人证明书</w:t>
      </w:r>
      <w:r>
        <w:tab/>
      </w:r>
      <w:r>
        <w:fldChar w:fldCharType="begin"/>
      </w:r>
      <w:r>
        <w:instrText xml:space="preserve"> PAGEREF _Toc116550369 \h </w:instrText>
      </w:r>
      <w:r>
        <w:fldChar w:fldCharType="separate"/>
      </w:r>
      <w:r>
        <w:t>25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19"/>
          <w:rFonts w:ascii="宋体" w:hAnsi="宋体"/>
        </w:rPr>
        <w:t>附件11：法人授权委托证明书</w:t>
      </w:r>
      <w:r>
        <w:tab/>
      </w:r>
      <w:r>
        <w:fldChar w:fldCharType="begin"/>
      </w:r>
      <w:r>
        <w:instrText xml:space="preserve"> PAGEREF _Toc116550370 \h </w:instrText>
      </w:r>
      <w:r>
        <w:fldChar w:fldCharType="separate"/>
      </w:r>
      <w:r>
        <w:t>26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19"/>
          <w:rFonts w:ascii="宋体" w:hAnsi="宋体"/>
        </w:rPr>
        <w:t>附件12：经营业绩一览表</w:t>
      </w:r>
      <w:r>
        <w:tab/>
      </w:r>
      <w:r>
        <w:fldChar w:fldCharType="begin"/>
      </w:r>
      <w:r>
        <w:instrText xml:space="preserve"> PAGEREF _Toc116550371 \h </w:instrText>
      </w:r>
      <w:r>
        <w:fldChar w:fldCharType="separate"/>
      </w:r>
      <w:r>
        <w:t>27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19"/>
          <w:rFonts w:ascii="宋体" w:hAnsi="宋体"/>
        </w:rPr>
        <w:t>附件13：售后服务承诺书（质量保证服务承诺书）</w:t>
      </w:r>
      <w:r>
        <w:tab/>
      </w:r>
      <w:r>
        <w:fldChar w:fldCharType="begin"/>
      </w:r>
      <w:r>
        <w:instrText xml:space="preserve"> PAGEREF _Toc116550372 \h </w:instrText>
      </w:r>
      <w:r>
        <w:fldChar w:fldCharType="separate"/>
      </w:r>
      <w:r>
        <w:t>28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19"/>
          <w:rFonts w:ascii="宋体" w:hAnsi="宋体"/>
        </w:rPr>
        <w:t>附件14：履约情况及社会信誉承诺书</w:t>
      </w:r>
      <w:r>
        <w:tab/>
      </w:r>
      <w:r>
        <w:fldChar w:fldCharType="begin"/>
      </w:r>
      <w:r>
        <w:instrText xml:space="preserve"> PAGEREF _Toc116550373 \h </w:instrText>
      </w:r>
      <w:r>
        <w:fldChar w:fldCharType="separate"/>
      </w:r>
      <w:r>
        <w:t>29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19"/>
          <w:rFonts w:ascii="宋体" w:hAnsi="宋体"/>
        </w:rPr>
        <w:t>附件15：投标文件密码单</w:t>
      </w:r>
      <w:r>
        <w:tab/>
      </w:r>
      <w:r>
        <w:fldChar w:fldCharType="begin"/>
      </w:r>
      <w:r>
        <w:instrText xml:space="preserve"> PAGEREF _Toc116550374 \h </w:instrText>
      </w:r>
      <w:r>
        <w:fldChar w:fldCharType="separate"/>
      </w:r>
      <w:r>
        <w:t>30</w:t>
      </w:r>
      <w:r>
        <w:fldChar w:fldCharType="end"/>
      </w:r>
      <w:r>
        <w:fldChar w:fldCharType="end"/>
      </w:r>
    </w:p>
    <w:p>
      <w:pPr>
        <w:spacing w:line="400" w:lineRule="exact"/>
        <w:rPr>
          <w:rFonts w:ascii="宋体" w:hAnsi="宋体" w:cs="仿宋"/>
          <w:szCs w:val="21"/>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16550344"/>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16550345"/>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联系人：刘女士</w:t>
            </w:r>
          </w:p>
          <w:p>
            <w:pPr>
              <w:wordWrap w:val="0"/>
              <w:autoSpaceDE w:val="0"/>
              <w:autoSpaceDN w:val="0"/>
              <w:adjustRightInd w:val="0"/>
              <w:snapToGrid w:val="0"/>
              <w:rPr>
                <w:rFonts w:ascii="宋体" w:hAnsi="宋体"/>
                <w:szCs w:val="21"/>
              </w:rPr>
            </w:pPr>
            <w:r>
              <w:rPr>
                <w:rFonts w:hint="eastAsia" w:ascii="宋体" w:hAnsi="宋体"/>
                <w:szCs w:val="21"/>
              </w:rPr>
              <w:t>电话：0755-82848826</w:t>
            </w:r>
          </w:p>
          <w:p>
            <w:pPr>
              <w:wordWrap w:val="0"/>
              <w:autoSpaceDE w:val="0"/>
              <w:autoSpaceDN w:val="0"/>
              <w:adjustRightInd w:val="0"/>
              <w:snapToGrid w:val="0"/>
              <w:rPr>
                <w:rFonts w:ascii="宋体" w:hAnsi="宋体"/>
                <w:szCs w:val="21"/>
              </w:rPr>
            </w:pPr>
            <w:r>
              <w:rPr>
                <w:rFonts w:hint="eastAsia" w:ascii="宋体" w:hAnsi="宋体"/>
                <w:szCs w:val="21"/>
              </w:rPr>
              <w:t>传真：0755-8284694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rPr>
              <w:t>liuxh@c</w:t>
            </w:r>
            <w:r>
              <w:rPr>
                <w:rFonts w:hint="eastAsia" w:ascii="宋体" w:hAnsi="宋体"/>
                <w:szCs w:val="21"/>
              </w:rPr>
              <w:fldChar w:fldCharType="end"/>
            </w:r>
            <w:r>
              <w:rPr>
                <w:rFonts w:hint="eastAsia" w:ascii="宋体" w:hAnsi="宋体"/>
                <w:szCs w:val="21"/>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eastAsia="宋体" w:cs="Times New Roman"/>
                <w:color w:val="FF0000"/>
                <w:kern w:val="2"/>
                <w:sz w:val="21"/>
                <w:szCs w:val="21"/>
                <w:highlight w:val="yellow"/>
                <w:lang w:val="en-US" w:eastAsia="zh-CN" w:bidi="ar-SA"/>
              </w:rPr>
            </w:pPr>
            <w:r>
              <w:rPr>
                <w:rFonts w:hint="eastAsia" w:ascii="宋体" w:hAnsi="宋体" w:cs="方正小标宋简体"/>
                <w:b w:val="0"/>
                <w:bCs/>
                <w:sz w:val="21"/>
                <w:szCs w:val="21"/>
              </w:rPr>
              <w:t>深圳会展中心电梯安全评估</w:t>
            </w:r>
            <w:r>
              <w:rPr>
                <w:rFonts w:hint="eastAsia" w:ascii="宋体" w:hAnsi="宋体" w:cs="方正小标宋简体"/>
                <w:b w:val="0"/>
                <w:bCs/>
                <w:sz w:val="21"/>
                <w:szCs w:val="21"/>
                <w:lang w:eastAsia="zh-CN"/>
              </w:rPr>
              <w:t>项目（</w:t>
            </w:r>
            <w:r>
              <w:rPr>
                <w:rFonts w:hint="eastAsia" w:ascii="宋体" w:hAnsi="宋体" w:cs="方正小标宋简体"/>
                <w:b w:val="0"/>
                <w:bCs/>
                <w:sz w:val="21"/>
                <w:szCs w:val="21"/>
                <w:lang w:val="en-US" w:eastAsia="zh-CN"/>
              </w:rPr>
              <w:t>2023年</w:t>
            </w:r>
            <w:r>
              <w:rPr>
                <w:rFonts w:hint="eastAsia" w:ascii="宋体" w:hAnsi="宋体" w:cs="方正小标宋简体"/>
                <w:b w:val="0"/>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eastAsia="宋体" w:cs="Times New Roman"/>
                <w:kern w:val="2"/>
                <w:sz w:val="21"/>
                <w:szCs w:val="21"/>
                <w:lang w:val="en-US" w:eastAsia="zh-CN" w:bidi="ar-SA"/>
              </w:rPr>
            </w:pPr>
            <w:r>
              <w:rPr>
                <w:rFonts w:hint="eastAsia" w:ascii="宋体" w:hAnsi="宋体"/>
                <w:szCs w:val="21"/>
                <w:lang w:eastAsia="zh-CN"/>
              </w:rPr>
              <w:t>工程</w:t>
            </w:r>
            <w:r>
              <w:rPr>
                <w:rFonts w:hint="eastAsia" w:ascii="宋体" w:hAnsi="宋体"/>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hint="eastAsia" w:ascii="宋体" w:hAnsi="宋体" w:eastAsia="宋体" w:cs="Times New Roman"/>
                <w:i/>
                <w:color w:val="FF0000"/>
                <w:kern w:val="2"/>
                <w:sz w:val="21"/>
                <w:szCs w:val="21"/>
                <w:highlight w:val="yellow"/>
                <w:lang w:val="en-US" w:eastAsia="zh-CN" w:bidi="ar-SA"/>
              </w:rPr>
            </w:pPr>
            <w:r>
              <w:rPr>
                <w:rFonts w:hint="eastAsia" w:ascii="宋体" w:hAnsi="宋体" w:eastAsia="宋体" w:cs="宋体"/>
              </w:rPr>
              <w:t>深圳会展中心拟对安全评估后继续使用满五年</w:t>
            </w:r>
            <w:r>
              <w:rPr>
                <w:rFonts w:hint="eastAsia" w:ascii="宋体" w:hAnsi="宋体" w:eastAsia="宋体" w:cs="宋体"/>
                <w:lang w:eastAsia="zh-CN"/>
              </w:rPr>
              <w:t>的</w:t>
            </w:r>
            <w:r>
              <w:rPr>
                <w:rFonts w:hint="eastAsia" w:ascii="宋体" w:hAnsi="宋体" w:eastAsia="宋体" w:cs="宋体"/>
              </w:rPr>
              <w:t>62台自动扶梯和8台垂直电梯</w:t>
            </w:r>
            <w:r>
              <w:rPr>
                <w:rFonts w:hint="eastAsia" w:ascii="宋体" w:hAnsi="宋体" w:eastAsia="宋体" w:cs="宋体"/>
                <w:lang w:eastAsia="zh-CN"/>
              </w:rPr>
              <w:t>再次</w:t>
            </w:r>
            <w:r>
              <w:rPr>
                <w:rFonts w:hint="eastAsia" w:ascii="宋体" w:hAnsi="宋体" w:eastAsia="宋体" w:cs="宋体"/>
              </w:rPr>
              <w:t>进行安全评估</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hint="eastAsia" w:ascii="宋体" w:hAnsi="宋体" w:eastAsia="宋体" w:cs="Times New Roman"/>
                <w:kern w:val="2"/>
                <w:sz w:val="21"/>
                <w:szCs w:val="21"/>
                <w:highlight w:val="yellow"/>
                <w:lang w:val="en-US" w:eastAsia="zh-CN" w:bidi="ar-SA"/>
              </w:rPr>
            </w:pPr>
            <w:r>
              <w:rPr>
                <w:rFonts w:hint="eastAsia" w:ascii="宋体" w:hAnsi="宋体"/>
                <w:color w:val="auto"/>
                <w:szCs w:val="21"/>
                <w:highlight w:val="none"/>
                <w:lang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eastAsia="宋体" w:cs="Times New Roman"/>
                <w:kern w:val="2"/>
                <w:sz w:val="21"/>
                <w:szCs w:val="21"/>
                <w:highlight w:val="yellow"/>
                <w:lang w:val="en-US" w:eastAsia="zh-CN" w:bidi="ar-SA"/>
              </w:rPr>
            </w:pPr>
            <w:r>
              <w:rPr>
                <w:rFonts w:hint="eastAsia" w:ascii="宋体" w:hAnsi="宋体"/>
                <w:color w:val="auto"/>
                <w:szCs w:val="21"/>
                <w:highlight w:val="yellow"/>
                <w:u w:val="single"/>
                <w:lang w:val="en-US" w:eastAsia="zh-CN"/>
              </w:rPr>
              <w:t xml:space="preserve"> 30 </w:t>
            </w:r>
            <w:r>
              <w:rPr>
                <w:rFonts w:hint="eastAsia" w:ascii="宋体" w:hAnsi="宋体"/>
                <w:color w:val="auto"/>
                <w:szCs w:val="21"/>
                <w:highlight w:val="none"/>
                <w:u w:val="single"/>
              </w:rPr>
              <w:t>天</w:t>
            </w:r>
            <w:r>
              <w:rPr>
                <w:rFonts w:hint="eastAsia" w:ascii="宋体" w:hAnsi="宋体"/>
                <w:color w:val="auto"/>
                <w:szCs w:val="21"/>
                <w:highlight w:val="none"/>
              </w:rPr>
              <w:t>（</w:t>
            </w:r>
            <w:r>
              <w:rPr>
                <w:rFonts w:hint="eastAsia" w:ascii="宋体" w:hAnsi="宋体"/>
                <w:color w:val="auto"/>
                <w:sz w:val="21"/>
                <w:szCs w:val="21"/>
                <w:highlight w:val="none"/>
              </w:rPr>
              <w:t>自合同签订日起</w:t>
            </w:r>
            <w:r>
              <w:rPr>
                <w:rFonts w:hint="eastAsia" w:ascii="宋体" w:hAnsi="宋体"/>
                <w:color w:val="auto"/>
                <w:sz w:val="21"/>
                <w:szCs w:val="21"/>
                <w:highlight w:val="yellow"/>
                <w:lang w:val="en-US" w:eastAsia="zh-CN"/>
              </w:rPr>
              <w:t xml:space="preserve"> 30 </w:t>
            </w:r>
            <w:r>
              <w:rPr>
                <w:rFonts w:hint="eastAsia" w:ascii="宋体" w:hAnsi="宋体" w:eastAsia="宋体" w:cs="宋体"/>
                <w:color w:val="auto"/>
                <w:kern w:val="0"/>
                <w:sz w:val="21"/>
                <w:szCs w:val="21"/>
                <w:highlight w:val="none"/>
                <w:lang w:val="en-US" w:eastAsia="zh-CN"/>
              </w:rPr>
              <w:t>个日历日</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11</w:t>
            </w:r>
            <w:r>
              <w:rPr>
                <w:rFonts w:ascii="宋体" w:hAnsi="宋体"/>
                <w:szCs w:val="21"/>
              </w:rPr>
              <w:t>-</w:t>
            </w:r>
            <w:r>
              <w:rPr>
                <w:rFonts w:hint="eastAsia" w:ascii="宋体" w:hAnsi="宋体"/>
                <w:szCs w:val="21"/>
                <w:lang w:val="en-US" w:eastAsia="zh-CN"/>
              </w:rPr>
              <w:t>29</w:t>
            </w:r>
            <w:r>
              <w:rPr>
                <w:rFonts w:ascii="宋体" w:hAnsi="宋体"/>
                <w:szCs w:val="21"/>
              </w:rPr>
              <w:t xml:space="preserve"> </w:t>
            </w:r>
            <w:r>
              <w:rPr>
                <w:rFonts w:hint="eastAsia" w:ascii="宋体" w:hAnsi="宋体"/>
                <w:szCs w:val="21"/>
                <w:lang w:val="en-US" w:eastAsia="zh-CN"/>
              </w:rPr>
              <w:t>10</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https://cg.szcec.com/sharing/u9YxtSKny，</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9"/>
                <w:rFonts w:ascii="宋体" w:hAnsi="宋体"/>
                <w:szCs w:val="21"/>
              </w:rPr>
              <w:t>https://www.szcec.com/News/index/id/256.html</w:t>
            </w:r>
            <w:r>
              <w:rPr>
                <w:rStyle w:val="19"/>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12</w:t>
            </w:r>
            <w:r>
              <w:rPr>
                <w:rFonts w:ascii="宋体" w:hAnsi="宋体"/>
                <w:szCs w:val="21"/>
              </w:rPr>
              <w:t>-</w:t>
            </w:r>
            <w:r>
              <w:rPr>
                <w:rFonts w:hint="eastAsia" w:ascii="宋体" w:hAnsi="宋体"/>
                <w:szCs w:val="21"/>
                <w:lang w:val="en-US" w:eastAsia="zh-CN"/>
              </w:rPr>
              <w:t>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12</w:t>
            </w:r>
            <w:r>
              <w:rPr>
                <w:rFonts w:ascii="宋体" w:hAnsi="宋体"/>
                <w:szCs w:val="21"/>
              </w:rPr>
              <w:t>-</w:t>
            </w:r>
            <w:r>
              <w:rPr>
                <w:rFonts w:hint="eastAsia" w:ascii="宋体" w:hAnsi="宋体"/>
                <w:szCs w:val="21"/>
                <w:lang w:val="en-US" w:eastAsia="zh-CN"/>
              </w:rPr>
              <w:t>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12</w:t>
            </w:r>
            <w:r>
              <w:rPr>
                <w:rFonts w:ascii="宋体" w:hAnsi="宋体"/>
                <w:szCs w:val="21"/>
              </w:rPr>
              <w:t>-</w:t>
            </w:r>
            <w:r>
              <w:rPr>
                <w:rFonts w:hint="eastAsia" w:ascii="宋体" w:hAnsi="宋体"/>
                <w:szCs w:val="21"/>
                <w:lang w:val="en-US" w:eastAsia="zh-CN"/>
              </w:rPr>
              <w:t>7</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12</w:t>
            </w:r>
            <w:r>
              <w:rPr>
                <w:rFonts w:ascii="宋体" w:hAnsi="宋体"/>
                <w:szCs w:val="21"/>
              </w:rPr>
              <w:t>-</w:t>
            </w:r>
            <w:r>
              <w:rPr>
                <w:rFonts w:hint="eastAsia" w:ascii="宋体" w:hAnsi="宋体"/>
                <w:szCs w:val="21"/>
                <w:lang w:val="en-US" w:eastAsia="zh-CN"/>
              </w:rPr>
              <w:t>8</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https://cg.szcec.com/sharing/7SRBaH9rT，</w:t>
            </w:r>
            <w:r>
              <w:rPr>
                <w:rFonts w:hint="eastAsia" w:ascii="宋体" w:hAnsi="宋体"/>
                <w:szCs w:val="21"/>
              </w:rPr>
              <w:t>并致电确认</w:t>
            </w:r>
            <w:bookmarkStart w:id="2" w:name="_Toc478110532"/>
            <w:bookmarkStart w:id="3" w:name="_Toc478392822"/>
            <w:bookmarkStart w:id="4" w:name="_Toc478393187"/>
            <w:r>
              <w:rPr>
                <w:rFonts w:hint="eastAsia" w:ascii="宋体" w:hAnsi="宋体"/>
                <w:szCs w:val="21"/>
              </w:rPr>
              <w:t>。</w:t>
            </w:r>
            <w:r>
              <w:rPr>
                <w:rFonts w:hint="eastAsia" w:ascii="宋体" w:hAnsi="宋体"/>
              </w:rPr>
              <w:t>注意事项如下：</w:t>
            </w:r>
          </w:p>
          <w:p>
            <w:pPr>
              <w:pStyle w:val="23"/>
              <w:numPr>
                <w:ilvl w:val="0"/>
                <w:numId w:val="3"/>
              </w:numPr>
              <w:ind w:left="0" w:firstLine="0"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3"/>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3"/>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3"/>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12</w:t>
            </w:r>
            <w:r>
              <w:rPr>
                <w:rFonts w:ascii="宋体" w:hAnsi="宋体"/>
                <w:szCs w:val="21"/>
              </w:rPr>
              <w:t>-</w:t>
            </w:r>
            <w:r>
              <w:rPr>
                <w:rFonts w:hint="eastAsia" w:ascii="宋体" w:hAnsi="宋体"/>
                <w:szCs w:val="21"/>
                <w:lang w:val="en-US" w:eastAsia="zh-CN"/>
              </w:rPr>
              <w:t>11</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lang w:val="en-US" w:eastAsia="zh-CN"/>
              </w:rPr>
              <w:t>300276085</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Cs/>
                <w:color w:val="FF0000"/>
                <w:highlight w:val="yellow"/>
              </w:rPr>
              <w:t>https://cg.szcec.com/sharing/9Vw2GgrTA</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color w:val="auto"/>
                <w:kern w:val="0"/>
                <w:szCs w:val="21"/>
                <w:highlight w:val="none"/>
              </w:rPr>
            </w:pPr>
            <w:r>
              <w:rPr>
                <w:rFonts w:hint="eastAsia" w:ascii="宋体" w:hAnsi="宋体" w:cstheme="minorBidi"/>
                <w:color w:val="auto"/>
                <w:kern w:val="0"/>
                <w:szCs w:val="21"/>
                <w:highlight w:val="none"/>
              </w:rPr>
              <w:t>现场踏勘</w:t>
            </w:r>
          </w:p>
        </w:tc>
        <w:tc>
          <w:tcPr>
            <w:tcW w:w="7029" w:type="dxa"/>
            <w:vAlign w:val="center"/>
          </w:tcPr>
          <w:p>
            <w:pPr>
              <w:numPr>
                <w:ilvl w:val="0"/>
                <w:numId w:val="4"/>
              </w:numPr>
              <w:tabs>
                <w:tab w:val="left" w:pos="281"/>
                <w:tab w:val="left" w:pos="541"/>
              </w:tabs>
              <w:snapToGrid w:val="0"/>
              <w:rPr>
                <w:rFonts w:ascii="宋体" w:hAnsi="宋体" w:cstheme="minorBidi"/>
                <w:color w:val="auto"/>
                <w:kern w:val="0"/>
                <w:szCs w:val="21"/>
                <w:highlight w:val="none"/>
              </w:rPr>
            </w:pPr>
            <w:r>
              <w:rPr>
                <w:rFonts w:hint="eastAsia" w:ascii="宋体" w:hAnsi="宋体" w:cs="Segoe UI Symbol"/>
                <w:color w:val="auto"/>
                <w:kern w:val="0"/>
                <w:szCs w:val="21"/>
                <w:highlight w:val="none"/>
              </w:rPr>
              <w:sym w:font="Wingdings 2" w:char="00A3"/>
            </w:r>
            <w:r>
              <w:rPr>
                <w:rFonts w:hint="eastAsia" w:ascii="宋体" w:hAnsi="宋体" w:cstheme="minorBidi"/>
                <w:color w:val="auto"/>
                <w:kern w:val="0"/>
                <w:szCs w:val="21"/>
                <w:highlight w:val="none"/>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color w:val="auto"/>
                <w:kern w:val="0"/>
                <w:szCs w:val="21"/>
                <w:highlight w:val="none"/>
              </w:rPr>
            </w:pPr>
            <w:r>
              <w:rPr>
                <w:rFonts w:hint="eastAsia" w:ascii="宋体" w:hAnsi="宋体" w:cstheme="minorBidi"/>
                <w:color w:val="auto"/>
                <w:kern w:val="0"/>
                <w:szCs w:val="21"/>
                <w:highlight w:val="none"/>
              </w:rPr>
              <w:sym w:font="Wingdings 2" w:char="0052"/>
            </w:r>
            <w:r>
              <w:rPr>
                <w:rFonts w:hint="eastAsia" w:ascii="宋体" w:hAnsi="宋体" w:cstheme="minorBidi"/>
                <w:color w:val="auto"/>
                <w:kern w:val="0"/>
                <w:szCs w:val="21"/>
                <w:highlight w:val="none"/>
              </w:rPr>
              <w:t>组织，踏勘要求：</w:t>
            </w:r>
          </w:p>
          <w:p>
            <w:pPr>
              <w:pStyle w:val="23"/>
              <w:numPr>
                <w:ilvl w:val="0"/>
                <w:numId w:val="5"/>
              </w:numPr>
              <w:tabs>
                <w:tab w:val="left" w:pos="541"/>
              </w:tabs>
              <w:snapToGrid w:val="0"/>
              <w:ind w:left="805" w:hanging="227"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投标人是否必须参加：</w:t>
            </w:r>
          </w:p>
          <w:p>
            <w:pPr>
              <w:pStyle w:val="23"/>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sym w:font="Wingdings 2" w:char="00A3"/>
            </w:r>
            <w:r>
              <w:rPr>
                <w:rFonts w:hint="eastAsia" w:ascii="宋体" w:hAnsi="宋体" w:eastAsia="宋体"/>
                <w:color w:val="auto"/>
                <w:kern w:val="0"/>
                <w:szCs w:val="21"/>
                <w:highlight w:val="none"/>
              </w:rPr>
              <w:t>是（若不参加，将因投标文件不完整导致失去本项目投标资格）</w:t>
            </w:r>
          </w:p>
          <w:p>
            <w:pPr>
              <w:pStyle w:val="23"/>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sym w:font="Wingdings 2" w:char="0052"/>
            </w:r>
            <w:r>
              <w:rPr>
                <w:rFonts w:hint="eastAsia" w:ascii="宋体" w:hAnsi="宋体" w:eastAsia="宋体"/>
                <w:color w:val="auto"/>
                <w:kern w:val="0"/>
                <w:szCs w:val="21"/>
                <w:highlight w:val="none"/>
              </w:rPr>
              <w:t>否（可选择不参加，不影响投标资格但可能会产生不利后果）</w:t>
            </w:r>
          </w:p>
          <w:p>
            <w:pPr>
              <w:pStyle w:val="23"/>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招标人定于</w:t>
            </w: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3</w:t>
            </w:r>
            <w:r>
              <w:rPr>
                <w:rFonts w:ascii="宋体" w:hAnsi="宋体"/>
                <w:szCs w:val="21"/>
                <w:highlight w:val="yellow"/>
              </w:rPr>
              <w:t>-</w:t>
            </w:r>
            <w:r>
              <w:rPr>
                <w:rFonts w:hint="eastAsia" w:ascii="宋体" w:hAnsi="宋体"/>
                <w:szCs w:val="21"/>
                <w:highlight w:val="yellow"/>
                <w:lang w:val="en-US" w:eastAsia="zh-CN"/>
              </w:rPr>
              <w:t>12</w:t>
            </w:r>
            <w:r>
              <w:rPr>
                <w:rFonts w:ascii="宋体" w:hAnsi="宋体"/>
                <w:szCs w:val="21"/>
                <w:highlight w:val="yellow"/>
              </w:rPr>
              <w:t>-</w:t>
            </w:r>
            <w:r>
              <w:rPr>
                <w:rFonts w:hint="eastAsia" w:ascii="宋体" w:hAnsi="宋体"/>
                <w:szCs w:val="21"/>
                <w:highlight w:val="yellow"/>
                <w:lang w:val="en-US" w:eastAsia="zh-CN"/>
              </w:rPr>
              <w:t>5</w:t>
            </w:r>
            <w:r>
              <w:rPr>
                <w:rFonts w:ascii="宋体" w:hAnsi="宋体"/>
                <w:szCs w:val="21"/>
                <w:highlight w:val="yellow"/>
              </w:rPr>
              <w:t xml:space="preserve"> </w:t>
            </w:r>
            <w:r>
              <w:rPr>
                <w:rFonts w:hint="eastAsia" w:ascii="宋体" w:hAnsi="宋体"/>
                <w:szCs w:val="21"/>
                <w:highlight w:val="yellow"/>
                <w:lang w:val="en-US" w:eastAsia="zh-CN"/>
              </w:rPr>
              <w:t>10</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rPr>
              <w:t>（北京时间</w:t>
            </w:r>
            <w:r>
              <w:rPr>
                <w:rFonts w:ascii="宋体" w:hAnsi="宋体"/>
                <w:szCs w:val="21"/>
              </w:rPr>
              <w:t>）</w:t>
            </w:r>
            <w:r>
              <w:rPr>
                <w:rFonts w:hint="eastAsia" w:ascii="宋体" w:hAnsi="宋体" w:eastAsia="宋体"/>
                <w:color w:val="auto"/>
                <w:kern w:val="0"/>
                <w:szCs w:val="21"/>
                <w:highlight w:val="none"/>
              </w:rPr>
              <w:t>邀请投标人人员察看现场并讲解项目需求；投标人应指派符合要求的人员参加本项目的现场踏勘。</w:t>
            </w:r>
          </w:p>
          <w:p>
            <w:pPr>
              <w:pStyle w:val="23"/>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投标人须持《现场考察证明》（格式见附件）参加现场踏勘，并在完成现场踏勘后交由招标人管理人员签字确认，并附于投标文件中。</w:t>
            </w:r>
          </w:p>
          <w:p>
            <w:pPr>
              <w:pStyle w:val="23"/>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3"/>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highlight w:val="none"/>
              </w:rPr>
              <w:t>投标人须至少提前一天与踏勘联系人预约。否则，将可能导致投标人不能进入踏勘现场的不利后果。</w:t>
            </w:r>
          </w:p>
          <w:p>
            <w:pPr>
              <w:pStyle w:val="23"/>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踏勘联系人：</w:t>
            </w:r>
            <w:r>
              <w:rPr>
                <w:rFonts w:hint="eastAsia" w:ascii="宋体" w:hAnsi="宋体" w:eastAsia="宋体"/>
                <w:color w:val="auto"/>
                <w:kern w:val="0"/>
                <w:szCs w:val="21"/>
                <w:highlight w:val="none"/>
                <w:lang w:eastAsia="zh-CN"/>
              </w:rPr>
              <w:t>陈工</w:t>
            </w:r>
          </w:p>
          <w:p>
            <w:pPr>
              <w:pStyle w:val="23"/>
              <w:tabs>
                <w:tab w:val="left" w:pos="541"/>
              </w:tabs>
              <w:snapToGrid w:val="0"/>
              <w:ind w:left="805" w:firstLine="0" w:firstLineChars="0"/>
              <w:rPr>
                <w:rFonts w:hint="default" w:ascii="宋体" w:hAnsi="宋体" w:eastAsia="宋体"/>
                <w:color w:val="auto"/>
                <w:kern w:val="0"/>
                <w:szCs w:val="21"/>
                <w:highlight w:val="none"/>
                <w:lang w:val="en-US" w:eastAsia="zh-CN"/>
              </w:rPr>
            </w:pPr>
            <w:r>
              <w:rPr>
                <w:rFonts w:hint="eastAsia" w:ascii="宋体" w:hAnsi="宋体" w:eastAsia="宋体"/>
                <w:color w:val="auto"/>
                <w:kern w:val="0"/>
                <w:szCs w:val="21"/>
                <w:highlight w:val="none"/>
              </w:rPr>
              <w:t>电话：0755-8284</w:t>
            </w:r>
            <w:r>
              <w:rPr>
                <w:rFonts w:hint="eastAsia" w:ascii="宋体" w:hAnsi="宋体" w:eastAsia="宋体"/>
                <w:color w:val="auto"/>
                <w:kern w:val="0"/>
                <w:szCs w:val="21"/>
                <w:highlight w:val="none"/>
                <w:lang w:val="en-US" w:eastAsia="zh-CN"/>
              </w:rPr>
              <w:t>8982</w:t>
            </w:r>
            <w:r>
              <w:rPr>
                <w:rFonts w:hint="eastAsia" w:ascii="宋体" w:hAnsi="宋体" w:eastAsia="宋体"/>
                <w:color w:val="auto"/>
                <w:kern w:val="0"/>
                <w:szCs w:val="21"/>
                <w:highlight w:val="none"/>
              </w:rPr>
              <w:t>，手机：</w:t>
            </w:r>
            <w:r>
              <w:rPr>
                <w:rFonts w:hint="eastAsia" w:ascii="宋体" w:hAnsi="宋体" w:eastAsia="宋体"/>
                <w:color w:val="auto"/>
                <w:kern w:val="0"/>
                <w:szCs w:val="21"/>
                <w:highlight w:val="none"/>
                <w:lang w:val="en-US" w:eastAsia="zh-CN"/>
              </w:rPr>
              <w:t>18998919932，</w:t>
            </w:r>
            <w:r>
              <w:rPr>
                <w:rFonts w:hint="eastAsia" w:ascii="宋体" w:hAnsi="宋体" w:eastAsia="宋体"/>
                <w:color w:val="auto"/>
                <w:kern w:val="0"/>
                <w:szCs w:val="21"/>
                <w:highlight w:val="none"/>
              </w:rPr>
              <w:t>集合地点：</w:t>
            </w:r>
            <w:r>
              <w:rPr>
                <w:rFonts w:hint="eastAsia" w:ascii="宋体" w:hAnsi="宋体" w:eastAsia="宋体"/>
                <w:color w:val="auto"/>
                <w:kern w:val="0"/>
                <w:szCs w:val="21"/>
                <w:highlight w:val="none"/>
                <w:lang w:eastAsia="zh-CN"/>
              </w:rPr>
              <w:t>深圳会展中心</w:t>
            </w:r>
            <w:r>
              <w:rPr>
                <w:rFonts w:hint="eastAsia" w:ascii="宋体" w:hAnsi="宋体" w:eastAsia="宋体"/>
                <w:color w:val="auto"/>
                <w:kern w:val="0"/>
                <w:szCs w:val="21"/>
                <w:highlight w:val="none"/>
                <w:lang w:val="en-US" w:eastAsia="zh-CN"/>
              </w:rPr>
              <w:t>9号馆6号门一楼</w:t>
            </w:r>
          </w:p>
          <w:p>
            <w:pPr>
              <w:pStyle w:val="23"/>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3"/>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3"/>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3"/>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3"/>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3"/>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3"/>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6" w:name="_Toc82684706"/>
      <w:bookmarkEnd w:id="6"/>
      <w:bookmarkStart w:id="7" w:name="_Toc82684591"/>
      <w:bookmarkEnd w:id="7"/>
      <w:bookmarkStart w:id="8" w:name="_Toc82591926"/>
      <w:bookmarkEnd w:id="8"/>
      <w:bookmarkStart w:id="9" w:name="_Toc82684703"/>
      <w:bookmarkEnd w:id="9"/>
      <w:bookmarkStart w:id="10" w:name="_Toc82591927"/>
      <w:bookmarkEnd w:id="10"/>
      <w:bookmarkStart w:id="11" w:name="_Toc82684590"/>
      <w:bookmarkEnd w:id="11"/>
      <w:bookmarkStart w:id="12" w:name="_Toc82685541"/>
      <w:bookmarkEnd w:id="12"/>
      <w:bookmarkStart w:id="13" w:name="_Toc82685542"/>
      <w:bookmarkEnd w:id="13"/>
      <w:bookmarkStart w:id="14" w:name="_Toc82684589"/>
      <w:bookmarkEnd w:id="14"/>
      <w:bookmarkStart w:id="15" w:name="_Toc82591928"/>
      <w:bookmarkEnd w:id="15"/>
      <w:bookmarkStart w:id="16" w:name="_Toc82591925"/>
      <w:bookmarkEnd w:id="16"/>
      <w:bookmarkStart w:id="17" w:name="_Toc82684588"/>
      <w:bookmarkEnd w:id="17"/>
      <w:bookmarkStart w:id="18" w:name="_Toc82684704"/>
      <w:bookmarkEnd w:id="18"/>
      <w:bookmarkStart w:id="19" w:name="_Toc82685540"/>
      <w:bookmarkEnd w:id="19"/>
      <w:bookmarkStart w:id="20" w:name="_Toc82684705"/>
      <w:bookmarkEnd w:id="20"/>
      <w:bookmarkStart w:id="21" w:name="_Toc82685543"/>
      <w:bookmarkEnd w:id="21"/>
      <w:bookmarkStart w:id="22" w:name="_Toc116550346"/>
      <w:r>
        <w:rPr>
          <w:rFonts w:hint="eastAsia" w:ascii="宋体" w:hAnsi="宋体"/>
          <w:b/>
          <w:szCs w:val="21"/>
        </w:rPr>
        <w:t>特别说明</w:t>
      </w:r>
      <w:bookmarkEnd w:id="22"/>
    </w:p>
    <w:p>
      <w:pPr>
        <w:pStyle w:val="23"/>
        <w:numPr>
          <w:ilvl w:val="0"/>
          <w:numId w:val="9"/>
        </w:numPr>
        <w:spacing w:line="360" w:lineRule="auto"/>
        <w:ind w:left="0" w:firstLine="420" w:firstLineChars="0"/>
        <w:rPr>
          <w:rFonts w:ascii="宋体" w:hAnsi="宋体" w:eastAsia="宋体" w:cs="宋体"/>
          <w:szCs w:val="21"/>
        </w:rPr>
      </w:pPr>
      <w:bookmarkStart w:id="23" w:name="_Toc517278751"/>
      <w:bookmarkStart w:id="24" w:name="_Toc478387747"/>
      <w:bookmarkStart w:id="25" w:name="_Toc45028463"/>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rPr>
      </w:pPr>
      <w:bookmarkStart w:id="26" w:name="_Toc82591987"/>
      <w:bookmarkEnd w:id="26"/>
      <w:bookmarkStart w:id="27" w:name="_Toc82685545"/>
      <w:bookmarkEnd w:id="27"/>
      <w:bookmarkStart w:id="28" w:name="_Toc82591986"/>
      <w:bookmarkEnd w:id="28"/>
      <w:bookmarkStart w:id="29" w:name="_Toc82591989"/>
      <w:bookmarkEnd w:id="29"/>
      <w:bookmarkStart w:id="30" w:name="_Toc82591930"/>
      <w:bookmarkEnd w:id="30"/>
      <w:bookmarkStart w:id="31" w:name="_Toc82684708"/>
      <w:bookmarkEnd w:id="31"/>
      <w:bookmarkStart w:id="32" w:name="_Toc82591988"/>
      <w:bookmarkEnd w:id="32"/>
      <w:bookmarkStart w:id="33" w:name="_Toc82684593"/>
      <w:bookmarkEnd w:id="33"/>
      <w:bookmarkStart w:id="34" w:name="_Toc82591985"/>
      <w:bookmarkEnd w:id="34"/>
      <w:bookmarkStart w:id="35" w:name="_Toc116550347"/>
      <w:r>
        <w:rPr>
          <w:rFonts w:hint="eastAsia" w:ascii="宋体" w:hAnsi="宋体"/>
          <w:b/>
          <w:szCs w:val="21"/>
        </w:rPr>
        <w:t>投标文件编制</w:t>
      </w:r>
      <w:bookmarkEnd w:id="35"/>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16550348"/>
      <w:r>
        <w:rPr>
          <w:rFonts w:hint="eastAsia" w:ascii="宋体" w:hAnsi="宋体"/>
          <w:b/>
          <w:szCs w:val="21"/>
        </w:rPr>
        <w:t>项目要求</w:t>
      </w:r>
      <w:bookmarkEnd w:id="36"/>
    </w:p>
    <w:tbl>
      <w:tblPr>
        <w:tblStyle w:val="15"/>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3"/>
              <w:ind w:firstLine="0" w:firstLineChars="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1" w:firstLine="0"/>
              <w:rPr>
                <w:rFonts w:hint="eastAsia" w:ascii="宋体" w:hAnsi="宋体" w:eastAsia="宋体" w:cs="仿宋_GB2312"/>
                <w:color w:val="auto"/>
                <w:szCs w:val="21"/>
                <w:highlight w:val="none"/>
              </w:rPr>
            </w:pPr>
            <w:r>
              <w:rPr>
                <w:rFonts w:hint="eastAsia" w:ascii="宋体" w:hAnsi="宋体" w:cs="仿宋_GB2312"/>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w:t>
            </w:r>
            <w:r>
              <w:rPr>
                <w:rFonts w:hint="eastAsia" w:ascii="宋体" w:hAnsi="宋体" w:eastAsia="宋体" w:cs="仿宋_GB2312"/>
                <w:color w:val="auto"/>
                <w:szCs w:val="21"/>
                <w:highlight w:val="none"/>
              </w:rPr>
              <w:t>营异常的，将被拒绝参与本项目的采购活动。）</w:t>
            </w:r>
          </w:p>
          <w:p>
            <w:pPr>
              <w:numPr>
                <w:ilvl w:val="0"/>
                <w:numId w:val="10"/>
              </w:numPr>
              <w:tabs>
                <w:tab w:val="left" w:pos="531"/>
              </w:tabs>
              <w:snapToGrid w:val="0"/>
              <w:ind w:left="-1" w:firstLine="0"/>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rPr>
              <w:t>投标人代表必须是投标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提供法定代表人证明书及身份证复印件，各证明书须加盖公章，身份证原件备查）。</w:t>
            </w:r>
          </w:p>
          <w:p>
            <w:pPr>
              <w:numPr>
                <w:ilvl w:val="0"/>
                <w:numId w:val="10"/>
              </w:numPr>
              <w:tabs>
                <w:tab w:val="left" w:pos="531"/>
              </w:tabs>
              <w:snapToGrid w:val="0"/>
              <w:ind w:left="-1" w:firstLine="0"/>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rPr>
              <w:t>投标人必须</w:t>
            </w:r>
            <w:r>
              <w:rPr>
                <w:rFonts w:hint="eastAsia" w:ascii="宋体" w:hAnsi="宋体" w:eastAsia="宋体" w:cs="仿宋_GB2312"/>
                <w:color w:val="auto"/>
                <w:szCs w:val="21"/>
                <w:highlight w:val="none"/>
                <w:lang w:val="en-US" w:eastAsia="zh-CN"/>
              </w:rPr>
              <w:t>是</w:t>
            </w:r>
            <w:r>
              <w:rPr>
                <w:rFonts w:hint="eastAsia" w:ascii="宋体" w:hAnsi="宋体" w:eastAsia="宋体" w:cs="仿宋_GB2312"/>
                <w:color w:val="auto"/>
                <w:szCs w:val="21"/>
                <w:highlight w:val="none"/>
                <w:lang w:eastAsia="zh-CN"/>
              </w:rPr>
              <w:t>特种设备检验检测机构（具有电梯检验项目）或《深圳市经济特区特种设备安全条例》第七条规定的行业协会或《广东省电梯使用安全条例》第二十一条规定的专业服务机构</w:t>
            </w:r>
            <w:r>
              <w:rPr>
                <w:rFonts w:hint="eastAsia" w:ascii="宋体" w:hAnsi="宋体" w:eastAsia="宋体" w:cs="仿宋_GB2312"/>
                <w:color w:val="auto"/>
                <w:szCs w:val="21"/>
                <w:highlight w:val="none"/>
              </w:rPr>
              <w:t>（提供相关证明文件的复印件并加盖公章）</w:t>
            </w:r>
          </w:p>
          <w:p>
            <w:pPr>
              <w:numPr>
                <w:ilvl w:val="0"/>
                <w:numId w:val="10"/>
              </w:numPr>
              <w:tabs>
                <w:tab w:val="left" w:pos="531"/>
              </w:tabs>
              <w:snapToGrid w:val="0"/>
              <w:rPr>
                <w:rFonts w:ascii="宋体" w:hAnsi="宋体" w:cs="宋体"/>
                <w:color w:val="auto"/>
                <w:highlight w:val="none"/>
              </w:rPr>
            </w:pPr>
            <w:r>
              <w:rPr>
                <w:rFonts w:hint="eastAsia" w:ascii="宋体" w:hAnsi="宋体" w:cs="宋体"/>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ascii="宋体" w:hAnsi="宋体"/>
                <w:color w:val="auto"/>
                <w:szCs w:val="21"/>
                <w:highlight w:val="none"/>
              </w:rPr>
            </w:pPr>
            <w:r>
              <w:rPr>
                <w:rFonts w:hint="eastAsia" w:ascii="宋体" w:hAnsi="宋体" w:cs="仿宋_GB2312"/>
                <w:color w:val="auto"/>
                <w:szCs w:val="21"/>
                <w:highlight w:val="none"/>
              </w:rPr>
              <w:t>报价以人民币为结算币种，《投标一览表》</w:t>
            </w:r>
            <w:r>
              <w:rPr>
                <w:rFonts w:hint="eastAsia" w:ascii="宋体" w:hAnsi="宋体"/>
                <w:color w:val="auto"/>
                <w:szCs w:val="21"/>
                <w:highlight w:val="none"/>
              </w:rPr>
              <w:t>应包含税率、税额、税前及税后总金额。</w:t>
            </w:r>
          </w:p>
          <w:p>
            <w:pPr>
              <w:numPr>
                <w:ilvl w:val="0"/>
                <w:numId w:val="11"/>
              </w:numPr>
              <w:tabs>
                <w:tab w:val="left" w:pos="531"/>
              </w:tabs>
              <w:snapToGrid w:val="0"/>
              <w:ind w:left="0" w:firstLine="0"/>
              <w:rPr>
                <w:rFonts w:ascii="宋体" w:hAnsi="宋体" w:cs="仿宋_GB2312"/>
                <w:color w:val="auto"/>
                <w:szCs w:val="21"/>
                <w:highlight w:val="none"/>
              </w:rPr>
            </w:pPr>
            <w:r>
              <w:rPr>
                <w:rFonts w:hint="eastAsia" w:ascii="宋体" w:hAnsi="宋体" w:cs="仿宋_GB2312"/>
                <w:color w:val="auto"/>
                <w:szCs w:val="21"/>
                <w:highlight w:val="none"/>
              </w:rPr>
              <w:t>投标报价不得出现可选择性的报价,含有备选方案的报价将导致废标。</w:t>
            </w:r>
          </w:p>
          <w:p>
            <w:pPr>
              <w:numPr>
                <w:ilvl w:val="0"/>
                <w:numId w:val="11"/>
              </w:numPr>
              <w:tabs>
                <w:tab w:val="left" w:pos="531"/>
              </w:tabs>
              <w:snapToGrid w:val="0"/>
              <w:ind w:left="0" w:firstLine="0"/>
              <w:rPr>
                <w:color w:val="auto"/>
                <w:highlight w:val="none"/>
              </w:rPr>
            </w:pPr>
            <w:r>
              <w:rPr>
                <w:rFonts w:hint="eastAsia" w:ascii="宋体" w:hAnsi="宋体" w:cs="仿宋_GB2312"/>
                <w:color w:val="auto"/>
                <w:szCs w:val="21"/>
                <w:highlight w:val="none"/>
              </w:rPr>
              <w:t>投标报价包括但不限于</w:t>
            </w:r>
            <w:r>
              <w:rPr>
                <w:rFonts w:hint="eastAsia" w:ascii="宋体" w:hAnsi="宋体" w:cs="仿宋_GB2312"/>
                <w:color w:val="auto"/>
                <w:szCs w:val="21"/>
                <w:highlight w:val="none"/>
                <w:lang w:eastAsia="zh-CN"/>
              </w:rPr>
              <w:t>评估工具</w:t>
            </w:r>
            <w:r>
              <w:rPr>
                <w:rFonts w:hint="eastAsia" w:ascii="宋体" w:hAnsi="宋体"/>
                <w:color w:val="auto"/>
                <w:szCs w:val="21"/>
                <w:highlight w:val="none"/>
              </w:rPr>
              <w:t>费、</w:t>
            </w:r>
            <w:r>
              <w:rPr>
                <w:rFonts w:hint="eastAsia" w:ascii="宋体" w:hAnsi="宋体"/>
                <w:color w:val="auto"/>
                <w:szCs w:val="21"/>
                <w:highlight w:val="none"/>
                <w:lang w:eastAsia="zh-CN"/>
              </w:rPr>
              <w:t>人工</w:t>
            </w:r>
            <w:r>
              <w:rPr>
                <w:rFonts w:hint="eastAsia" w:ascii="宋体" w:hAnsi="宋体"/>
                <w:color w:val="auto"/>
                <w:szCs w:val="21"/>
                <w:highlight w:val="none"/>
              </w:rPr>
              <w:t>费、</w:t>
            </w:r>
            <w:r>
              <w:rPr>
                <w:rFonts w:hint="eastAsia" w:ascii="宋体" w:hAnsi="宋体"/>
                <w:color w:val="auto"/>
                <w:szCs w:val="21"/>
                <w:highlight w:val="none"/>
                <w:lang w:eastAsia="zh-CN"/>
              </w:rPr>
              <w:t>安全措施</w:t>
            </w:r>
            <w:r>
              <w:rPr>
                <w:rFonts w:hint="eastAsia" w:ascii="宋体" w:hAnsi="宋体"/>
                <w:color w:val="auto"/>
                <w:szCs w:val="21"/>
                <w:highlight w:val="none"/>
              </w:rPr>
              <w:t>费</w:t>
            </w:r>
            <w:r>
              <w:rPr>
                <w:rFonts w:hint="eastAsia" w:ascii="宋体" w:hAnsi="宋体"/>
                <w:color w:val="auto"/>
                <w:szCs w:val="21"/>
                <w:highlight w:val="none"/>
                <w:lang w:eastAsia="zh-CN"/>
              </w:rPr>
              <w:t>、管理费</w:t>
            </w:r>
            <w:r>
              <w:rPr>
                <w:rFonts w:hint="eastAsia" w:ascii="宋体" w:hAnsi="宋体"/>
                <w:color w:val="auto"/>
                <w:szCs w:val="21"/>
                <w:highlight w:val="none"/>
              </w:rPr>
              <w:t>及增值税费等</w:t>
            </w:r>
            <w:r>
              <w:rPr>
                <w:rFonts w:hint="eastAsia" w:ascii="宋体" w:hAnsi="宋体" w:cs="仿宋_GB2312"/>
                <w:color w:val="auto"/>
                <w:szCs w:val="21"/>
                <w:highlight w:val="none"/>
              </w:rPr>
              <w:t>完成本项目所需的全部费用。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auto"/>
                <w:szCs w:val="21"/>
                <w:highlight w:val="none"/>
              </w:rPr>
            </w:pPr>
            <w:r>
              <w:rPr>
                <w:rFonts w:hint="eastAsia" w:ascii="宋体" w:hAnsi="宋体" w:cs="宋体"/>
                <w:color w:val="auto"/>
                <w:szCs w:val="21"/>
                <w:highlight w:val="none"/>
              </w:rPr>
              <w:t>本项目采购控制金额为人民币</w:t>
            </w:r>
            <w:r>
              <w:rPr>
                <w:rFonts w:hint="eastAsia" w:ascii="宋体" w:hAnsi="宋体" w:cs="宋体"/>
                <w:color w:val="auto"/>
                <w:szCs w:val="21"/>
                <w:highlight w:val="none"/>
                <w:u w:val="single"/>
                <w:lang w:val="en-US" w:eastAsia="zh-CN"/>
              </w:rPr>
              <w:t>16.51</w:t>
            </w:r>
            <w:r>
              <w:rPr>
                <w:rFonts w:ascii="宋体" w:hAnsi="宋体" w:cs="宋体"/>
                <w:color w:val="auto"/>
                <w:szCs w:val="21"/>
                <w:highlight w:val="none"/>
              </w:rPr>
              <w:t>万元（含税）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ind w:left="0" w:firstLine="0"/>
              <w:rPr>
                <w:color w:val="auto"/>
                <w:highlight w:val="none"/>
              </w:rPr>
            </w:pPr>
            <w:r>
              <w:rPr>
                <w:rFonts w:hint="eastAsia" w:ascii="宋体" w:hAnsi="宋体" w:cs="宋体"/>
                <w:color w:val="auto"/>
                <w:highlight w:val="none"/>
              </w:rPr>
              <w:t>本项目施工完毕且验收合格后，</w:t>
            </w:r>
            <w:r>
              <w:rPr>
                <w:rFonts w:hint="eastAsia" w:ascii="宋体" w:hAnsi="宋体" w:eastAsia="宋体" w:cs="宋体"/>
                <w:color w:val="auto"/>
                <w:highlight w:val="none"/>
              </w:rPr>
              <w:t>完成罚金、违约金等清算后，</w:t>
            </w:r>
            <w:r>
              <w:rPr>
                <w:rFonts w:hint="eastAsia" w:ascii="宋体" w:hAnsi="宋体" w:cs="宋体"/>
                <w:color w:val="auto"/>
                <w:highlight w:val="none"/>
              </w:rPr>
              <w:t>一次性支付合同总金额</w:t>
            </w:r>
            <w:r>
              <w:rPr>
                <w:rFonts w:hint="eastAsia" w:ascii="宋体" w:hAnsi="宋体" w:cs="宋体"/>
                <w:color w:val="auto"/>
                <w:highlight w:val="none"/>
                <w:lang w:eastAsia="zh-CN"/>
              </w:rPr>
              <w:t>；</w:t>
            </w:r>
          </w:p>
          <w:p>
            <w:pPr>
              <w:numPr>
                <w:ilvl w:val="0"/>
                <w:numId w:val="12"/>
              </w:numPr>
              <w:tabs>
                <w:tab w:val="left" w:pos="531"/>
              </w:tabs>
              <w:snapToGrid w:val="0"/>
              <w:ind w:left="0" w:firstLine="0"/>
              <w:rPr>
                <w:color w:val="auto"/>
                <w:highlight w:val="none"/>
              </w:rPr>
            </w:pPr>
            <w:r>
              <w:rPr>
                <w:rFonts w:hint="eastAsia" w:ascii="宋体" w:hAnsi="宋体" w:cs="宋体"/>
                <w:color w:val="auto"/>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lang w:eastAsia="zh-CN"/>
              </w:rPr>
              <w:t>人员要求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0"/>
                <w:numId w:val="13"/>
              </w:numPr>
              <w:tabs>
                <w:tab w:val="left" w:pos="531"/>
              </w:tabs>
              <w:snapToGrid w:val="0"/>
              <w:ind w:left="5" w:hanging="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kern w:val="0"/>
                <w:sz w:val="21"/>
                <w:szCs w:val="21"/>
                <w:highlight w:val="none"/>
              </w:rPr>
              <w:t>须指定项目负责人，并提供该负责人姓名、电话、职务及身份证复印件（加盖公章，原件备查）等信息，负责联络协调及跟进该项目具体实施（包含但不仅限于现场施工管理及安全管理）。</w:t>
            </w:r>
            <w:r>
              <w:rPr>
                <w:rFonts w:hint="eastAsia" w:ascii="宋体" w:hAnsi="宋体"/>
                <w:bCs/>
                <w:color w:val="auto"/>
                <w:szCs w:val="21"/>
                <w:highlight w:val="none"/>
              </w:rPr>
              <w:t>需提供</w:t>
            </w:r>
            <w:r>
              <w:rPr>
                <w:rFonts w:hint="eastAsia" w:ascii="宋体" w:hAnsi="宋体"/>
                <w:bCs/>
                <w:color w:val="auto"/>
                <w:szCs w:val="21"/>
                <w:highlight w:val="none"/>
                <w:lang w:val="en-US" w:eastAsia="zh-CN"/>
              </w:rPr>
              <w:t>该负责人</w:t>
            </w:r>
            <w:r>
              <w:rPr>
                <w:rFonts w:hint="eastAsia" w:ascii="宋体" w:hAnsi="宋体"/>
                <w:bCs/>
                <w:color w:val="auto"/>
                <w:szCs w:val="21"/>
                <w:highlight w:val="none"/>
              </w:rPr>
              <w:t>本项目招标公告发布之日起前三个月中任意一个月由社保机构出具的</w:t>
            </w:r>
            <w:r>
              <w:rPr>
                <w:rFonts w:hint="eastAsia" w:ascii="宋体" w:hAnsi="宋体"/>
                <w:bCs/>
                <w:color w:val="auto"/>
                <w:szCs w:val="21"/>
                <w:highlight w:val="none"/>
                <w:lang w:val="en-US" w:eastAsia="zh-CN"/>
              </w:rPr>
              <w:t>由投标人为其缴纳的</w:t>
            </w:r>
            <w:r>
              <w:rPr>
                <w:rFonts w:hint="eastAsia" w:ascii="宋体" w:hAnsi="宋体"/>
                <w:bCs/>
                <w:color w:val="auto"/>
                <w:szCs w:val="21"/>
                <w:highlight w:val="none"/>
              </w:rPr>
              <w:t>社保缴纳证明材料扫描件</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加盖投标人公章。</w:t>
            </w:r>
          </w:p>
          <w:p>
            <w:pPr>
              <w:widowControl/>
              <w:numPr>
                <w:ilvl w:val="0"/>
                <w:numId w:val="13"/>
              </w:numPr>
              <w:tabs>
                <w:tab w:val="left" w:pos="531"/>
              </w:tabs>
              <w:snapToGrid w:val="0"/>
              <w:ind w:left="5" w:hanging="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评估</w:t>
            </w:r>
            <w:r>
              <w:rPr>
                <w:rFonts w:hint="eastAsia" w:ascii="宋体" w:hAnsi="宋体" w:eastAsia="宋体" w:cs="宋体"/>
                <w:color w:val="auto"/>
                <w:sz w:val="21"/>
                <w:szCs w:val="21"/>
                <w:highlight w:val="none"/>
                <w:lang w:eastAsia="zh-CN"/>
              </w:rPr>
              <w:t>人员</w:t>
            </w:r>
            <w:r>
              <w:rPr>
                <w:rFonts w:hint="eastAsia" w:ascii="宋体" w:hAnsi="宋体" w:eastAsia="宋体" w:cs="宋体"/>
                <w:color w:val="auto"/>
                <w:sz w:val="21"/>
                <w:szCs w:val="21"/>
                <w:highlight w:val="none"/>
              </w:rPr>
              <w:t>应具备《中华人民共和国特种设备检验检测人员证》（级别为电梯检验师）或电梯型式试验人员资质，专业从事电梯相关检测业务</w:t>
            </w:r>
            <w:r>
              <w:rPr>
                <w:rFonts w:hint="eastAsia" w:ascii="宋体" w:hAnsi="宋体" w:cs="宋体"/>
                <w:color w:val="auto"/>
                <w:sz w:val="21"/>
                <w:szCs w:val="21"/>
                <w:highlight w:val="none"/>
                <w:lang w:eastAsia="zh-CN"/>
              </w:rPr>
              <w:t>能力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并在响应文件中提交拟安排人员资格证复印件加盖公章（进场前须另行向</w:t>
            </w:r>
            <w:r>
              <w:rPr>
                <w:rFonts w:hint="eastAsia" w:ascii="宋体" w:hAnsi="宋体" w:cs="宋体"/>
                <w:color w:val="auto"/>
                <w:kern w:val="0"/>
                <w:sz w:val="21"/>
                <w:szCs w:val="21"/>
                <w:highlight w:val="none"/>
                <w:lang w:eastAsia="zh-CN"/>
              </w:rPr>
              <w:t>招标人</w:t>
            </w:r>
            <w:r>
              <w:rPr>
                <w:rFonts w:hint="eastAsia" w:ascii="宋体" w:hAnsi="宋体" w:eastAsia="宋体" w:cs="宋体"/>
                <w:color w:val="auto"/>
                <w:kern w:val="0"/>
                <w:sz w:val="21"/>
                <w:szCs w:val="21"/>
                <w:highlight w:val="none"/>
              </w:rPr>
              <w:t>书面报备，并与</w:t>
            </w:r>
            <w:r>
              <w:rPr>
                <w:rFonts w:hint="eastAsia" w:ascii="宋体" w:hAnsi="宋体" w:cs="宋体"/>
                <w:color w:val="auto"/>
                <w:kern w:val="0"/>
                <w:sz w:val="21"/>
                <w:szCs w:val="21"/>
                <w:highlight w:val="none"/>
                <w:lang w:eastAsia="zh-CN"/>
              </w:rPr>
              <w:t>招标人</w:t>
            </w:r>
            <w:r>
              <w:rPr>
                <w:rFonts w:hint="eastAsia" w:ascii="宋体" w:hAnsi="宋体" w:eastAsia="宋体" w:cs="宋体"/>
                <w:color w:val="auto"/>
                <w:kern w:val="0"/>
                <w:sz w:val="21"/>
                <w:szCs w:val="21"/>
                <w:highlight w:val="none"/>
              </w:rPr>
              <w:t>签订安全责任书）。</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cs="宋体"/>
                <w:snapToGrid/>
                <w:color w:val="auto"/>
                <w:spacing w:val="0"/>
                <w:kern w:val="2"/>
                <w:sz w:val="21"/>
                <w:szCs w:val="21"/>
                <w:highlight w:val="none"/>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工期</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tabs>
                <w:tab w:val="left" w:pos="531"/>
              </w:tabs>
              <w:snapToGrid w:val="0"/>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合同签订后，</w:t>
            </w:r>
            <w:r>
              <w:rPr>
                <w:rFonts w:hint="eastAsia" w:ascii="宋体" w:hAnsi="宋体" w:eastAsia="宋体" w:cs="宋体"/>
                <w:color w:val="auto"/>
                <w:sz w:val="21"/>
                <w:szCs w:val="21"/>
                <w:highlight w:val="none"/>
                <w:u w:val="single"/>
                <w:lang w:val="en-US" w:eastAsia="zh-CN"/>
              </w:rPr>
              <w:t xml:space="preserve"> 30 </w:t>
            </w:r>
            <w:r>
              <w:rPr>
                <w:rFonts w:hint="eastAsia" w:ascii="宋体" w:hAnsi="宋体" w:eastAsia="宋体" w:cs="宋体"/>
                <w:color w:val="auto"/>
                <w:sz w:val="21"/>
                <w:szCs w:val="21"/>
                <w:highlight w:val="none"/>
              </w:rPr>
              <w:t>个日历日完成。如遇不可抗拒或因配合</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经营造成的工期延误，经</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书面签字确认后可顺延合同工期。否则每延期一天</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将直接从应付款项中扣除2000元作为违约金。</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工程验收</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4"/>
              </w:numPr>
              <w:kinsoku/>
              <w:wordWrap/>
              <w:overflowPunct/>
              <w:topLinePunct w:val="0"/>
              <w:autoSpaceDE/>
              <w:autoSpaceDN/>
              <w:bidi w:val="0"/>
              <w:adjustRightInd/>
              <w:snapToGrid/>
              <w:spacing w:before="0" w:beforeAutospacing="0" w:after="0" w:afterAutospacing="0"/>
              <w:ind w:left="42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完成评估</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应凭</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台电梯设备的安全评估报告及时提出书面验收申请，由</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组织相关人员进行现场验收。</w:t>
            </w:r>
          </w:p>
          <w:p>
            <w:pPr>
              <w:pStyle w:val="12"/>
              <w:numPr>
                <w:ilvl w:val="0"/>
                <w:numId w:val="14"/>
              </w:numPr>
              <w:ind w:left="425" w:leftChars="0" w:hanging="425"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验收依据：</w:t>
            </w:r>
          </w:p>
          <w:p>
            <w:pPr>
              <w:keepNext w:val="0"/>
              <w:keepLines w:val="0"/>
              <w:pageBreakBefore w:val="0"/>
              <w:widowControl/>
              <w:numPr>
                <w:ilvl w:val="4"/>
                <w:numId w:val="15"/>
              </w:numPr>
              <w:kinsoku/>
              <w:wordWrap/>
              <w:overflowPunct/>
              <w:topLinePunct w:val="0"/>
              <w:autoSpaceDE/>
              <w:autoSpaceDN/>
              <w:bidi w:val="0"/>
              <w:adjustRightInd/>
              <w:snapToGrid/>
              <w:spacing w:before="0" w:beforeAutospacing="0" w:after="0" w:afterAutospacing="0"/>
              <w:ind w:left="0" w:leftChars="0" w:firstLine="402" w:firstLineChars="0"/>
              <w:textAlignment w:val="auto"/>
              <w:rPr>
                <w:rFonts w:hint="eastAsia" w:ascii="宋体" w:hAnsi="宋体" w:eastAsia="宋体" w:cs="宋体"/>
                <w:color w:val="auto"/>
                <w:sz w:val="21"/>
                <w:szCs w:val="21"/>
                <w:highlight w:val="none"/>
                <w:lang w:val="en-US" w:eastAsia="zh-CN"/>
              </w:rPr>
            </w:pPr>
            <w:r>
              <w:rPr>
                <w:rFonts w:hint="eastAsia" w:ascii="Times New Roman" w:hAnsi="Times New Roman" w:eastAsia="宋体" w:cs="Times New Roman"/>
                <w:i w:val="0"/>
                <w:iCs w:val="0"/>
                <w:caps w:val="0"/>
                <w:color w:val="auto"/>
                <w:spacing w:val="0"/>
                <w:sz w:val="21"/>
                <w:szCs w:val="24"/>
                <w:highlight w:val="none"/>
                <w:shd w:val="clear"/>
              </w:rPr>
              <w:t>TSG T7001-2023</w:t>
            </w:r>
            <w:r>
              <w:rPr>
                <w:rFonts w:hint="eastAsia" w:ascii="宋体" w:hAnsi="宋体" w:eastAsia="宋体" w:cs="宋体"/>
                <w:color w:val="auto"/>
                <w:sz w:val="21"/>
                <w:szCs w:val="21"/>
                <w:highlight w:val="none"/>
                <w:lang w:eastAsia="zh-CN"/>
              </w:rPr>
              <w:t>电梯监督检验和定期检验规则</w:t>
            </w:r>
          </w:p>
          <w:p>
            <w:pPr>
              <w:widowControl/>
              <w:numPr>
                <w:ilvl w:val="4"/>
                <w:numId w:val="15"/>
              </w:numPr>
              <w:ind w:firstLine="402"/>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GB16899-2011 自动扶梯和自动人行道的制造与安装安全规范</w:t>
            </w:r>
          </w:p>
          <w:p>
            <w:pPr>
              <w:numPr>
                <w:ilvl w:val="4"/>
                <w:numId w:val="15"/>
              </w:numPr>
              <w:spacing w:beforeAutospacing="0" w:afterAutospacing="0"/>
              <w:ind w:left="639" w:leftChars="191" w:hanging="238"/>
              <w:rPr>
                <w:rFonts w:ascii="宋体" w:hAnsi="宋体" w:eastAsia="宋体" w:cs="宋体"/>
                <w:b w:val="0"/>
                <w:bCs w:val="0"/>
                <w:i w:val="0"/>
                <w:iCs w:val="0"/>
                <w:caps w:val="0"/>
                <w:color w:val="auto"/>
                <w:spacing w:val="0"/>
                <w:kern w:val="2"/>
                <w:sz w:val="21"/>
                <w:szCs w:val="21"/>
                <w:highlight w:val="none"/>
                <w:lang w:bidi="ar-SA"/>
              </w:rPr>
            </w:pPr>
            <w:r>
              <w:rPr>
                <w:rFonts w:hint="eastAsia" w:ascii="宋体" w:hAnsi="宋体" w:eastAsia="宋体" w:cs="宋体"/>
                <w:b w:val="0"/>
                <w:bCs w:val="0"/>
                <w:i w:val="0"/>
                <w:iCs w:val="0"/>
                <w:caps w:val="0"/>
                <w:color w:val="auto"/>
                <w:spacing w:val="0"/>
                <w:kern w:val="2"/>
                <w:sz w:val="21"/>
                <w:szCs w:val="21"/>
                <w:highlight w:val="none"/>
                <w:shd w:val="clear"/>
                <w:lang w:bidi="ar-SA"/>
              </w:rPr>
              <w:t>GB/T 7588.1-2020电梯制造与安装安全规范 第1部分：乘客电梯和载货电梯</w:t>
            </w:r>
          </w:p>
          <w:p>
            <w:pPr>
              <w:keepNext w:val="0"/>
              <w:keepLines w:val="0"/>
              <w:pageBreakBefore w:val="0"/>
              <w:widowControl/>
              <w:numPr>
                <w:ilvl w:val="4"/>
                <w:numId w:val="15"/>
              </w:numPr>
              <w:kinsoku/>
              <w:wordWrap/>
              <w:overflowPunct/>
              <w:topLinePunct w:val="0"/>
              <w:autoSpaceDE/>
              <w:autoSpaceDN/>
              <w:bidi w:val="0"/>
              <w:adjustRightInd/>
              <w:snapToGrid/>
              <w:spacing w:before="0" w:beforeAutospacing="0" w:after="0" w:afterAutospacing="0"/>
              <w:ind w:left="637" w:leftChars="190" w:hanging="238"/>
              <w:textAlignment w:val="auto"/>
              <w:rPr>
                <w:rFonts w:hint="eastAsia" w:ascii="宋体" w:hAnsi="宋体" w:eastAsia="宋体" w:cs="宋体"/>
                <w:color w:val="auto"/>
                <w:sz w:val="21"/>
                <w:szCs w:val="21"/>
                <w:highlight w:val="none"/>
                <w:lang w:eastAsia="zh-CN"/>
              </w:rPr>
            </w:pPr>
            <w:r>
              <w:rPr>
                <w:rFonts w:ascii="宋体" w:hAnsi="宋体" w:eastAsia="宋体" w:cs="宋体"/>
                <w:b w:val="0"/>
                <w:bCs w:val="0"/>
                <w:i w:val="0"/>
                <w:iCs w:val="0"/>
                <w:caps w:val="0"/>
                <w:color w:val="auto"/>
                <w:spacing w:val="0"/>
                <w:kern w:val="2"/>
                <w:sz w:val="21"/>
                <w:szCs w:val="21"/>
                <w:highlight w:val="none"/>
                <w:shd w:val="clear"/>
                <w:lang w:bidi="ar-SA"/>
              </w:rPr>
              <w:t>GB/T 7588.2-2020</w:t>
            </w:r>
            <w:r>
              <w:rPr>
                <w:rFonts w:hint="eastAsia" w:ascii="宋体" w:hAnsi="宋体" w:eastAsia="宋体" w:cs="宋体"/>
                <w:b w:val="0"/>
                <w:bCs w:val="0"/>
                <w:i w:val="0"/>
                <w:iCs w:val="0"/>
                <w:caps w:val="0"/>
                <w:color w:val="auto"/>
                <w:spacing w:val="0"/>
                <w:kern w:val="2"/>
                <w:sz w:val="21"/>
                <w:szCs w:val="21"/>
                <w:highlight w:val="none"/>
                <w:shd w:val="clear"/>
                <w:lang w:bidi="ar-SA"/>
              </w:rPr>
              <w:t>电梯制造与安装安全规范 第2部分：电梯部件的设计原则、计算和检验</w:t>
            </w:r>
          </w:p>
          <w:p>
            <w:pPr>
              <w:keepNext w:val="0"/>
              <w:keepLines w:val="0"/>
              <w:pageBreakBefore w:val="0"/>
              <w:widowControl/>
              <w:numPr>
                <w:ilvl w:val="4"/>
                <w:numId w:val="15"/>
              </w:numPr>
              <w:kinsoku/>
              <w:wordWrap/>
              <w:overflowPunct/>
              <w:topLinePunct w:val="0"/>
              <w:autoSpaceDE/>
              <w:autoSpaceDN/>
              <w:bidi w:val="0"/>
              <w:adjustRightInd/>
              <w:snapToGrid/>
              <w:spacing w:before="0" w:beforeAutospacing="0" w:after="0" w:afterAutospacing="0"/>
              <w:ind w:left="0" w:leftChars="0" w:firstLine="402" w:firstLineChars="0"/>
              <w:textAlignment w:val="auto"/>
              <w:rPr>
                <w:rFonts w:hint="eastAsia" w:ascii="宋体" w:hAnsi="宋体" w:eastAsia="宋体" w:cs="宋体"/>
                <w:color w:val="auto"/>
                <w:sz w:val="21"/>
                <w:szCs w:val="21"/>
                <w:highlight w:val="none"/>
                <w:u w:val="single"/>
                <w:lang w:val="en-US" w:eastAsia="zh-CN"/>
              </w:rPr>
            </w:pPr>
            <w:r>
              <w:rPr>
                <w:rFonts w:hint="eastAsia"/>
                <w:color w:val="auto"/>
                <w:highlight w:val="none"/>
              </w:rPr>
              <w:t>TSG T5002-2017电梯维护保养规则</w:t>
            </w:r>
          </w:p>
          <w:p>
            <w:pPr>
              <w:keepNext w:val="0"/>
              <w:keepLines w:val="0"/>
              <w:pageBreakBefore w:val="0"/>
              <w:widowControl/>
              <w:numPr>
                <w:ilvl w:val="4"/>
                <w:numId w:val="15"/>
              </w:numPr>
              <w:kinsoku/>
              <w:wordWrap/>
              <w:overflowPunct/>
              <w:topLinePunct w:val="0"/>
              <w:autoSpaceDE/>
              <w:autoSpaceDN/>
              <w:bidi w:val="0"/>
              <w:adjustRightInd/>
              <w:snapToGrid/>
              <w:spacing w:before="0" w:beforeAutospacing="0" w:after="0" w:afterAutospacing="0"/>
              <w:ind w:left="0" w:leftChars="0" w:firstLine="402" w:firstLineChars="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SZDB/Z117—2014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电梯安全评估规程</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（二）技术</w:t>
            </w:r>
            <w:r>
              <w:rPr>
                <w:rFonts w:ascii="宋体" w:hAnsi="宋体" w:cs="宋体"/>
                <w:b/>
                <w:color w:val="auto"/>
                <w:szCs w:val="21"/>
                <w:highlight w:val="none"/>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highlight w:val="none"/>
                <w:lang w:eastAsia="zh-CN"/>
              </w:rPr>
              <w:t>施工位置</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olor w:val="auto"/>
                <w:highlight w:val="none"/>
              </w:rPr>
            </w:pPr>
            <w:r>
              <w:rPr>
                <w:rFonts w:hint="eastAsia" w:ascii="宋体" w:hAnsi="宋体"/>
                <w:color w:val="auto"/>
                <w:szCs w:val="21"/>
                <w:highlight w:val="none"/>
                <w:lang w:eastAsia="zh-CN"/>
              </w:rPr>
              <w:t>深圳会展中心</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工程量</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6"/>
              </w:numPr>
              <w:kinsoku/>
              <w:wordWrap/>
              <w:overflowPunct/>
              <w:topLinePunct w:val="0"/>
              <w:autoSpaceDE/>
              <w:autoSpaceDN/>
              <w:bidi w:val="0"/>
              <w:adjustRightInd/>
              <w:snapToGrid/>
              <w:spacing w:beforeLines="0" w:afterLines="0" w:line="240" w:lineRule="auto"/>
              <w:ind w:left="425" w:leftChars="0" w:hanging="425" w:firstLine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国家及深圳市相关法规要求对会展中心62台日立扶梯的使用管理、电气系统、驱动装置系统、支撑结构和围板、梯级系统、扶手装置、扶手带系统、出入口系统、机房、驱动站和转向站、试验与功能测试等进行安全评估；</w:t>
            </w:r>
          </w:p>
          <w:p>
            <w:pPr>
              <w:keepNext w:val="0"/>
              <w:keepLines w:val="0"/>
              <w:pageBreakBefore w:val="0"/>
              <w:widowControl/>
              <w:numPr>
                <w:ilvl w:val="0"/>
                <w:numId w:val="16"/>
              </w:numPr>
              <w:kinsoku/>
              <w:wordWrap/>
              <w:overflowPunct/>
              <w:topLinePunct w:val="0"/>
              <w:autoSpaceDE/>
              <w:autoSpaceDN/>
              <w:bidi w:val="0"/>
              <w:adjustRightInd/>
              <w:snapToGrid/>
              <w:spacing w:beforeLines="0" w:afterLines="0" w:line="240" w:lineRule="auto"/>
              <w:ind w:left="425" w:leftChars="0" w:hanging="425" w:firstLine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根据国家及深圳市相关法规要求对会展中心8台OTIS直梯的使用管理、电气系统、曳引系统、导向系统、轿厢系统、门系统、重量平衡系统、安全保护系统、机房与井道土建、试验与功能测试等进行安全评估；</w:t>
            </w:r>
          </w:p>
          <w:p>
            <w:pPr>
              <w:keepNext w:val="0"/>
              <w:keepLines w:val="0"/>
              <w:pageBreakBefore w:val="0"/>
              <w:widowControl/>
              <w:numPr>
                <w:ilvl w:val="0"/>
                <w:numId w:val="16"/>
              </w:numPr>
              <w:kinsoku/>
              <w:wordWrap/>
              <w:overflowPunct/>
              <w:topLinePunct w:val="0"/>
              <w:autoSpaceDE/>
              <w:autoSpaceDN/>
              <w:bidi w:val="0"/>
              <w:adjustRightInd/>
              <w:snapToGrid/>
              <w:spacing w:beforeLines="0" w:afterLines="0" w:line="240" w:lineRule="auto"/>
              <w:ind w:left="425" w:leftChars="0" w:hanging="425" w:firstLineChars="0"/>
              <w:textAlignment w:val="auto"/>
              <w:rPr>
                <w:color w:val="auto"/>
                <w:highlight w:val="none"/>
              </w:rPr>
            </w:pPr>
            <w:r>
              <w:rPr>
                <w:rFonts w:hint="eastAsia" w:ascii="宋体" w:hAnsi="宋体" w:cs="宋体"/>
                <w:color w:val="auto"/>
                <w:sz w:val="21"/>
                <w:szCs w:val="21"/>
                <w:highlight w:val="none"/>
                <w:lang w:val="en-US" w:eastAsia="zh-CN"/>
              </w:rPr>
              <w:t>安全评估设备清单详见五。</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ascii="宋体" w:hAnsi="宋体" w:cs="宋体"/>
                <w:color w:val="auto"/>
                <w:szCs w:val="21"/>
                <w:highlight w:val="none"/>
                <w:lang w:eastAsia="zh-CN"/>
              </w:rPr>
              <w:t>施工要求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widowControl w:val="0"/>
              <w:numPr>
                <w:ilvl w:val="0"/>
                <w:numId w:val="17"/>
              </w:numPr>
              <w:tabs>
                <w:tab w:val="left" w:pos="725"/>
              </w:tabs>
              <w:kinsoku/>
              <w:wordWrap/>
              <w:overflowPunct/>
              <w:topLinePunct w:val="0"/>
              <w:autoSpaceDE/>
              <w:autoSpaceDN/>
              <w:bidi w:val="0"/>
              <w:adjustRightInd/>
              <w:spacing w:line="240" w:lineRule="auto"/>
              <w:ind w:left="155" w:hanging="155" w:hangingChars="7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根据工程要求及现场情况，</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须提交《项目实施方案》，内容包括电梯检验检测质量管理制度和安全管理制度，电梯评估方案、报告判定原则、结果报送要求、异议及后续处理、工作纪律、应急预案、后续服务等；</w:t>
            </w:r>
          </w:p>
          <w:p>
            <w:pPr>
              <w:pStyle w:val="35"/>
              <w:keepNext w:val="0"/>
              <w:keepLines w:val="0"/>
              <w:pageBreakBefore w:val="0"/>
              <w:widowControl w:val="0"/>
              <w:numPr>
                <w:ilvl w:val="0"/>
                <w:numId w:val="17"/>
              </w:numPr>
              <w:tabs>
                <w:tab w:val="left" w:pos="725"/>
              </w:tabs>
              <w:kinsoku/>
              <w:wordWrap/>
              <w:overflowPunct/>
              <w:topLinePunct w:val="0"/>
              <w:autoSpaceDE/>
              <w:autoSpaceDN/>
              <w:bidi w:val="0"/>
              <w:adjustRightInd/>
              <w:spacing w:line="240" w:lineRule="auto"/>
              <w:ind w:left="155" w:hanging="155" w:hangingChars="7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须提供《</w:t>
            </w:r>
            <w:r>
              <w:rPr>
                <w:rFonts w:hint="eastAsia" w:ascii="宋体" w:hAnsi="宋体" w:eastAsia="宋体" w:cs="宋体"/>
                <w:bCs/>
                <w:color w:val="auto"/>
                <w:szCs w:val="21"/>
                <w:highlight w:val="none"/>
              </w:rPr>
              <w:t>质量服务承诺书</w:t>
            </w:r>
            <w:r>
              <w:rPr>
                <w:rFonts w:hint="eastAsia" w:ascii="宋体" w:hAnsi="宋体" w:eastAsia="宋体" w:cs="宋体"/>
                <w:color w:val="auto"/>
                <w:sz w:val="21"/>
                <w:szCs w:val="21"/>
                <w:highlight w:val="none"/>
              </w:rPr>
              <w:t>》，包括联系人、联系方式、项目责任人</w:t>
            </w:r>
            <w:r>
              <w:rPr>
                <w:rFonts w:hint="eastAsia" w:ascii="宋体" w:hAnsi="宋体" w:eastAsia="宋体" w:cs="宋体"/>
                <w:color w:val="auto"/>
                <w:sz w:val="21"/>
                <w:szCs w:val="21"/>
                <w:highlight w:val="none"/>
                <w:lang w:eastAsia="zh-CN"/>
              </w:rPr>
              <w:t>以及</w:t>
            </w:r>
            <w:r>
              <w:rPr>
                <w:rFonts w:hint="eastAsia" w:ascii="宋体" w:hAnsi="宋体" w:eastAsia="宋体" w:cs="宋体"/>
                <w:color w:val="auto"/>
                <w:kern w:val="0"/>
                <w:sz w:val="21"/>
                <w:szCs w:val="21"/>
                <w:highlight w:val="none"/>
              </w:rPr>
              <w:t>完成时间、保障措施和安全管理</w:t>
            </w:r>
            <w:r>
              <w:rPr>
                <w:rFonts w:hint="eastAsia" w:ascii="宋体" w:hAnsi="宋体" w:eastAsia="宋体" w:cs="宋体"/>
                <w:color w:val="auto"/>
                <w:sz w:val="21"/>
                <w:szCs w:val="21"/>
                <w:highlight w:val="none"/>
              </w:rPr>
              <w:t>等；</w:t>
            </w:r>
          </w:p>
          <w:p>
            <w:pPr>
              <w:pStyle w:val="35"/>
              <w:keepNext w:val="0"/>
              <w:keepLines w:val="0"/>
              <w:pageBreakBefore w:val="0"/>
              <w:widowControl w:val="0"/>
              <w:numPr>
                <w:ilvl w:val="0"/>
                <w:numId w:val="17"/>
              </w:numPr>
              <w:tabs>
                <w:tab w:val="left" w:pos="725"/>
              </w:tabs>
              <w:kinsoku/>
              <w:wordWrap/>
              <w:overflowPunct/>
              <w:topLinePunct w:val="0"/>
              <w:autoSpaceDE/>
              <w:autoSpaceDN/>
              <w:bidi w:val="0"/>
              <w:adjustRightInd/>
              <w:spacing w:line="240" w:lineRule="auto"/>
              <w:ind w:left="155" w:hanging="155" w:hangingChars="7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在评估前合理设置警戒线，并放好围栏做好安全防护工作；</w:t>
            </w:r>
          </w:p>
          <w:p>
            <w:pPr>
              <w:pStyle w:val="35"/>
              <w:keepNext w:val="0"/>
              <w:keepLines w:val="0"/>
              <w:pageBreakBefore w:val="0"/>
              <w:widowControl w:val="0"/>
              <w:numPr>
                <w:ilvl w:val="0"/>
                <w:numId w:val="17"/>
              </w:numPr>
              <w:tabs>
                <w:tab w:val="left" w:pos="725"/>
              </w:tabs>
              <w:kinsoku/>
              <w:wordWrap/>
              <w:overflowPunct/>
              <w:topLinePunct w:val="0"/>
              <w:autoSpaceDE/>
              <w:autoSpaceDN/>
              <w:bidi w:val="0"/>
              <w:adjustRightInd/>
              <w:spacing w:line="240" w:lineRule="auto"/>
              <w:ind w:left="155" w:hanging="155" w:hangingChars="7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在施工前须向</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沟通，择机停梯评估,评估区域电梯停止运行并做好安全防护；</w:t>
            </w:r>
          </w:p>
          <w:p>
            <w:pPr>
              <w:pStyle w:val="35"/>
              <w:keepNext w:val="0"/>
              <w:keepLines w:val="0"/>
              <w:pageBreakBefore w:val="0"/>
              <w:widowControl w:val="0"/>
              <w:numPr>
                <w:ilvl w:val="0"/>
                <w:numId w:val="17"/>
              </w:numPr>
              <w:tabs>
                <w:tab w:val="left" w:pos="725"/>
              </w:tabs>
              <w:kinsoku/>
              <w:wordWrap/>
              <w:overflowPunct/>
              <w:topLinePunct w:val="0"/>
              <w:autoSpaceDE/>
              <w:autoSpaceDN/>
              <w:bidi w:val="0"/>
              <w:adjustRightInd/>
              <w:spacing w:line="240" w:lineRule="auto"/>
              <w:ind w:left="155" w:hanging="155" w:hangingChars="7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在评估前须和</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的电梯维保单位取得联系并密切沟通，评估时相互配合；</w:t>
            </w:r>
          </w:p>
          <w:p>
            <w:pPr>
              <w:pStyle w:val="35"/>
              <w:keepNext w:val="0"/>
              <w:keepLines w:val="0"/>
              <w:pageBreakBefore w:val="0"/>
              <w:widowControl w:val="0"/>
              <w:numPr>
                <w:ilvl w:val="0"/>
                <w:numId w:val="17"/>
              </w:numPr>
              <w:tabs>
                <w:tab w:val="left" w:pos="725"/>
                <w:tab w:val="left" w:pos="951"/>
              </w:tabs>
              <w:kinsoku/>
              <w:wordWrap/>
              <w:overflowPunct/>
              <w:topLinePunct w:val="0"/>
              <w:autoSpaceDE/>
              <w:autoSpaceDN/>
              <w:bidi w:val="0"/>
              <w:adjustRightInd/>
              <w:spacing w:line="240" w:lineRule="auto"/>
              <w:ind w:left="155" w:hanging="155" w:hangingChars="7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应注重现场的文明施工;</w:t>
            </w:r>
          </w:p>
          <w:p>
            <w:pPr>
              <w:pStyle w:val="35"/>
              <w:keepNext w:val="0"/>
              <w:keepLines w:val="0"/>
              <w:pageBreakBefore w:val="0"/>
              <w:widowControl w:val="0"/>
              <w:numPr>
                <w:ilvl w:val="0"/>
                <w:numId w:val="17"/>
              </w:numPr>
              <w:tabs>
                <w:tab w:val="left" w:pos="725"/>
                <w:tab w:val="left" w:pos="951"/>
              </w:tabs>
              <w:kinsoku/>
              <w:wordWrap/>
              <w:overflowPunct/>
              <w:topLinePunct w:val="0"/>
              <w:autoSpaceDE/>
              <w:autoSpaceDN/>
              <w:bidi w:val="0"/>
              <w:adjustRightInd/>
              <w:snapToGrid/>
              <w:spacing w:before="0" w:beforeAutospacing="0" w:after="0" w:afterAutospacing="0"/>
              <w:ind w:left="155" w:leftChars="0" w:hanging="155" w:hangingChars="7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必须严格按照国家及工程属地有关安全的法律法规及</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人的规章制度组织本项目的施工作业，采取一切有效、必要的施工安全防护措施，确保现场人员及财产安全</w:t>
            </w:r>
            <w:r>
              <w:rPr>
                <w:rFonts w:hint="eastAsia" w:ascii="宋体" w:hAnsi="宋体" w:cs="宋体"/>
                <w:color w:val="auto"/>
                <w:kern w:val="0"/>
                <w:sz w:val="21"/>
                <w:szCs w:val="21"/>
                <w:highlight w:val="none"/>
                <w:lang w:eastAsia="zh-CN"/>
              </w:rPr>
              <w:t>、</w:t>
            </w:r>
            <w:r>
              <w:rPr>
                <w:rFonts w:hint="eastAsia" w:ascii="宋体" w:hAnsi="宋体" w:eastAsia="宋体" w:cs="宋体"/>
                <w:color w:val="auto"/>
                <w:sz w:val="21"/>
                <w:szCs w:val="21"/>
                <w:highlight w:val="none"/>
              </w:rPr>
              <w:t>维护施工现场的正常工作秩序。凡因防护措施</w:t>
            </w:r>
            <w:r>
              <w:rPr>
                <w:rFonts w:hint="eastAsia" w:ascii="宋体" w:hAnsi="宋体" w:eastAsia="宋体" w:cs="宋体"/>
                <w:color w:val="auto"/>
                <w:sz w:val="21"/>
                <w:szCs w:val="21"/>
                <w:highlight w:val="none"/>
                <w:lang w:eastAsia="zh-CN"/>
              </w:rPr>
              <w:t>或管理</w:t>
            </w:r>
            <w:r>
              <w:rPr>
                <w:rFonts w:hint="eastAsia" w:ascii="宋体" w:hAnsi="宋体" w:eastAsia="宋体" w:cs="宋体"/>
                <w:color w:val="auto"/>
                <w:sz w:val="21"/>
                <w:szCs w:val="21"/>
                <w:highlight w:val="none"/>
              </w:rPr>
              <w:t>不到位或违规违法作业直接或间接导致的一切安全责任，均由中标单位</w:t>
            </w:r>
            <w:r>
              <w:rPr>
                <w:rFonts w:hint="eastAsia" w:ascii="宋体" w:hAnsi="宋体" w:eastAsia="宋体" w:cs="宋体"/>
                <w:color w:val="auto"/>
                <w:sz w:val="21"/>
                <w:szCs w:val="21"/>
                <w:highlight w:val="none"/>
                <w:lang w:eastAsia="zh-CN"/>
              </w:rPr>
              <w:t>全部承担；</w:t>
            </w:r>
          </w:p>
          <w:p>
            <w:pPr>
              <w:pStyle w:val="35"/>
              <w:keepNext w:val="0"/>
              <w:keepLines w:val="0"/>
              <w:pageBreakBefore w:val="0"/>
              <w:widowControl w:val="0"/>
              <w:numPr>
                <w:ilvl w:val="0"/>
                <w:numId w:val="17"/>
              </w:numPr>
              <w:tabs>
                <w:tab w:val="left" w:pos="725"/>
                <w:tab w:val="left" w:pos="960"/>
              </w:tabs>
              <w:kinsoku/>
              <w:wordWrap/>
              <w:overflowPunct/>
              <w:topLinePunct w:val="0"/>
              <w:autoSpaceDE/>
              <w:autoSpaceDN/>
              <w:bidi w:val="0"/>
              <w:adjustRightInd/>
              <w:spacing w:line="240" w:lineRule="auto"/>
              <w:ind w:left="155" w:leftChars="0" w:hanging="155" w:hangingChars="74"/>
              <w:textAlignment w:val="auto"/>
              <w:rPr>
                <w:color w:val="auto"/>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承诺严格按照安全规程安排施工作业，</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有权制止现场违规或存在安全隐患的作业行为，必要时可勒令停工整顿并按章处罚。</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rPr>
              <w:t>不可偏离</w:t>
            </w:r>
          </w:p>
        </w:tc>
      </w:tr>
    </w:tbl>
    <w:p>
      <w:pPr>
        <w:numPr>
          <w:ilvl w:val="0"/>
          <w:numId w:val="1"/>
        </w:numPr>
        <w:jc w:val="left"/>
        <w:outlineLvl w:val="1"/>
        <w:rPr>
          <w:rFonts w:ascii="宋体" w:hAnsi="宋体"/>
          <w:b/>
          <w:szCs w:val="21"/>
        </w:rPr>
      </w:pPr>
      <w:bookmarkStart w:id="37" w:name="_Toc82591996"/>
      <w:bookmarkEnd w:id="37"/>
      <w:bookmarkStart w:id="38" w:name="_Toc82685552"/>
      <w:bookmarkEnd w:id="38"/>
      <w:bookmarkStart w:id="39" w:name="_Toc82684600"/>
      <w:bookmarkEnd w:id="39"/>
      <w:bookmarkStart w:id="40" w:name="_Toc82684715"/>
      <w:bookmarkEnd w:id="40"/>
      <w:bookmarkStart w:id="41" w:name="_Toc116550349"/>
      <w:r>
        <w:rPr>
          <w:rFonts w:hint="eastAsia" w:ascii="宋体" w:hAnsi="宋体"/>
          <w:b/>
          <w:szCs w:val="21"/>
        </w:rPr>
        <w:t>其他项目说明资料</w:t>
      </w:r>
      <w:bookmarkEnd w:id="41"/>
    </w:p>
    <w:p>
      <w:pPr>
        <w:tabs>
          <w:tab w:val="left" w:pos="709"/>
          <w:tab w:val="left" w:pos="1734"/>
          <w:tab w:val="left" w:pos="2814"/>
          <w:tab w:val="left" w:pos="3894"/>
          <w:tab w:val="left" w:pos="5334"/>
          <w:tab w:val="left" w:pos="6414"/>
          <w:tab w:val="left" w:pos="7254"/>
          <w:tab w:val="left" w:pos="8574"/>
          <w:tab w:val="left" w:pos="9654"/>
        </w:tabs>
        <w:spacing w:line="360" w:lineRule="auto"/>
        <w:ind w:firstLine="422" w:firstLineChars="200"/>
        <w:jc w:val="left"/>
        <w:rPr>
          <w:rFonts w:hint="eastAsia"/>
          <w:b/>
          <w:bCs/>
          <w:color w:val="auto"/>
          <w:highlight w:val="none"/>
        </w:rPr>
      </w:pPr>
      <w:r>
        <w:rPr>
          <w:rFonts w:hint="eastAsia"/>
          <w:b/>
          <w:bCs/>
          <w:color w:val="auto"/>
          <w:highlight w:val="none"/>
        </w:rPr>
        <w:t>工程量清单</w:t>
      </w:r>
    </w:p>
    <w:p>
      <w:pPr>
        <w:widowControl/>
        <w:numPr>
          <w:ilvl w:val="0"/>
          <w:numId w:val="18"/>
        </w:numPr>
        <w:spacing w:before="156" w:beforeLines="50" w:line="240" w:lineRule="auto"/>
        <w:ind w:left="0" w:leftChars="0" w:firstLine="420" w:firstLineChars="0"/>
        <w:jc w:val="left"/>
        <w:rPr>
          <w:b/>
        </w:rPr>
      </w:pPr>
      <w:r>
        <w:rPr>
          <w:rFonts w:hint="eastAsia"/>
          <w:b/>
        </w:rPr>
        <w:t>62</w:t>
      </w:r>
      <w:r>
        <w:rPr>
          <w:rFonts w:hint="eastAsia"/>
        </w:rPr>
        <w:t>台自动扶梯</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686"/>
        <w:gridCol w:w="2046"/>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序号</w:t>
            </w:r>
          </w:p>
        </w:tc>
        <w:tc>
          <w:tcPr>
            <w:tcW w:w="3686"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设备注册代码</w:t>
            </w:r>
          </w:p>
        </w:tc>
        <w:tc>
          <w:tcPr>
            <w:tcW w:w="2046"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单位内部编号</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30204403002004001164</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ESC1</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30204403002004001165</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ESC2</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3</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30204403002004001166</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ESC3</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4</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30204403002004001167</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ESC4</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30204403002004001168</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ESC5</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6</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30204403002004001169</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ESC6</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7</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30204403002004001170</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ESC7</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8</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30204403002004001171</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ESC8</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9</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30204403002004001172</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ESC9</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10</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30204403002004001173</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ESC10</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11</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30204403002004001174</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ESC11</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12</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30204403002004001175</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ESC12</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13</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30204403002004001176</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ESC13</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14</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30204403002004001177</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ESC14</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15</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30204403002004001178</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ESC15</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16</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30204403002004001179</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ESC16</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17</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30204403002004001180</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ESC17</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18</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30204403002004001181</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ESC18</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19</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30204403002004001182</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ESC19</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20</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30204403002004001183</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ESC20</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21</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30204403002004001184</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ESC21</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22</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30204403002004001185</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ESC22</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23</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30204403002004001186</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ESC23</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24</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30204403002004001187</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ESC24</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25</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30204403002004001188</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ESC25</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26</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30204403002004001189</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ESC26</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27</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30204403002004001190</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ESC27</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28</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30204403002004001191</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ESC28</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29</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30204403002004001192</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ESC29</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30</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30204403002004001193</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ESC30</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31</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30204403002004001194</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ESC31</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32</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30204403002004001195</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ESC32</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33</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30204403002004001196</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ESC33</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34</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30204403002004001197</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ESC34</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35</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30204403002004001198</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ESC35</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36</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30204403002004001199</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ESC36</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37</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30204403002004001200</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ESC37</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38</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30204403002004001201</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ESC38</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39</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30204403002004001202</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ESC39</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40</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30204403002004001203</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ESC40</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41</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30204403002004001204</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ESC41</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42</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30204403002004001205</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ESC42</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43</w:t>
            </w:r>
          </w:p>
        </w:tc>
        <w:tc>
          <w:tcPr>
            <w:tcW w:w="3686" w:type="dxa"/>
            <w:vAlign w:val="center"/>
          </w:tcPr>
          <w:p>
            <w:pPr>
              <w:widowControl/>
              <w:spacing w:line="240" w:lineRule="auto"/>
              <w:ind w:firstLine="0" w:firstLineChars="0"/>
              <w:jc w:val="center"/>
              <w:rPr>
                <w:rFonts w:hint="eastAsia" w:ascii="宋体" w:hAnsi="宋体" w:eastAsia="宋体" w:cs="宋体"/>
                <w:snapToGrid/>
                <w:color w:val="0D0D0D"/>
                <w:sz w:val="21"/>
                <w:szCs w:val="21"/>
              </w:rPr>
            </w:pPr>
            <w:r>
              <w:rPr>
                <w:rFonts w:hint="eastAsia" w:ascii="宋体" w:hAnsi="宋体" w:eastAsia="宋体" w:cs="宋体"/>
                <w:snapToGrid/>
                <w:color w:val="0D0D0D"/>
                <w:sz w:val="21"/>
                <w:szCs w:val="21"/>
              </w:rPr>
              <w:t>30204403002004001206</w:t>
            </w:r>
          </w:p>
        </w:tc>
        <w:tc>
          <w:tcPr>
            <w:tcW w:w="2046" w:type="dxa"/>
            <w:vAlign w:val="center"/>
          </w:tcPr>
          <w:p>
            <w:pPr>
              <w:widowControl/>
              <w:spacing w:line="240" w:lineRule="auto"/>
              <w:ind w:firstLine="0" w:firstLineChars="0"/>
              <w:jc w:val="center"/>
              <w:rPr>
                <w:rFonts w:hint="eastAsia" w:ascii="宋体" w:hAnsi="宋体" w:eastAsia="宋体" w:cs="宋体"/>
                <w:snapToGrid/>
                <w:color w:val="0D0D0D"/>
                <w:sz w:val="21"/>
                <w:szCs w:val="21"/>
              </w:rPr>
            </w:pPr>
            <w:r>
              <w:rPr>
                <w:rFonts w:hint="eastAsia" w:ascii="宋体" w:hAnsi="宋体" w:eastAsia="宋体" w:cs="宋体"/>
                <w:snapToGrid/>
                <w:color w:val="0D0D0D"/>
                <w:sz w:val="21"/>
                <w:szCs w:val="21"/>
              </w:rPr>
              <w:t>ESC43</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44</w:t>
            </w:r>
          </w:p>
        </w:tc>
        <w:tc>
          <w:tcPr>
            <w:tcW w:w="3686" w:type="dxa"/>
            <w:vAlign w:val="center"/>
          </w:tcPr>
          <w:p>
            <w:pPr>
              <w:widowControl/>
              <w:spacing w:line="240" w:lineRule="auto"/>
              <w:ind w:firstLine="0" w:firstLineChars="0"/>
              <w:jc w:val="center"/>
              <w:rPr>
                <w:rFonts w:hint="eastAsia" w:ascii="宋体" w:hAnsi="宋体" w:eastAsia="宋体" w:cs="宋体"/>
                <w:snapToGrid/>
                <w:color w:val="0D0D0D"/>
                <w:sz w:val="21"/>
                <w:szCs w:val="21"/>
              </w:rPr>
            </w:pPr>
            <w:r>
              <w:rPr>
                <w:rFonts w:hint="eastAsia" w:ascii="宋体" w:hAnsi="宋体" w:eastAsia="宋体" w:cs="宋体"/>
                <w:snapToGrid/>
                <w:color w:val="0D0D0D"/>
                <w:sz w:val="21"/>
                <w:szCs w:val="21"/>
              </w:rPr>
              <w:t>30204403002004001207</w:t>
            </w:r>
          </w:p>
        </w:tc>
        <w:tc>
          <w:tcPr>
            <w:tcW w:w="2046" w:type="dxa"/>
            <w:vAlign w:val="center"/>
          </w:tcPr>
          <w:p>
            <w:pPr>
              <w:widowControl/>
              <w:spacing w:line="240" w:lineRule="auto"/>
              <w:ind w:firstLine="0" w:firstLineChars="0"/>
              <w:jc w:val="center"/>
              <w:rPr>
                <w:rFonts w:hint="eastAsia" w:ascii="宋体" w:hAnsi="宋体" w:eastAsia="宋体" w:cs="宋体"/>
                <w:snapToGrid/>
                <w:color w:val="0D0D0D"/>
                <w:sz w:val="21"/>
                <w:szCs w:val="21"/>
              </w:rPr>
            </w:pPr>
            <w:r>
              <w:rPr>
                <w:rFonts w:hint="eastAsia" w:ascii="宋体" w:hAnsi="宋体" w:eastAsia="宋体" w:cs="宋体"/>
                <w:snapToGrid/>
                <w:color w:val="0D0D0D"/>
                <w:sz w:val="21"/>
                <w:szCs w:val="21"/>
              </w:rPr>
              <w:t>ESC44</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45</w:t>
            </w:r>
          </w:p>
        </w:tc>
        <w:tc>
          <w:tcPr>
            <w:tcW w:w="3686" w:type="dxa"/>
            <w:vAlign w:val="center"/>
          </w:tcPr>
          <w:p>
            <w:pPr>
              <w:widowControl/>
              <w:spacing w:line="240" w:lineRule="auto"/>
              <w:ind w:firstLine="0" w:firstLineChars="0"/>
              <w:jc w:val="center"/>
              <w:rPr>
                <w:rFonts w:hint="eastAsia" w:ascii="宋体" w:hAnsi="宋体" w:eastAsia="宋体" w:cs="宋体"/>
                <w:snapToGrid/>
                <w:color w:val="0D0D0D"/>
                <w:sz w:val="21"/>
                <w:szCs w:val="21"/>
              </w:rPr>
            </w:pPr>
            <w:r>
              <w:rPr>
                <w:rFonts w:hint="eastAsia" w:ascii="宋体" w:hAnsi="宋体" w:eastAsia="宋体" w:cs="宋体"/>
                <w:snapToGrid/>
                <w:color w:val="0D0D0D"/>
                <w:sz w:val="21"/>
                <w:szCs w:val="21"/>
              </w:rPr>
              <w:t>30204403002004001208</w:t>
            </w:r>
          </w:p>
        </w:tc>
        <w:tc>
          <w:tcPr>
            <w:tcW w:w="2046" w:type="dxa"/>
            <w:vAlign w:val="center"/>
          </w:tcPr>
          <w:p>
            <w:pPr>
              <w:widowControl/>
              <w:spacing w:line="240" w:lineRule="auto"/>
              <w:ind w:firstLine="0" w:firstLineChars="0"/>
              <w:jc w:val="center"/>
              <w:rPr>
                <w:rFonts w:hint="eastAsia" w:ascii="宋体" w:hAnsi="宋体" w:eastAsia="宋体" w:cs="宋体"/>
                <w:snapToGrid/>
                <w:color w:val="0D0D0D"/>
                <w:sz w:val="21"/>
                <w:szCs w:val="21"/>
              </w:rPr>
            </w:pPr>
            <w:r>
              <w:rPr>
                <w:rFonts w:hint="eastAsia" w:ascii="宋体" w:hAnsi="宋体" w:eastAsia="宋体" w:cs="宋体"/>
                <w:snapToGrid/>
                <w:color w:val="0D0D0D"/>
                <w:sz w:val="21"/>
                <w:szCs w:val="21"/>
              </w:rPr>
              <w:t>ESC45</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46</w:t>
            </w:r>
          </w:p>
        </w:tc>
        <w:tc>
          <w:tcPr>
            <w:tcW w:w="3686" w:type="dxa"/>
            <w:vAlign w:val="center"/>
          </w:tcPr>
          <w:p>
            <w:pPr>
              <w:widowControl/>
              <w:spacing w:line="240" w:lineRule="auto"/>
              <w:ind w:firstLine="0" w:firstLineChars="0"/>
              <w:jc w:val="center"/>
              <w:rPr>
                <w:rFonts w:hint="eastAsia" w:ascii="宋体" w:hAnsi="宋体" w:eastAsia="宋体" w:cs="宋体"/>
                <w:snapToGrid/>
                <w:color w:val="0D0D0D"/>
                <w:sz w:val="21"/>
                <w:szCs w:val="21"/>
              </w:rPr>
            </w:pPr>
            <w:r>
              <w:rPr>
                <w:rFonts w:hint="eastAsia" w:ascii="宋体" w:hAnsi="宋体" w:eastAsia="宋体" w:cs="宋体"/>
                <w:snapToGrid/>
                <w:color w:val="0D0D0D"/>
                <w:sz w:val="21"/>
                <w:szCs w:val="21"/>
              </w:rPr>
              <w:t>30204403002004001209</w:t>
            </w:r>
          </w:p>
        </w:tc>
        <w:tc>
          <w:tcPr>
            <w:tcW w:w="2046" w:type="dxa"/>
            <w:vAlign w:val="center"/>
          </w:tcPr>
          <w:p>
            <w:pPr>
              <w:widowControl/>
              <w:spacing w:line="240" w:lineRule="auto"/>
              <w:ind w:firstLine="0" w:firstLineChars="0"/>
              <w:jc w:val="center"/>
              <w:rPr>
                <w:rFonts w:hint="eastAsia" w:ascii="宋体" w:hAnsi="宋体" w:eastAsia="宋体" w:cs="宋体"/>
                <w:snapToGrid/>
                <w:color w:val="0D0D0D"/>
                <w:sz w:val="21"/>
                <w:szCs w:val="21"/>
              </w:rPr>
            </w:pPr>
            <w:r>
              <w:rPr>
                <w:rFonts w:hint="eastAsia" w:ascii="宋体" w:hAnsi="宋体" w:eastAsia="宋体" w:cs="宋体"/>
                <w:snapToGrid/>
                <w:color w:val="0D0D0D"/>
                <w:sz w:val="21"/>
                <w:szCs w:val="21"/>
              </w:rPr>
              <w:t>ESC46</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47</w:t>
            </w:r>
          </w:p>
        </w:tc>
        <w:tc>
          <w:tcPr>
            <w:tcW w:w="3686" w:type="dxa"/>
            <w:vAlign w:val="center"/>
          </w:tcPr>
          <w:p>
            <w:pPr>
              <w:widowControl/>
              <w:spacing w:line="240" w:lineRule="auto"/>
              <w:ind w:firstLine="0" w:firstLineChars="0"/>
              <w:jc w:val="center"/>
              <w:rPr>
                <w:rFonts w:hint="eastAsia" w:ascii="宋体" w:hAnsi="宋体" w:eastAsia="宋体" w:cs="宋体"/>
                <w:snapToGrid/>
                <w:color w:val="0D0D0D"/>
                <w:sz w:val="21"/>
                <w:szCs w:val="21"/>
              </w:rPr>
            </w:pPr>
            <w:r>
              <w:rPr>
                <w:rFonts w:hint="eastAsia" w:ascii="宋体" w:hAnsi="宋体" w:eastAsia="宋体" w:cs="宋体"/>
                <w:snapToGrid/>
                <w:color w:val="0D0D0D"/>
                <w:sz w:val="21"/>
                <w:szCs w:val="21"/>
              </w:rPr>
              <w:t>30204403002004001210</w:t>
            </w:r>
          </w:p>
        </w:tc>
        <w:tc>
          <w:tcPr>
            <w:tcW w:w="2046" w:type="dxa"/>
            <w:vAlign w:val="center"/>
          </w:tcPr>
          <w:p>
            <w:pPr>
              <w:widowControl/>
              <w:spacing w:line="240" w:lineRule="auto"/>
              <w:ind w:firstLine="0" w:firstLineChars="0"/>
              <w:jc w:val="center"/>
              <w:rPr>
                <w:rFonts w:hint="eastAsia" w:ascii="宋体" w:hAnsi="宋体" w:eastAsia="宋体" w:cs="宋体"/>
                <w:snapToGrid/>
                <w:color w:val="0D0D0D"/>
                <w:sz w:val="21"/>
                <w:szCs w:val="21"/>
              </w:rPr>
            </w:pPr>
            <w:r>
              <w:rPr>
                <w:rFonts w:hint="eastAsia" w:ascii="宋体" w:hAnsi="宋体" w:eastAsia="宋体" w:cs="宋体"/>
                <w:snapToGrid/>
                <w:color w:val="0D0D0D"/>
                <w:sz w:val="21"/>
                <w:szCs w:val="21"/>
              </w:rPr>
              <w:t>ESC47</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48</w:t>
            </w:r>
          </w:p>
        </w:tc>
        <w:tc>
          <w:tcPr>
            <w:tcW w:w="3686" w:type="dxa"/>
            <w:vAlign w:val="center"/>
          </w:tcPr>
          <w:p>
            <w:pPr>
              <w:widowControl/>
              <w:spacing w:line="240" w:lineRule="auto"/>
              <w:ind w:firstLine="0" w:firstLineChars="0"/>
              <w:jc w:val="center"/>
              <w:rPr>
                <w:rFonts w:hint="eastAsia" w:ascii="宋体" w:hAnsi="宋体" w:eastAsia="宋体" w:cs="宋体"/>
                <w:snapToGrid/>
                <w:color w:val="0D0D0D"/>
                <w:sz w:val="21"/>
                <w:szCs w:val="21"/>
              </w:rPr>
            </w:pPr>
            <w:r>
              <w:rPr>
                <w:rFonts w:hint="eastAsia" w:ascii="宋体" w:hAnsi="宋体" w:eastAsia="宋体" w:cs="宋体"/>
                <w:snapToGrid/>
                <w:color w:val="0D0D0D"/>
                <w:sz w:val="21"/>
                <w:szCs w:val="21"/>
              </w:rPr>
              <w:t>30204403002004001211</w:t>
            </w:r>
          </w:p>
        </w:tc>
        <w:tc>
          <w:tcPr>
            <w:tcW w:w="2046" w:type="dxa"/>
            <w:vAlign w:val="center"/>
          </w:tcPr>
          <w:p>
            <w:pPr>
              <w:widowControl/>
              <w:spacing w:line="240" w:lineRule="auto"/>
              <w:ind w:firstLine="0" w:firstLineChars="0"/>
              <w:jc w:val="center"/>
              <w:rPr>
                <w:rFonts w:hint="eastAsia" w:ascii="宋体" w:hAnsi="宋体" w:eastAsia="宋体" w:cs="宋体"/>
                <w:snapToGrid/>
                <w:color w:val="0D0D0D"/>
                <w:sz w:val="21"/>
                <w:szCs w:val="21"/>
              </w:rPr>
            </w:pPr>
            <w:r>
              <w:rPr>
                <w:rFonts w:hint="eastAsia" w:ascii="宋体" w:hAnsi="宋体" w:eastAsia="宋体" w:cs="宋体"/>
                <w:snapToGrid/>
                <w:color w:val="0D0D0D"/>
                <w:sz w:val="21"/>
                <w:szCs w:val="21"/>
              </w:rPr>
              <w:t>ESC48</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49</w:t>
            </w:r>
          </w:p>
        </w:tc>
        <w:tc>
          <w:tcPr>
            <w:tcW w:w="3686" w:type="dxa"/>
            <w:vAlign w:val="center"/>
          </w:tcPr>
          <w:p>
            <w:pPr>
              <w:widowControl/>
              <w:spacing w:line="240" w:lineRule="auto"/>
              <w:ind w:firstLine="0" w:firstLineChars="0"/>
              <w:jc w:val="center"/>
              <w:rPr>
                <w:rFonts w:hint="eastAsia" w:ascii="宋体" w:hAnsi="宋体" w:eastAsia="宋体" w:cs="宋体"/>
                <w:snapToGrid/>
                <w:color w:val="0D0D0D"/>
                <w:sz w:val="21"/>
                <w:szCs w:val="21"/>
              </w:rPr>
            </w:pPr>
            <w:r>
              <w:rPr>
                <w:rFonts w:hint="eastAsia" w:ascii="宋体" w:hAnsi="宋体" w:eastAsia="宋体" w:cs="宋体"/>
                <w:snapToGrid/>
                <w:color w:val="0D0D0D"/>
                <w:sz w:val="21"/>
                <w:szCs w:val="21"/>
              </w:rPr>
              <w:t>30204403002004001212</w:t>
            </w:r>
          </w:p>
        </w:tc>
        <w:tc>
          <w:tcPr>
            <w:tcW w:w="2046" w:type="dxa"/>
            <w:vAlign w:val="center"/>
          </w:tcPr>
          <w:p>
            <w:pPr>
              <w:widowControl/>
              <w:spacing w:line="240" w:lineRule="auto"/>
              <w:ind w:firstLine="0" w:firstLineChars="0"/>
              <w:jc w:val="center"/>
              <w:rPr>
                <w:rFonts w:hint="eastAsia" w:ascii="宋体" w:hAnsi="宋体" w:eastAsia="宋体" w:cs="宋体"/>
                <w:snapToGrid/>
                <w:color w:val="0D0D0D"/>
                <w:sz w:val="21"/>
                <w:szCs w:val="21"/>
              </w:rPr>
            </w:pPr>
            <w:r>
              <w:rPr>
                <w:rFonts w:hint="eastAsia" w:ascii="宋体" w:hAnsi="宋体" w:eastAsia="宋体" w:cs="宋体"/>
                <w:snapToGrid/>
                <w:color w:val="0D0D0D"/>
                <w:sz w:val="21"/>
                <w:szCs w:val="21"/>
              </w:rPr>
              <w:t>ESC49</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50</w:t>
            </w:r>
          </w:p>
        </w:tc>
        <w:tc>
          <w:tcPr>
            <w:tcW w:w="3686" w:type="dxa"/>
            <w:vAlign w:val="center"/>
          </w:tcPr>
          <w:p>
            <w:pPr>
              <w:widowControl/>
              <w:spacing w:line="240" w:lineRule="auto"/>
              <w:ind w:firstLine="0" w:firstLineChars="0"/>
              <w:jc w:val="center"/>
              <w:rPr>
                <w:rFonts w:hint="eastAsia" w:ascii="宋体" w:hAnsi="宋体" w:eastAsia="宋体" w:cs="宋体"/>
                <w:snapToGrid/>
                <w:color w:val="0D0D0D"/>
                <w:sz w:val="21"/>
                <w:szCs w:val="21"/>
              </w:rPr>
            </w:pPr>
            <w:r>
              <w:rPr>
                <w:rFonts w:hint="eastAsia" w:ascii="宋体" w:hAnsi="宋体" w:eastAsia="宋体" w:cs="宋体"/>
                <w:snapToGrid/>
                <w:color w:val="0D0D0D"/>
                <w:sz w:val="21"/>
                <w:szCs w:val="21"/>
              </w:rPr>
              <w:t>30204403002004001213</w:t>
            </w:r>
          </w:p>
        </w:tc>
        <w:tc>
          <w:tcPr>
            <w:tcW w:w="2046" w:type="dxa"/>
            <w:vAlign w:val="center"/>
          </w:tcPr>
          <w:p>
            <w:pPr>
              <w:widowControl/>
              <w:spacing w:line="240" w:lineRule="auto"/>
              <w:ind w:firstLine="0" w:firstLineChars="0"/>
              <w:jc w:val="center"/>
              <w:rPr>
                <w:rFonts w:hint="eastAsia" w:ascii="宋体" w:hAnsi="宋体" w:eastAsia="宋体" w:cs="宋体"/>
                <w:snapToGrid/>
                <w:color w:val="0D0D0D"/>
                <w:sz w:val="21"/>
                <w:szCs w:val="21"/>
              </w:rPr>
            </w:pPr>
            <w:r>
              <w:rPr>
                <w:rFonts w:hint="eastAsia" w:ascii="宋体" w:hAnsi="宋体" w:eastAsia="宋体" w:cs="宋体"/>
                <w:snapToGrid/>
                <w:color w:val="0D0D0D"/>
                <w:sz w:val="21"/>
                <w:szCs w:val="21"/>
              </w:rPr>
              <w:t>ESC50</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51</w:t>
            </w:r>
          </w:p>
        </w:tc>
        <w:tc>
          <w:tcPr>
            <w:tcW w:w="3686" w:type="dxa"/>
            <w:vAlign w:val="center"/>
          </w:tcPr>
          <w:p>
            <w:pPr>
              <w:widowControl/>
              <w:spacing w:line="240" w:lineRule="auto"/>
              <w:ind w:firstLine="0" w:firstLineChars="0"/>
              <w:jc w:val="center"/>
              <w:rPr>
                <w:rFonts w:hint="eastAsia" w:ascii="宋体" w:hAnsi="宋体" w:eastAsia="宋体" w:cs="宋体"/>
                <w:snapToGrid/>
                <w:color w:val="0D0D0D"/>
                <w:sz w:val="21"/>
                <w:szCs w:val="21"/>
              </w:rPr>
            </w:pPr>
            <w:r>
              <w:rPr>
                <w:rFonts w:hint="eastAsia" w:ascii="宋体" w:hAnsi="宋体" w:eastAsia="宋体" w:cs="宋体"/>
                <w:snapToGrid/>
                <w:color w:val="0D0D0D"/>
                <w:sz w:val="21"/>
                <w:szCs w:val="21"/>
              </w:rPr>
              <w:t>30204403002004001214</w:t>
            </w:r>
          </w:p>
        </w:tc>
        <w:tc>
          <w:tcPr>
            <w:tcW w:w="2046" w:type="dxa"/>
            <w:vAlign w:val="center"/>
          </w:tcPr>
          <w:p>
            <w:pPr>
              <w:widowControl/>
              <w:spacing w:line="240" w:lineRule="auto"/>
              <w:ind w:firstLine="0" w:firstLineChars="0"/>
              <w:jc w:val="center"/>
              <w:rPr>
                <w:rFonts w:hint="eastAsia" w:ascii="宋体" w:hAnsi="宋体" w:eastAsia="宋体" w:cs="宋体"/>
                <w:snapToGrid/>
                <w:color w:val="0D0D0D"/>
                <w:sz w:val="21"/>
                <w:szCs w:val="21"/>
              </w:rPr>
            </w:pPr>
            <w:r>
              <w:rPr>
                <w:rFonts w:hint="eastAsia" w:ascii="宋体" w:hAnsi="宋体" w:eastAsia="宋体" w:cs="宋体"/>
                <w:snapToGrid/>
                <w:color w:val="0D0D0D"/>
                <w:sz w:val="21"/>
                <w:szCs w:val="21"/>
              </w:rPr>
              <w:t>ESC51</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52</w:t>
            </w:r>
          </w:p>
        </w:tc>
        <w:tc>
          <w:tcPr>
            <w:tcW w:w="3686" w:type="dxa"/>
            <w:vAlign w:val="center"/>
          </w:tcPr>
          <w:p>
            <w:pPr>
              <w:widowControl/>
              <w:spacing w:line="240" w:lineRule="auto"/>
              <w:ind w:firstLine="0" w:firstLineChars="0"/>
              <w:jc w:val="center"/>
              <w:rPr>
                <w:rFonts w:hint="eastAsia" w:ascii="宋体" w:hAnsi="宋体" w:eastAsia="宋体" w:cs="宋体"/>
                <w:snapToGrid/>
                <w:color w:val="0D0D0D"/>
                <w:sz w:val="21"/>
                <w:szCs w:val="21"/>
              </w:rPr>
            </w:pPr>
            <w:r>
              <w:rPr>
                <w:rFonts w:hint="eastAsia" w:ascii="宋体" w:hAnsi="宋体" w:eastAsia="宋体" w:cs="宋体"/>
                <w:snapToGrid/>
                <w:color w:val="0D0D0D"/>
                <w:sz w:val="21"/>
                <w:szCs w:val="21"/>
              </w:rPr>
              <w:t>30204403002004001215</w:t>
            </w:r>
          </w:p>
        </w:tc>
        <w:tc>
          <w:tcPr>
            <w:tcW w:w="2046" w:type="dxa"/>
            <w:vAlign w:val="center"/>
          </w:tcPr>
          <w:p>
            <w:pPr>
              <w:widowControl/>
              <w:spacing w:line="240" w:lineRule="auto"/>
              <w:ind w:firstLine="0" w:firstLineChars="0"/>
              <w:jc w:val="center"/>
              <w:rPr>
                <w:rFonts w:hint="eastAsia" w:ascii="宋体" w:hAnsi="宋体" w:eastAsia="宋体" w:cs="宋体"/>
                <w:snapToGrid/>
                <w:color w:val="0D0D0D"/>
                <w:sz w:val="21"/>
                <w:szCs w:val="21"/>
              </w:rPr>
            </w:pPr>
            <w:r>
              <w:rPr>
                <w:rFonts w:hint="eastAsia" w:ascii="宋体" w:hAnsi="宋体" w:eastAsia="宋体" w:cs="宋体"/>
                <w:snapToGrid/>
                <w:color w:val="0D0D0D"/>
                <w:sz w:val="21"/>
                <w:szCs w:val="21"/>
              </w:rPr>
              <w:t>ESC52</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53</w:t>
            </w:r>
          </w:p>
        </w:tc>
        <w:tc>
          <w:tcPr>
            <w:tcW w:w="3686" w:type="dxa"/>
            <w:vAlign w:val="center"/>
          </w:tcPr>
          <w:p>
            <w:pPr>
              <w:widowControl/>
              <w:spacing w:line="240" w:lineRule="auto"/>
              <w:ind w:firstLine="0" w:firstLineChars="0"/>
              <w:jc w:val="center"/>
              <w:rPr>
                <w:rFonts w:hint="eastAsia" w:ascii="宋体" w:hAnsi="宋体" w:eastAsia="宋体" w:cs="宋体"/>
                <w:snapToGrid/>
                <w:color w:val="0D0D0D"/>
                <w:sz w:val="21"/>
                <w:szCs w:val="21"/>
              </w:rPr>
            </w:pPr>
            <w:r>
              <w:rPr>
                <w:rFonts w:hint="eastAsia" w:ascii="宋体" w:hAnsi="宋体" w:eastAsia="宋体" w:cs="宋体"/>
                <w:snapToGrid/>
                <w:color w:val="0D0D0D"/>
                <w:sz w:val="21"/>
                <w:szCs w:val="21"/>
              </w:rPr>
              <w:t>30204403002004001216</w:t>
            </w:r>
          </w:p>
        </w:tc>
        <w:tc>
          <w:tcPr>
            <w:tcW w:w="2046" w:type="dxa"/>
            <w:vAlign w:val="center"/>
          </w:tcPr>
          <w:p>
            <w:pPr>
              <w:widowControl/>
              <w:spacing w:line="240" w:lineRule="auto"/>
              <w:ind w:firstLine="0" w:firstLineChars="0"/>
              <w:jc w:val="center"/>
              <w:rPr>
                <w:rFonts w:hint="eastAsia" w:ascii="宋体" w:hAnsi="宋体" w:eastAsia="宋体" w:cs="宋体"/>
                <w:snapToGrid/>
                <w:color w:val="0D0D0D"/>
                <w:sz w:val="21"/>
                <w:szCs w:val="21"/>
              </w:rPr>
            </w:pPr>
            <w:r>
              <w:rPr>
                <w:rFonts w:hint="eastAsia" w:ascii="宋体" w:hAnsi="宋体" w:eastAsia="宋体" w:cs="宋体"/>
                <w:snapToGrid/>
                <w:color w:val="0D0D0D"/>
                <w:sz w:val="21"/>
                <w:szCs w:val="21"/>
              </w:rPr>
              <w:t>ESC53</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54</w:t>
            </w:r>
          </w:p>
        </w:tc>
        <w:tc>
          <w:tcPr>
            <w:tcW w:w="3686" w:type="dxa"/>
            <w:vAlign w:val="center"/>
          </w:tcPr>
          <w:p>
            <w:pPr>
              <w:widowControl/>
              <w:spacing w:line="240" w:lineRule="auto"/>
              <w:ind w:firstLine="0" w:firstLineChars="0"/>
              <w:jc w:val="center"/>
              <w:rPr>
                <w:rFonts w:hint="eastAsia" w:ascii="宋体" w:hAnsi="宋体" w:eastAsia="宋体" w:cs="宋体"/>
                <w:snapToGrid/>
                <w:color w:val="0D0D0D"/>
                <w:sz w:val="21"/>
                <w:szCs w:val="21"/>
              </w:rPr>
            </w:pPr>
            <w:r>
              <w:rPr>
                <w:rFonts w:hint="eastAsia" w:ascii="宋体" w:hAnsi="宋体" w:eastAsia="宋体" w:cs="宋体"/>
                <w:snapToGrid/>
                <w:color w:val="0D0D0D"/>
                <w:sz w:val="21"/>
                <w:szCs w:val="21"/>
              </w:rPr>
              <w:t>30204403002004001217</w:t>
            </w:r>
          </w:p>
        </w:tc>
        <w:tc>
          <w:tcPr>
            <w:tcW w:w="2046" w:type="dxa"/>
            <w:vAlign w:val="center"/>
          </w:tcPr>
          <w:p>
            <w:pPr>
              <w:widowControl/>
              <w:spacing w:line="240" w:lineRule="auto"/>
              <w:ind w:firstLine="0" w:firstLineChars="0"/>
              <w:jc w:val="center"/>
              <w:rPr>
                <w:rFonts w:hint="eastAsia" w:ascii="宋体" w:hAnsi="宋体" w:eastAsia="宋体" w:cs="宋体"/>
                <w:snapToGrid/>
                <w:color w:val="0D0D0D"/>
                <w:sz w:val="21"/>
                <w:szCs w:val="21"/>
              </w:rPr>
            </w:pPr>
            <w:r>
              <w:rPr>
                <w:rFonts w:hint="eastAsia" w:ascii="宋体" w:hAnsi="宋体" w:eastAsia="宋体" w:cs="宋体"/>
                <w:snapToGrid/>
                <w:color w:val="0D0D0D"/>
                <w:sz w:val="21"/>
                <w:szCs w:val="21"/>
              </w:rPr>
              <w:t>ESC54</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55</w:t>
            </w:r>
          </w:p>
        </w:tc>
        <w:tc>
          <w:tcPr>
            <w:tcW w:w="3686" w:type="dxa"/>
            <w:vAlign w:val="center"/>
          </w:tcPr>
          <w:p>
            <w:pPr>
              <w:widowControl/>
              <w:spacing w:line="240" w:lineRule="auto"/>
              <w:ind w:firstLine="0" w:firstLineChars="0"/>
              <w:jc w:val="center"/>
              <w:rPr>
                <w:rFonts w:hint="eastAsia" w:ascii="宋体" w:hAnsi="宋体" w:eastAsia="宋体" w:cs="宋体"/>
                <w:snapToGrid/>
                <w:color w:val="0D0D0D"/>
                <w:sz w:val="21"/>
                <w:szCs w:val="21"/>
              </w:rPr>
            </w:pPr>
            <w:r>
              <w:rPr>
                <w:rFonts w:hint="eastAsia" w:ascii="宋体" w:hAnsi="宋体" w:eastAsia="宋体" w:cs="宋体"/>
                <w:snapToGrid/>
                <w:color w:val="0D0D0D"/>
                <w:sz w:val="21"/>
                <w:szCs w:val="21"/>
              </w:rPr>
              <w:t>30204403002004001218</w:t>
            </w:r>
          </w:p>
        </w:tc>
        <w:tc>
          <w:tcPr>
            <w:tcW w:w="2046" w:type="dxa"/>
            <w:vAlign w:val="center"/>
          </w:tcPr>
          <w:p>
            <w:pPr>
              <w:widowControl/>
              <w:spacing w:line="240" w:lineRule="auto"/>
              <w:ind w:firstLine="0" w:firstLineChars="0"/>
              <w:jc w:val="center"/>
              <w:rPr>
                <w:rFonts w:hint="eastAsia" w:ascii="宋体" w:hAnsi="宋体" w:eastAsia="宋体" w:cs="宋体"/>
                <w:snapToGrid/>
                <w:color w:val="0D0D0D"/>
                <w:sz w:val="21"/>
                <w:szCs w:val="21"/>
              </w:rPr>
            </w:pPr>
            <w:r>
              <w:rPr>
                <w:rFonts w:hint="eastAsia" w:ascii="宋体" w:hAnsi="宋体" w:eastAsia="宋体" w:cs="宋体"/>
                <w:snapToGrid/>
                <w:color w:val="0D0D0D"/>
                <w:sz w:val="21"/>
                <w:szCs w:val="21"/>
              </w:rPr>
              <w:t>ESC55</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56</w:t>
            </w:r>
          </w:p>
        </w:tc>
        <w:tc>
          <w:tcPr>
            <w:tcW w:w="3686" w:type="dxa"/>
            <w:vAlign w:val="center"/>
          </w:tcPr>
          <w:p>
            <w:pPr>
              <w:widowControl/>
              <w:spacing w:line="240" w:lineRule="auto"/>
              <w:ind w:firstLine="0" w:firstLineChars="0"/>
              <w:jc w:val="center"/>
              <w:rPr>
                <w:rFonts w:hint="eastAsia" w:ascii="宋体" w:hAnsi="宋体" w:eastAsia="宋体" w:cs="宋体"/>
                <w:snapToGrid/>
                <w:color w:val="0D0D0D"/>
                <w:sz w:val="21"/>
                <w:szCs w:val="21"/>
              </w:rPr>
            </w:pPr>
            <w:r>
              <w:rPr>
                <w:rFonts w:hint="eastAsia" w:ascii="宋体" w:hAnsi="宋体" w:eastAsia="宋体" w:cs="宋体"/>
                <w:snapToGrid/>
                <w:color w:val="0D0D0D"/>
                <w:sz w:val="21"/>
                <w:szCs w:val="21"/>
              </w:rPr>
              <w:t>30204403002004001219</w:t>
            </w:r>
          </w:p>
        </w:tc>
        <w:tc>
          <w:tcPr>
            <w:tcW w:w="2046" w:type="dxa"/>
            <w:vAlign w:val="center"/>
          </w:tcPr>
          <w:p>
            <w:pPr>
              <w:widowControl/>
              <w:spacing w:line="240" w:lineRule="auto"/>
              <w:ind w:firstLine="0" w:firstLineChars="0"/>
              <w:jc w:val="center"/>
              <w:rPr>
                <w:rFonts w:hint="eastAsia" w:ascii="宋体" w:hAnsi="宋体" w:eastAsia="宋体" w:cs="宋体"/>
                <w:snapToGrid/>
                <w:color w:val="0D0D0D"/>
                <w:sz w:val="21"/>
                <w:szCs w:val="21"/>
              </w:rPr>
            </w:pPr>
            <w:r>
              <w:rPr>
                <w:rFonts w:hint="eastAsia" w:ascii="宋体" w:hAnsi="宋体" w:eastAsia="宋体" w:cs="宋体"/>
                <w:snapToGrid/>
                <w:color w:val="0D0D0D"/>
                <w:sz w:val="21"/>
                <w:szCs w:val="21"/>
              </w:rPr>
              <w:t>ESC56</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57</w:t>
            </w:r>
          </w:p>
        </w:tc>
        <w:tc>
          <w:tcPr>
            <w:tcW w:w="3686" w:type="dxa"/>
            <w:vAlign w:val="center"/>
          </w:tcPr>
          <w:p>
            <w:pPr>
              <w:widowControl/>
              <w:spacing w:line="240" w:lineRule="auto"/>
              <w:ind w:firstLine="0" w:firstLineChars="0"/>
              <w:jc w:val="center"/>
              <w:rPr>
                <w:rFonts w:hint="eastAsia" w:ascii="宋体" w:hAnsi="宋体" w:eastAsia="宋体" w:cs="宋体"/>
                <w:snapToGrid/>
                <w:color w:val="0D0D0D"/>
                <w:sz w:val="21"/>
                <w:szCs w:val="21"/>
              </w:rPr>
            </w:pPr>
            <w:r>
              <w:rPr>
                <w:rFonts w:hint="eastAsia" w:ascii="宋体" w:hAnsi="宋体" w:eastAsia="宋体" w:cs="宋体"/>
                <w:snapToGrid/>
                <w:color w:val="0D0D0D"/>
                <w:sz w:val="21"/>
                <w:szCs w:val="21"/>
              </w:rPr>
              <w:t>30204403002004001220</w:t>
            </w:r>
          </w:p>
        </w:tc>
        <w:tc>
          <w:tcPr>
            <w:tcW w:w="2046" w:type="dxa"/>
            <w:vAlign w:val="center"/>
          </w:tcPr>
          <w:p>
            <w:pPr>
              <w:widowControl/>
              <w:spacing w:line="240" w:lineRule="auto"/>
              <w:ind w:firstLine="0" w:firstLineChars="0"/>
              <w:jc w:val="center"/>
              <w:rPr>
                <w:rFonts w:hint="eastAsia" w:ascii="宋体" w:hAnsi="宋体" w:eastAsia="宋体" w:cs="宋体"/>
                <w:snapToGrid/>
                <w:color w:val="0D0D0D"/>
                <w:sz w:val="21"/>
                <w:szCs w:val="21"/>
              </w:rPr>
            </w:pPr>
            <w:r>
              <w:rPr>
                <w:rFonts w:hint="eastAsia" w:ascii="宋体" w:hAnsi="宋体" w:eastAsia="宋体" w:cs="宋体"/>
                <w:snapToGrid/>
                <w:color w:val="0D0D0D"/>
                <w:sz w:val="21"/>
                <w:szCs w:val="21"/>
              </w:rPr>
              <w:t>ESC57</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58</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30204403002004001221</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ESC58</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59</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30204403002004001222</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ESC71</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60</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30204403002004001223</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ESC72</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61</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30204403002004001224</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ESC73</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62</w:t>
            </w:r>
          </w:p>
        </w:tc>
        <w:tc>
          <w:tcPr>
            <w:tcW w:w="368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30204403002004001225</w:t>
            </w:r>
          </w:p>
        </w:tc>
        <w:tc>
          <w:tcPr>
            <w:tcW w:w="2046" w:type="dxa"/>
            <w:vAlign w:val="center"/>
          </w:tcPr>
          <w:p>
            <w:pPr>
              <w:widowControl/>
              <w:spacing w:line="240" w:lineRule="auto"/>
              <w:ind w:firstLine="0" w:firstLineChars="0"/>
              <w:jc w:val="center"/>
              <w:rPr>
                <w:rFonts w:hint="eastAsia" w:ascii="宋体" w:hAnsi="宋体" w:eastAsia="宋体" w:cs="宋体"/>
                <w:snapToGrid/>
                <w:sz w:val="21"/>
                <w:szCs w:val="21"/>
              </w:rPr>
            </w:pPr>
            <w:r>
              <w:rPr>
                <w:rFonts w:hint="eastAsia" w:ascii="宋体" w:hAnsi="宋体" w:eastAsia="宋体" w:cs="宋体"/>
                <w:snapToGrid/>
                <w:sz w:val="21"/>
                <w:szCs w:val="21"/>
              </w:rPr>
              <w:t>ESC74</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自动扶梯</w:t>
            </w:r>
          </w:p>
        </w:tc>
      </w:tr>
    </w:tbl>
    <w:p>
      <w:pPr>
        <w:ind w:firstLine="0" w:firstLineChars="0"/>
        <w:rPr>
          <w:rFonts w:hint="eastAsia"/>
          <w:lang w:val="en-US" w:eastAsia="zh-CN"/>
        </w:rPr>
      </w:pPr>
      <w:r>
        <w:rPr>
          <w:rFonts w:hint="eastAsia"/>
          <w:lang w:val="en-US" w:eastAsia="zh-CN"/>
        </w:rPr>
        <w:t>二、8台垂直电梯</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686"/>
        <w:gridCol w:w="2046"/>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序号</w:t>
            </w:r>
          </w:p>
        </w:tc>
        <w:tc>
          <w:tcPr>
            <w:tcW w:w="3686"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设备注册代码</w:t>
            </w:r>
          </w:p>
        </w:tc>
        <w:tc>
          <w:tcPr>
            <w:tcW w:w="2046"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单位内部编号</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3686" w:type="dxa"/>
            <w:vAlign w:val="bottom"/>
          </w:tcPr>
          <w:p>
            <w:pPr>
              <w:widowControl/>
              <w:ind w:firstLine="480" w:firstLineChars="200"/>
              <w:rPr>
                <w:rFonts w:hint="eastAsia" w:ascii="宋体" w:hAnsi="宋体" w:eastAsia="宋体" w:cs="宋体"/>
                <w:snapToGrid/>
                <w:sz w:val="21"/>
                <w:szCs w:val="21"/>
              </w:rPr>
            </w:pPr>
            <w:r>
              <w:rPr>
                <w:rFonts w:hint="eastAsia" w:ascii="宋体" w:hAnsi="宋体" w:cs="宋体"/>
                <w:color w:val="000000"/>
                <w:kern w:val="0"/>
                <w:sz w:val="24"/>
              </w:rPr>
              <w:t>30104403002004002719</w:t>
            </w:r>
          </w:p>
        </w:tc>
        <w:tc>
          <w:tcPr>
            <w:tcW w:w="2046" w:type="dxa"/>
            <w:vAlign w:val="bottom"/>
          </w:tcPr>
          <w:p>
            <w:pPr>
              <w:widowControl/>
              <w:ind w:firstLine="480" w:firstLineChars="200"/>
              <w:rPr>
                <w:rFonts w:hint="eastAsia" w:ascii="宋体" w:hAnsi="宋体" w:eastAsia="宋体" w:cs="宋体"/>
                <w:snapToGrid/>
                <w:sz w:val="21"/>
                <w:szCs w:val="21"/>
              </w:rPr>
            </w:pPr>
            <w:r>
              <w:rPr>
                <w:rFonts w:hint="eastAsia" w:ascii="宋体" w:hAnsi="宋体" w:cs="宋体"/>
                <w:color w:val="000000"/>
                <w:kern w:val="0"/>
                <w:sz w:val="24"/>
              </w:rPr>
              <w:t>EL06</w:t>
            </w:r>
          </w:p>
        </w:tc>
        <w:tc>
          <w:tcPr>
            <w:tcW w:w="1973"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曳引式乘客电梯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3686" w:type="dxa"/>
            <w:vAlign w:val="bottom"/>
          </w:tcPr>
          <w:p>
            <w:pPr>
              <w:widowControl/>
              <w:ind w:firstLine="480" w:firstLineChars="200"/>
              <w:rPr>
                <w:rFonts w:hint="eastAsia" w:ascii="宋体" w:hAnsi="宋体" w:eastAsia="宋体" w:cs="宋体"/>
                <w:snapToGrid/>
                <w:sz w:val="21"/>
                <w:szCs w:val="21"/>
              </w:rPr>
            </w:pPr>
            <w:r>
              <w:rPr>
                <w:rFonts w:hint="eastAsia" w:ascii="宋体" w:hAnsi="宋体" w:cs="宋体"/>
                <w:color w:val="000000"/>
                <w:kern w:val="0"/>
                <w:sz w:val="24"/>
              </w:rPr>
              <w:t>30104403002004002720</w:t>
            </w:r>
          </w:p>
        </w:tc>
        <w:tc>
          <w:tcPr>
            <w:tcW w:w="2046" w:type="dxa"/>
            <w:vAlign w:val="bottom"/>
          </w:tcPr>
          <w:p>
            <w:pPr>
              <w:widowControl/>
              <w:ind w:firstLine="480" w:firstLineChars="200"/>
              <w:rPr>
                <w:rFonts w:hint="eastAsia" w:ascii="宋体" w:hAnsi="宋体" w:eastAsia="宋体" w:cs="宋体"/>
                <w:snapToGrid/>
                <w:sz w:val="21"/>
                <w:szCs w:val="21"/>
              </w:rPr>
            </w:pPr>
            <w:r>
              <w:rPr>
                <w:rFonts w:hint="eastAsia" w:ascii="宋体" w:hAnsi="宋体" w:cs="宋体"/>
                <w:color w:val="000000"/>
                <w:kern w:val="0"/>
                <w:sz w:val="24"/>
              </w:rPr>
              <w:t>EL07</w:t>
            </w:r>
          </w:p>
        </w:tc>
        <w:tc>
          <w:tcPr>
            <w:tcW w:w="197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曳引式乘客电梯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3</w:t>
            </w:r>
          </w:p>
        </w:tc>
        <w:tc>
          <w:tcPr>
            <w:tcW w:w="3686" w:type="dxa"/>
            <w:vAlign w:val="bottom"/>
          </w:tcPr>
          <w:p>
            <w:pPr>
              <w:widowControl/>
              <w:ind w:firstLine="480" w:firstLineChars="200"/>
              <w:rPr>
                <w:rFonts w:hint="eastAsia" w:ascii="宋体" w:hAnsi="宋体" w:eastAsia="宋体" w:cs="宋体"/>
                <w:snapToGrid/>
                <w:sz w:val="21"/>
                <w:szCs w:val="21"/>
              </w:rPr>
            </w:pPr>
            <w:r>
              <w:rPr>
                <w:rFonts w:hint="eastAsia" w:ascii="宋体" w:hAnsi="宋体" w:cs="宋体"/>
                <w:color w:val="000000"/>
                <w:kern w:val="0"/>
                <w:sz w:val="24"/>
              </w:rPr>
              <w:t>30104403002004002727</w:t>
            </w:r>
          </w:p>
        </w:tc>
        <w:tc>
          <w:tcPr>
            <w:tcW w:w="2046" w:type="dxa"/>
            <w:vAlign w:val="bottom"/>
          </w:tcPr>
          <w:p>
            <w:pPr>
              <w:widowControl/>
              <w:ind w:firstLine="480" w:firstLineChars="200"/>
              <w:rPr>
                <w:rFonts w:hint="eastAsia" w:ascii="宋体" w:hAnsi="宋体" w:eastAsia="宋体" w:cs="宋体"/>
                <w:snapToGrid/>
                <w:sz w:val="21"/>
                <w:szCs w:val="21"/>
              </w:rPr>
            </w:pPr>
            <w:r>
              <w:rPr>
                <w:rFonts w:hint="eastAsia" w:ascii="宋体" w:hAnsi="宋体" w:cs="宋体"/>
                <w:color w:val="000000"/>
                <w:kern w:val="0"/>
                <w:sz w:val="24"/>
              </w:rPr>
              <w:t>EL14</w:t>
            </w:r>
          </w:p>
        </w:tc>
        <w:tc>
          <w:tcPr>
            <w:tcW w:w="197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曳引式乘客电梯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4</w:t>
            </w:r>
          </w:p>
        </w:tc>
        <w:tc>
          <w:tcPr>
            <w:tcW w:w="3686" w:type="dxa"/>
            <w:vAlign w:val="bottom"/>
          </w:tcPr>
          <w:p>
            <w:pPr>
              <w:widowControl/>
              <w:ind w:firstLine="480" w:firstLineChars="200"/>
              <w:rPr>
                <w:rFonts w:hint="eastAsia" w:ascii="宋体" w:hAnsi="宋体" w:eastAsia="宋体" w:cs="宋体"/>
                <w:snapToGrid/>
                <w:sz w:val="21"/>
                <w:szCs w:val="21"/>
              </w:rPr>
            </w:pPr>
            <w:r>
              <w:rPr>
                <w:rFonts w:hint="eastAsia" w:ascii="宋体" w:hAnsi="宋体" w:cs="宋体"/>
                <w:color w:val="000000"/>
                <w:kern w:val="0"/>
                <w:sz w:val="24"/>
              </w:rPr>
              <w:t>30104403002004001890</w:t>
            </w:r>
          </w:p>
        </w:tc>
        <w:tc>
          <w:tcPr>
            <w:tcW w:w="2046" w:type="dxa"/>
            <w:vAlign w:val="bottom"/>
          </w:tcPr>
          <w:p>
            <w:pPr>
              <w:widowControl/>
              <w:ind w:firstLine="480" w:firstLineChars="200"/>
              <w:rPr>
                <w:rFonts w:hint="eastAsia" w:ascii="宋体" w:hAnsi="宋体" w:eastAsia="宋体" w:cs="宋体"/>
                <w:snapToGrid/>
                <w:sz w:val="21"/>
                <w:szCs w:val="21"/>
              </w:rPr>
            </w:pPr>
            <w:r>
              <w:rPr>
                <w:rFonts w:hint="eastAsia" w:ascii="宋体" w:hAnsi="宋体" w:cs="宋体"/>
                <w:color w:val="000000"/>
                <w:kern w:val="0"/>
                <w:sz w:val="24"/>
              </w:rPr>
              <w:t>EL23</w:t>
            </w:r>
          </w:p>
        </w:tc>
        <w:tc>
          <w:tcPr>
            <w:tcW w:w="197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曳引式乘客电梯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3686" w:type="dxa"/>
            <w:vAlign w:val="bottom"/>
          </w:tcPr>
          <w:p>
            <w:pPr>
              <w:widowControl/>
              <w:ind w:firstLine="480" w:firstLineChars="200"/>
              <w:rPr>
                <w:rFonts w:hint="eastAsia" w:ascii="宋体" w:hAnsi="宋体" w:eastAsia="宋体" w:cs="宋体"/>
                <w:snapToGrid/>
                <w:sz w:val="21"/>
                <w:szCs w:val="21"/>
              </w:rPr>
            </w:pPr>
            <w:r>
              <w:rPr>
                <w:rFonts w:hint="eastAsia" w:ascii="宋体" w:hAnsi="宋体" w:cs="宋体"/>
                <w:color w:val="000000"/>
                <w:kern w:val="0"/>
                <w:sz w:val="24"/>
              </w:rPr>
              <w:t>30104403002004002730</w:t>
            </w:r>
          </w:p>
        </w:tc>
        <w:tc>
          <w:tcPr>
            <w:tcW w:w="2046" w:type="dxa"/>
            <w:vAlign w:val="bottom"/>
          </w:tcPr>
          <w:p>
            <w:pPr>
              <w:widowControl/>
              <w:ind w:firstLine="480" w:firstLineChars="200"/>
              <w:rPr>
                <w:rFonts w:hint="eastAsia" w:ascii="宋体" w:hAnsi="宋体" w:eastAsia="宋体" w:cs="宋体"/>
                <w:snapToGrid/>
                <w:sz w:val="21"/>
                <w:szCs w:val="21"/>
              </w:rPr>
            </w:pPr>
            <w:r>
              <w:rPr>
                <w:rFonts w:hint="eastAsia" w:ascii="宋体" w:hAnsi="宋体" w:cs="宋体"/>
                <w:color w:val="000000"/>
                <w:kern w:val="0"/>
                <w:sz w:val="24"/>
              </w:rPr>
              <w:t>EL26</w:t>
            </w:r>
          </w:p>
        </w:tc>
        <w:tc>
          <w:tcPr>
            <w:tcW w:w="197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曳引式乘客电梯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6</w:t>
            </w:r>
          </w:p>
        </w:tc>
        <w:tc>
          <w:tcPr>
            <w:tcW w:w="3686" w:type="dxa"/>
            <w:vAlign w:val="bottom"/>
          </w:tcPr>
          <w:p>
            <w:pPr>
              <w:widowControl/>
              <w:ind w:firstLine="480" w:firstLineChars="200"/>
              <w:rPr>
                <w:rFonts w:hint="eastAsia" w:ascii="宋体" w:hAnsi="宋体" w:eastAsia="宋体" w:cs="宋体"/>
                <w:snapToGrid/>
                <w:sz w:val="21"/>
                <w:szCs w:val="21"/>
              </w:rPr>
            </w:pPr>
            <w:r>
              <w:rPr>
                <w:rFonts w:hint="eastAsia" w:ascii="宋体" w:hAnsi="宋体" w:cs="宋体"/>
                <w:color w:val="000000"/>
                <w:kern w:val="0"/>
                <w:sz w:val="24"/>
              </w:rPr>
              <w:t>30104403002004002731</w:t>
            </w:r>
          </w:p>
        </w:tc>
        <w:tc>
          <w:tcPr>
            <w:tcW w:w="2046" w:type="dxa"/>
            <w:vAlign w:val="bottom"/>
          </w:tcPr>
          <w:p>
            <w:pPr>
              <w:widowControl/>
              <w:ind w:firstLine="480" w:firstLineChars="200"/>
              <w:rPr>
                <w:rFonts w:hint="eastAsia" w:ascii="宋体" w:hAnsi="宋体" w:eastAsia="宋体" w:cs="宋体"/>
                <w:snapToGrid/>
                <w:sz w:val="21"/>
                <w:szCs w:val="21"/>
              </w:rPr>
            </w:pPr>
            <w:r>
              <w:rPr>
                <w:rFonts w:hint="eastAsia" w:ascii="宋体" w:hAnsi="宋体" w:cs="宋体"/>
                <w:color w:val="000000"/>
                <w:kern w:val="0"/>
                <w:sz w:val="24"/>
              </w:rPr>
              <w:t>EL27</w:t>
            </w:r>
          </w:p>
        </w:tc>
        <w:tc>
          <w:tcPr>
            <w:tcW w:w="197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曳引式乘客电梯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7</w:t>
            </w:r>
          </w:p>
        </w:tc>
        <w:tc>
          <w:tcPr>
            <w:tcW w:w="3686" w:type="dxa"/>
            <w:vAlign w:val="bottom"/>
          </w:tcPr>
          <w:p>
            <w:pPr>
              <w:widowControl/>
              <w:ind w:firstLine="480" w:firstLineChars="200"/>
              <w:rPr>
                <w:rFonts w:hint="eastAsia" w:ascii="宋体" w:hAnsi="宋体" w:eastAsia="宋体" w:cs="宋体"/>
                <w:snapToGrid/>
                <w:sz w:val="21"/>
                <w:szCs w:val="21"/>
              </w:rPr>
            </w:pPr>
            <w:r>
              <w:rPr>
                <w:rFonts w:hint="eastAsia" w:ascii="宋体" w:hAnsi="宋体" w:cs="宋体"/>
                <w:color w:val="000000"/>
                <w:kern w:val="0"/>
                <w:sz w:val="24"/>
              </w:rPr>
              <w:t>30104403002004001892</w:t>
            </w:r>
          </w:p>
        </w:tc>
        <w:tc>
          <w:tcPr>
            <w:tcW w:w="2046" w:type="dxa"/>
            <w:vAlign w:val="bottom"/>
          </w:tcPr>
          <w:p>
            <w:pPr>
              <w:widowControl/>
              <w:ind w:firstLine="480" w:firstLineChars="200"/>
              <w:rPr>
                <w:rFonts w:hint="eastAsia" w:ascii="宋体" w:hAnsi="宋体" w:eastAsia="宋体" w:cs="宋体"/>
                <w:snapToGrid/>
                <w:sz w:val="21"/>
                <w:szCs w:val="21"/>
              </w:rPr>
            </w:pPr>
            <w:r>
              <w:rPr>
                <w:rFonts w:hint="eastAsia" w:ascii="宋体" w:hAnsi="宋体" w:cs="宋体"/>
                <w:color w:val="000000"/>
                <w:kern w:val="0"/>
                <w:sz w:val="24"/>
              </w:rPr>
              <w:t>EL35</w:t>
            </w:r>
          </w:p>
        </w:tc>
        <w:tc>
          <w:tcPr>
            <w:tcW w:w="197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曳引式乘客电梯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8</w:t>
            </w:r>
          </w:p>
        </w:tc>
        <w:tc>
          <w:tcPr>
            <w:tcW w:w="3686" w:type="dxa"/>
            <w:vAlign w:val="bottom"/>
          </w:tcPr>
          <w:p>
            <w:pPr>
              <w:widowControl/>
              <w:ind w:firstLine="480" w:firstLineChars="200"/>
              <w:rPr>
                <w:rFonts w:hint="eastAsia" w:ascii="宋体" w:hAnsi="宋体" w:eastAsia="宋体" w:cs="宋体"/>
                <w:snapToGrid/>
                <w:sz w:val="21"/>
                <w:szCs w:val="21"/>
              </w:rPr>
            </w:pPr>
            <w:r>
              <w:rPr>
                <w:rFonts w:hint="eastAsia" w:ascii="宋体" w:hAnsi="宋体" w:cs="宋体"/>
                <w:color w:val="000000"/>
                <w:kern w:val="0"/>
                <w:sz w:val="24"/>
              </w:rPr>
              <w:t>30104403002004001895</w:t>
            </w:r>
          </w:p>
        </w:tc>
        <w:tc>
          <w:tcPr>
            <w:tcW w:w="2046" w:type="dxa"/>
            <w:vAlign w:val="bottom"/>
          </w:tcPr>
          <w:p>
            <w:pPr>
              <w:widowControl/>
              <w:ind w:firstLine="480" w:firstLineChars="200"/>
              <w:rPr>
                <w:rFonts w:hint="eastAsia" w:ascii="宋体" w:hAnsi="宋体" w:eastAsia="宋体" w:cs="宋体"/>
                <w:snapToGrid/>
                <w:sz w:val="21"/>
                <w:szCs w:val="21"/>
              </w:rPr>
            </w:pPr>
            <w:r>
              <w:rPr>
                <w:rFonts w:hint="eastAsia" w:ascii="宋体" w:hAnsi="宋体" w:cs="宋体"/>
                <w:color w:val="000000"/>
                <w:kern w:val="0"/>
                <w:sz w:val="24"/>
              </w:rPr>
              <w:t>EL38</w:t>
            </w:r>
          </w:p>
        </w:tc>
        <w:tc>
          <w:tcPr>
            <w:tcW w:w="197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曳引式乘客电梯</w:t>
            </w:r>
          </w:p>
        </w:tc>
      </w:tr>
    </w:tbl>
    <w:p>
      <w:pPr>
        <w:tabs>
          <w:tab w:val="left" w:pos="709"/>
          <w:tab w:val="left" w:pos="1734"/>
          <w:tab w:val="left" w:pos="2814"/>
          <w:tab w:val="left" w:pos="3894"/>
          <w:tab w:val="left" w:pos="5334"/>
          <w:tab w:val="left" w:pos="6414"/>
          <w:tab w:val="left" w:pos="7254"/>
          <w:tab w:val="left" w:pos="8574"/>
          <w:tab w:val="left" w:pos="9654"/>
        </w:tabs>
        <w:spacing w:line="360" w:lineRule="auto"/>
        <w:ind w:firstLine="420" w:firstLineChars="200"/>
        <w:jc w:val="left"/>
        <w:rPr>
          <w:color w:val="FF0000"/>
          <w:highlight w:val="yellow"/>
        </w:rPr>
      </w:pPr>
    </w:p>
    <w:p>
      <w:pPr>
        <w:widowControl/>
        <w:jc w:val="left"/>
        <w:rPr>
          <w:color w:val="FF0000"/>
          <w:highlight w:val="yellow"/>
        </w:rPr>
      </w:pPr>
      <w:r>
        <w:rPr>
          <w:color w:val="FF0000"/>
          <w:highlight w:val="yellow"/>
        </w:rPr>
        <w:br w:type="page"/>
      </w:r>
    </w:p>
    <w:p>
      <w:pPr>
        <w:spacing w:line="360" w:lineRule="auto"/>
        <w:jc w:val="center"/>
        <w:outlineLvl w:val="0"/>
        <w:rPr>
          <w:rFonts w:ascii="宋体" w:hAnsi="宋体"/>
          <w:b/>
          <w:sz w:val="32"/>
          <w:szCs w:val="32"/>
        </w:rPr>
      </w:pPr>
      <w:bookmarkStart w:id="42" w:name="_Toc116550350"/>
      <w:r>
        <w:rPr>
          <w:rFonts w:hint="eastAsia" w:ascii="宋体" w:hAnsi="宋体"/>
          <w:b/>
          <w:sz w:val="32"/>
          <w:szCs w:val="32"/>
        </w:rPr>
        <w:t>第二部分：开标评标流程</w:t>
      </w:r>
      <w:bookmarkEnd w:id="42"/>
    </w:p>
    <w:p>
      <w:pPr>
        <w:numPr>
          <w:ilvl w:val="0"/>
          <w:numId w:val="1"/>
        </w:numPr>
        <w:spacing w:line="360" w:lineRule="auto"/>
        <w:outlineLvl w:val="1"/>
        <w:rPr>
          <w:b/>
        </w:rPr>
      </w:pPr>
      <w:bookmarkStart w:id="43" w:name="_Toc116550351"/>
      <w:bookmarkStart w:id="44" w:name="_Toc104994641"/>
      <w:bookmarkStart w:id="45" w:name="_Hlk104908581"/>
      <w:bookmarkStart w:id="46" w:name="_Hlk104908397"/>
      <w:r>
        <w:rPr>
          <w:rFonts w:hint="eastAsia"/>
          <w:b/>
        </w:rPr>
        <w:t>开标阶段</w:t>
      </w:r>
      <w:bookmarkEnd w:id="43"/>
      <w:bookmarkEnd w:id="44"/>
    </w:p>
    <w:bookmarkEnd w:id="45"/>
    <w:p>
      <w:pPr>
        <w:pStyle w:val="23"/>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3"/>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3"/>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3"/>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3"/>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3"/>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3"/>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3"/>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7" w:name="_Toc116550352"/>
      <w:bookmarkStart w:id="48" w:name="_Toc104994642"/>
      <w:r>
        <w:rPr>
          <w:rFonts w:hint="eastAsia"/>
          <w:b/>
        </w:rPr>
        <w:t>评标阶段</w:t>
      </w:r>
      <w:bookmarkEnd w:id="47"/>
      <w:bookmarkEnd w:id="48"/>
    </w:p>
    <w:p>
      <w:pPr>
        <w:pStyle w:val="23"/>
        <w:numPr>
          <w:ilvl w:val="0"/>
          <w:numId w:val="20"/>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3"/>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3"/>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3"/>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3"/>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3"/>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3"/>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3"/>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6"/>
    <w:p>
      <w:pPr>
        <w:widowControl/>
        <w:jc w:val="left"/>
        <w:rPr>
          <w:rFonts w:ascii="仿宋_GB2312" w:hAnsi="宋体" w:eastAsia="仿宋_GB2312"/>
        </w:rPr>
      </w:pPr>
      <w:r>
        <w:br w:type="page"/>
      </w:r>
    </w:p>
    <w:p>
      <w:pPr>
        <w:pStyle w:val="12"/>
        <w:rPr>
          <w:rFonts w:ascii="宋体"/>
          <w:b/>
          <w:sz w:val="28"/>
        </w:rPr>
      </w:pPr>
    </w:p>
    <w:p>
      <w:pPr>
        <w:spacing w:line="360" w:lineRule="auto"/>
        <w:jc w:val="center"/>
        <w:outlineLvl w:val="0"/>
        <w:rPr>
          <w:rFonts w:ascii="宋体" w:hAnsi="宋体"/>
          <w:b/>
          <w:sz w:val="32"/>
          <w:szCs w:val="32"/>
        </w:rPr>
      </w:pPr>
      <w:bookmarkStart w:id="49" w:name="_Toc116550353"/>
      <w:r>
        <w:rPr>
          <w:rFonts w:hint="eastAsia" w:ascii="宋体" w:hAnsi="宋体"/>
          <w:b/>
          <w:sz w:val="32"/>
          <w:szCs w:val="32"/>
        </w:rPr>
        <w:t>第三部分：评审办法</w:t>
      </w:r>
      <w:bookmarkEnd w:id="49"/>
    </w:p>
    <w:p>
      <w:pPr>
        <w:numPr>
          <w:ilvl w:val="0"/>
          <w:numId w:val="1"/>
        </w:numPr>
        <w:spacing w:line="360" w:lineRule="auto"/>
        <w:outlineLvl w:val="1"/>
        <w:rPr>
          <w:rFonts w:ascii="宋体" w:hAnsi="宋体"/>
          <w:szCs w:val="21"/>
        </w:rPr>
      </w:pPr>
      <w:bookmarkStart w:id="50" w:name="_Toc116550354"/>
      <w:r>
        <w:rPr>
          <w:rFonts w:hint="eastAsia" w:ascii="宋体" w:hAnsi="宋体"/>
          <w:b/>
          <w:bCs/>
          <w:szCs w:val="21"/>
        </w:rPr>
        <w:t>评审办法</w:t>
      </w:r>
      <w:bookmarkEnd w:id="50"/>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yellow"/>
        </w:rPr>
        <w:t>100分制综合评分法</w:t>
      </w:r>
      <w:r>
        <w:rPr>
          <w:rFonts w:hint="eastAsia" w:ascii="宋体" w:hAnsi="宋体"/>
          <w:szCs w:val="21"/>
        </w:rPr>
        <w:t>进行评分。</w:t>
      </w:r>
    </w:p>
    <w:tbl>
      <w:tblPr>
        <w:tblStyle w:val="16"/>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90" w:type="dxa"/>
            <w:gridSpan w:val="4"/>
            <w:vAlign w:val="center"/>
          </w:tcPr>
          <w:p>
            <w:pPr>
              <w:pStyle w:val="4"/>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highlight w:val="yellow"/>
                <w:lang w:val="en-US" w:eastAsia="zh-CN"/>
              </w:rPr>
              <w:t>23</w:t>
            </w:r>
            <w:r>
              <w:rPr>
                <w:rFonts w:hint="eastAsia" w:ascii="宋体" w:hAnsi="宋体"/>
                <w:szCs w:val="21"/>
              </w:rPr>
              <w:t>%</w:t>
            </w:r>
          </w:p>
        </w:tc>
        <w:tc>
          <w:tcPr>
            <w:tcW w:w="2131"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highlight w:val="yellow"/>
                <w:lang w:val="en-US" w:eastAsia="zh-CN"/>
              </w:rPr>
              <w:t>27</w:t>
            </w:r>
            <w:r>
              <w:rPr>
                <w:rFonts w:hint="eastAsia" w:ascii="宋体" w:hAnsi="宋体"/>
                <w:szCs w:val="21"/>
              </w:rPr>
              <w:t>%</w:t>
            </w:r>
          </w:p>
        </w:tc>
        <w:tc>
          <w:tcPr>
            <w:tcW w:w="2585"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highlight w:val="yellow"/>
                <w:lang w:val="en-US" w:eastAsia="zh-CN"/>
              </w:rPr>
              <w:t>50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4"/>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4"/>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21"/>
        </w:numPr>
        <w:spacing w:before="156" w:beforeLines="50"/>
        <w:jc w:val="left"/>
        <w:outlineLvl w:val="2"/>
        <w:rPr>
          <w:rStyle w:val="30"/>
          <w:rFonts w:ascii="宋体" w:hAnsi="宋体"/>
          <w:b/>
          <w:szCs w:val="21"/>
        </w:rPr>
      </w:pPr>
      <w:bookmarkStart w:id="51" w:name="_Toc116550355"/>
      <w:r>
        <w:rPr>
          <w:rStyle w:val="30"/>
          <w:rFonts w:hint="eastAsia" w:ascii="宋体" w:hAnsi="宋体"/>
          <w:b/>
          <w:bCs/>
          <w:szCs w:val="21"/>
        </w:rPr>
        <w:t>符合性检查</w:t>
      </w:r>
      <w:bookmarkEnd w:id="51"/>
    </w:p>
    <w:tbl>
      <w:tblPr>
        <w:tblStyle w:val="15"/>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olor w:val="auto"/>
                <w:szCs w:val="21"/>
                <w:highlight w:val="none"/>
              </w:rPr>
              <w:t>投标人代表必须是投标单位的法定代表人或持有法定代表人亲自签署的法人授权委托证明书的人员。（提供法定代表人证明书、法人授权委托证明书</w:t>
            </w:r>
            <w:r>
              <w:rPr>
                <w:rFonts w:hint="eastAsia" w:ascii="宋体" w:hAnsi="宋体" w:cs="Times New Roman"/>
                <w:color w:val="auto"/>
                <w:szCs w:val="21"/>
                <w:highlight w:val="none"/>
              </w:rPr>
              <w:t>及法定代表人、被委托人身份证扫描件并加盖</w:t>
            </w:r>
            <w:r>
              <w:rPr>
                <w:rFonts w:hint="eastAsia" w:ascii="宋体" w:hAnsi="宋体" w:cs="Times New Roman"/>
                <w:color w:val="auto"/>
                <w:szCs w:val="21"/>
                <w:highlight w:val="none"/>
                <w:lang w:val="en-US" w:eastAsia="zh-CN"/>
              </w:rPr>
              <w:t>投标人</w:t>
            </w:r>
            <w:r>
              <w:rPr>
                <w:rFonts w:hint="eastAsia" w:ascii="宋体" w:hAnsi="宋体" w:cs="Times New Roman"/>
                <w:color w:val="auto"/>
                <w:szCs w:val="21"/>
                <w:highlight w:val="none"/>
              </w:rPr>
              <w:t>公章</w:t>
            </w:r>
            <w:r>
              <w:rPr>
                <w:rFonts w:hint="eastAsia" w:ascii="宋体" w:hAnsi="宋体"/>
                <w:color w:val="auto"/>
                <w:szCs w:val="21"/>
                <w:highlight w:val="none"/>
              </w:rPr>
              <w:t>，如单位法定代表人为本项目授权代表，则仅提供法定代表人证明书及身份证复印件，各证明书须加盖公章，身份证原件备查）</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投标人是否提供以下证明文件：</w:t>
            </w:r>
          </w:p>
          <w:p>
            <w:pPr>
              <w:spacing w:line="360" w:lineRule="auto"/>
              <w:rPr>
                <w:rFonts w:hint="eastAsia" w:ascii="宋体" w:hAnsi="宋体" w:eastAsia="宋体" w:cs="Times New Roman"/>
                <w:color w:val="auto"/>
                <w:szCs w:val="21"/>
                <w:highlight w:val="none"/>
              </w:rPr>
            </w:pPr>
            <w:r>
              <w:rPr>
                <w:rFonts w:hint="eastAsia" w:ascii="宋体" w:hAnsi="宋体"/>
                <w:szCs w:val="21"/>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投标人</w:t>
            </w:r>
            <w:r>
              <w:rPr>
                <w:rFonts w:hint="eastAsia" w:ascii="宋体" w:hAnsi="宋体" w:eastAsia="宋体" w:cs="Times New Roman"/>
                <w:color w:val="auto"/>
                <w:szCs w:val="21"/>
                <w:highlight w:val="none"/>
                <w:lang w:eastAsia="zh-CN"/>
              </w:rPr>
              <w:t>应为</w:t>
            </w:r>
            <w:r>
              <w:rPr>
                <w:rFonts w:hint="eastAsia" w:ascii="宋体" w:hAnsi="宋体" w:eastAsia="宋体" w:cs="Times New Roman"/>
                <w:color w:val="auto"/>
                <w:szCs w:val="21"/>
                <w:highlight w:val="none"/>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投标人是否</w:t>
            </w:r>
            <w:r>
              <w:rPr>
                <w:rFonts w:hint="eastAsia" w:ascii="宋体" w:hAnsi="宋体" w:eastAsia="宋体" w:cs="Times New Roman"/>
                <w:color w:val="auto"/>
                <w:szCs w:val="21"/>
                <w:highlight w:val="none"/>
                <w:lang w:val="en-US" w:eastAsia="zh-CN"/>
              </w:rPr>
              <w:t>是</w:t>
            </w:r>
            <w:r>
              <w:rPr>
                <w:rFonts w:hint="eastAsia" w:ascii="宋体" w:hAnsi="宋体" w:eastAsia="宋体" w:cs="Times New Roman"/>
                <w:color w:val="auto"/>
                <w:szCs w:val="21"/>
                <w:highlight w:val="none"/>
                <w:lang w:eastAsia="zh-CN"/>
              </w:rPr>
              <w:t>特种设备检验检测机构（具有电梯检验项目）或《深圳市经济特区特种设备安全条例》第七条规定的行业协会或《广东省电梯使用安全条例》第二十一条规定的专业服务机构</w:t>
            </w:r>
            <w:r>
              <w:rPr>
                <w:rFonts w:hint="eastAsia" w:ascii="宋体" w:hAnsi="宋体" w:eastAsia="宋体" w:cs="Times New Roman"/>
                <w:color w:val="auto"/>
                <w:szCs w:val="21"/>
                <w:highlight w:val="none"/>
              </w:rPr>
              <w:t>。（提供相应证明文件复印件或扫描件并加盖投标人公章）</w:t>
            </w:r>
          </w:p>
          <w:p>
            <w:pPr>
              <w:spacing w:line="360" w:lineRule="auto"/>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是否联合体投标，是否转包或非法分包。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w:t>
            </w:r>
            <w:r>
              <w:rPr>
                <w:rFonts w:hint="eastAsia" w:ascii="宋体" w:hAnsi="宋体" w:cs="仿宋"/>
                <w:color w:val="auto"/>
                <w:szCs w:val="21"/>
                <w:highlight w:val="none"/>
              </w:rPr>
              <w:t>价是否高于</w:t>
            </w:r>
            <w:r>
              <w:rPr>
                <w:rFonts w:hint="eastAsia" w:ascii="宋体" w:hAnsi="宋体"/>
                <w:color w:val="auto"/>
                <w:szCs w:val="21"/>
                <w:highlight w:val="none"/>
                <w:lang w:val="en-US" w:eastAsia="zh-CN"/>
              </w:rPr>
              <w:t>16.51</w:t>
            </w:r>
            <w:r>
              <w:rPr>
                <w:rFonts w:ascii="宋体" w:hAnsi="宋体" w:cs="仿宋"/>
                <w:color w:val="auto"/>
                <w:szCs w:val="21"/>
                <w:highlight w:val="none"/>
              </w:rPr>
              <w:t>万元（含税</w:t>
            </w:r>
            <w:r>
              <w:rPr>
                <w:rFonts w:ascii="宋体" w:hAnsi="宋体" w:cs="仿宋"/>
                <w:szCs w:val="21"/>
              </w:rPr>
              <w:t>）</w:t>
            </w:r>
            <w:r>
              <w:rPr>
                <w:rFonts w:hint="eastAsia" w:ascii="宋体" w:hAnsi="宋体" w:cs="仿宋"/>
                <w:szCs w:val="21"/>
              </w:rPr>
              <w:t>，超过上述控制金额的视为无效报价。</w:t>
            </w:r>
          </w:p>
        </w:tc>
      </w:tr>
    </w:tbl>
    <w:p>
      <w:pPr>
        <w:numPr>
          <w:ilvl w:val="0"/>
          <w:numId w:val="21"/>
        </w:numPr>
        <w:spacing w:before="156" w:beforeLines="50"/>
        <w:jc w:val="left"/>
        <w:outlineLvl w:val="2"/>
        <w:rPr>
          <w:rStyle w:val="30"/>
          <w:rFonts w:ascii="宋体" w:hAnsi="宋体"/>
          <w:b/>
          <w:bCs/>
          <w:szCs w:val="21"/>
        </w:rPr>
      </w:pPr>
      <w:bookmarkStart w:id="52" w:name="_Toc116550356"/>
      <w:bookmarkStart w:id="53" w:name="_Toc114675512"/>
      <w:r>
        <w:rPr>
          <w:rStyle w:val="30"/>
          <w:rFonts w:hint="eastAsia" w:ascii="宋体" w:hAnsi="宋体"/>
          <w:b/>
          <w:bCs/>
          <w:szCs w:val="21"/>
        </w:rPr>
        <w:t>不可偏离项检查</w:t>
      </w:r>
      <w:bookmarkEnd w:id="52"/>
      <w:bookmarkEnd w:id="53"/>
    </w:p>
    <w:p>
      <w:pPr>
        <w:pStyle w:val="4"/>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21"/>
        </w:numPr>
        <w:spacing w:before="156" w:beforeLines="50"/>
        <w:jc w:val="left"/>
        <w:outlineLvl w:val="2"/>
        <w:rPr>
          <w:rFonts w:ascii="宋体" w:hAnsi="宋体"/>
          <w:b/>
          <w:bCs/>
          <w:szCs w:val="21"/>
        </w:rPr>
      </w:pPr>
      <w:bookmarkStart w:id="54" w:name="_Toc114675513"/>
      <w:bookmarkStart w:id="55" w:name="_Toc116550357"/>
      <w:r>
        <w:rPr>
          <w:rStyle w:val="30"/>
          <w:rFonts w:hint="eastAsia" w:ascii="宋体" w:hAnsi="宋体"/>
          <w:b/>
          <w:bCs/>
          <w:szCs w:val="21"/>
        </w:rPr>
        <w:t>综合评议指标表</w:t>
      </w:r>
      <w:bookmarkEnd w:id="54"/>
      <w:bookmarkEnd w:id="55"/>
    </w:p>
    <w:p>
      <w:pPr>
        <w:pStyle w:val="4"/>
      </w:pPr>
    </w:p>
    <w:tbl>
      <w:tblPr>
        <w:tblStyle w:val="15"/>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color w:val="FF0000"/>
                <w:szCs w:val="21"/>
                <w:highlight w:val="yellow"/>
                <w:lang w:val="en-US" w:eastAsia="zh-CN"/>
              </w:rPr>
              <w:t>23</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3"/>
              <w:numPr>
                <w:ilvl w:val="0"/>
                <w:numId w:val="22"/>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FF0000"/>
                <w:highlight w:val="yellow"/>
              </w:rPr>
            </w:pPr>
            <w:r>
              <w:rPr>
                <w:rFonts w:hint="eastAsia"/>
                <w:b w:val="0"/>
                <w:bCs w:val="0"/>
                <w:color w:val="auto"/>
                <w:highlight w:val="none"/>
                <w:lang w:eastAsia="zh-CN"/>
              </w:rPr>
              <w:t>技术能力</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highlight w:val="yellow"/>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widowControl w:val="0"/>
              <w:numPr>
                <w:ilvl w:val="0"/>
                <w:numId w:val="23"/>
              </w:numPr>
              <w:tabs>
                <w:tab w:val="left" w:pos="312"/>
              </w:tabs>
              <w:kinsoku/>
              <w:wordWrap/>
              <w:overflowPunct/>
              <w:topLinePunct w:val="0"/>
              <w:autoSpaceDE/>
              <w:autoSpaceDN/>
              <w:bidi w:val="0"/>
              <w:adjustRightInd/>
              <w:spacing w:line="240" w:lineRule="auto"/>
              <w:ind w:left="425" w:leftChars="0" w:hanging="425" w:firstLineChars="0"/>
              <w:jc w:val="left"/>
              <w:textAlignment w:val="auto"/>
              <w:rPr>
                <w:rFonts w:hint="eastAsia" w:ascii="宋体" w:hAnsi="宋体" w:eastAsia="宋体" w:cs="宋体"/>
                <w:color w:val="auto"/>
                <w:kern w:val="0"/>
                <w:sz w:val="21"/>
                <w:szCs w:val="21"/>
              </w:rPr>
            </w:pPr>
            <w:bookmarkStart w:id="56" w:name="OLE_LINK1"/>
            <w:r>
              <w:rPr>
                <w:rFonts w:hint="eastAsia" w:ascii="宋体" w:hAnsi="宋体" w:cs="宋体"/>
                <w:color w:val="auto"/>
                <w:kern w:val="0"/>
                <w:sz w:val="21"/>
                <w:szCs w:val="21"/>
                <w:lang w:val="en-US" w:eastAsia="zh-CN"/>
              </w:rPr>
              <w:t>投标人</w:t>
            </w:r>
            <w:bookmarkEnd w:id="56"/>
            <w:r>
              <w:rPr>
                <w:rFonts w:hint="eastAsia" w:ascii="宋体" w:hAnsi="宋体" w:eastAsia="宋体" w:cs="宋体"/>
                <w:color w:val="auto"/>
                <w:kern w:val="0"/>
                <w:sz w:val="21"/>
                <w:szCs w:val="21"/>
              </w:rPr>
              <w:t>具有中华人民共和国特种设备检验检测机构核准证（型式试验），并包括电梯型式试验项目的,得</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 xml:space="preserve">分； </w:t>
            </w:r>
          </w:p>
          <w:p>
            <w:pPr>
              <w:keepNext w:val="0"/>
              <w:keepLines w:val="0"/>
              <w:pageBreakBefore w:val="0"/>
              <w:widowControl w:val="0"/>
              <w:numPr>
                <w:ilvl w:val="0"/>
                <w:numId w:val="23"/>
              </w:numPr>
              <w:tabs>
                <w:tab w:val="left" w:pos="312"/>
              </w:tabs>
              <w:kinsoku/>
              <w:wordWrap/>
              <w:overflowPunct/>
              <w:topLinePunct w:val="0"/>
              <w:autoSpaceDE/>
              <w:autoSpaceDN/>
              <w:bidi w:val="0"/>
              <w:adjustRightInd/>
              <w:spacing w:line="240" w:lineRule="auto"/>
              <w:ind w:left="425" w:leftChars="0" w:hanging="425" w:firstLineChars="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投标人</w:t>
            </w:r>
            <w:r>
              <w:rPr>
                <w:rFonts w:hint="eastAsia" w:ascii="宋体" w:hAnsi="宋体" w:eastAsia="宋体" w:cs="宋体"/>
                <w:color w:val="auto"/>
                <w:kern w:val="0"/>
                <w:sz w:val="21"/>
                <w:szCs w:val="21"/>
              </w:rPr>
              <w:t>具有CNAS实验室认可证书，且认可项目包含检测标准为深圳市《电梯安全评估规程》（SZDB/Z 117</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2014）的电梯安全评估项目，得</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分。</w:t>
            </w:r>
          </w:p>
          <w:p>
            <w:pPr>
              <w:keepNext w:val="0"/>
              <w:keepLines w:val="0"/>
              <w:pageBreakBefore w:val="0"/>
              <w:widowControl w:val="0"/>
              <w:numPr>
                <w:ilvl w:val="0"/>
                <w:numId w:val="23"/>
              </w:numPr>
              <w:kinsoku/>
              <w:wordWrap/>
              <w:overflowPunct/>
              <w:topLinePunct w:val="0"/>
              <w:autoSpaceDE/>
              <w:autoSpaceDN/>
              <w:bidi w:val="0"/>
              <w:adjustRightInd/>
              <w:snapToGrid w:val="0"/>
              <w:spacing w:line="240" w:lineRule="auto"/>
              <w:ind w:left="425" w:leftChars="0" w:hanging="425" w:firstLineChars="0"/>
              <w:textAlignment w:val="auto"/>
              <w:rPr>
                <w:rFonts w:ascii="宋体" w:hAnsi="宋体"/>
                <w:color w:val="FF0000"/>
                <w:szCs w:val="21"/>
              </w:rPr>
            </w:pPr>
            <w:r>
              <w:rPr>
                <w:rFonts w:hint="eastAsia" w:ascii="宋体" w:hAnsi="宋体" w:eastAsia="宋体" w:cs="宋体"/>
                <w:color w:val="auto"/>
                <w:sz w:val="21"/>
                <w:szCs w:val="21"/>
              </w:rPr>
              <w:t>以上要求提供有效的证书复印件作为得分依据。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3"/>
              <w:numPr>
                <w:ilvl w:val="0"/>
                <w:numId w:val="22"/>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FF0000"/>
                <w:highlight w:val="yellow"/>
              </w:rPr>
            </w:pPr>
            <w:r>
              <w:rPr>
                <w:rFonts w:hint="eastAsia"/>
                <w:b w:val="0"/>
                <w:bCs w:val="0"/>
                <w:color w:val="auto"/>
                <w:highlight w:val="none"/>
                <w:lang w:eastAsia="zh-CN"/>
              </w:rPr>
              <w:t>同类业绩</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highlight w:val="yellow"/>
              </w:rPr>
            </w:pPr>
            <w:r>
              <w:rPr>
                <w:rFonts w:hint="eastAsia" w:ascii="宋体" w:hAnsi="宋体"/>
                <w:color w:val="auto"/>
                <w:szCs w:val="21"/>
                <w:highlight w:val="none"/>
                <w:lang w:val="en-US" w:eastAsia="zh-CN"/>
              </w:rPr>
              <w:t>13</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（1）根据各</w:t>
            </w:r>
            <w:r>
              <w:rPr>
                <w:rFonts w:hint="eastAsia" w:ascii="宋体" w:hAnsi="宋体" w:cs="宋体"/>
                <w:color w:val="auto"/>
                <w:kern w:val="0"/>
                <w:sz w:val="21"/>
                <w:szCs w:val="21"/>
                <w:lang w:val="en-US" w:eastAsia="zh-CN"/>
              </w:rPr>
              <w:t>投标人</w:t>
            </w:r>
            <w:r>
              <w:rPr>
                <w:rFonts w:hint="eastAsia" w:ascii="宋体" w:hAnsi="宋体" w:eastAsia="宋体" w:cs="宋体"/>
                <w:kern w:val="0"/>
                <w:sz w:val="21"/>
                <w:szCs w:val="21"/>
              </w:rPr>
              <w:t>20</w:t>
            </w:r>
            <w:r>
              <w:rPr>
                <w:rFonts w:hint="eastAsia" w:ascii="宋体" w:hAnsi="宋体" w:eastAsia="宋体" w:cs="宋体"/>
                <w:kern w:val="0"/>
                <w:sz w:val="21"/>
                <w:szCs w:val="21"/>
                <w:lang w:val="en-US" w:eastAsia="zh-CN"/>
              </w:rPr>
              <w:t>22</w:t>
            </w:r>
            <w:r>
              <w:rPr>
                <w:rFonts w:hint="eastAsia" w:ascii="宋体" w:hAnsi="宋体" w:eastAsia="宋体" w:cs="宋体"/>
                <w:kern w:val="0"/>
                <w:sz w:val="21"/>
                <w:szCs w:val="21"/>
              </w:rPr>
              <w:t>年</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月1日至本项目招标公告发布日止，以累计</w:t>
            </w:r>
            <w:r>
              <w:rPr>
                <w:rFonts w:hint="eastAsia" w:ascii="宋体" w:hAnsi="宋体" w:eastAsia="宋体" w:cs="宋体"/>
                <w:sz w:val="21"/>
                <w:szCs w:val="21"/>
              </w:rPr>
              <w:t>电梯安全评估数量</w:t>
            </w:r>
            <w:r>
              <w:rPr>
                <w:rFonts w:hint="eastAsia" w:ascii="宋体" w:hAnsi="宋体" w:eastAsia="宋体" w:cs="宋体"/>
                <w:kern w:val="0"/>
                <w:sz w:val="21"/>
                <w:szCs w:val="21"/>
              </w:rPr>
              <w:t>进行评分（数量以合同签订时间为准）。</w:t>
            </w:r>
          </w:p>
          <w:p>
            <w:pPr>
              <w:rPr>
                <w:rFonts w:hint="eastAsia" w:ascii="宋体" w:hAnsi="宋体" w:eastAsia="宋体" w:cs="宋体"/>
                <w:kern w:val="0"/>
                <w:sz w:val="21"/>
                <w:szCs w:val="21"/>
              </w:rPr>
            </w:pPr>
            <w:r>
              <w:rPr>
                <w:rFonts w:hint="eastAsia" w:ascii="宋体" w:hAnsi="宋体" w:eastAsia="宋体" w:cs="宋体"/>
                <w:kern w:val="0"/>
                <w:sz w:val="21"/>
                <w:szCs w:val="21"/>
              </w:rPr>
              <w:t>1）累积评估数量＞</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000台，得</w:t>
            </w:r>
            <w:r>
              <w:rPr>
                <w:rFonts w:hint="eastAsia" w:ascii="宋体" w:hAnsi="宋体" w:cs="宋体"/>
                <w:kern w:val="0"/>
                <w:sz w:val="21"/>
                <w:szCs w:val="21"/>
                <w:lang w:val="en-US" w:eastAsia="zh-CN"/>
              </w:rPr>
              <w:t>13</w:t>
            </w:r>
            <w:r>
              <w:rPr>
                <w:rFonts w:hint="eastAsia" w:ascii="宋体" w:hAnsi="宋体" w:eastAsia="宋体" w:cs="宋体"/>
                <w:kern w:val="0"/>
                <w:sz w:val="21"/>
                <w:szCs w:val="21"/>
              </w:rPr>
              <w:t>分；</w:t>
            </w:r>
          </w:p>
          <w:p>
            <w:pPr>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00台＜累积评估数量≤</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000台，得</w:t>
            </w:r>
            <w:r>
              <w:rPr>
                <w:rFonts w:hint="eastAsia" w:ascii="宋体" w:hAnsi="宋体" w:cs="宋体"/>
                <w:kern w:val="0"/>
                <w:sz w:val="21"/>
                <w:szCs w:val="21"/>
                <w:lang w:val="en-US" w:eastAsia="zh-CN"/>
              </w:rPr>
              <w:t>10</w:t>
            </w:r>
            <w:r>
              <w:rPr>
                <w:rFonts w:hint="eastAsia" w:ascii="宋体" w:hAnsi="宋体" w:eastAsia="宋体" w:cs="宋体"/>
                <w:kern w:val="0"/>
                <w:sz w:val="21"/>
                <w:szCs w:val="21"/>
              </w:rPr>
              <w:t>分；</w:t>
            </w:r>
          </w:p>
          <w:p>
            <w:pPr>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00台＜累积评估数量≤</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00台，得</w:t>
            </w:r>
            <w:r>
              <w:rPr>
                <w:rFonts w:hint="eastAsia" w:ascii="宋体" w:hAnsi="宋体" w:cs="宋体"/>
                <w:kern w:val="0"/>
                <w:sz w:val="21"/>
                <w:szCs w:val="21"/>
                <w:lang w:val="en-US" w:eastAsia="zh-CN"/>
              </w:rPr>
              <w:t>7</w:t>
            </w:r>
            <w:r>
              <w:rPr>
                <w:rFonts w:hint="eastAsia" w:ascii="宋体" w:hAnsi="宋体" w:eastAsia="宋体" w:cs="宋体"/>
                <w:kern w:val="0"/>
                <w:sz w:val="21"/>
                <w:szCs w:val="21"/>
              </w:rPr>
              <w:t>分；</w:t>
            </w:r>
          </w:p>
          <w:p>
            <w:pPr>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00台＜累积评估数量≤</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00台，得</w:t>
            </w:r>
            <w:r>
              <w:rPr>
                <w:rFonts w:hint="eastAsia" w:ascii="宋体" w:hAnsi="宋体" w:cs="宋体"/>
                <w:kern w:val="0"/>
                <w:sz w:val="21"/>
                <w:szCs w:val="21"/>
                <w:lang w:val="en-US" w:eastAsia="zh-CN"/>
              </w:rPr>
              <w:t>4</w:t>
            </w:r>
            <w:r>
              <w:rPr>
                <w:rFonts w:hint="eastAsia" w:ascii="宋体" w:hAnsi="宋体" w:eastAsia="宋体" w:cs="宋体"/>
                <w:kern w:val="0"/>
                <w:sz w:val="21"/>
                <w:szCs w:val="21"/>
              </w:rPr>
              <w:t>分。</w:t>
            </w:r>
          </w:p>
          <w:p>
            <w:pPr>
              <w:rPr>
                <w:rFonts w:hint="eastAsia" w:ascii="宋体" w:hAnsi="宋体" w:eastAsia="宋体" w:cs="宋体"/>
                <w:kern w:val="0"/>
                <w:sz w:val="21"/>
                <w:szCs w:val="21"/>
              </w:rPr>
            </w:pPr>
            <w:r>
              <w:rPr>
                <w:rFonts w:hint="eastAsia" w:ascii="宋体" w:hAnsi="宋体" w:eastAsia="宋体" w:cs="宋体"/>
                <w:kern w:val="0"/>
                <w:sz w:val="21"/>
                <w:szCs w:val="21"/>
              </w:rPr>
              <w:t>5）累积评估数量≤</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00台，得1分。</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（2）证明文件： </w:t>
            </w:r>
          </w:p>
          <w:p>
            <w:pPr>
              <w:keepNext w:val="0"/>
              <w:keepLines w:val="0"/>
              <w:pageBreakBefore w:val="0"/>
              <w:widowControl w:val="0"/>
              <w:numPr>
                <w:ilvl w:val="255"/>
                <w:numId w:val="0"/>
              </w:numPr>
              <w:kinsoku/>
              <w:wordWrap/>
              <w:overflowPunct/>
              <w:topLinePunct w:val="0"/>
              <w:autoSpaceDE/>
              <w:autoSpaceDN/>
              <w:bidi w:val="0"/>
              <w:adjustRightInd/>
              <w:spacing w:line="240" w:lineRule="auto"/>
              <w:ind w:left="420" w:hanging="315" w:hangingChars="15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cs="宋体"/>
                <w:color w:val="auto"/>
                <w:kern w:val="0"/>
                <w:sz w:val="21"/>
                <w:szCs w:val="21"/>
                <w:lang w:val="en-US" w:eastAsia="zh-CN"/>
              </w:rPr>
              <w:t>投标人</w:t>
            </w:r>
            <w:r>
              <w:rPr>
                <w:rFonts w:hint="eastAsia" w:ascii="宋体" w:hAnsi="宋体" w:eastAsia="宋体" w:cs="宋体"/>
                <w:kern w:val="0"/>
                <w:sz w:val="21"/>
                <w:szCs w:val="21"/>
              </w:rPr>
              <w:t>须自行汇总并计算评估电梯数量。</w:t>
            </w:r>
          </w:p>
          <w:p>
            <w:pPr>
              <w:keepNext w:val="0"/>
              <w:keepLines w:val="0"/>
              <w:pageBreakBefore w:val="0"/>
              <w:widowControl w:val="0"/>
              <w:tabs>
                <w:tab w:val="left" w:pos="531"/>
              </w:tabs>
              <w:kinsoku/>
              <w:wordWrap/>
              <w:overflowPunct/>
              <w:topLinePunct w:val="0"/>
              <w:autoSpaceDE/>
              <w:autoSpaceDN/>
              <w:bidi w:val="0"/>
              <w:adjustRightInd/>
              <w:snapToGrid w:val="0"/>
              <w:spacing w:line="240" w:lineRule="auto"/>
              <w:textAlignment w:val="auto"/>
              <w:rPr>
                <w:rFonts w:ascii="宋体" w:hAnsi="宋体"/>
                <w:color w:val="FF0000"/>
                <w:szCs w:val="21"/>
                <w:highlight w:val="yellow"/>
              </w:rPr>
            </w:pPr>
            <w:r>
              <w:rPr>
                <w:rFonts w:hint="eastAsia" w:ascii="宋体" w:hAnsi="宋体" w:eastAsia="宋体" w:cs="宋体"/>
                <w:kern w:val="0"/>
                <w:sz w:val="21"/>
                <w:szCs w:val="21"/>
              </w:rPr>
              <w:t>2）须提供合同关键页扫描件或复印件加盖</w:t>
            </w:r>
            <w:r>
              <w:rPr>
                <w:rFonts w:hint="eastAsia" w:ascii="宋体" w:hAnsi="宋体" w:cs="宋体"/>
                <w:color w:val="auto"/>
                <w:kern w:val="0"/>
                <w:sz w:val="21"/>
                <w:szCs w:val="21"/>
                <w:lang w:val="en-US" w:eastAsia="zh-CN"/>
              </w:rPr>
              <w:t>投标人</w:t>
            </w:r>
            <w:r>
              <w:rPr>
                <w:rFonts w:hint="eastAsia" w:ascii="宋体" w:hAnsi="宋体" w:eastAsia="宋体" w:cs="宋体"/>
                <w:kern w:val="0"/>
                <w:sz w:val="21"/>
                <w:szCs w:val="21"/>
              </w:rPr>
              <w:t>公章，原件备查；未提供或关键信息不清晰、缺失的不得分。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技术服务评议项（</w:t>
            </w:r>
            <w:r>
              <w:rPr>
                <w:rFonts w:hint="eastAsia" w:ascii="宋体" w:hAnsi="宋体"/>
                <w:color w:val="FF0000"/>
                <w:szCs w:val="21"/>
                <w:highlight w:val="yellow"/>
                <w:lang w:val="en-US" w:eastAsia="zh-CN"/>
              </w:rPr>
              <w:t>27</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3"/>
              <w:numPr>
                <w:ilvl w:val="0"/>
                <w:numId w:val="2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FF0000"/>
                <w:highlight w:val="yellow"/>
              </w:rPr>
            </w:pPr>
            <w:r>
              <w:rPr>
                <w:rFonts w:hint="eastAsia"/>
                <w:color w:val="auto"/>
                <w:highlight w:val="none"/>
                <w:lang w:eastAsia="zh-CN"/>
              </w:rPr>
              <w:t>施工方案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rPr>
            </w:pPr>
            <w:r>
              <w:rPr>
                <w:rFonts w:hint="eastAsia" w:ascii="宋体" w:hAnsi="宋体"/>
                <w:color w:val="auto"/>
                <w:szCs w:val="21"/>
                <w:highlight w:val="none"/>
                <w:lang w:val="en-US" w:eastAsia="zh-CN"/>
              </w:rPr>
              <w:t>13</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bCs/>
                <w:color w:val="000000"/>
                <w:szCs w:val="21"/>
              </w:rPr>
              <w:t>根据</w:t>
            </w:r>
            <w:r>
              <w:rPr>
                <w:rFonts w:hint="eastAsia" w:ascii="宋体" w:hAnsi="宋体" w:eastAsia="宋体" w:cs="宋体"/>
                <w:bCs/>
                <w:color w:val="000000"/>
                <w:szCs w:val="21"/>
                <w:lang w:eastAsia="zh-CN"/>
              </w:rPr>
              <w:t>投标人</w:t>
            </w:r>
            <w:r>
              <w:rPr>
                <w:rFonts w:hint="eastAsia" w:ascii="宋体" w:hAnsi="宋体" w:eastAsia="宋体" w:cs="宋体"/>
                <w:bCs/>
                <w:color w:val="000000"/>
                <w:szCs w:val="21"/>
              </w:rPr>
              <w:t>提供的</w:t>
            </w:r>
            <w:r>
              <w:rPr>
                <w:rFonts w:hint="eastAsia" w:ascii="宋体" w:hAnsi="宋体" w:eastAsia="宋体" w:cs="宋体"/>
                <w:kern w:val="0"/>
                <w:sz w:val="21"/>
                <w:szCs w:val="21"/>
              </w:rPr>
              <w:t>《项目实施方案》，包括电梯检验检测质量管理制度和安全管理制度，电梯评估方案、报告判定原则、结果报送要求、异议及后续处理、工作纪律、应急预案、后续服务等相关内容进行综合比较评议。</w:t>
            </w:r>
          </w:p>
          <w:p>
            <w:pPr>
              <w:keepNext w:val="0"/>
              <w:keepLines w:val="0"/>
              <w:pageBreakBefore w:val="0"/>
              <w:widowControl/>
              <w:kinsoku/>
              <w:wordWrap/>
              <w:overflowPunct/>
              <w:topLinePunct w:val="0"/>
              <w:autoSpaceDE/>
              <w:autoSpaceDN/>
              <w:bidi w:val="0"/>
              <w:adjustRightInd/>
              <w:snapToGrid/>
              <w:spacing w:line="240" w:lineRule="auto"/>
              <w:ind w:right="28" w:rightChars="0"/>
              <w:jc w:val="left"/>
              <w:textAlignment w:val="auto"/>
              <w:rPr>
                <w:rFonts w:ascii="宋体" w:hAnsi="宋体" w:cs="宋体"/>
                <w:color w:val="FF0000"/>
                <w:kern w:val="0"/>
                <w:szCs w:val="21"/>
              </w:rPr>
            </w:pPr>
            <w:r>
              <w:rPr>
                <w:rFonts w:hint="eastAsia" w:ascii="宋体" w:hAnsi="宋体" w:eastAsia="宋体" w:cs="宋体"/>
                <w:kern w:val="0"/>
                <w:sz w:val="21"/>
                <w:szCs w:val="21"/>
              </w:rPr>
              <w:t>优得13分；良得8分；一般得3分。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3"/>
              <w:numPr>
                <w:ilvl w:val="0"/>
                <w:numId w:val="2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FF0000"/>
                <w:highlight w:val="yellow"/>
              </w:rPr>
            </w:pPr>
            <w:r>
              <w:rPr>
                <w:rFonts w:hint="eastAsia"/>
                <w:color w:val="auto"/>
                <w:highlight w:val="none"/>
                <w:lang w:eastAsia="zh-CN"/>
              </w:rPr>
              <w:t>服务承诺</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rPr>
            </w:pP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30" w:rightChars="0"/>
              <w:jc w:val="left"/>
              <w:textAlignment w:val="auto"/>
              <w:rPr>
                <w:rFonts w:ascii="宋体" w:hAnsi="宋体" w:cs="宋体"/>
                <w:color w:val="FF0000"/>
                <w:kern w:val="0"/>
                <w:szCs w:val="21"/>
              </w:rPr>
            </w:pPr>
            <w:r>
              <w:rPr>
                <w:rFonts w:hint="eastAsia" w:ascii="宋体" w:hAnsi="宋体" w:eastAsia="宋体" w:cs="宋体"/>
                <w:bCs/>
                <w:color w:val="000000"/>
                <w:szCs w:val="21"/>
              </w:rPr>
              <w:t>根据各投标人提供的《质量服务承诺书》</w:t>
            </w:r>
            <w:r>
              <w:rPr>
                <w:rFonts w:hint="eastAsia" w:ascii="宋体" w:hAnsi="宋体" w:eastAsia="宋体" w:cs="宋体"/>
                <w:kern w:val="0"/>
                <w:sz w:val="21"/>
                <w:szCs w:val="21"/>
              </w:rPr>
              <w:t>，包含完成时间、保障措施和安全管理，进行综合比较评议。优得3分；良得2分；一般得1分。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3"/>
              <w:numPr>
                <w:ilvl w:val="0"/>
                <w:numId w:val="2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color w:val="FF0000"/>
                <w:highlight w:val="yellow"/>
              </w:rPr>
            </w:pPr>
            <w:r>
              <w:rPr>
                <w:rFonts w:hint="eastAsia" w:ascii="宋体" w:hAnsi="宋体"/>
                <w:kern w:val="0"/>
                <w:szCs w:val="21"/>
                <w:lang w:eastAsia="zh-CN"/>
              </w:rPr>
              <w:t>拟派人员</w:t>
            </w:r>
          </w:p>
        </w:tc>
        <w:tc>
          <w:tcPr>
            <w:tcW w:w="709" w:type="dxa"/>
            <w:tcBorders>
              <w:tl2br w:val="nil"/>
              <w:tr2bl w:val="nil"/>
            </w:tcBorders>
            <w:tcMar>
              <w:top w:w="15" w:type="dxa"/>
              <w:left w:w="15" w:type="dxa"/>
              <w:bottom w:w="15" w:type="dxa"/>
              <w:right w:w="15" w:type="dxa"/>
            </w:tcMar>
            <w:vAlign w:val="center"/>
          </w:tcPr>
          <w:p>
            <w:pPr>
              <w:jc w:val="center"/>
              <w:rPr>
                <w:rFonts w:ascii="宋体" w:hAnsi="宋体"/>
                <w:color w:val="FF0000"/>
                <w:szCs w:val="21"/>
              </w:rPr>
            </w:pPr>
            <w:r>
              <w:rPr>
                <w:rFonts w:hint="eastAsia" w:ascii="宋体" w:hAnsi="宋体"/>
                <w:color w:val="auto"/>
                <w:szCs w:val="21"/>
                <w:lang w:val="en-US" w:eastAsia="zh-CN"/>
              </w:rPr>
              <w:t>11</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widowControl w:val="0"/>
              <w:numPr>
                <w:ilvl w:val="0"/>
                <w:numId w:val="25"/>
              </w:numPr>
              <w:kinsoku/>
              <w:wordWrap/>
              <w:overflowPunct/>
              <w:topLinePunct w:val="0"/>
              <w:autoSpaceDE w:val="0"/>
              <w:autoSpaceDN w:val="0"/>
              <w:bidi w:val="0"/>
              <w:adjustRightInd/>
              <w:snapToGrid/>
              <w:ind w:left="155" w:leftChars="0" w:hanging="155" w:hangingChars="74"/>
              <w:jc w:val="left"/>
              <w:textAlignment w:val="auto"/>
              <w:rPr>
                <w:rFonts w:hint="eastAsia" w:ascii="宋体" w:hAnsi="宋体" w:eastAsia="宋体" w:cs="宋体"/>
                <w:sz w:val="21"/>
                <w:szCs w:val="21"/>
              </w:rPr>
            </w:pPr>
            <w:r>
              <w:rPr>
                <w:rFonts w:hint="eastAsia" w:ascii="宋体" w:hAnsi="宋体" w:eastAsia="宋体" w:cs="宋体"/>
                <w:sz w:val="21"/>
                <w:szCs w:val="21"/>
              </w:rPr>
              <w:t>项目负责人具有机电类或质量类高级职称，且专业从事电梯检验业务</w:t>
            </w:r>
            <w:r>
              <w:rPr>
                <w:rFonts w:hint="eastAsia" w:ascii="宋体" w:hAnsi="宋体" w:eastAsia="宋体" w:cs="宋体"/>
                <w:sz w:val="21"/>
                <w:szCs w:val="21"/>
                <w:lang w:val="en-US" w:eastAsia="zh-CN"/>
              </w:rPr>
              <w:t>3</w:t>
            </w:r>
            <w:r>
              <w:rPr>
                <w:rFonts w:hint="eastAsia" w:ascii="宋体" w:hAnsi="宋体" w:eastAsia="宋体" w:cs="宋体"/>
                <w:sz w:val="21"/>
                <w:szCs w:val="21"/>
              </w:rPr>
              <w:t>年以上，得3分</w:t>
            </w:r>
            <w:r>
              <w:rPr>
                <w:rFonts w:hint="eastAsia" w:ascii="宋体" w:hAnsi="宋体" w:eastAsia="宋体" w:cs="宋体"/>
                <w:sz w:val="21"/>
                <w:szCs w:val="21"/>
                <w:lang w:eastAsia="zh-CN"/>
              </w:rPr>
              <w:t>，</w:t>
            </w:r>
            <w:r>
              <w:rPr>
                <w:rFonts w:hint="eastAsia" w:ascii="宋体" w:hAnsi="宋体" w:eastAsia="宋体" w:cs="宋体"/>
                <w:sz w:val="21"/>
                <w:szCs w:val="21"/>
              </w:rPr>
              <w:t>从事电梯检验业务</w:t>
            </w:r>
            <w:r>
              <w:rPr>
                <w:rFonts w:hint="eastAsia" w:ascii="宋体" w:hAnsi="宋体" w:eastAsia="宋体" w:cs="宋体"/>
                <w:sz w:val="21"/>
                <w:szCs w:val="21"/>
                <w:lang w:val="en-US" w:eastAsia="zh-CN"/>
              </w:rPr>
              <w:t>3</w:t>
            </w:r>
            <w:r>
              <w:rPr>
                <w:rFonts w:hint="eastAsia" w:ascii="宋体" w:hAnsi="宋体" w:eastAsia="宋体" w:cs="宋体"/>
                <w:sz w:val="21"/>
                <w:szCs w:val="21"/>
              </w:rPr>
              <w:t>年以</w:t>
            </w:r>
            <w:r>
              <w:rPr>
                <w:rFonts w:hint="eastAsia" w:ascii="宋体" w:hAnsi="宋体" w:eastAsia="宋体" w:cs="宋体"/>
                <w:sz w:val="21"/>
                <w:szCs w:val="21"/>
                <w:lang w:val="en-US" w:eastAsia="zh-CN"/>
              </w:rPr>
              <w:t>下</w:t>
            </w:r>
            <w:r>
              <w:rPr>
                <w:rFonts w:hint="eastAsia" w:ascii="宋体" w:hAnsi="宋体" w:eastAsia="宋体" w:cs="宋体"/>
                <w:sz w:val="21"/>
                <w:szCs w:val="21"/>
              </w:rPr>
              <w:t>，得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p>
            <w:pPr>
              <w:keepNext w:val="0"/>
              <w:keepLines w:val="0"/>
              <w:pageBreakBefore w:val="0"/>
              <w:widowControl w:val="0"/>
              <w:numPr>
                <w:ilvl w:val="-1"/>
                <w:numId w:val="0"/>
              </w:numPr>
              <w:kinsoku/>
              <w:wordWrap/>
              <w:overflowPunct/>
              <w:topLinePunct w:val="0"/>
              <w:autoSpaceDE w:val="0"/>
              <w:autoSpaceDN w:val="0"/>
              <w:bidi w:val="0"/>
              <w:adjustRightInd/>
              <w:snapToGrid/>
              <w:ind w:left="0" w:leftChars="0" w:firstLine="0" w:firstLineChars="0"/>
              <w:jc w:val="left"/>
              <w:textAlignment w:val="auto"/>
              <w:rPr>
                <w:rFonts w:hint="default" w:ascii="宋体" w:hAnsi="宋体" w:eastAsia="宋体" w:cs="宋体"/>
                <w:sz w:val="21"/>
                <w:szCs w:val="21"/>
                <w:lang w:val="en-US"/>
              </w:rPr>
            </w:pPr>
            <w:r>
              <w:rPr>
                <w:rFonts w:hint="eastAsia" w:ascii="宋体" w:hAnsi="宋体" w:cs="宋体"/>
                <w:sz w:val="21"/>
                <w:szCs w:val="21"/>
                <w:lang w:eastAsia="zh-CN"/>
              </w:rPr>
              <w:t>证明文件</w:t>
            </w:r>
            <w:r>
              <w:rPr>
                <w:rFonts w:hint="eastAsia" w:ascii="宋体" w:hAnsi="宋体" w:cs="宋体"/>
                <w:sz w:val="21"/>
                <w:szCs w:val="21"/>
                <w:lang w:val="en-US" w:eastAsia="zh-CN"/>
              </w:rPr>
              <w:t>:</w:t>
            </w:r>
            <w:r>
              <w:rPr>
                <w:rFonts w:hint="eastAsia" w:ascii="宋体" w:hAnsi="宋体" w:cs="宋体"/>
                <w:sz w:val="21"/>
                <w:szCs w:val="21"/>
                <w:lang w:eastAsia="zh-CN"/>
              </w:rPr>
              <w:t>投标人自行提供从事电梯检验业务年限的证明文件（</w:t>
            </w:r>
            <w:r>
              <w:rPr>
                <w:rFonts w:hint="eastAsia" w:ascii="宋体" w:hAnsi="宋体" w:cs="宋体"/>
                <w:sz w:val="21"/>
                <w:szCs w:val="21"/>
                <w:lang w:val="en-US" w:eastAsia="zh-CN"/>
              </w:rPr>
              <w:t>如获得电梯类相关执业或职称证书、相关培训合格证书、与电梯维保类企业签订的劳动合同等，无法证明的不得分</w:t>
            </w:r>
            <w:r>
              <w:rPr>
                <w:rFonts w:hint="eastAsia" w:ascii="宋体" w:hAnsi="宋体" w:cs="宋体"/>
                <w:sz w:val="21"/>
                <w:szCs w:val="21"/>
                <w:lang w:eastAsia="zh-CN"/>
              </w:rPr>
              <w:t>）。</w:t>
            </w:r>
          </w:p>
          <w:p>
            <w:pPr>
              <w:keepNext w:val="0"/>
              <w:keepLines w:val="0"/>
              <w:pageBreakBefore w:val="0"/>
              <w:widowControl w:val="0"/>
              <w:numPr>
                <w:ilvl w:val="0"/>
                <w:numId w:val="25"/>
              </w:numPr>
              <w:kinsoku/>
              <w:wordWrap/>
              <w:overflowPunct/>
              <w:topLinePunct w:val="0"/>
              <w:autoSpaceDE w:val="0"/>
              <w:autoSpaceDN w:val="0"/>
              <w:bidi w:val="0"/>
              <w:adjustRightInd/>
              <w:snapToGrid/>
              <w:ind w:left="155" w:leftChars="0" w:hanging="155" w:hangingChars="74"/>
              <w:jc w:val="left"/>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根据</w:t>
            </w:r>
            <w:r>
              <w:rPr>
                <w:rFonts w:hint="eastAsia" w:ascii="宋体" w:hAnsi="宋体" w:cs="宋体"/>
                <w:color w:val="auto"/>
                <w:kern w:val="0"/>
                <w:sz w:val="21"/>
                <w:szCs w:val="21"/>
                <w:lang w:val="en-US" w:eastAsia="zh-CN"/>
              </w:rPr>
              <w:t>投标人</w:t>
            </w:r>
            <w:r>
              <w:rPr>
                <w:rFonts w:hint="eastAsia" w:ascii="宋体" w:hAnsi="宋体" w:eastAsia="宋体" w:cs="宋体"/>
                <w:sz w:val="21"/>
                <w:szCs w:val="21"/>
                <w:lang w:eastAsia="zh-CN"/>
              </w:rPr>
              <w:t>自有员</w:t>
            </w:r>
            <w:r>
              <w:rPr>
                <w:rFonts w:hint="eastAsia" w:ascii="宋体" w:hAnsi="宋体" w:cs="宋体"/>
                <w:sz w:val="21"/>
                <w:szCs w:val="21"/>
                <w:lang w:val="en-US" w:eastAsia="zh-CN"/>
              </w:rPr>
              <w:t>工</w:t>
            </w:r>
            <w:r>
              <w:rPr>
                <w:rFonts w:hint="eastAsia" w:ascii="宋体" w:hAnsi="宋体" w:eastAsia="宋体" w:cs="宋体"/>
                <w:sz w:val="21"/>
                <w:szCs w:val="21"/>
                <w:lang w:eastAsia="zh-CN"/>
              </w:rPr>
              <w:t>并具有</w:t>
            </w:r>
            <w:r>
              <w:rPr>
                <w:rFonts w:hint="eastAsia" w:ascii="宋体" w:hAnsi="宋体" w:eastAsia="宋体" w:cs="宋体"/>
                <w:sz w:val="21"/>
                <w:szCs w:val="21"/>
              </w:rPr>
              <w:t>《中华人民共和国特种设备检验检测人员证》（级别为电梯检验师）</w:t>
            </w:r>
            <w:r>
              <w:rPr>
                <w:rFonts w:hint="eastAsia" w:ascii="宋体" w:hAnsi="宋体" w:eastAsia="宋体" w:cs="宋体"/>
                <w:sz w:val="21"/>
                <w:szCs w:val="21"/>
                <w:lang w:eastAsia="zh-CN"/>
              </w:rPr>
              <w:t>或电梯</w:t>
            </w:r>
            <w:r>
              <w:rPr>
                <w:rFonts w:hint="eastAsia" w:ascii="宋体" w:hAnsi="宋体" w:eastAsia="宋体" w:cs="宋体"/>
                <w:sz w:val="21"/>
                <w:szCs w:val="21"/>
              </w:rPr>
              <w:t>型式试验人员资质</w:t>
            </w:r>
            <w:r>
              <w:rPr>
                <w:rFonts w:hint="eastAsia" w:ascii="宋体" w:hAnsi="宋体" w:cs="宋体"/>
                <w:sz w:val="21"/>
                <w:szCs w:val="21"/>
                <w:lang w:val="en-US" w:eastAsia="zh-CN"/>
              </w:rPr>
              <w:t>的</w:t>
            </w:r>
            <w:r>
              <w:rPr>
                <w:rFonts w:hint="eastAsia" w:ascii="宋体" w:hAnsi="宋体" w:eastAsia="宋体" w:cs="宋体"/>
                <w:sz w:val="21"/>
                <w:szCs w:val="21"/>
              </w:rPr>
              <w:t>评估人员</w:t>
            </w:r>
            <w:r>
              <w:rPr>
                <w:rFonts w:hint="eastAsia" w:ascii="宋体" w:hAnsi="宋体" w:cs="宋体"/>
                <w:sz w:val="21"/>
                <w:szCs w:val="21"/>
                <w:lang w:val="en-US" w:eastAsia="zh-CN"/>
              </w:rPr>
              <w:t>数量进行评议</w:t>
            </w:r>
            <w:r>
              <w:rPr>
                <w:rFonts w:hint="eastAsia" w:ascii="宋体" w:hAnsi="宋体" w:cs="宋体"/>
                <w:sz w:val="21"/>
                <w:szCs w:val="21"/>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ind w:left="155" w:leftChars="0" w:hanging="155" w:hangingChars="74"/>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1）评估人员人数</w:t>
            </w:r>
            <w:r>
              <w:rPr>
                <w:rFonts w:hint="eastAsia" w:ascii="宋体" w:hAnsi="宋体" w:eastAsia="宋体" w:cs="宋体"/>
                <w:sz w:val="21"/>
                <w:szCs w:val="21"/>
              </w:rPr>
              <w:t>&gt;10人</w:t>
            </w:r>
            <w:r>
              <w:rPr>
                <w:rFonts w:hint="eastAsia" w:ascii="宋体" w:hAnsi="宋体" w:eastAsia="宋体" w:cs="宋体"/>
                <w:sz w:val="21"/>
                <w:szCs w:val="21"/>
                <w:lang w:eastAsia="zh-CN"/>
              </w:rPr>
              <w:t>，</w:t>
            </w:r>
            <w:r>
              <w:rPr>
                <w:rFonts w:hint="eastAsia" w:ascii="宋体" w:hAnsi="宋体" w:eastAsia="宋体" w:cs="宋体"/>
                <w:sz w:val="21"/>
                <w:szCs w:val="21"/>
              </w:rPr>
              <w:t>得</w:t>
            </w:r>
            <w:r>
              <w:rPr>
                <w:rFonts w:hint="eastAsia" w:ascii="宋体" w:hAnsi="宋体" w:eastAsia="宋体" w:cs="宋体"/>
                <w:sz w:val="21"/>
                <w:szCs w:val="21"/>
                <w:lang w:val="en-US" w:eastAsia="zh-CN"/>
              </w:rPr>
              <w:t>8</w:t>
            </w:r>
            <w:r>
              <w:rPr>
                <w:rFonts w:hint="eastAsia" w:ascii="宋体" w:hAnsi="宋体" w:eastAsia="宋体" w:cs="宋体"/>
                <w:sz w:val="21"/>
                <w:szCs w:val="21"/>
              </w:rPr>
              <w:t>分</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ind w:left="155" w:leftChars="0" w:hanging="155" w:hangingChars="74"/>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2）8人&lt;评估人员人数≤10人，得6分；</w:t>
            </w:r>
          </w:p>
          <w:p>
            <w:pPr>
              <w:keepNext w:val="0"/>
              <w:keepLines w:val="0"/>
              <w:pageBreakBefore w:val="0"/>
              <w:widowControl w:val="0"/>
              <w:numPr>
                <w:ilvl w:val="0"/>
                <w:numId w:val="0"/>
              </w:numPr>
              <w:kinsoku/>
              <w:wordWrap/>
              <w:overflowPunct/>
              <w:topLinePunct w:val="0"/>
              <w:autoSpaceDE w:val="0"/>
              <w:autoSpaceDN w:val="0"/>
              <w:bidi w:val="0"/>
              <w:adjustRightInd/>
              <w:snapToGrid/>
              <w:ind w:left="155" w:leftChars="0" w:hanging="155" w:hangingChars="74"/>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3）6人&lt;评估人员人数≤8人，得4分；</w:t>
            </w:r>
          </w:p>
          <w:p>
            <w:pPr>
              <w:keepNext w:val="0"/>
              <w:keepLines w:val="0"/>
              <w:pageBreakBefore w:val="0"/>
              <w:widowControl w:val="0"/>
              <w:numPr>
                <w:ilvl w:val="0"/>
                <w:numId w:val="0"/>
              </w:numPr>
              <w:kinsoku/>
              <w:wordWrap/>
              <w:overflowPunct/>
              <w:topLinePunct w:val="0"/>
              <w:autoSpaceDE w:val="0"/>
              <w:autoSpaceDN w:val="0"/>
              <w:bidi w:val="0"/>
              <w:adjustRightInd/>
              <w:snapToGrid/>
              <w:ind w:left="155" w:leftChars="0" w:hanging="155" w:hangingChars="74"/>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4）4人&lt;评估人员人数≤6人，得2分；</w:t>
            </w:r>
          </w:p>
          <w:p>
            <w:pPr>
              <w:keepNext w:val="0"/>
              <w:keepLines w:val="0"/>
              <w:pageBreakBefore w:val="0"/>
              <w:widowControl w:val="0"/>
              <w:numPr>
                <w:ilvl w:val="0"/>
                <w:numId w:val="26"/>
              </w:numPr>
              <w:kinsoku/>
              <w:wordWrap/>
              <w:overflowPunct/>
              <w:topLinePunct w:val="0"/>
              <w:autoSpaceDE w:val="0"/>
              <w:autoSpaceDN w:val="0"/>
              <w:bidi w:val="0"/>
              <w:adjustRightInd/>
              <w:snapToGrid/>
              <w:ind w:left="155" w:leftChars="0" w:hanging="155" w:hangingChars="74"/>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评估人员人数≤4人，得1分；</w:t>
            </w:r>
          </w:p>
          <w:p>
            <w:pPr>
              <w:keepNext w:val="0"/>
              <w:keepLines w:val="0"/>
              <w:pageBreakBefore w:val="0"/>
              <w:widowControl w:val="0"/>
              <w:numPr>
                <w:ilvl w:val="0"/>
                <w:numId w:val="0"/>
              </w:numPr>
              <w:kinsoku/>
              <w:wordWrap/>
              <w:overflowPunct/>
              <w:topLinePunct w:val="0"/>
              <w:autoSpaceDE w:val="0"/>
              <w:autoSpaceDN w:val="0"/>
              <w:bidi w:val="0"/>
              <w:adjustRightInd/>
              <w:snapToGrid/>
              <w:ind w:left="155" w:leftChars="0" w:hanging="155" w:hangingChars="74"/>
              <w:jc w:val="left"/>
              <w:textAlignment w:val="auto"/>
              <w:rPr>
                <w:rFonts w:ascii="宋体" w:hAnsi="宋体" w:cs="宋体"/>
                <w:color w:val="FF0000"/>
                <w:kern w:val="0"/>
                <w:szCs w:val="21"/>
              </w:rPr>
            </w:pPr>
            <w:r>
              <w:rPr>
                <w:rFonts w:hint="eastAsia" w:ascii="宋体" w:hAnsi="宋体" w:eastAsia="宋体" w:cs="宋体"/>
                <w:kern w:val="0"/>
                <w:sz w:val="21"/>
                <w:szCs w:val="21"/>
              </w:rPr>
              <w:t>证明文件：提供以上人员资格证明文件复印件和近</w:t>
            </w:r>
            <w:r>
              <w:rPr>
                <w:rFonts w:hint="eastAsia" w:ascii="宋体" w:hAnsi="宋体" w:cs="宋体"/>
                <w:kern w:val="0"/>
                <w:sz w:val="21"/>
                <w:szCs w:val="21"/>
                <w:lang w:val="en-US" w:eastAsia="zh-CN"/>
              </w:rPr>
              <w:t>3</w:t>
            </w:r>
            <w:r>
              <w:rPr>
                <w:rFonts w:hint="eastAsia" w:ascii="宋体" w:hAnsi="宋体" w:eastAsia="宋体" w:cs="宋体"/>
                <w:kern w:val="0"/>
                <w:sz w:val="21"/>
                <w:szCs w:val="21"/>
              </w:rPr>
              <w:t>个月社保证明并加盖</w:t>
            </w:r>
            <w:r>
              <w:rPr>
                <w:rFonts w:hint="eastAsia" w:ascii="宋体" w:hAnsi="宋体" w:cs="宋体"/>
                <w:kern w:val="0"/>
                <w:sz w:val="21"/>
                <w:szCs w:val="21"/>
                <w:lang w:eastAsia="zh-CN"/>
              </w:rPr>
              <w:t>投标人</w:t>
            </w:r>
            <w:r>
              <w:rPr>
                <w:rFonts w:hint="eastAsia" w:ascii="宋体" w:hAnsi="宋体" w:eastAsia="宋体" w:cs="宋体"/>
                <w:kern w:val="0"/>
                <w:sz w:val="21"/>
                <w:szCs w:val="21"/>
              </w:rPr>
              <w:t>公章（</w:t>
            </w:r>
            <w:r>
              <w:rPr>
                <w:rFonts w:hint="eastAsia" w:ascii="宋体" w:hAnsi="宋体" w:eastAsia="宋体" w:cs="宋体"/>
                <w:sz w:val="21"/>
                <w:szCs w:val="21"/>
              </w:rPr>
              <w:t>由于社保部门原因开标日前一个月的社保证明无法提供的可往前顺延一个月</w:t>
            </w:r>
            <w:r>
              <w:rPr>
                <w:rFonts w:hint="eastAsia" w:ascii="宋体" w:hAnsi="宋体" w:eastAsia="宋体" w:cs="宋体"/>
                <w:kern w:val="0"/>
                <w:sz w:val="21"/>
                <w:szCs w:val="21"/>
              </w:rPr>
              <w:t>，未提交社保证明文件</w:t>
            </w:r>
            <w:r>
              <w:rPr>
                <w:rFonts w:hint="eastAsia" w:ascii="宋体" w:hAnsi="宋体" w:cs="宋体"/>
                <w:kern w:val="0"/>
                <w:sz w:val="21"/>
                <w:szCs w:val="21"/>
                <w:lang w:val="en-US" w:eastAsia="zh-CN"/>
              </w:rPr>
              <w:t>的，不得分</w:t>
            </w:r>
            <w:r>
              <w:rPr>
                <w:rFonts w:hint="eastAsia" w:ascii="宋体" w:hAnsi="宋体" w:eastAsia="宋体" w:cs="宋体"/>
                <w:kern w:val="0"/>
                <w:sz w:val="21"/>
                <w:szCs w:val="21"/>
              </w:rPr>
              <w:t>）</w:t>
            </w:r>
            <w:r>
              <w:rPr>
                <w:rFonts w:hint="eastAsia" w:ascii="宋体" w:hAnsi="宋体" w:eastAsia="宋体" w:cs="宋体"/>
                <w:kern w:val="0"/>
                <w:sz w:val="2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rPr>
            </w:pPr>
            <w:r>
              <w:rPr>
                <w:rFonts w:hint="eastAsia"/>
                <w:b/>
                <w:bCs/>
              </w:rPr>
              <w:t>价格评议项（</w:t>
            </w:r>
            <w:r>
              <w:rPr>
                <w:rFonts w:hint="eastAsia"/>
                <w:b/>
                <w:bCs/>
                <w:lang w:val="en-US" w:eastAsia="zh-CN"/>
              </w:rPr>
              <w:t>50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highlight w:val="none"/>
              </w:rPr>
            </w:pPr>
            <w:r>
              <w:rPr>
                <w:rFonts w:hint="eastAsia" w:ascii="宋体" w:hAnsi="宋体"/>
                <w:bCs/>
                <w:szCs w:val="21"/>
                <w:highlight w:val="none"/>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highlight w:val="none"/>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highlight w:val="none"/>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highlight w:val="none"/>
              </w:rPr>
            </w:pPr>
            <w:r>
              <w:rPr>
                <w:rFonts w:hint="eastAsia" w:ascii="宋体" w:hAnsi="宋体"/>
                <w:bCs/>
                <w:szCs w:val="21"/>
                <w:highlight w:val="none"/>
              </w:rPr>
              <w:t>算</w:t>
            </w:r>
            <w:r>
              <w:rPr>
                <w:rFonts w:ascii="宋体" w:hAnsi="宋体"/>
                <w:bCs/>
                <w:szCs w:val="21"/>
                <w:highlight w:val="none"/>
              </w:rPr>
              <w:t>法类型</w:t>
            </w: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jc w:val="left"/>
              <w:rPr>
                <w:rFonts w:ascii="宋体" w:hAnsi="宋体"/>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w:t>
            </w:r>
          </w:p>
          <w:p>
            <w:pPr>
              <w:spacing w:line="240" w:lineRule="atLeast"/>
              <w:jc w:val="left"/>
              <w:rPr>
                <w:rFonts w:ascii="宋体" w:cs="宋体"/>
                <w:kern w:val="0"/>
                <w:szCs w:val="21"/>
                <w:highlight w:val="none"/>
              </w:rPr>
            </w:pPr>
            <w:r>
              <w:rPr>
                <w:rFonts w:hint="eastAsia" w:ascii="宋体" w:hAnsi="宋体"/>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highlight w:val="none"/>
              </w:rPr>
            </w:pP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sym w:font="Wingdings 2" w:char="0052"/>
            </w:r>
            <w:r>
              <w:rPr>
                <w:rFonts w:hint="eastAsia" w:ascii="宋体" w:hAnsi="宋体"/>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20"/>
                <w:rFonts w:ascii="宋体" w:hAnsi="宋体"/>
                <w:highlight w:val="none"/>
              </w:rPr>
            </w:pPr>
            <w:r>
              <w:rPr>
                <w:rStyle w:val="20"/>
                <w:rFonts w:hint="eastAsia" w:ascii="宋体" w:hAnsi="宋体"/>
                <w:highlight w:val="none"/>
              </w:rPr>
              <w:t>价格得分=（1-A×｜1-投标报价/Z｜）×M</w:t>
            </w:r>
          </w:p>
          <w:p>
            <w:pPr>
              <w:numPr>
                <w:ilvl w:val="0"/>
                <w:numId w:val="27"/>
              </w:numPr>
              <w:autoSpaceDE w:val="0"/>
              <w:autoSpaceDN w:val="0"/>
              <w:adjustRightInd w:val="0"/>
              <w:snapToGrid w:val="0"/>
              <w:jc w:val="left"/>
              <w:rPr>
                <w:rStyle w:val="20"/>
                <w:rFonts w:ascii="宋体" w:hAnsi="宋体"/>
                <w:highlight w:val="none"/>
              </w:rPr>
            </w:pPr>
            <w:r>
              <w:rPr>
                <w:rStyle w:val="20"/>
                <w:rFonts w:hint="eastAsia" w:ascii="宋体" w:hAnsi="宋体"/>
                <w:highlight w:val="none"/>
              </w:rPr>
              <w:t xml:space="preserve">M= </w:t>
            </w:r>
            <w:r>
              <w:rPr>
                <w:rStyle w:val="20"/>
                <w:rFonts w:hint="eastAsia" w:ascii="宋体" w:hAnsi="宋体"/>
                <w:color w:val="auto"/>
                <w:highlight w:val="none"/>
                <w:lang w:val="en-US" w:eastAsia="zh-CN"/>
              </w:rPr>
              <w:t>5</w:t>
            </w:r>
            <w:r>
              <w:rPr>
                <w:rFonts w:hint="eastAsia" w:ascii="宋体" w:hAnsi="宋体"/>
                <w:color w:val="auto"/>
                <w:szCs w:val="21"/>
                <w:highlight w:val="none"/>
                <w:lang w:val="en-US" w:eastAsia="zh-CN"/>
              </w:rPr>
              <w:t>0</w:t>
            </w:r>
            <w:r>
              <w:rPr>
                <w:rStyle w:val="20"/>
                <w:rFonts w:hint="eastAsia" w:ascii="宋体" w:hAnsi="宋体"/>
                <w:color w:val="auto"/>
                <w:highlight w:val="none"/>
              </w:rPr>
              <w:t xml:space="preserve"> （</w:t>
            </w:r>
            <w:r>
              <w:rPr>
                <w:rStyle w:val="20"/>
                <w:rFonts w:hint="eastAsia" w:ascii="宋体" w:hAnsi="宋体"/>
                <w:highlight w:val="none"/>
              </w:rPr>
              <w:t>价格评价分项满分值），Z为本次招标基准价；</w:t>
            </w:r>
          </w:p>
          <w:p>
            <w:pPr>
              <w:numPr>
                <w:ilvl w:val="0"/>
                <w:numId w:val="27"/>
              </w:numPr>
              <w:autoSpaceDE w:val="0"/>
              <w:autoSpaceDN w:val="0"/>
              <w:adjustRightInd w:val="0"/>
              <w:snapToGrid w:val="0"/>
              <w:jc w:val="left"/>
              <w:rPr>
                <w:rStyle w:val="20"/>
                <w:rFonts w:ascii="宋体" w:hAnsi="宋体"/>
                <w:highlight w:val="none"/>
              </w:rPr>
            </w:pPr>
            <w:r>
              <w:rPr>
                <w:rStyle w:val="20"/>
                <w:rFonts w:hint="eastAsia" w:ascii="宋体" w:hAnsi="宋体"/>
                <w:highlight w:val="none"/>
              </w:rPr>
              <w:t>A为价格调整系数，当投标报价低于本次招标最佳报价（即基准价）时，A=</w:t>
            </w:r>
            <w:r>
              <w:rPr>
                <w:rStyle w:val="20"/>
                <w:rFonts w:hint="eastAsia" w:ascii="宋体" w:hAnsi="宋体"/>
                <w:highlight w:val="none"/>
                <w:lang w:val="en-US" w:eastAsia="zh-CN"/>
              </w:rPr>
              <w:t>0.5</w:t>
            </w:r>
            <w:r>
              <w:rPr>
                <w:rStyle w:val="20"/>
                <w:rFonts w:hint="eastAsia" w:ascii="宋体" w:hAnsi="宋体"/>
                <w:highlight w:val="none"/>
              </w:rPr>
              <w:t>；当投标报价高于次招标基准价时，取A=1；</w:t>
            </w:r>
          </w:p>
          <w:p>
            <w:pPr>
              <w:numPr>
                <w:ilvl w:val="0"/>
                <w:numId w:val="27"/>
              </w:numPr>
              <w:jc w:val="left"/>
              <w:rPr>
                <w:rFonts w:ascii="宋体" w:cs="宋体"/>
                <w:kern w:val="0"/>
                <w:szCs w:val="21"/>
                <w:highlight w:val="none"/>
              </w:rPr>
            </w:pPr>
            <w:r>
              <w:rPr>
                <w:rStyle w:val="20"/>
                <w:rFonts w:hint="eastAsia" w:ascii="宋体" w:hAnsi="宋体"/>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highlight w:val="none"/>
              </w:rPr>
            </w:pPr>
          </w:p>
        </w:tc>
        <w:tc>
          <w:tcPr>
            <w:tcW w:w="1563" w:type="dxa"/>
            <w:gridSpan w:val="2"/>
            <w:tcBorders>
              <w:tl2br w:val="nil"/>
              <w:tr2bl w:val="nil"/>
            </w:tcBorders>
            <w:vAlign w:val="center"/>
          </w:tcPr>
          <w:p>
            <w:pPr>
              <w:spacing w:line="240" w:lineRule="atLeast"/>
              <w:jc w:val="center"/>
              <w:rPr>
                <w:rFonts w:ascii="宋体" w:hAnsi="宋体"/>
                <w:szCs w:val="21"/>
                <w:highlight w:val="none"/>
              </w:rPr>
            </w:pPr>
            <w:r>
              <w:rPr>
                <w:rFonts w:hint="eastAsia" w:ascii="宋体" w:hAnsi="宋体"/>
                <w:szCs w:val="21"/>
                <w:highlight w:val="none"/>
              </w:rPr>
              <w:t>□其他</w:t>
            </w:r>
            <w:r>
              <w:rPr>
                <w:rFonts w:ascii="宋体" w:hAnsi="宋体"/>
                <w:szCs w:val="21"/>
                <w:highlight w:val="none"/>
              </w:rPr>
              <w:t>方法</w:t>
            </w:r>
          </w:p>
        </w:tc>
        <w:tc>
          <w:tcPr>
            <w:tcW w:w="5950" w:type="dxa"/>
            <w:tcBorders>
              <w:tl2br w:val="nil"/>
              <w:tr2bl w:val="nil"/>
            </w:tcBorders>
            <w:vAlign w:val="center"/>
          </w:tcPr>
          <w:p>
            <w:pPr>
              <w:spacing w:line="240" w:lineRule="atLeast"/>
              <w:jc w:val="center"/>
              <w:rPr>
                <w:rFonts w:ascii="宋体" w:cs="宋体"/>
                <w:kern w:val="0"/>
                <w:szCs w:val="21"/>
                <w:highlight w:val="none"/>
              </w:rPr>
            </w:pP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8"/>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8"/>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7" w:name="_Toc116550358"/>
      <w:r>
        <w:rPr>
          <w:rFonts w:hint="eastAsia" w:ascii="宋体" w:hAnsi="宋体"/>
          <w:b/>
          <w:sz w:val="32"/>
          <w:szCs w:val="32"/>
        </w:rPr>
        <w:t>第四部分：合同条款及格式</w:t>
      </w:r>
      <w:bookmarkEnd w:id="57"/>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58" w:name="_Toc116550359"/>
    </w:p>
    <w:p>
      <w:pPr>
        <w:tabs>
          <w:tab w:val="left" w:pos="180"/>
        </w:tabs>
        <w:adjustRightInd w:val="0"/>
        <w:snapToGrid w:val="0"/>
        <w:spacing w:line="300" w:lineRule="auto"/>
        <w:jc w:val="left"/>
        <w:rPr>
          <w:rFonts w:hint="eastAsia" w:ascii="微软雅黑" w:hAnsi="微软雅黑" w:eastAsia="微软雅黑"/>
          <w:sz w:val="72"/>
          <w:szCs w:val="72"/>
        </w:rPr>
      </w:pPr>
      <w:r>
        <w:rPr>
          <w:rFonts w:hint="eastAsia" w:ascii="微软雅黑" w:hAnsi="微软雅黑" w:eastAsia="微软雅黑"/>
          <w:sz w:val="72"/>
          <w:szCs w:val="72"/>
        </w:rPr>
        <w:drawing>
          <wp:inline distT="0" distB="0" distL="114300" distR="114300">
            <wp:extent cx="2828925" cy="733425"/>
            <wp:effectExtent l="0" t="0" r="9525" b="9525"/>
            <wp:docPr id="3" name="图片 1" descr="截屏2020-08-13 上午2.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截屏2020-08-13 上午2.10.25"/>
                    <pic:cNvPicPr>
                      <a:picLocks noChangeAspect="1"/>
                    </pic:cNvPicPr>
                  </pic:nvPicPr>
                  <pic:blipFill>
                    <a:blip r:embed="rId6"/>
                    <a:stretch>
                      <a:fillRect/>
                    </a:stretch>
                  </pic:blipFill>
                  <pic:spPr>
                    <a:xfrm>
                      <a:off x="0" y="0"/>
                      <a:ext cx="2828925" cy="733425"/>
                    </a:xfrm>
                    <a:prstGeom prst="rect">
                      <a:avLst/>
                    </a:prstGeom>
                    <a:noFill/>
                    <a:ln>
                      <a:noFill/>
                    </a:ln>
                  </pic:spPr>
                </pic:pic>
              </a:graphicData>
            </a:graphic>
          </wp:inline>
        </w:drawing>
      </w:r>
    </w:p>
    <w:p>
      <w:pPr>
        <w:tabs>
          <w:tab w:val="left" w:pos="180"/>
        </w:tabs>
        <w:adjustRightInd w:val="0"/>
        <w:snapToGrid w:val="0"/>
        <w:spacing w:line="300" w:lineRule="auto"/>
        <w:jc w:val="right"/>
        <w:rPr>
          <w:rFonts w:hint="eastAsia" w:cs="宋体"/>
        </w:rPr>
      </w:pPr>
    </w:p>
    <w:p>
      <w:pPr>
        <w:tabs>
          <w:tab w:val="left" w:pos="180"/>
        </w:tabs>
        <w:adjustRightInd w:val="0"/>
        <w:snapToGrid w:val="0"/>
        <w:spacing w:line="300" w:lineRule="auto"/>
        <w:jc w:val="right"/>
      </w:pPr>
      <w:r>
        <w:rPr>
          <w:rFonts w:hint="eastAsia" w:cs="宋体"/>
        </w:rPr>
        <w:t>合同编号（甲方）：</w:t>
      </w:r>
      <w:r>
        <w:t xml:space="preserve"> ___________________________ </w:t>
      </w:r>
    </w:p>
    <w:p>
      <w:pPr>
        <w:tabs>
          <w:tab w:val="left" w:pos="180"/>
        </w:tabs>
        <w:adjustRightInd w:val="0"/>
        <w:snapToGrid w:val="0"/>
        <w:spacing w:line="300" w:lineRule="auto"/>
        <w:jc w:val="right"/>
      </w:pPr>
      <w:r>
        <w:rPr>
          <w:rFonts w:hint="eastAsia" w:cs="宋体"/>
        </w:rPr>
        <w:t>合同编号（乙方）：</w:t>
      </w:r>
      <w:r>
        <w:t xml:space="preserve"> ___________________________</w:t>
      </w:r>
    </w:p>
    <w:p>
      <w:pPr>
        <w:ind w:firstLine="422"/>
        <w:rPr>
          <w:rFonts w:ascii="宋体" w:hAnsi="宋体"/>
          <w:b/>
          <w:kern w:val="0"/>
          <w:sz w:val="28"/>
          <w:szCs w:val="28"/>
        </w:rPr>
      </w:pPr>
    </w:p>
    <w:p>
      <w:pPr>
        <w:ind w:firstLine="422"/>
        <w:rPr>
          <w:rFonts w:ascii="宋体" w:hAnsi="宋体"/>
          <w:b/>
          <w:kern w:val="0"/>
          <w:sz w:val="28"/>
          <w:szCs w:val="28"/>
        </w:rPr>
      </w:pPr>
    </w:p>
    <w:p>
      <w:pPr>
        <w:ind w:firstLine="422"/>
        <w:rPr>
          <w:rFonts w:ascii="宋体" w:hAnsi="宋体"/>
          <w:b/>
          <w:kern w:val="0"/>
          <w:sz w:val="28"/>
          <w:szCs w:val="28"/>
        </w:rPr>
      </w:pPr>
    </w:p>
    <w:p>
      <w:pPr>
        <w:tabs>
          <w:tab w:val="left" w:pos="180"/>
        </w:tabs>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sz w:val="44"/>
          <w:szCs w:val="44"/>
        </w:rPr>
        <w:t>深圳会展中心电梯安全评估</w:t>
      </w:r>
      <w:r>
        <w:rPr>
          <w:rFonts w:hint="eastAsia" w:ascii="方正小标宋简体" w:hAnsi="方正小标宋简体" w:eastAsia="方正小标宋简体" w:cs="方正小标宋简体"/>
          <w:b w:val="0"/>
          <w:bCs/>
          <w:sz w:val="44"/>
          <w:szCs w:val="44"/>
          <w:lang w:eastAsia="zh-CN"/>
        </w:rPr>
        <w:t>项目</w:t>
      </w:r>
    </w:p>
    <w:p>
      <w:pPr>
        <w:pStyle w:val="12"/>
        <w:rPr>
          <w:rFonts w:hint="eastAsia" w:cs="宋体"/>
          <w:sz w:val="24"/>
          <w:szCs w:val="24"/>
        </w:rPr>
      </w:pPr>
    </w:p>
    <w:p>
      <w:pPr>
        <w:pStyle w:val="12"/>
        <w:rPr>
          <w:rFonts w:hint="eastAsia" w:cs="宋体"/>
          <w:sz w:val="24"/>
          <w:szCs w:val="24"/>
        </w:rPr>
      </w:pPr>
    </w:p>
    <w:p>
      <w:pPr>
        <w:pStyle w:val="12"/>
        <w:rPr>
          <w:rFonts w:hint="eastAsia" w:cs="宋体"/>
          <w:sz w:val="24"/>
          <w:szCs w:val="24"/>
        </w:rPr>
      </w:pPr>
    </w:p>
    <w:p>
      <w:pPr>
        <w:pStyle w:val="12"/>
        <w:rPr>
          <w:rFonts w:hint="eastAsia"/>
        </w:rPr>
      </w:pPr>
    </w:p>
    <w:p>
      <w:pPr>
        <w:tabs>
          <w:tab w:val="left" w:pos="4410"/>
        </w:tabs>
        <w:jc w:val="both"/>
        <w:rPr>
          <w:rFonts w:ascii="黑体" w:hAnsi="宋体" w:eastAsia="黑体"/>
          <w:b/>
          <w:bCs/>
          <w:color w:val="000000"/>
          <w:sz w:val="44"/>
          <w:szCs w:val="44"/>
        </w:rPr>
      </w:pPr>
    </w:p>
    <w:p>
      <w:pPr>
        <w:tabs>
          <w:tab w:val="left" w:pos="4410"/>
        </w:tabs>
        <w:ind w:left="-210"/>
        <w:jc w:val="center"/>
        <w:rPr>
          <w:rFonts w:ascii="黑体" w:hAnsi="宋体" w:eastAsia="黑体"/>
          <w:b/>
          <w:bCs/>
          <w:color w:val="000000"/>
          <w:sz w:val="44"/>
          <w:szCs w:val="44"/>
        </w:rPr>
      </w:pPr>
    </w:p>
    <w:tbl>
      <w:tblPr>
        <w:tblStyle w:val="15"/>
        <w:tblW w:w="8522" w:type="dxa"/>
        <w:jc w:val="center"/>
        <w:tblLayout w:type="fixed"/>
        <w:tblCellMar>
          <w:top w:w="0" w:type="dxa"/>
          <w:left w:w="108" w:type="dxa"/>
          <w:bottom w:w="0" w:type="dxa"/>
          <w:right w:w="108" w:type="dxa"/>
        </w:tblCellMar>
      </w:tblPr>
      <w:tblGrid>
        <w:gridCol w:w="2376"/>
        <w:gridCol w:w="6146"/>
      </w:tblGrid>
      <w:tr>
        <w:tblPrEx>
          <w:tblCellMar>
            <w:top w:w="0" w:type="dxa"/>
            <w:left w:w="108" w:type="dxa"/>
            <w:bottom w:w="0" w:type="dxa"/>
            <w:right w:w="108" w:type="dxa"/>
          </w:tblCellMar>
        </w:tblPrEx>
        <w:trPr>
          <w:jc w:val="center"/>
        </w:trPr>
        <w:tc>
          <w:tcPr>
            <w:tcW w:w="2376" w:type="dxa"/>
          </w:tcPr>
          <w:p>
            <w:pPr>
              <w:tabs>
                <w:tab w:val="left" w:pos="4410"/>
              </w:tabs>
              <w:jc w:val="left"/>
              <w:rPr>
                <w:rFonts w:ascii="仿宋" w:hAnsi="仿宋" w:eastAsia="仿宋" w:cs="仿宋"/>
                <w:b/>
                <w:bCs/>
                <w:color w:val="000000"/>
                <w:sz w:val="32"/>
                <w:szCs w:val="32"/>
              </w:rPr>
            </w:pPr>
            <w:r>
              <w:rPr>
                <w:rFonts w:hint="eastAsia" w:ascii="仿宋" w:hAnsi="仿宋" w:eastAsia="仿宋" w:cs="仿宋"/>
                <w:b/>
                <w:sz w:val="32"/>
                <w:szCs w:val="32"/>
              </w:rPr>
              <w:t>项目名称：</w:t>
            </w:r>
          </w:p>
        </w:tc>
        <w:tc>
          <w:tcPr>
            <w:tcW w:w="6146" w:type="dxa"/>
          </w:tcPr>
          <w:p>
            <w:pPr>
              <w:tabs>
                <w:tab w:val="left" w:pos="4410"/>
              </w:tabs>
              <w:ind w:firstLine="160" w:firstLineChars="50"/>
              <w:jc w:val="left"/>
              <w:rPr>
                <w:rFonts w:ascii="仿宋" w:hAnsi="仿宋" w:eastAsia="仿宋" w:cs="仿宋"/>
                <w:b/>
                <w:bCs/>
                <w:color w:val="000000"/>
                <w:sz w:val="32"/>
                <w:szCs w:val="32"/>
                <w:u w:val="single"/>
              </w:rPr>
            </w:pPr>
            <w:r>
              <w:rPr>
                <w:rFonts w:hint="eastAsia" w:ascii="仿宋" w:hAnsi="仿宋" w:eastAsia="仿宋" w:cs="仿宋"/>
                <w:sz w:val="32"/>
                <w:szCs w:val="32"/>
                <w:u w:val="single"/>
              </w:rPr>
              <w:t xml:space="preserve">    深圳会展中心电梯安全评估项目              </w:t>
            </w:r>
          </w:p>
        </w:tc>
      </w:tr>
      <w:tr>
        <w:tblPrEx>
          <w:tblCellMar>
            <w:top w:w="0" w:type="dxa"/>
            <w:left w:w="108" w:type="dxa"/>
            <w:bottom w:w="0" w:type="dxa"/>
            <w:right w:w="108" w:type="dxa"/>
          </w:tblCellMar>
        </w:tblPrEx>
        <w:trPr>
          <w:jc w:val="center"/>
        </w:trPr>
        <w:tc>
          <w:tcPr>
            <w:tcW w:w="2376" w:type="dxa"/>
          </w:tcPr>
          <w:p>
            <w:pPr>
              <w:tabs>
                <w:tab w:val="left" w:pos="4410"/>
              </w:tabs>
              <w:jc w:val="left"/>
              <w:rPr>
                <w:rFonts w:ascii="仿宋" w:hAnsi="仿宋" w:eastAsia="仿宋" w:cs="仿宋"/>
                <w:b/>
                <w:sz w:val="32"/>
                <w:szCs w:val="32"/>
              </w:rPr>
            </w:pPr>
            <w:r>
              <w:rPr>
                <w:rFonts w:hint="eastAsia" w:ascii="仿宋" w:hAnsi="仿宋" w:eastAsia="仿宋" w:cs="仿宋"/>
                <w:b/>
                <w:sz w:val="32"/>
                <w:szCs w:val="32"/>
              </w:rPr>
              <w:t>委托方（甲方）：</w:t>
            </w:r>
          </w:p>
        </w:tc>
        <w:tc>
          <w:tcPr>
            <w:tcW w:w="6146" w:type="dxa"/>
          </w:tcPr>
          <w:p>
            <w:pPr>
              <w:tabs>
                <w:tab w:val="left" w:pos="4410"/>
              </w:tabs>
              <w:ind w:firstLine="160" w:firstLineChars="50"/>
              <w:jc w:val="left"/>
              <w:rPr>
                <w:rFonts w:ascii="仿宋" w:hAnsi="仿宋" w:eastAsia="仿宋" w:cs="仿宋"/>
                <w:b/>
                <w:bCs/>
                <w:color w:val="000000"/>
                <w:sz w:val="32"/>
                <w:szCs w:val="32"/>
              </w:rPr>
            </w:pPr>
            <w:r>
              <w:rPr>
                <w:rFonts w:hint="eastAsia" w:ascii="仿宋" w:hAnsi="仿宋" w:eastAsia="仿宋" w:cs="仿宋"/>
                <w:sz w:val="32"/>
                <w:szCs w:val="32"/>
                <w:u w:val="single"/>
              </w:rPr>
              <w:t xml:space="preserve">    深圳会展中心管理有限责任公司          </w:t>
            </w:r>
          </w:p>
        </w:tc>
      </w:tr>
      <w:tr>
        <w:tblPrEx>
          <w:tblCellMar>
            <w:top w:w="0" w:type="dxa"/>
            <w:left w:w="108" w:type="dxa"/>
            <w:bottom w:w="0" w:type="dxa"/>
            <w:right w:w="108" w:type="dxa"/>
          </w:tblCellMar>
        </w:tblPrEx>
        <w:trPr>
          <w:jc w:val="center"/>
        </w:trPr>
        <w:tc>
          <w:tcPr>
            <w:tcW w:w="2376" w:type="dxa"/>
          </w:tcPr>
          <w:p>
            <w:pPr>
              <w:tabs>
                <w:tab w:val="left" w:pos="4410"/>
              </w:tabs>
              <w:jc w:val="left"/>
              <w:rPr>
                <w:rFonts w:ascii="仿宋" w:hAnsi="仿宋" w:eastAsia="仿宋" w:cs="仿宋"/>
                <w:b/>
                <w:sz w:val="32"/>
                <w:szCs w:val="32"/>
              </w:rPr>
            </w:pPr>
            <w:r>
              <w:rPr>
                <w:rFonts w:hint="eastAsia" w:ascii="仿宋" w:hAnsi="仿宋" w:eastAsia="仿宋" w:cs="仿宋"/>
                <w:b/>
                <w:sz w:val="32"/>
                <w:szCs w:val="32"/>
              </w:rPr>
              <w:t>承担方（乙方）：</w:t>
            </w:r>
          </w:p>
        </w:tc>
        <w:tc>
          <w:tcPr>
            <w:tcW w:w="6146" w:type="dxa"/>
          </w:tcPr>
          <w:p>
            <w:pPr>
              <w:tabs>
                <w:tab w:val="left" w:pos="4410"/>
              </w:tabs>
              <w:ind w:firstLine="160" w:firstLineChars="50"/>
              <w:jc w:val="left"/>
              <w:rPr>
                <w:rFonts w:ascii="仿宋" w:hAnsi="仿宋" w:eastAsia="仿宋" w:cs="仿宋"/>
                <w:b/>
                <w:bCs/>
                <w:color w:val="000000"/>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tc>
      </w:tr>
      <w:tr>
        <w:tblPrEx>
          <w:tblCellMar>
            <w:top w:w="0" w:type="dxa"/>
            <w:left w:w="108" w:type="dxa"/>
            <w:bottom w:w="0" w:type="dxa"/>
            <w:right w:w="108" w:type="dxa"/>
          </w:tblCellMar>
        </w:tblPrEx>
        <w:trPr>
          <w:jc w:val="center"/>
        </w:trPr>
        <w:tc>
          <w:tcPr>
            <w:tcW w:w="2376" w:type="dxa"/>
          </w:tcPr>
          <w:p>
            <w:pPr>
              <w:tabs>
                <w:tab w:val="left" w:pos="4410"/>
              </w:tabs>
              <w:jc w:val="left"/>
              <w:rPr>
                <w:rFonts w:ascii="仿宋" w:hAnsi="仿宋" w:eastAsia="仿宋" w:cs="仿宋"/>
                <w:b/>
                <w:bCs/>
                <w:color w:val="000000"/>
                <w:sz w:val="32"/>
                <w:szCs w:val="32"/>
              </w:rPr>
            </w:pPr>
            <w:r>
              <w:rPr>
                <w:rFonts w:hint="eastAsia" w:ascii="仿宋" w:hAnsi="仿宋" w:eastAsia="仿宋" w:cs="仿宋"/>
                <w:b/>
                <w:sz w:val="32"/>
                <w:szCs w:val="32"/>
              </w:rPr>
              <w:t>签订地点：</w:t>
            </w:r>
          </w:p>
        </w:tc>
        <w:tc>
          <w:tcPr>
            <w:tcW w:w="6146" w:type="dxa"/>
          </w:tcPr>
          <w:p>
            <w:pPr>
              <w:tabs>
                <w:tab w:val="left" w:pos="4410"/>
              </w:tabs>
              <w:jc w:val="left"/>
              <w:rPr>
                <w:rFonts w:ascii="仿宋" w:hAnsi="仿宋" w:eastAsia="仿宋" w:cs="仿宋"/>
                <w:bCs/>
                <w:color w:val="000000"/>
                <w:sz w:val="32"/>
                <w:szCs w:val="32"/>
                <w:u w:val="single"/>
              </w:rPr>
            </w:pPr>
            <w:r>
              <w:rPr>
                <w:rFonts w:hint="eastAsia" w:ascii="仿宋" w:hAnsi="仿宋" w:eastAsia="仿宋" w:cs="仿宋"/>
                <w:b/>
                <w:bCs/>
                <w:color w:val="000000"/>
                <w:sz w:val="32"/>
                <w:szCs w:val="32"/>
              </w:rPr>
              <w:t xml:space="preserve"> </w:t>
            </w:r>
            <w:r>
              <w:rPr>
                <w:rFonts w:hint="eastAsia" w:ascii="仿宋" w:hAnsi="仿宋" w:eastAsia="仿宋" w:cs="仿宋"/>
                <w:bCs/>
                <w:color w:val="000000"/>
                <w:sz w:val="32"/>
                <w:szCs w:val="32"/>
                <w:u w:val="single"/>
              </w:rPr>
              <w:t xml:space="preserve">              </w:t>
            </w:r>
            <w:r>
              <w:rPr>
                <w:rFonts w:hint="eastAsia" w:ascii="仿宋" w:hAnsi="仿宋" w:eastAsia="仿宋" w:cs="仿宋"/>
                <w:bCs/>
                <w:color w:val="000000"/>
                <w:sz w:val="32"/>
                <w:szCs w:val="32"/>
                <w:u w:val="single"/>
                <w:lang w:val="en-US" w:eastAsia="zh-CN"/>
              </w:rPr>
              <w:t xml:space="preserve"> </w:t>
            </w:r>
            <w:r>
              <w:rPr>
                <w:rFonts w:hint="eastAsia" w:ascii="仿宋" w:hAnsi="仿宋" w:eastAsia="仿宋" w:cs="仿宋"/>
                <w:bCs/>
                <w:color w:val="000000"/>
                <w:sz w:val="32"/>
                <w:szCs w:val="32"/>
                <w:u w:val="single"/>
              </w:rPr>
              <w:t xml:space="preserve">                    </w:t>
            </w:r>
          </w:p>
        </w:tc>
      </w:tr>
      <w:tr>
        <w:tblPrEx>
          <w:tblCellMar>
            <w:top w:w="0" w:type="dxa"/>
            <w:left w:w="108" w:type="dxa"/>
            <w:bottom w:w="0" w:type="dxa"/>
            <w:right w:w="108" w:type="dxa"/>
          </w:tblCellMar>
        </w:tblPrEx>
        <w:trPr>
          <w:jc w:val="center"/>
        </w:trPr>
        <w:tc>
          <w:tcPr>
            <w:tcW w:w="2376" w:type="dxa"/>
          </w:tcPr>
          <w:p>
            <w:pPr>
              <w:tabs>
                <w:tab w:val="left" w:pos="4410"/>
              </w:tabs>
              <w:jc w:val="left"/>
              <w:rPr>
                <w:rFonts w:ascii="仿宋" w:hAnsi="仿宋" w:eastAsia="仿宋" w:cs="仿宋"/>
                <w:b/>
                <w:bCs/>
                <w:color w:val="000000"/>
                <w:sz w:val="32"/>
                <w:szCs w:val="32"/>
              </w:rPr>
            </w:pPr>
            <w:r>
              <w:rPr>
                <w:rFonts w:hint="eastAsia" w:ascii="仿宋" w:hAnsi="仿宋" w:eastAsia="仿宋" w:cs="仿宋"/>
                <w:b/>
                <w:sz w:val="32"/>
                <w:szCs w:val="32"/>
              </w:rPr>
              <w:t>签订时间：</w:t>
            </w:r>
          </w:p>
        </w:tc>
        <w:tc>
          <w:tcPr>
            <w:tcW w:w="6146" w:type="dxa"/>
          </w:tcPr>
          <w:p>
            <w:pPr>
              <w:tabs>
                <w:tab w:val="left" w:pos="4410"/>
              </w:tabs>
              <w:ind w:firstLine="160" w:firstLineChars="50"/>
              <w:jc w:val="left"/>
              <w:rPr>
                <w:rFonts w:ascii="仿宋" w:hAnsi="仿宋" w:eastAsia="仿宋" w:cs="仿宋"/>
                <w:b/>
                <w:bCs/>
                <w:color w:val="000000"/>
                <w:sz w:val="32"/>
                <w:szCs w:val="32"/>
                <w:u w:val="single"/>
              </w:rPr>
            </w:pPr>
            <w:r>
              <w:rPr>
                <w:rFonts w:hint="eastAsia" w:ascii="仿宋" w:hAnsi="仿宋" w:eastAsia="仿宋" w:cs="仿宋"/>
                <w:sz w:val="32"/>
                <w:szCs w:val="32"/>
                <w:u w:val="single"/>
              </w:rPr>
              <w:t xml:space="preserve">          202</w:t>
            </w:r>
            <w:r>
              <w:rPr>
                <w:rFonts w:hint="eastAsia" w:ascii="仿宋" w:hAnsi="仿宋" w:eastAsia="仿宋" w:cs="仿宋"/>
                <w:sz w:val="32"/>
                <w:szCs w:val="32"/>
                <w:u w:val="single"/>
                <w:lang w:val="en-US" w:eastAsia="zh-CN"/>
              </w:rPr>
              <w:t>3</w:t>
            </w:r>
            <w:r>
              <w:rPr>
                <w:rFonts w:hint="eastAsia" w:ascii="仿宋" w:hAnsi="仿宋" w:eastAsia="仿宋" w:cs="仿宋"/>
                <w:sz w:val="32"/>
                <w:szCs w:val="32"/>
                <w:u w:val="single"/>
              </w:rPr>
              <w:t xml:space="preserve"> 年  月             </w:t>
            </w:r>
          </w:p>
        </w:tc>
      </w:tr>
    </w:tbl>
    <w:p>
      <w:pPr>
        <w:tabs>
          <w:tab w:val="left" w:pos="4410"/>
        </w:tabs>
        <w:ind w:left="-210"/>
        <w:jc w:val="center"/>
        <w:rPr>
          <w:rFonts w:ascii="黑体" w:hAnsi="宋体" w:eastAsia="黑体"/>
          <w:b/>
          <w:bCs/>
          <w:color w:val="000000"/>
          <w:sz w:val="44"/>
          <w:szCs w:val="44"/>
        </w:rPr>
      </w:pPr>
    </w:p>
    <w:p>
      <w:pPr>
        <w:tabs>
          <w:tab w:val="left" w:pos="4410"/>
        </w:tabs>
        <w:ind w:left="-210"/>
        <w:jc w:val="center"/>
        <w:rPr>
          <w:rFonts w:ascii="黑体" w:hAnsi="宋体" w:eastAsia="黑体"/>
          <w:b/>
          <w:bCs/>
          <w:color w:val="000000"/>
          <w:sz w:val="24"/>
          <w:szCs w:val="24"/>
        </w:rPr>
      </w:pPr>
    </w:p>
    <w:p>
      <w:pPr>
        <w:pStyle w:val="2"/>
      </w:pPr>
    </w:p>
    <w:p>
      <w:pPr>
        <w:spacing w:line="360" w:lineRule="auto"/>
        <w:rPr>
          <w:rFonts w:hint="eastAsia" w:ascii="仿宋_GB2312" w:hAnsi="仿宋_GB2312" w:eastAsia="仿宋_GB2312" w:cs="仿宋_GB2312"/>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根据《深圳经济特区特种设备安全条例》相关要求，甲方委托乙方开展</w:t>
      </w:r>
      <w:r>
        <w:rPr>
          <w:rFonts w:hint="eastAsia" w:ascii="宋体" w:hAnsi="宋体" w:eastAsia="宋体" w:cs="宋体"/>
          <w:sz w:val="24"/>
          <w:szCs w:val="24"/>
          <w:u w:val="single"/>
        </w:rPr>
        <w:t xml:space="preserve"> 深圳会展中心电梯安全评估 </w:t>
      </w:r>
      <w:r>
        <w:rPr>
          <w:rFonts w:hint="eastAsia" w:ascii="宋体" w:hAnsi="宋体" w:eastAsia="宋体" w:cs="宋体"/>
          <w:sz w:val="24"/>
          <w:szCs w:val="24"/>
        </w:rPr>
        <w:t>技术服务工作。甲乙双方本着友好合作的精神，依据《中华人民共和国民法典》，为明确双方权利义务，经双方协商，签订以下合同条款。</w:t>
      </w:r>
    </w:p>
    <w:p>
      <w:pPr>
        <w:spacing w:line="360" w:lineRule="auto"/>
        <w:ind w:firstLine="525"/>
        <w:outlineLvl w:val="0"/>
        <w:rPr>
          <w:rFonts w:hint="eastAsia" w:ascii="宋体" w:hAnsi="宋体" w:eastAsia="宋体" w:cs="宋体"/>
          <w:sz w:val="24"/>
          <w:szCs w:val="24"/>
        </w:rPr>
      </w:pPr>
    </w:p>
    <w:p>
      <w:pPr>
        <w:spacing w:line="360" w:lineRule="auto"/>
        <w:ind w:firstLine="525"/>
        <w:outlineLvl w:val="0"/>
        <w:rPr>
          <w:rFonts w:hint="eastAsia" w:ascii="宋体" w:hAnsi="宋体" w:eastAsia="宋体" w:cs="宋体"/>
          <w:sz w:val="24"/>
          <w:szCs w:val="24"/>
        </w:rPr>
      </w:pPr>
      <w:r>
        <w:rPr>
          <w:rFonts w:hint="eastAsia" w:ascii="宋体" w:hAnsi="宋体" w:eastAsia="宋体" w:cs="宋体"/>
          <w:sz w:val="24"/>
          <w:szCs w:val="24"/>
        </w:rPr>
        <w:t>一、乙方提供在用电梯安全评估范围、内容和依据</w:t>
      </w:r>
    </w:p>
    <w:p>
      <w:pPr>
        <w:spacing w:line="360" w:lineRule="auto"/>
        <w:ind w:left="105" w:leftChars="50" w:firstLine="360" w:firstLineChars="150"/>
        <w:rPr>
          <w:rFonts w:hint="eastAsia" w:ascii="宋体" w:hAnsi="宋体" w:eastAsia="宋体" w:cs="宋体"/>
          <w:sz w:val="24"/>
          <w:szCs w:val="24"/>
        </w:rPr>
      </w:pPr>
      <w:r>
        <w:rPr>
          <w:rFonts w:hint="eastAsia" w:ascii="宋体" w:hAnsi="宋体" w:eastAsia="宋体" w:cs="宋体"/>
          <w:sz w:val="24"/>
          <w:szCs w:val="24"/>
        </w:rPr>
        <w:t>1.范围：经甲乙双方商定，安全评估范围确定为</w:t>
      </w:r>
      <w:r>
        <w:rPr>
          <w:rFonts w:hint="eastAsia" w:ascii="宋体" w:hAnsi="宋体" w:eastAsia="宋体" w:cs="宋体"/>
          <w:sz w:val="24"/>
          <w:szCs w:val="24"/>
          <w:lang w:val="en-US" w:eastAsia="zh-CN"/>
        </w:rPr>
        <w:t>:8</w:t>
      </w:r>
      <w:r>
        <w:rPr>
          <w:rFonts w:hint="eastAsia" w:ascii="宋体" w:hAnsi="宋体" w:eastAsia="宋体" w:cs="宋体"/>
          <w:sz w:val="24"/>
          <w:szCs w:val="24"/>
        </w:rPr>
        <w:t>台曳引式乘客电梯和</w:t>
      </w:r>
      <w:r>
        <w:rPr>
          <w:rFonts w:hint="eastAsia" w:ascii="宋体" w:hAnsi="宋体" w:eastAsia="宋体" w:cs="宋体"/>
          <w:sz w:val="24"/>
          <w:szCs w:val="24"/>
          <w:lang w:val="en-US" w:eastAsia="zh-CN"/>
        </w:rPr>
        <w:t>6</w:t>
      </w:r>
      <w:r>
        <w:rPr>
          <w:rFonts w:hint="eastAsia" w:ascii="宋体" w:hAnsi="宋体" w:eastAsia="宋体" w:cs="宋体"/>
          <w:sz w:val="24"/>
          <w:szCs w:val="24"/>
        </w:rPr>
        <w:t>2台自动扶梯共计</w:t>
      </w:r>
      <w:r>
        <w:rPr>
          <w:rFonts w:hint="eastAsia" w:ascii="宋体" w:hAnsi="宋体" w:eastAsia="宋体" w:cs="宋体"/>
          <w:sz w:val="24"/>
          <w:szCs w:val="24"/>
          <w:lang w:val="en-US" w:eastAsia="zh-CN"/>
        </w:rPr>
        <w:t>70</w:t>
      </w:r>
      <w:r>
        <w:rPr>
          <w:rFonts w:hint="eastAsia" w:ascii="宋体" w:hAnsi="宋体" w:eastAsia="宋体" w:cs="宋体"/>
          <w:sz w:val="24"/>
          <w:szCs w:val="24"/>
        </w:rPr>
        <w:t>台，设备注册代码详见附件1。</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内容：对确定的曳引式乘客电梯和自动扶梯范围，按照国家相关法律、法规、规章和标准等要求，以及甲方提供的资料，乙方通过开展电梯使用状况、电梯安全检测和使用单位、维保单位履行职能情况调查了解，采用风险评价的方法，对电梯的安全性、可靠性和节能环保状况进行评估；指出电梯主要部件存在的安全风险；提出电梯更换、改造、重大修理（含一般修理）、维护保养等建议；出具《在用电梯安全评估报告》</w:t>
      </w:r>
      <w:r>
        <w:rPr>
          <w:rFonts w:hint="eastAsia" w:ascii="宋体" w:hAnsi="宋体" w:eastAsia="宋体" w:cs="宋体"/>
          <w:sz w:val="24"/>
          <w:szCs w:val="24"/>
          <w:highlight w:val="none"/>
        </w:rPr>
        <w:t>并签章</w:t>
      </w:r>
      <w:r>
        <w:rPr>
          <w:rFonts w:hint="eastAsia" w:ascii="宋体" w:hAnsi="宋体" w:eastAsia="宋体" w:cs="宋体"/>
          <w:b/>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3.依据：经甲乙双方商定，在用电梯安全评估技术服务执行《中华人民共和国特种设备安全法》；《特种设备安全监察条例》；《电梯安全评估规程》（SZDB/Z 117-2014）等相关规定。</w:t>
      </w:r>
    </w:p>
    <w:p>
      <w:pPr>
        <w:spacing w:line="360" w:lineRule="auto"/>
        <w:ind w:firstLine="480" w:firstLineChars="200"/>
        <w:rPr>
          <w:rFonts w:hint="eastAsia" w:ascii="宋体" w:hAnsi="宋体" w:eastAsia="宋体" w:cs="宋体"/>
          <w:sz w:val="24"/>
          <w:szCs w:val="24"/>
          <w:u w:val="single"/>
        </w:rPr>
      </w:pPr>
    </w:p>
    <w:p>
      <w:pPr>
        <w:spacing w:line="360" w:lineRule="auto"/>
        <w:ind w:firstLine="525"/>
        <w:outlineLvl w:val="0"/>
        <w:rPr>
          <w:rFonts w:hint="eastAsia" w:ascii="宋体" w:hAnsi="宋体" w:eastAsia="宋体" w:cs="宋体"/>
          <w:sz w:val="24"/>
          <w:szCs w:val="24"/>
        </w:rPr>
      </w:pPr>
      <w:r>
        <w:rPr>
          <w:rFonts w:hint="eastAsia" w:ascii="宋体" w:hAnsi="宋体" w:eastAsia="宋体" w:cs="宋体"/>
          <w:sz w:val="24"/>
          <w:szCs w:val="24"/>
        </w:rPr>
        <w:t>二、双方责任和义务</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（一）甲方：</w:t>
      </w:r>
    </w:p>
    <w:p>
      <w:pPr>
        <w:tabs>
          <w:tab w:val="left" w:pos="2880"/>
        </w:tabs>
        <w:spacing w:line="360" w:lineRule="auto"/>
        <w:ind w:right="-58" w:firstLine="489" w:firstLineChars="204"/>
        <w:jc w:val="left"/>
        <w:rPr>
          <w:rFonts w:hint="eastAsia" w:ascii="宋体" w:hAnsi="宋体" w:eastAsia="宋体" w:cs="宋体"/>
          <w:sz w:val="24"/>
          <w:szCs w:val="24"/>
        </w:rPr>
      </w:pPr>
      <w:r>
        <w:rPr>
          <w:rFonts w:hint="eastAsia" w:ascii="宋体" w:hAnsi="宋体" w:eastAsia="宋体" w:cs="宋体"/>
          <w:sz w:val="24"/>
          <w:szCs w:val="24"/>
        </w:rPr>
        <w:t>1.合同签订后3日内向乙方提供在用电梯评估工作和评估报告编制所需要的电梯有关资料和文件，包括电梯使用、维修保养资料和安全技术档案等。</w:t>
      </w:r>
    </w:p>
    <w:p>
      <w:pPr>
        <w:tabs>
          <w:tab w:val="left" w:pos="2880"/>
        </w:tabs>
        <w:spacing w:line="360" w:lineRule="auto"/>
        <w:ind w:right="-58" w:firstLine="489" w:firstLineChars="204"/>
        <w:jc w:val="left"/>
        <w:rPr>
          <w:rFonts w:hint="eastAsia" w:ascii="宋体" w:hAnsi="宋体" w:eastAsia="宋体" w:cs="宋体"/>
          <w:sz w:val="24"/>
          <w:szCs w:val="24"/>
        </w:rPr>
      </w:pPr>
      <w:r>
        <w:rPr>
          <w:rFonts w:hint="eastAsia" w:ascii="宋体" w:hAnsi="宋体" w:eastAsia="宋体" w:cs="宋体"/>
          <w:sz w:val="24"/>
          <w:szCs w:val="24"/>
        </w:rPr>
        <w:t>2.向乙方提供现场检查测试时所需的便利条件，包括维修保养单位人员的配合，停止电梯使用的时间计划协调等。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3.未经乙方许可，甲方不得将评估报告向无关人员泄露。</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4.甲方根据乙方提出的评估建议进行整改、更换或改造等工作时，甲方有义务督促相关单位，在作业期间必须采取有效的安全保障措施。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5.由于电梯安全工作具有复杂性、长期性和动态性等特点，甲方有义务督促相关单位制定、完善安全管理制度和安全操作规程，定期组织内部检查，发现隐患立即整改。</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（二）乙方：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1.按照甲乙双方确定的在用电梯安全评估范围、内容和依据开展评估工作。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2.乙方保证在用电梯安全评估工作认真、负责，安全评估报告的内容全面、准确，评估结论客观、公正。</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3.乙方对甲方提供的相关资料负有保密义务，未经甲方</w:t>
      </w:r>
      <w:r>
        <w:rPr>
          <w:rFonts w:hint="eastAsia" w:ascii="宋体" w:hAnsi="宋体" w:eastAsia="宋体" w:cs="宋体"/>
          <w:sz w:val="24"/>
          <w:szCs w:val="24"/>
          <w:highlight w:val="none"/>
        </w:rPr>
        <w:t>书面许可，乙方不得向第三方泄露甲方项目有关的任何资料。</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4.乙方应成立评估专家工作组，成员应具备大学本科及以上学历和工程师及以上职称，具备10年以上电梯从业经历，并具备丰富的电梯制造、安装、检验、维修、管理经验。</w:t>
      </w:r>
      <w:r>
        <w:rPr>
          <w:rFonts w:hint="eastAsia" w:ascii="宋体" w:hAnsi="宋体" w:eastAsia="宋体" w:cs="宋体"/>
          <w:sz w:val="24"/>
          <w:szCs w:val="24"/>
          <w:highlight w:val="none"/>
        </w:rPr>
        <w:t>乙方应向甲方提供专家组、现场工作组成员相关资质证书复印件供甲方备案，并保证提供的证书材料真实合法有效。未经甲方书面同意，服务过程中不得更换服务人员。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5.乙方应成立评估现场工作组，现场工作组由多名人员组成，组长应具有电梯检验师资格，成员应具备丰富的现场电梯评估经验。</w:t>
      </w:r>
    </w:p>
    <w:p>
      <w:pPr>
        <w:tabs>
          <w:tab w:val="left" w:pos="2880"/>
        </w:tabs>
        <w:spacing w:line="360" w:lineRule="auto"/>
        <w:ind w:right="-58" w:firstLine="480" w:firstLineChars="200"/>
        <w:jc w:val="left"/>
        <w:rPr>
          <w:rFonts w:hint="eastAsia" w:ascii="宋体" w:hAnsi="宋体" w:eastAsia="宋体" w:cs="宋体"/>
          <w:sz w:val="24"/>
          <w:szCs w:val="24"/>
        </w:rPr>
      </w:pPr>
      <w:r>
        <w:rPr>
          <w:rFonts w:hint="eastAsia" w:ascii="宋体" w:hAnsi="宋体" w:eastAsia="宋体" w:cs="宋体"/>
          <w:sz w:val="24"/>
          <w:szCs w:val="24"/>
        </w:rPr>
        <w:t>6.在评估工作开展过程中，乙方应加强与甲方的直接沟通，就发现的重大问题或其它需要告知甲方的事项及时通报甲方。</w:t>
      </w:r>
    </w:p>
    <w:p>
      <w:pPr>
        <w:tabs>
          <w:tab w:val="left" w:pos="2880"/>
        </w:tabs>
        <w:spacing w:line="360" w:lineRule="auto"/>
        <w:ind w:right="-58" w:firstLine="480" w:firstLineChars="200"/>
        <w:jc w:val="left"/>
        <w:rPr>
          <w:rFonts w:hint="eastAsia" w:ascii="宋体" w:hAnsi="宋体" w:eastAsia="宋体" w:cs="宋体"/>
          <w:sz w:val="24"/>
          <w:szCs w:val="24"/>
        </w:rPr>
      </w:pPr>
      <w:r>
        <w:rPr>
          <w:rFonts w:hint="eastAsia" w:ascii="宋体" w:hAnsi="宋体" w:eastAsia="宋体" w:cs="宋体"/>
          <w:sz w:val="24"/>
          <w:szCs w:val="24"/>
          <w:highlight w:val="none"/>
        </w:rPr>
        <w:t>7.在具备进行评估条件的情况下，</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xx</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个日历日内完成本次甲方在用电梯安全的评估项目。在现场安全评估完成后</w:t>
      </w:r>
      <w:r>
        <w:rPr>
          <w:rFonts w:hint="eastAsia" w:ascii="宋体" w:hAnsi="宋体" w:eastAsia="宋体" w:cs="宋体"/>
          <w:sz w:val="24"/>
          <w:szCs w:val="24"/>
          <w:highlight w:val="none"/>
          <w:u w:val="single"/>
          <w:lang w:val="en-US" w:eastAsia="zh-CN"/>
        </w:rPr>
        <w:t>xx</w:t>
      </w:r>
      <w:r>
        <w:rPr>
          <w:rFonts w:hint="eastAsia" w:ascii="宋体" w:hAnsi="宋体" w:eastAsia="宋体" w:cs="宋体"/>
          <w:b/>
          <w:sz w:val="24"/>
          <w:szCs w:val="24"/>
          <w:highlight w:val="none"/>
          <w:u w:val="single"/>
        </w:rPr>
        <w:t>个日历日</w:t>
      </w:r>
      <w:r>
        <w:rPr>
          <w:rFonts w:hint="eastAsia" w:ascii="宋体" w:hAnsi="宋体" w:eastAsia="宋体" w:cs="宋体"/>
          <w:sz w:val="24"/>
          <w:szCs w:val="24"/>
          <w:highlight w:val="none"/>
        </w:rPr>
        <w:t>内，乙方须</w:t>
      </w:r>
      <w:r>
        <w:rPr>
          <w:rFonts w:hint="eastAsia" w:ascii="宋体" w:hAnsi="宋体" w:eastAsia="宋体" w:cs="宋体"/>
          <w:sz w:val="24"/>
          <w:szCs w:val="24"/>
        </w:rPr>
        <w:t>向甲方提交符合约定要求的安全评估报告书。</w:t>
      </w:r>
    </w:p>
    <w:p>
      <w:pPr>
        <w:tabs>
          <w:tab w:val="left" w:pos="2880"/>
        </w:tabs>
        <w:spacing w:line="360" w:lineRule="auto"/>
        <w:ind w:right="-58"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8.对甲方要求的其他工作内容，双方协商解决。</w:t>
      </w:r>
    </w:p>
    <w:p>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9.未经甲方书面同意，不得将本合同服务义务部分或全部转包、分包给第三方。</w:t>
      </w:r>
    </w:p>
    <w:p>
      <w:pPr>
        <w:tabs>
          <w:tab w:val="left" w:pos="2880"/>
        </w:tabs>
        <w:spacing w:line="360" w:lineRule="auto"/>
        <w:ind w:right="-58" w:firstLine="480" w:firstLineChars="200"/>
        <w:jc w:val="left"/>
        <w:rPr>
          <w:rFonts w:hint="eastAsia" w:ascii="宋体" w:hAnsi="宋体" w:eastAsia="宋体" w:cs="宋体"/>
          <w:sz w:val="24"/>
          <w:szCs w:val="24"/>
        </w:rPr>
      </w:pPr>
    </w:p>
    <w:p>
      <w:pPr>
        <w:spacing w:line="360" w:lineRule="auto"/>
        <w:ind w:firstLine="525"/>
        <w:outlineLvl w:val="0"/>
        <w:rPr>
          <w:rFonts w:hint="eastAsia" w:ascii="宋体" w:hAnsi="宋体" w:eastAsia="宋体" w:cs="宋体"/>
          <w:sz w:val="24"/>
          <w:szCs w:val="24"/>
        </w:rPr>
      </w:pPr>
      <w:r>
        <w:rPr>
          <w:rFonts w:hint="eastAsia" w:ascii="宋体" w:hAnsi="宋体" w:eastAsia="宋体" w:cs="宋体"/>
          <w:sz w:val="24"/>
          <w:szCs w:val="24"/>
        </w:rPr>
        <w:t>三. 合同价款及支付方式</w:t>
      </w:r>
    </w:p>
    <w:p>
      <w:pPr>
        <w:tabs>
          <w:tab w:val="left" w:pos="2880"/>
        </w:tabs>
        <w:spacing w:line="360" w:lineRule="auto"/>
        <w:ind w:right="-58"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1.安全评估费用：</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台曳引式乘客电梯和</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2台自动扶梯共计人民币</w:t>
      </w:r>
      <w:r>
        <w:rPr>
          <w:rFonts w:hint="eastAsia" w:ascii="宋体" w:hAnsi="宋体" w:eastAsia="宋体" w:cs="宋体"/>
          <w:sz w:val="24"/>
          <w:szCs w:val="24"/>
          <w:highlight w:val="none"/>
          <w:u w:val="single"/>
          <w:lang w:val="en-US" w:eastAsia="zh-CN"/>
        </w:rPr>
        <w:t>xxxxxxxxxx</w:t>
      </w:r>
      <w:r>
        <w:rPr>
          <w:rFonts w:hint="eastAsia" w:ascii="宋体" w:hAnsi="宋体" w:eastAsia="宋体" w:cs="宋体"/>
          <w:sz w:val="24"/>
          <w:szCs w:val="24"/>
          <w:highlight w:val="none"/>
          <w:u w:val="singl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2.甲方收到乙方评估报告</w:t>
      </w:r>
      <w:r>
        <w:rPr>
          <w:rFonts w:hint="eastAsia" w:ascii="宋体" w:hAnsi="宋体" w:eastAsia="宋体" w:cs="宋体"/>
          <w:sz w:val="24"/>
          <w:szCs w:val="24"/>
          <w:highlight w:val="none"/>
          <w:lang w:val="en-US" w:eastAsia="zh-CN"/>
        </w:rPr>
        <w:t>和</w:t>
      </w:r>
      <w:r>
        <w:rPr>
          <w:rFonts w:hint="eastAsia" w:ascii="宋体" w:hAnsi="宋体" w:eastAsia="宋体" w:cs="宋体"/>
          <w:sz w:val="24"/>
          <w:szCs w:val="24"/>
          <w:highlight w:val="none"/>
        </w:rPr>
        <w:t>真实合法有效增值税发票</w:t>
      </w:r>
      <w:r>
        <w:rPr>
          <w:rFonts w:hint="eastAsia" w:ascii="宋体" w:hAnsi="宋体" w:eastAsia="宋体" w:cs="宋体"/>
          <w:sz w:val="24"/>
          <w:szCs w:val="24"/>
          <w:highlight w:val="none"/>
          <w:lang w:val="en-US" w:eastAsia="zh-CN"/>
        </w:rPr>
        <w:t>后</w:t>
      </w:r>
      <w:r>
        <w:rPr>
          <w:rFonts w:hint="eastAsia" w:ascii="宋体" w:hAnsi="宋体" w:eastAsia="宋体" w:cs="宋体"/>
          <w:sz w:val="24"/>
          <w:szCs w:val="24"/>
          <w:highlight w:val="none"/>
        </w:rPr>
        <w:t>向乙方一次性支付合同款人民币。</w:t>
      </w:r>
    </w:p>
    <w:p>
      <w:pPr>
        <w:spacing w:line="360" w:lineRule="auto"/>
        <w:ind w:firstLine="525"/>
        <w:outlineLvl w:val="0"/>
        <w:rPr>
          <w:rFonts w:hint="eastAsia" w:ascii="宋体" w:hAnsi="宋体" w:eastAsia="宋体" w:cs="宋体"/>
          <w:sz w:val="24"/>
          <w:szCs w:val="24"/>
        </w:rPr>
      </w:pPr>
      <w:r>
        <w:rPr>
          <w:rFonts w:hint="eastAsia" w:ascii="宋体" w:hAnsi="宋体" w:eastAsia="宋体" w:cs="宋体"/>
          <w:sz w:val="24"/>
          <w:szCs w:val="24"/>
        </w:rPr>
        <w:t>四、合同变更</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本合同的变更必须由双方协商一致，并以书面形式确定。</w:t>
      </w:r>
    </w:p>
    <w:p>
      <w:pPr>
        <w:spacing w:line="360" w:lineRule="auto"/>
        <w:ind w:firstLine="600" w:firstLineChars="250"/>
        <w:rPr>
          <w:rFonts w:hint="eastAsia" w:ascii="宋体" w:hAnsi="宋体" w:eastAsia="宋体" w:cs="宋体"/>
          <w:sz w:val="24"/>
          <w:szCs w:val="24"/>
        </w:rPr>
      </w:pPr>
    </w:p>
    <w:p>
      <w:pPr>
        <w:spacing w:line="360" w:lineRule="auto"/>
        <w:ind w:firstLine="525"/>
        <w:outlineLvl w:val="0"/>
        <w:rPr>
          <w:rFonts w:hint="eastAsia" w:ascii="宋体" w:hAnsi="宋体" w:eastAsia="宋体" w:cs="宋体"/>
          <w:sz w:val="24"/>
          <w:szCs w:val="24"/>
        </w:rPr>
      </w:pPr>
      <w:r>
        <w:rPr>
          <w:rFonts w:hint="eastAsia" w:ascii="宋体" w:hAnsi="宋体" w:eastAsia="宋体" w:cs="宋体"/>
          <w:sz w:val="24"/>
          <w:szCs w:val="24"/>
        </w:rPr>
        <w:t>五、合同解除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双方确定，在合同的执行过程中，出现下列情形，致使本合同的履行成为不必要或不可能的，可以解除本合同，但对于乙方已经完成的全部或部分工作，甲方应按照合同额支付全部或部分的费用：</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1.发生不可抗力（如战争、自然灾害、瘟疫等）。</w:t>
      </w:r>
    </w:p>
    <w:p>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2.甲方提供虚假资料且导致合同无法履行的，或乙方未按本合同约定时间和标准完成服务事项的。</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highlight w:val="none"/>
        </w:rPr>
        <w:t>3.国家出台相关法律法规文件等致使项目无法满</w:t>
      </w:r>
      <w:r>
        <w:rPr>
          <w:rFonts w:hint="eastAsia" w:ascii="宋体" w:hAnsi="宋体" w:eastAsia="宋体" w:cs="宋体"/>
          <w:sz w:val="24"/>
          <w:szCs w:val="24"/>
        </w:rPr>
        <w:t>足同等法律法规文件的要求，同时甲方又不愿意按照国家新的规定进行改变的。</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4.其他按法律、法规可以解除的情形。</w:t>
      </w:r>
    </w:p>
    <w:p>
      <w:pPr>
        <w:spacing w:line="360" w:lineRule="auto"/>
        <w:ind w:firstLine="525"/>
        <w:outlineLvl w:val="0"/>
        <w:rPr>
          <w:rFonts w:hint="eastAsia" w:ascii="宋体" w:hAnsi="宋体" w:eastAsia="宋体" w:cs="宋体"/>
          <w:sz w:val="24"/>
          <w:szCs w:val="24"/>
        </w:rPr>
      </w:pPr>
      <w:r>
        <w:rPr>
          <w:rFonts w:hint="eastAsia" w:ascii="宋体" w:hAnsi="宋体" w:eastAsia="宋体" w:cs="宋体"/>
          <w:sz w:val="24"/>
          <w:szCs w:val="24"/>
        </w:rPr>
        <w:t>六、违约责任：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1.甲方未及时提供必要资料或提供便利必要条件等造成工期拖延，责任由甲方承担。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2.甲方确保向乙方提供的资料真实，否则造成的一切后果由甲方承担。</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3.在评估过程中，由于乙方失误造成的损失，甲方可以</w:t>
      </w:r>
      <w:r>
        <w:rPr>
          <w:rFonts w:hint="eastAsia" w:ascii="宋体" w:hAnsi="宋体" w:eastAsia="宋体" w:cs="宋体"/>
          <w:sz w:val="24"/>
          <w:szCs w:val="24"/>
          <w:highlight w:val="none"/>
        </w:rPr>
        <w:t>提出索赔。赔偿范围包括甲方实际损失及诉讼费、鉴定费、律师费、差旅费等维权费用。</w:t>
      </w:r>
    </w:p>
    <w:p>
      <w:pPr>
        <w:spacing w:line="360" w:lineRule="auto"/>
        <w:ind w:firstLine="480" w:firstLineChars="200"/>
        <w:rPr>
          <w:rFonts w:hint="eastAsia" w:ascii="宋体" w:hAnsi="宋体" w:eastAsia="宋体" w:cs="宋体"/>
          <w:sz w:val="24"/>
          <w:szCs w:val="24"/>
          <w:highlight w:val="none"/>
        </w:rPr>
      </w:pPr>
    </w:p>
    <w:p>
      <w:pPr>
        <w:spacing w:line="360" w:lineRule="auto"/>
        <w:ind w:firstLine="525"/>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七、合同争议与解决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双方因履行本合同而发生的争议，应协商、调解解决。协商、调解不成的，依法向甲方属地人民法院起诉</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八、附则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1.本合同正本一式</w:t>
      </w:r>
      <w:r>
        <w:rPr>
          <w:rFonts w:hint="eastAsia" w:ascii="宋体" w:hAnsi="宋体" w:eastAsia="宋体" w:cs="宋体"/>
          <w:sz w:val="24"/>
          <w:szCs w:val="24"/>
          <w:lang w:eastAsia="zh-CN"/>
        </w:rPr>
        <w:t>陆</w:t>
      </w:r>
      <w:r>
        <w:rPr>
          <w:rFonts w:hint="eastAsia" w:ascii="宋体" w:hAnsi="宋体" w:eastAsia="宋体" w:cs="宋体"/>
          <w:sz w:val="24"/>
          <w:szCs w:val="24"/>
        </w:rPr>
        <w:t>份，甲方持</w:t>
      </w:r>
      <w:r>
        <w:rPr>
          <w:rFonts w:hint="eastAsia" w:ascii="宋体" w:hAnsi="宋体" w:eastAsia="宋体" w:cs="宋体"/>
          <w:sz w:val="24"/>
          <w:szCs w:val="24"/>
          <w:lang w:eastAsia="zh-CN"/>
        </w:rPr>
        <w:t>肆</w:t>
      </w:r>
      <w:r>
        <w:rPr>
          <w:rFonts w:hint="eastAsia" w:ascii="宋体" w:hAnsi="宋体" w:eastAsia="宋体" w:cs="宋体"/>
          <w:sz w:val="24"/>
          <w:szCs w:val="24"/>
        </w:rPr>
        <w:t>份，乙方持</w:t>
      </w:r>
      <w:r>
        <w:rPr>
          <w:rFonts w:hint="eastAsia" w:ascii="宋体" w:hAnsi="宋体" w:eastAsia="宋体" w:cs="宋体"/>
          <w:sz w:val="24"/>
          <w:szCs w:val="24"/>
          <w:lang w:val="en-US" w:eastAsia="zh-CN"/>
        </w:rPr>
        <w:t>贰</w:t>
      </w:r>
      <w:r>
        <w:rPr>
          <w:rFonts w:hint="eastAsia" w:ascii="宋体" w:hAnsi="宋体" w:eastAsia="宋体" w:cs="宋体"/>
          <w:sz w:val="24"/>
          <w:szCs w:val="24"/>
        </w:rPr>
        <w:t>份，双方盖章后生效。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2.本合同未尽事宜，双方协商解决或签订补充协议，补充协议与本合同有同等效力。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3.附件《深圳会展中心与合作单位安全协议书》作为本合同的组成部分。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 本合同载明的联系方式（包括通讯地址、联系人、联系电话）为双方约定的联系方式，若有变动，应提前书面告知对方，否则该联系方式为双方法定的送达和联系方式</w:t>
      </w:r>
      <w:bookmarkStart w:id="59" w:name="_Hlk90307309"/>
      <w:r>
        <w:rPr>
          <w:rFonts w:hint="eastAsia" w:ascii="宋体" w:hAnsi="宋体" w:eastAsia="宋体" w:cs="宋体"/>
          <w:sz w:val="24"/>
          <w:szCs w:val="24"/>
          <w:highlight w:val="none"/>
        </w:rPr>
        <w:t>，一经发送至上述地址即视为送达</w:t>
      </w:r>
      <w:bookmarkEnd w:id="59"/>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（以下无正文，为合同签章页）</w:t>
      </w:r>
    </w:p>
    <w:p>
      <w:pPr>
        <w:spacing w:line="360" w:lineRule="auto"/>
        <w:ind w:firstLine="480" w:firstLineChars="200"/>
        <w:rPr>
          <w:rFonts w:eastAsia="仿宋_GB2312" w:asciiTheme="minorHAnsi" w:hAnsiTheme="minorHAnsi"/>
          <w:sz w:val="24"/>
        </w:rPr>
      </w:pPr>
    </w:p>
    <w:p>
      <w:pPr>
        <w:spacing w:line="360" w:lineRule="auto"/>
        <w:rPr>
          <w:rFonts w:asciiTheme="minorHAnsi" w:hAnsiTheme="minorHAnsi"/>
          <w:sz w:val="24"/>
          <w:u w:val="single"/>
        </w:rPr>
      </w:pPr>
      <w:r>
        <w:rPr>
          <w:rFonts w:eastAsia="黑体" w:asciiTheme="minorHAnsi" w:hAnsiTheme="minorHAnsi"/>
          <w:b/>
          <w:sz w:val="24"/>
        </w:rPr>
        <w:t>委托方</w:t>
      </w:r>
      <w:r>
        <w:rPr>
          <w:rFonts w:hAnsi="宋体" w:asciiTheme="minorHAnsi"/>
          <w:sz w:val="24"/>
        </w:rPr>
        <w:t>（</w:t>
      </w:r>
      <w:r>
        <w:rPr>
          <w:rFonts w:eastAsia="楷体_GB2312" w:asciiTheme="minorHAnsi" w:hAnsiTheme="minorHAnsi"/>
          <w:sz w:val="24"/>
        </w:rPr>
        <w:t>甲方</w:t>
      </w:r>
      <w:r>
        <w:rPr>
          <w:rFonts w:hAnsi="宋体" w:asciiTheme="minorHAnsi"/>
          <w:sz w:val="24"/>
        </w:rPr>
        <w:t>）：</w:t>
      </w:r>
      <w:r>
        <w:rPr>
          <w:rFonts w:hint="eastAsia" w:hAnsi="宋体" w:asciiTheme="minorHAnsi"/>
          <w:sz w:val="24"/>
        </w:rPr>
        <w:t xml:space="preserve"> </w:t>
      </w:r>
      <w:r>
        <w:rPr>
          <w:rFonts w:hint="eastAsia" w:eastAsia="仿宋_GB2312" w:asciiTheme="minorHAnsi" w:hAnsiTheme="minorHAnsi"/>
          <w:sz w:val="24"/>
          <w:u w:val="single"/>
        </w:rPr>
        <w:t>深圳会展中心管理有限责任公司</w:t>
      </w:r>
    </w:p>
    <w:p>
      <w:pPr>
        <w:spacing w:line="360" w:lineRule="auto"/>
        <w:rPr>
          <w:rFonts w:ascii="仿宋_GB2312" w:eastAsia="仿宋_GB2312" w:hAnsiTheme="minorHAnsi"/>
          <w:sz w:val="24"/>
        </w:rPr>
      </w:pPr>
      <w:r>
        <w:rPr>
          <w:rFonts w:hint="eastAsia" w:ascii="仿宋_GB2312" w:eastAsia="仿宋_GB2312" w:hAnsiTheme="minorHAnsi"/>
          <w:sz w:val="24"/>
        </w:rPr>
        <w:t xml:space="preserve">法定代表人或授权代表：                  </w:t>
      </w:r>
    </w:p>
    <w:p>
      <w:pPr>
        <w:spacing w:line="360" w:lineRule="auto"/>
        <w:rPr>
          <w:rFonts w:ascii="仿宋_GB2312" w:eastAsia="仿宋_GB2312" w:hAnsiTheme="minorHAnsi"/>
          <w:sz w:val="24"/>
        </w:rPr>
      </w:pPr>
    </w:p>
    <w:p>
      <w:pPr>
        <w:spacing w:line="360" w:lineRule="auto"/>
        <w:rPr>
          <w:rFonts w:ascii="仿宋_GB2312" w:hAnsi="宋体" w:eastAsia="仿宋_GB2312"/>
          <w:sz w:val="24"/>
        </w:rPr>
      </w:pPr>
      <w:r>
        <w:rPr>
          <w:rFonts w:hint="eastAsia" w:ascii="仿宋_GB2312" w:eastAsia="仿宋_GB2312" w:hAnsiTheme="minorHAnsi"/>
          <w:sz w:val="24"/>
        </w:rPr>
        <w:t>签章日期：</w:t>
      </w:r>
      <w:r>
        <w:rPr>
          <w:rFonts w:hint="eastAsia" w:ascii="仿宋_GB2312" w:eastAsia="仿宋_GB2312" w:hAnsiTheme="minorHAnsi"/>
          <w:sz w:val="24"/>
          <w:u w:val="single"/>
        </w:rPr>
        <w:t xml:space="preserve">    </w:t>
      </w:r>
      <w:r>
        <w:rPr>
          <w:rFonts w:hint="eastAsia" w:ascii="仿宋_GB2312" w:hAnsi="宋体" w:eastAsia="仿宋_GB2312"/>
          <w:sz w:val="24"/>
          <w:u w:val="single"/>
        </w:rPr>
        <w:t xml:space="preserve">年  月  日  </w:t>
      </w:r>
      <w:r>
        <w:rPr>
          <w:rFonts w:hint="eastAsia" w:ascii="仿宋_GB2312" w:hAnsi="宋体" w:eastAsia="仿宋_GB2312"/>
          <w:sz w:val="24"/>
        </w:rPr>
        <w:t xml:space="preserve">     </w:t>
      </w:r>
    </w:p>
    <w:p>
      <w:pPr>
        <w:spacing w:line="360" w:lineRule="auto"/>
        <w:rPr>
          <w:rFonts w:ascii="仿宋_GB2312" w:hAnsi="宋体" w:eastAsia="仿宋_GB2312"/>
          <w:sz w:val="24"/>
        </w:rPr>
      </w:pPr>
    </w:p>
    <w:p>
      <w:pPr>
        <w:spacing w:line="360" w:lineRule="auto"/>
        <w:rPr>
          <w:rFonts w:hint="default" w:eastAsia="宋体" w:asciiTheme="minorHAnsi" w:hAnsiTheme="minorHAnsi"/>
          <w:sz w:val="24"/>
          <w:u w:val="single"/>
          <w:lang w:val="en-US" w:eastAsia="zh-CN"/>
        </w:rPr>
      </w:pPr>
      <w:r>
        <w:rPr>
          <w:rFonts w:eastAsia="黑体" w:asciiTheme="minorHAnsi" w:hAnsiTheme="minorHAnsi"/>
          <w:b/>
          <w:sz w:val="24"/>
        </w:rPr>
        <w:t>受托方</w:t>
      </w:r>
      <w:r>
        <w:rPr>
          <w:rFonts w:hAnsi="宋体" w:asciiTheme="minorHAnsi"/>
          <w:sz w:val="24"/>
        </w:rPr>
        <w:t>（</w:t>
      </w:r>
      <w:r>
        <w:rPr>
          <w:rFonts w:eastAsia="楷体_GB2312" w:asciiTheme="minorHAnsi" w:hAnsiTheme="minorHAnsi"/>
          <w:sz w:val="24"/>
        </w:rPr>
        <w:t>乙方</w:t>
      </w:r>
      <w:r>
        <w:rPr>
          <w:rFonts w:hAnsi="宋体" w:asciiTheme="minorHAnsi"/>
          <w:sz w:val="24"/>
        </w:rPr>
        <w:t>）：</w:t>
      </w:r>
      <w:r>
        <w:rPr>
          <w:rFonts w:hint="eastAsia" w:eastAsia="仿宋_GB2312" w:asciiTheme="minorHAnsi" w:hAnsiTheme="minorHAnsi"/>
          <w:sz w:val="24"/>
          <w:u w:val="single"/>
          <w:lang w:val="en-US" w:eastAsia="zh-CN"/>
        </w:rPr>
        <w:t xml:space="preserve">                       </w:t>
      </w:r>
    </w:p>
    <w:p>
      <w:pPr>
        <w:spacing w:line="360" w:lineRule="auto"/>
        <w:rPr>
          <w:rFonts w:ascii="仿宋_GB2312" w:eastAsia="仿宋_GB2312" w:hAnsiTheme="minorHAnsi"/>
          <w:sz w:val="24"/>
        </w:rPr>
      </w:pPr>
      <w:r>
        <w:rPr>
          <w:rFonts w:hint="eastAsia" w:ascii="仿宋_GB2312" w:eastAsia="仿宋_GB2312" w:hAnsiTheme="minorHAnsi"/>
          <w:sz w:val="24"/>
        </w:rPr>
        <w:t>法定代表人或授权代表：</w:t>
      </w:r>
    </w:p>
    <w:p>
      <w:pPr>
        <w:spacing w:line="360" w:lineRule="auto"/>
        <w:rPr>
          <w:rFonts w:ascii="仿宋_GB2312" w:eastAsia="仿宋_GB2312" w:hAnsiTheme="minorHAnsi"/>
          <w:sz w:val="24"/>
        </w:rPr>
      </w:pPr>
    </w:p>
    <w:p>
      <w:pPr>
        <w:spacing w:line="360" w:lineRule="auto"/>
        <w:rPr>
          <w:rFonts w:ascii="仿宋_GB2312" w:eastAsia="仿宋_GB2312" w:hAnsiTheme="minorHAnsi"/>
          <w:sz w:val="24"/>
          <w:u w:val="single"/>
        </w:rPr>
      </w:pPr>
      <w:r>
        <w:rPr>
          <w:rFonts w:hint="eastAsia" w:ascii="仿宋_GB2312" w:hAnsi="宋体" w:eastAsia="仿宋_GB2312"/>
          <w:sz w:val="24"/>
        </w:rPr>
        <w:t xml:space="preserve"> </w:t>
      </w:r>
      <w:r>
        <w:rPr>
          <w:rFonts w:hint="eastAsia" w:ascii="仿宋_GB2312" w:eastAsia="仿宋_GB2312" w:hAnsiTheme="minorHAnsi"/>
          <w:sz w:val="24"/>
        </w:rPr>
        <w:t>签章日期：</w:t>
      </w:r>
      <w:r>
        <w:rPr>
          <w:rFonts w:hint="eastAsia" w:ascii="仿宋_GB2312" w:eastAsia="仿宋_GB2312" w:hAnsiTheme="minorHAnsi"/>
          <w:sz w:val="24"/>
          <w:u w:val="single"/>
        </w:rPr>
        <w:t xml:space="preserve">   年    月    日</w:t>
      </w: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pStyle w:val="2"/>
        <w:rPr>
          <w:rFonts w:hint="eastAsia"/>
          <w:b/>
          <w:sz w:val="32"/>
          <w:szCs w:val="32"/>
        </w:rPr>
      </w:pPr>
    </w:p>
    <w:p>
      <w:pPr>
        <w:rPr>
          <w:rFonts w:hint="eastAsia"/>
          <w:b/>
          <w:sz w:val="32"/>
          <w:szCs w:val="32"/>
        </w:rPr>
      </w:pPr>
    </w:p>
    <w:p>
      <w:pPr>
        <w:pStyle w:val="2"/>
        <w:rPr>
          <w:rFonts w:hint="eastAsia"/>
          <w:b/>
          <w:sz w:val="32"/>
          <w:szCs w:val="32"/>
        </w:rPr>
      </w:pPr>
    </w:p>
    <w:p>
      <w:pPr>
        <w:rPr>
          <w:rFonts w:hint="eastAsia"/>
          <w:b/>
          <w:sz w:val="32"/>
          <w:szCs w:val="32"/>
        </w:rPr>
      </w:pPr>
    </w:p>
    <w:p>
      <w:pPr>
        <w:pStyle w:val="2"/>
        <w:rPr>
          <w:rFonts w:hint="eastAsia"/>
          <w:b/>
          <w:sz w:val="32"/>
          <w:szCs w:val="32"/>
        </w:rPr>
      </w:pPr>
    </w:p>
    <w:p>
      <w:pPr>
        <w:rPr>
          <w:rFonts w:hint="eastAsia"/>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ascii="仿宋" w:hAnsi="仿宋" w:eastAsia="仿宋"/>
          <w:sz w:val="32"/>
          <w:szCs w:val="32"/>
        </w:rPr>
      </w:pPr>
      <w:r>
        <w:rPr>
          <w:rFonts w:hint="eastAsia"/>
          <w:b/>
          <w:sz w:val="32"/>
          <w:szCs w:val="32"/>
        </w:rPr>
        <w:t>第五部分：参考附件</w:t>
      </w:r>
      <w:bookmarkEnd w:id="58"/>
    </w:p>
    <w:p>
      <w:pPr>
        <w:spacing w:line="0" w:lineRule="atLeast"/>
        <w:outlineLvl w:val="1"/>
        <w:rPr>
          <w:rFonts w:ascii="宋体" w:hAnsi="宋体"/>
        </w:rPr>
      </w:pPr>
      <w:bookmarkStart w:id="60" w:name="_Toc116550360"/>
      <w:r>
        <w:rPr>
          <w:rFonts w:hint="eastAsia" w:ascii="宋体" w:hAnsi="宋体"/>
          <w:szCs w:val="21"/>
        </w:rPr>
        <w:t>附件1：</w:t>
      </w:r>
      <w:r>
        <w:rPr>
          <w:rFonts w:hint="eastAsia" w:ascii="宋体" w:hAnsi="宋体"/>
        </w:rPr>
        <w:t>报名回函</w:t>
      </w:r>
      <w:bookmarkEnd w:id="60"/>
    </w:p>
    <w:p>
      <w:pPr>
        <w:pStyle w:val="12"/>
      </w:pPr>
    </w:p>
    <w:p>
      <w:pPr>
        <w:pStyle w:val="13"/>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7"/>
        <w:rPr>
          <w:b/>
          <w:sz w:val="21"/>
          <w:szCs w:val="21"/>
        </w:rPr>
      </w:pPr>
    </w:p>
    <w:p>
      <w:pPr>
        <w:widowControl/>
        <w:jc w:val="left"/>
        <w:rPr>
          <w:b/>
          <w:szCs w:val="21"/>
        </w:rPr>
      </w:pPr>
      <w:r>
        <w:rPr>
          <w:b/>
          <w:szCs w:val="21"/>
        </w:rPr>
        <w:br w:type="page"/>
      </w:r>
    </w:p>
    <w:p>
      <w:pPr>
        <w:pStyle w:val="7"/>
        <w:rPr>
          <w:b/>
          <w:sz w:val="21"/>
          <w:szCs w:val="21"/>
        </w:rPr>
      </w:pPr>
    </w:p>
    <w:p>
      <w:pPr>
        <w:spacing w:line="0" w:lineRule="atLeast"/>
        <w:outlineLvl w:val="1"/>
        <w:rPr>
          <w:rFonts w:ascii="宋体" w:hAnsi="宋体"/>
          <w:szCs w:val="21"/>
        </w:rPr>
      </w:pPr>
      <w:bookmarkStart w:id="61" w:name="_Toc116550361"/>
      <w:r>
        <w:rPr>
          <w:rFonts w:hint="eastAsia" w:ascii="宋体" w:hAnsi="宋体"/>
          <w:szCs w:val="21"/>
        </w:rPr>
        <w:t>附件2：投标函</w:t>
      </w:r>
      <w:bookmarkEnd w:id="61"/>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2" w:name="_Toc116550362"/>
      <w:r>
        <w:rPr>
          <w:rFonts w:hint="eastAsia" w:ascii="宋体" w:hAnsi="宋体"/>
          <w:szCs w:val="21"/>
        </w:rPr>
        <w:t>附件3：投标一览表</w:t>
      </w:r>
      <w:bookmarkEnd w:id="62"/>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4"/>
        <w:spacing w:after="0" w:line="240" w:lineRule="auto"/>
        <w:ind w:left="-2" w:leftChars="-1" w:firstLine="2" w:firstLineChars="1"/>
        <w:jc w:val="left"/>
        <w:rPr>
          <w:sz w:val="21"/>
          <w:szCs w:val="21"/>
        </w:rPr>
      </w:pPr>
      <w:bookmarkStart w:id="63"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6"/>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4"/>
              <w:spacing w:after="0" w:line="300" w:lineRule="exact"/>
              <w:ind w:left="0"/>
              <w:jc w:val="center"/>
              <w:rPr>
                <w:sz w:val="21"/>
                <w:szCs w:val="21"/>
              </w:rPr>
            </w:pPr>
            <w:r>
              <w:rPr>
                <w:rFonts w:hint="eastAsia"/>
                <w:sz w:val="21"/>
                <w:szCs w:val="21"/>
              </w:rPr>
              <w:t>税前总金额</w:t>
            </w:r>
          </w:p>
          <w:p>
            <w:pPr>
              <w:pStyle w:val="4"/>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3"/>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4"/>
        <w:ind w:left="0"/>
        <w:rPr>
          <w:rFonts w:ascii="宋体" w:hAnsi="宋体"/>
          <w:szCs w:val="21"/>
        </w:rPr>
      </w:pPr>
    </w:p>
    <w:p>
      <w:pPr>
        <w:pStyle w:val="4"/>
        <w:ind w:left="0"/>
        <w:rPr>
          <w:rFonts w:ascii="宋体" w:hAnsi="宋体"/>
          <w:szCs w:val="21"/>
        </w:rPr>
      </w:pPr>
    </w:p>
    <w:p>
      <w:pPr>
        <w:pStyle w:val="4"/>
        <w:ind w:left="0"/>
        <w:rPr>
          <w:rFonts w:ascii="宋体" w:hAnsi="宋体"/>
          <w:szCs w:val="21"/>
        </w:rPr>
      </w:pPr>
    </w:p>
    <w:p>
      <w:pPr>
        <w:pStyle w:val="4"/>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4" w:name="_Toc116550363"/>
      <w:r>
        <w:rPr>
          <w:rFonts w:hint="eastAsia" w:ascii="宋体" w:hAnsi="宋体"/>
          <w:szCs w:val="21"/>
        </w:rPr>
        <w:t>附件4：考察证明</w:t>
      </w:r>
      <w:bookmarkEnd w:id="64"/>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5"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6"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6"/>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5"/>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7" w:name="_Toc116550364"/>
      <w:r>
        <w:rPr>
          <w:rFonts w:hint="eastAsia" w:ascii="宋体" w:hAnsi="宋体"/>
          <w:szCs w:val="21"/>
        </w:rPr>
        <w:t>附件5：技术服务响应/偏离表</w:t>
      </w:r>
      <w:bookmarkEnd w:id="6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8" w:name="_Toc211248418"/>
      <w:r>
        <w:rPr>
          <w:rFonts w:hint="eastAsia" w:ascii="方正小标宋_GBK" w:hAnsi="方正小标宋_GBK" w:eastAsia="方正小标宋_GBK"/>
          <w:b/>
          <w:sz w:val="32"/>
          <w:szCs w:val="32"/>
        </w:rPr>
        <w:t>技术服务响应/偏离表</w:t>
      </w:r>
      <w:bookmarkEnd w:id="68"/>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5"/>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9" w:name="_Hlk127434997"/>
      <w:bookmarkStart w:id="70" w:name="_Toc211243320"/>
      <w:r>
        <w:rPr>
          <w:rFonts w:hint="eastAsia" w:ascii="仿宋" w:hAnsi="仿宋" w:eastAsia="仿宋"/>
          <w:sz w:val="30"/>
          <w:szCs w:val="30"/>
        </w:rPr>
        <w:t>法定代表人或其授权委托人（签字或盖章）：</w:t>
      </w:r>
      <w:bookmarkEnd w:id="69"/>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0"/>
      <w:bookmarkStart w:id="71" w:name="_Toc236803114"/>
      <w:bookmarkStart w:id="72" w:name="_Toc246480945"/>
      <w:r>
        <w:rPr>
          <w:rFonts w:ascii="仿宋" w:hAnsi="仿宋" w:eastAsia="仿宋"/>
          <w:sz w:val="28"/>
          <w:szCs w:val="28"/>
        </w:rPr>
        <w:br w:type="page"/>
      </w:r>
    </w:p>
    <w:p>
      <w:pPr>
        <w:spacing w:line="0" w:lineRule="atLeast"/>
        <w:outlineLvl w:val="1"/>
        <w:rPr>
          <w:rFonts w:ascii="宋体" w:hAnsi="宋体"/>
          <w:szCs w:val="21"/>
        </w:rPr>
      </w:pPr>
      <w:bookmarkStart w:id="73" w:name="_Toc116550365"/>
      <w:r>
        <w:rPr>
          <w:rFonts w:hint="eastAsia" w:ascii="宋体" w:hAnsi="宋体"/>
          <w:szCs w:val="21"/>
        </w:rPr>
        <w:t>附件6：商务条款响应/偏离表</w:t>
      </w:r>
      <w:bookmarkEnd w:id="71"/>
      <w:bookmarkEnd w:id="72"/>
      <w:bookmarkEnd w:id="73"/>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4" w:name="_Toc211248420"/>
      <w:r>
        <w:rPr>
          <w:rFonts w:hint="eastAsia" w:ascii="方正小标宋_GBK" w:hAnsi="方正小标宋_GBK" w:eastAsia="方正小标宋_GBK"/>
          <w:b/>
          <w:sz w:val="32"/>
          <w:szCs w:val="32"/>
        </w:rPr>
        <w:t>商务条款响应/偏离表</w:t>
      </w:r>
      <w:bookmarkEnd w:id="74"/>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5"/>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5" w:name="_Toc478387764"/>
      <w:bookmarkStart w:id="76" w:name="_Toc395883088"/>
      <w:bookmarkStart w:id="77" w:name="_Toc236803111"/>
      <w:r>
        <w:rPr>
          <w:rFonts w:ascii="仿宋" w:hAnsi="仿宋" w:eastAsia="仿宋"/>
          <w:sz w:val="28"/>
          <w:szCs w:val="28"/>
        </w:rPr>
        <w:br w:type="page"/>
      </w:r>
    </w:p>
    <w:p>
      <w:pPr>
        <w:spacing w:line="0" w:lineRule="atLeast"/>
        <w:outlineLvl w:val="1"/>
        <w:rPr>
          <w:rFonts w:ascii="宋体" w:hAnsi="宋体"/>
          <w:szCs w:val="21"/>
        </w:rPr>
      </w:pPr>
      <w:bookmarkStart w:id="78" w:name="_Toc116550366"/>
      <w:r>
        <w:rPr>
          <w:rFonts w:hint="eastAsia" w:ascii="宋体" w:hAnsi="宋体"/>
          <w:szCs w:val="21"/>
        </w:rPr>
        <w:t>附件7：报价一览表（货物）</w:t>
      </w:r>
      <w:r>
        <w:rPr>
          <w:rFonts w:hint="eastAsia" w:ascii="宋体" w:hAnsi="宋体"/>
          <w:color w:val="FF0000"/>
          <w:szCs w:val="21"/>
        </w:rPr>
        <w:t>（本项目不适用）</w:t>
      </w:r>
      <w:bookmarkEnd w:id="78"/>
    </w:p>
    <w:bookmarkEnd w:id="75"/>
    <w:bookmarkEnd w:id="76"/>
    <w:bookmarkEnd w:id="77"/>
    <w:p>
      <w:pPr>
        <w:spacing w:before="120" w:after="240"/>
        <w:jc w:val="center"/>
        <w:rPr>
          <w:rFonts w:ascii="宋体" w:hAnsi="宋体"/>
          <w:b/>
          <w:sz w:val="32"/>
          <w:szCs w:val="32"/>
        </w:rPr>
      </w:pPr>
      <w:bookmarkStart w:id="79" w:name="_Toc211248412"/>
      <w:r>
        <w:rPr>
          <w:rFonts w:hint="eastAsia" w:ascii="方正小标宋_GBK" w:hAnsi="方正小标宋_GBK" w:eastAsia="方正小标宋_GBK"/>
          <w:b/>
          <w:sz w:val="32"/>
          <w:szCs w:val="32"/>
        </w:rPr>
        <w:t>报价一览表</w:t>
      </w:r>
      <w:bookmarkEnd w:id="79"/>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3"/>
        <w:numPr>
          <w:ilvl w:val="1"/>
          <w:numId w:val="31"/>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3"/>
        <w:numPr>
          <w:ilvl w:val="1"/>
          <w:numId w:val="31"/>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3"/>
        <w:numPr>
          <w:ilvl w:val="1"/>
          <w:numId w:val="31"/>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3"/>
        <w:numPr>
          <w:ilvl w:val="1"/>
          <w:numId w:val="31"/>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0" w:name="_Toc82095917"/>
      <w:bookmarkStart w:id="81"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80"/>
    <w:bookmarkEnd w:id="81"/>
    <w:p>
      <w:pPr>
        <w:spacing w:line="0" w:lineRule="atLeast"/>
        <w:outlineLvl w:val="1"/>
        <w:rPr>
          <w:rFonts w:ascii="宋体" w:hAnsi="宋体"/>
          <w:szCs w:val="21"/>
        </w:rPr>
      </w:pPr>
      <w:bookmarkStart w:id="82" w:name="_Toc116550367"/>
      <w:r>
        <w:rPr>
          <w:rFonts w:hint="eastAsia" w:ascii="宋体" w:hAnsi="宋体"/>
          <w:szCs w:val="21"/>
        </w:rPr>
        <w:t>附件8：报价一览表（服务）</w:t>
      </w:r>
      <w:r>
        <w:rPr>
          <w:rFonts w:hint="eastAsia" w:ascii="宋体" w:hAnsi="宋体"/>
          <w:color w:val="FF0000"/>
          <w:szCs w:val="21"/>
        </w:rPr>
        <w:t>（本项目不适用）</w:t>
      </w:r>
      <w:bookmarkEnd w:id="82"/>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3"/>
        <w:numPr>
          <w:ilvl w:val="1"/>
          <w:numId w:val="32"/>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3"/>
        <w:numPr>
          <w:ilvl w:val="1"/>
          <w:numId w:val="32"/>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3"/>
        <w:numPr>
          <w:ilvl w:val="1"/>
          <w:numId w:val="32"/>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3" w:name="_Toc116550368"/>
      <w:r>
        <w:rPr>
          <w:rFonts w:hint="eastAsia" w:ascii="宋体" w:hAnsi="宋体"/>
          <w:szCs w:val="21"/>
        </w:rPr>
        <w:t>附件9：报价一览表（工程）</w:t>
      </w:r>
      <w:bookmarkEnd w:id="83"/>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3"/>
        <w:numPr>
          <w:ilvl w:val="1"/>
          <w:numId w:val="33"/>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3"/>
        <w:numPr>
          <w:ilvl w:val="1"/>
          <w:numId w:val="33"/>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3"/>
        <w:numPr>
          <w:ilvl w:val="1"/>
          <w:numId w:val="33"/>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3"/>
        <w:numPr>
          <w:ilvl w:val="1"/>
          <w:numId w:val="33"/>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4" w:name="_Toc116550369"/>
      <w:r>
        <w:rPr>
          <w:rFonts w:hint="eastAsia" w:ascii="宋体" w:hAnsi="宋体"/>
          <w:szCs w:val="21"/>
        </w:rPr>
        <w:t>附件10：法定代表人证明书</w:t>
      </w:r>
      <w:bookmarkEnd w:id="8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3"/>
        <w:numPr>
          <w:ilvl w:val="1"/>
          <w:numId w:val="34"/>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3"/>
        <w:numPr>
          <w:ilvl w:val="1"/>
          <w:numId w:val="34"/>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3"/>
        <w:numPr>
          <w:ilvl w:val="1"/>
          <w:numId w:val="34"/>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5"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5"/>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3"/>
        <w:numPr>
          <w:ilvl w:val="1"/>
          <w:numId w:val="35"/>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3"/>
        <w:numPr>
          <w:ilvl w:val="1"/>
          <w:numId w:val="35"/>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3"/>
        <w:numPr>
          <w:ilvl w:val="1"/>
          <w:numId w:val="35"/>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LZcDXAAAABwEA&#10;AA8AAAAAAAAAAQAgAAAAIgAAAGRycy9kb3ducmV2LnhtbFBLAQIUABQAAAAIAIdO4kAI1ukFGwIA&#10;AEIEAAAOAAAAAAAAAAEAIAAAACYBAABkcnMvZTJvRG9jLnhtbFBLBQYAAAAABgAGAFkBAACzBQAA&#10;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M1JrT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6"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6"/>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5"/>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3"/>
        <w:numPr>
          <w:ilvl w:val="1"/>
          <w:numId w:val="36"/>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3"/>
        <w:numPr>
          <w:ilvl w:val="1"/>
          <w:numId w:val="36"/>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3"/>
        <w:numPr>
          <w:ilvl w:val="1"/>
          <w:numId w:val="36"/>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3"/>
        <w:numPr>
          <w:ilvl w:val="1"/>
          <w:numId w:val="36"/>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7"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7"/>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3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3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3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3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3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3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8" w:name="_Toc32341"/>
      <w:r>
        <w:rPr>
          <w:rFonts w:ascii="仿宋" w:hAnsi="仿宋" w:eastAsia="仿宋"/>
          <w:sz w:val="28"/>
          <w:szCs w:val="28"/>
        </w:rPr>
        <w:br w:type="page"/>
      </w:r>
    </w:p>
    <w:p>
      <w:pPr>
        <w:spacing w:line="0" w:lineRule="atLeast"/>
        <w:outlineLvl w:val="1"/>
        <w:rPr>
          <w:rFonts w:ascii="宋体" w:hAnsi="宋体"/>
          <w:szCs w:val="21"/>
        </w:rPr>
      </w:pPr>
      <w:bookmarkStart w:id="89"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8"/>
      <w:bookmarkEnd w:id="89"/>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3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3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3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90" w:name="_Toc100848654"/>
      <w:bookmarkStart w:id="91" w:name="_Toc116550374"/>
      <w:r>
        <w:rPr>
          <w:rFonts w:hint="eastAsia" w:ascii="宋体" w:hAnsi="宋体"/>
        </w:rPr>
        <w:t>附件15：投标文件密码</w:t>
      </w:r>
      <w:bookmarkEnd w:id="90"/>
      <w:r>
        <w:rPr>
          <w:rFonts w:hint="eastAsia" w:ascii="宋体" w:hAnsi="宋体"/>
        </w:rPr>
        <w:t>单</w:t>
      </w:r>
      <w:bookmarkEnd w:id="91"/>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2"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2"/>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b/>
          <w:color w:val="FF0000"/>
          <w:sz w:val="28"/>
          <w:szCs w:val="28"/>
        </w:rPr>
      </w:pPr>
      <w:r>
        <w:rPr>
          <w:rFonts w:hint="eastAsia" w:ascii="仿宋" w:hAnsi="仿宋" w:eastAsia="仿宋"/>
          <w:b/>
          <w:color w:val="FF0000"/>
          <w:sz w:val="28"/>
          <w:szCs w:val="28"/>
        </w:rPr>
        <w:t>【特别注意】</w:t>
      </w:r>
    </w:p>
    <w:p>
      <w:pPr>
        <w:pStyle w:val="12"/>
        <w:numPr>
          <w:ilvl w:val="0"/>
          <w:numId w:val="39"/>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2"/>
        <w:numPr>
          <w:ilvl w:val="0"/>
          <w:numId w:val="39"/>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2"/>
      </w:pPr>
    </w:p>
    <w:p>
      <w:pPr>
        <w:pStyle w:val="12"/>
      </w:pPr>
    </w:p>
    <w:p>
      <w:pPr>
        <w:spacing w:line="360" w:lineRule="auto"/>
        <w:jc w:val="left"/>
        <w:rPr>
          <w:rFonts w:ascii="仿宋" w:hAnsi="仿宋" w:eastAsia="仿宋"/>
          <w:sz w:val="28"/>
          <w:szCs w:val="28"/>
        </w:rPr>
      </w:pPr>
      <w:bookmarkStart w:id="93"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2"/>
      </w:pPr>
      <w:r>
        <w:rPr>
          <w:rFonts w:hint="eastAsia" w:ascii="仿宋" w:hAnsi="仿宋" w:eastAsia="仿宋"/>
          <w:sz w:val="28"/>
          <w:szCs w:val="28"/>
        </w:rPr>
        <w:t>日期：_______年____月___日</w:t>
      </w:r>
      <w:bookmarkEnd w:id="93"/>
    </w:p>
    <w:p>
      <w:pPr>
        <w:pStyle w:val="12"/>
      </w:pPr>
    </w:p>
    <w:sectPr>
      <w:footerReference r:id="rId4"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81775"/>
    <w:multiLevelType w:val="singleLevel"/>
    <w:tmpl w:val="A2281775"/>
    <w:lvl w:ilvl="0" w:tentative="0">
      <w:start w:val="1"/>
      <w:numFmt w:val="decimal"/>
      <w:suff w:val="space"/>
      <w:lvlText w:val="%1."/>
      <w:lvlJc w:val="left"/>
    </w:lvl>
  </w:abstractNum>
  <w:abstractNum w:abstractNumId="1">
    <w:nsid w:val="A31D64E3"/>
    <w:multiLevelType w:val="singleLevel"/>
    <w:tmpl w:val="A31D64E3"/>
    <w:lvl w:ilvl="0" w:tentative="0">
      <w:start w:val="1"/>
      <w:numFmt w:val="decimal"/>
      <w:lvlText w:val="(%1)"/>
      <w:lvlJc w:val="left"/>
      <w:pPr>
        <w:ind w:left="425" w:hanging="425"/>
      </w:pPr>
      <w:rPr>
        <w:rFonts w:hint="default"/>
      </w:rPr>
    </w:lvl>
  </w:abstractNum>
  <w:abstractNum w:abstractNumId="2">
    <w:nsid w:val="CA690857"/>
    <w:multiLevelType w:val="singleLevel"/>
    <w:tmpl w:val="CA690857"/>
    <w:lvl w:ilvl="0" w:tentative="0">
      <w:start w:val="1"/>
      <w:numFmt w:val="decimal"/>
      <w:lvlText w:val="（%1）"/>
      <w:lvlJc w:val="left"/>
      <w:pPr>
        <w:ind w:left="420" w:hanging="420"/>
      </w:pPr>
      <w:rPr>
        <w:rFonts w:hint="eastAsia"/>
      </w:rPr>
    </w:lvl>
  </w:abstractNum>
  <w:abstractNum w:abstractNumId="3">
    <w:nsid w:val="D2925443"/>
    <w:multiLevelType w:val="singleLevel"/>
    <w:tmpl w:val="D2925443"/>
    <w:lvl w:ilvl="0" w:tentative="0">
      <w:start w:val="1"/>
      <w:numFmt w:val="decimal"/>
      <w:lvlText w:val="(%1)"/>
      <w:lvlJc w:val="left"/>
      <w:pPr>
        <w:ind w:left="425" w:hanging="425"/>
      </w:pPr>
      <w:rPr>
        <w:rFonts w:hint="default"/>
      </w:rPr>
    </w:lvl>
  </w:abstractNum>
  <w:abstractNum w:abstractNumId="4">
    <w:nsid w:val="D3051835"/>
    <w:multiLevelType w:val="singleLevel"/>
    <w:tmpl w:val="D3051835"/>
    <w:lvl w:ilvl="0" w:tentative="0">
      <w:start w:val="1"/>
      <w:numFmt w:val="decimal"/>
      <w:suff w:val="space"/>
      <w:lvlText w:val="%1."/>
      <w:lvlJc w:val="left"/>
    </w:lvl>
  </w:abstractNum>
  <w:abstractNum w:abstractNumId="5">
    <w:nsid w:val="D49F32A9"/>
    <w:multiLevelType w:val="singleLevel"/>
    <w:tmpl w:val="D49F32A9"/>
    <w:lvl w:ilvl="0" w:tentative="0">
      <w:start w:val="1"/>
      <w:numFmt w:val="decimal"/>
      <w:lvlText w:val="(%1)"/>
      <w:lvlJc w:val="left"/>
      <w:pPr>
        <w:ind w:left="425" w:hanging="425"/>
      </w:pPr>
      <w:rPr>
        <w:rFonts w:hint="default"/>
      </w:rPr>
    </w:lvl>
  </w:abstractNum>
  <w:abstractNum w:abstractNumId="6">
    <w:nsid w:val="DAA5A57F"/>
    <w:multiLevelType w:val="singleLevel"/>
    <w:tmpl w:val="DAA5A57F"/>
    <w:lvl w:ilvl="0" w:tentative="0">
      <w:start w:val="1"/>
      <w:numFmt w:val="decimal"/>
      <w:suff w:val="space"/>
      <w:lvlText w:val="%1."/>
      <w:lvlJc w:val="left"/>
    </w:lvl>
  </w:abstractNum>
  <w:abstractNum w:abstractNumId="7">
    <w:nsid w:val="F3053CD0"/>
    <w:multiLevelType w:val="singleLevel"/>
    <w:tmpl w:val="F3053CD0"/>
    <w:lvl w:ilvl="0" w:tentative="0">
      <w:start w:val="1"/>
      <w:numFmt w:val="decimal"/>
      <w:lvlText w:val="(%1)"/>
      <w:lvlJc w:val="left"/>
      <w:pPr>
        <w:ind w:left="425" w:hanging="425"/>
      </w:pPr>
      <w:rPr>
        <w:rFonts w:hint="default"/>
      </w:rPr>
    </w:lvl>
  </w:abstractNum>
  <w:abstractNum w:abstractNumId="8">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3"/>
    <w:multiLevelType w:val="singleLevel"/>
    <w:tmpl w:val="00000013"/>
    <w:lvl w:ilvl="0" w:tentative="0">
      <w:start w:val="1"/>
      <w:numFmt w:val="decimal"/>
      <w:lvlText w:val="%1."/>
      <w:lvlJc w:val="left"/>
      <w:pPr>
        <w:ind w:left="420" w:hanging="420"/>
      </w:pPr>
    </w:lvl>
  </w:abstractNum>
  <w:abstractNum w:abstractNumId="12">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4">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1305886"/>
    <w:multiLevelType w:val="singleLevel"/>
    <w:tmpl w:val="21305886"/>
    <w:lvl w:ilvl="0" w:tentative="0">
      <w:start w:val="1"/>
      <w:numFmt w:val="decimal"/>
      <w:lvlText w:val="（%1）"/>
      <w:lvlJc w:val="left"/>
      <w:pPr>
        <w:ind w:left="420" w:hanging="420"/>
      </w:pPr>
      <w:rPr>
        <w:rFonts w:hint="eastAsia"/>
      </w:rPr>
    </w:lvl>
  </w:abstractNum>
  <w:abstractNum w:abstractNumId="17">
    <w:nsid w:val="2247583D"/>
    <w:multiLevelType w:val="singleLevel"/>
    <w:tmpl w:val="2247583D"/>
    <w:lvl w:ilvl="0" w:tentative="0">
      <w:start w:val="1"/>
      <w:numFmt w:val="decimal"/>
      <w:lvlText w:val="(%1)"/>
      <w:lvlJc w:val="left"/>
      <w:pPr>
        <w:ind w:left="425" w:hanging="425"/>
      </w:pPr>
      <w:rPr>
        <w:rFonts w:hint="default"/>
      </w:rPr>
    </w:lvl>
  </w:abstractNum>
  <w:abstractNum w:abstractNumId="18">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8E10C89"/>
    <w:multiLevelType w:val="singleLevel"/>
    <w:tmpl w:val="28E10C89"/>
    <w:lvl w:ilvl="0" w:tentative="0">
      <w:start w:val="1"/>
      <w:numFmt w:val="decimal"/>
      <w:suff w:val="space"/>
      <w:lvlText w:val="%1."/>
      <w:lvlJc w:val="left"/>
    </w:lvl>
  </w:abstractNum>
  <w:abstractNum w:abstractNumId="21">
    <w:nsid w:val="2A082841"/>
    <w:multiLevelType w:val="multilevel"/>
    <w:tmpl w:val="2A082841"/>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F30BD7A"/>
    <w:multiLevelType w:val="singleLevel"/>
    <w:tmpl w:val="3F30BD7A"/>
    <w:lvl w:ilvl="0" w:tentative="0">
      <w:start w:val="5"/>
      <w:numFmt w:val="decimal"/>
      <w:suff w:val="nothing"/>
      <w:lvlText w:val="%1）"/>
      <w:lvlJc w:val="left"/>
    </w:lvl>
  </w:abstractNum>
  <w:abstractNum w:abstractNumId="27">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8">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0">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1">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3">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4">
    <w:nsid w:val="74F35770"/>
    <w:multiLevelType w:val="multilevel"/>
    <w:tmpl w:val="74F35770"/>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5">
    <w:nsid w:val="7B48B643"/>
    <w:multiLevelType w:val="singleLevel"/>
    <w:tmpl w:val="7B48B643"/>
    <w:lvl w:ilvl="0" w:tentative="0">
      <w:start w:val="1"/>
      <w:numFmt w:val="chineseCounting"/>
      <w:suff w:val="nothing"/>
      <w:lvlText w:val="%1、"/>
      <w:lvlJc w:val="left"/>
      <w:pPr>
        <w:ind w:left="0" w:firstLine="420"/>
      </w:pPr>
      <w:rPr>
        <w:rFonts w:hint="eastAsia"/>
      </w:rPr>
    </w:lvl>
  </w:abstractNum>
  <w:abstractNum w:abstractNumId="36">
    <w:nsid w:val="7B4A4E0C"/>
    <w:multiLevelType w:val="singleLevel"/>
    <w:tmpl w:val="7B4A4E0C"/>
    <w:lvl w:ilvl="0" w:tentative="0">
      <w:start w:val="1"/>
      <w:numFmt w:val="decimal"/>
      <w:lvlText w:val="（%1）"/>
      <w:lvlJc w:val="left"/>
      <w:pPr>
        <w:ind w:left="420" w:hanging="420"/>
      </w:pPr>
      <w:rPr>
        <w:rFonts w:hint="eastAsia"/>
      </w:rPr>
    </w:lvl>
  </w:abstractNum>
  <w:abstractNum w:abstractNumId="37">
    <w:nsid w:val="7ED17433"/>
    <w:multiLevelType w:val="singleLevel"/>
    <w:tmpl w:val="7ED17433"/>
    <w:lvl w:ilvl="0" w:tentative="0">
      <w:start w:val="1"/>
      <w:numFmt w:val="decimal"/>
      <w:lvlText w:val="（%1）"/>
      <w:lvlJc w:val="left"/>
      <w:pPr>
        <w:ind w:left="420" w:hanging="420"/>
      </w:pPr>
      <w:rPr>
        <w:rFonts w:hint="eastAsia"/>
      </w:rPr>
    </w:lvl>
  </w:abstractNum>
  <w:num w:numId="1">
    <w:abstractNumId w:val="30"/>
  </w:num>
  <w:num w:numId="2">
    <w:abstractNumId w:val="33"/>
  </w:num>
  <w:num w:numId="3">
    <w:abstractNumId w:val="24"/>
  </w:num>
  <w:num w:numId="4">
    <w:abstractNumId w:val="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1"/>
  </w:num>
  <w:num w:numId="8">
    <w:abstractNumId w:val="25"/>
  </w:num>
  <w:num w:numId="9">
    <w:abstractNumId w:val="12"/>
  </w:num>
  <w:num w:numId="10">
    <w:abstractNumId w:val="36"/>
  </w:num>
  <w:num w:numId="11">
    <w:abstractNumId w:val="37"/>
  </w:num>
  <w:num w:numId="12">
    <w:abstractNumId w:val="16"/>
  </w:num>
  <w:num w:numId="13">
    <w:abstractNumId w:val="5"/>
  </w:num>
  <w:num w:numId="14">
    <w:abstractNumId w:val="3"/>
  </w:num>
  <w:num w:numId="15">
    <w:abstractNumId w:val="34"/>
  </w:num>
  <w:num w:numId="16">
    <w:abstractNumId w:val="17"/>
  </w:num>
  <w:num w:numId="17">
    <w:abstractNumId w:val="21"/>
  </w:num>
  <w:num w:numId="18">
    <w:abstractNumId w:val="35"/>
  </w:num>
  <w:num w:numId="19">
    <w:abstractNumId w:val="4"/>
  </w:num>
  <w:num w:numId="20">
    <w:abstractNumId w:val="20"/>
  </w:num>
  <w:num w:numId="21">
    <w:abstractNumId w:val="10"/>
  </w:num>
  <w:num w:numId="22">
    <w:abstractNumId w:val="14"/>
  </w:num>
  <w:num w:numId="23">
    <w:abstractNumId w:val="7"/>
  </w:num>
  <w:num w:numId="24">
    <w:abstractNumId w:val="23"/>
  </w:num>
  <w:num w:numId="25">
    <w:abstractNumId w:val="1"/>
  </w:num>
  <w:num w:numId="26">
    <w:abstractNumId w:val="26"/>
  </w:num>
  <w:num w:numId="27">
    <w:abstractNumId w:val="0"/>
  </w:num>
  <w:num w:numId="28">
    <w:abstractNumId w:val="6"/>
  </w:num>
  <w:num w:numId="29">
    <w:abstractNumId w:val="9"/>
  </w:num>
  <w:num w:numId="30">
    <w:abstractNumId w:val="8"/>
  </w:num>
  <w:num w:numId="31">
    <w:abstractNumId w:val="32"/>
  </w:num>
  <w:num w:numId="32">
    <w:abstractNumId w:val="27"/>
  </w:num>
  <w:num w:numId="33">
    <w:abstractNumId w:val="22"/>
  </w:num>
  <w:num w:numId="34">
    <w:abstractNumId w:val="18"/>
  </w:num>
  <w:num w:numId="35">
    <w:abstractNumId w:val="28"/>
  </w:num>
  <w:num w:numId="36">
    <w:abstractNumId w:val="15"/>
  </w:num>
  <w:num w:numId="37">
    <w:abstractNumId w:val="11"/>
  </w:num>
  <w:num w:numId="38">
    <w:abstractNumId w:val="29"/>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2B47C4D"/>
    <w:rsid w:val="04450729"/>
    <w:rsid w:val="04A5693C"/>
    <w:rsid w:val="04D46768"/>
    <w:rsid w:val="04F90B5F"/>
    <w:rsid w:val="053A1CC8"/>
    <w:rsid w:val="06856661"/>
    <w:rsid w:val="077B4608"/>
    <w:rsid w:val="07BB74B6"/>
    <w:rsid w:val="07D7576E"/>
    <w:rsid w:val="08493DEA"/>
    <w:rsid w:val="086E4EC9"/>
    <w:rsid w:val="0B734A64"/>
    <w:rsid w:val="0CDE01F2"/>
    <w:rsid w:val="0DD201F4"/>
    <w:rsid w:val="0F4526B6"/>
    <w:rsid w:val="10091618"/>
    <w:rsid w:val="109876A3"/>
    <w:rsid w:val="152B64B8"/>
    <w:rsid w:val="15740DA4"/>
    <w:rsid w:val="195A6BC0"/>
    <w:rsid w:val="1A947617"/>
    <w:rsid w:val="1AF94F29"/>
    <w:rsid w:val="1C5670DA"/>
    <w:rsid w:val="1E834918"/>
    <w:rsid w:val="1F7074E6"/>
    <w:rsid w:val="227A4EED"/>
    <w:rsid w:val="228C28B5"/>
    <w:rsid w:val="228D0750"/>
    <w:rsid w:val="243934D5"/>
    <w:rsid w:val="24786106"/>
    <w:rsid w:val="254304AB"/>
    <w:rsid w:val="25A5748F"/>
    <w:rsid w:val="25BE1EBF"/>
    <w:rsid w:val="25D85A3C"/>
    <w:rsid w:val="267E19B6"/>
    <w:rsid w:val="26E95967"/>
    <w:rsid w:val="276A3066"/>
    <w:rsid w:val="2981004A"/>
    <w:rsid w:val="2A1D36D7"/>
    <w:rsid w:val="2B9E3425"/>
    <w:rsid w:val="2BD84FDD"/>
    <w:rsid w:val="2BFA4386"/>
    <w:rsid w:val="2CD73EA3"/>
    <w:rsid w:val="2D845ED0"/>
    <w:rsid w:val="2EAB6E76"/>
    <w:rsid w:val="30381F4F"/>
    <w:rsid w:val="309625DE"/>
    <w:rsid w:val="34A05B77"/>
    <w:rsid w:val="364A58C1"/>
    <w:rsid w:val="366D04D4"/>
    <w:rsid w:val="37097428"/>
    <w:rsid w:val="38AC36F6"/>
    <w:rsid w:val="394A3FAD"/>
    <w:rsid w:val="3AAD7F79"/>
    <w:rsid w:val="3B991A52"/>
    <w:rsid w:val="3BB26AC4"/>
    <w:rsid w:val="3C35255B"/>
    <w:rsid w:val="3D3679ED"/>
    <w:rsid w:val="408D7227"/>
    <w:rsid w:val="41407E51"/>
    <w:rsid w:val="416718EC"/>
    <w:rsid w:val="439D7A21"/>
    <w:rsid w:val="43A449FD"/>
    <w:rsid w:val="43D97719"/>
    <w:rsid w:val="447267E8"/>
    <w:rsid w:val="44E431E5"/>
    <w:rsid w:val="46B30DE6"/>
    <w:rsid w:val="474627F3"/>
    <w:rsid w:val="492A4A83"/>
    <w:rsid w:val="495C1F5C"/>
    <w:rsid w:val="4AF77150"/>
    <w:rsid w:val="4B4C23F8"/>
    <w:rsid w:val="4B8B03E4"/>
    <w:rsid w:val="4C4E3C1A"/>
    <w:rsid w:val="4D912F7D"/>
    <w:rsid w:val="4D9A3F67"/>
    <w:rsid w:val="4DDF67CC"/>
    <w:rsid w:val="4EE12BFB"/>
    <w:rsid w:val="4F5302E7"/>
    <w:rsid w:val="50FA6A61"/>
    <w:rsid w:val="51794BC1"/>
    <w:rsid w:val="522267B5"/>
    <w:rsid w:val="525242A4"/>
    <w:rsid w:val="53D25371"/>
    <w:rsid w:val="540F1FD2"/>
    <w:rsid w:val="54D8202A"/>
    <w:rsid w:val="56131FA2"/>
    <w:rsid w:val="561F6663"/>
    <w:rsid w:val="57315BF2"/>
    <w:rsid w:val="57594B93"/>
    <w:rsid w:val="594A6990"/>
    <w:rsid w:val="5A2E0F40"/>
    <w:rsid w:val="5CF034F9"/>
    <w:rsid w:val="5D822B72"/>
    <w:rsid w:val="5E8307E5"/>
    <w:rsid w:val="5F9C7595"/>
    <w:rsid w:val="60475C3F"/>
    <w:rsid w:val="60785544"/>
    <w:rsid w:val="60A60070"/>
    <w:rsid w:val="61A26997"/>
    <w:rsid w:val="622C21AB"/>
    <w:rsid w:val="62D00ABF"/>
    <w:rsid w:val="640C25AF"/>
    <w:rsid w:val="6541126B"/>
    <w:rsid w:val="66CA3179"/>
    <w:rsid w:val="683A303D"/>
    <w:rsid w:val="68907DEF"/>
    <w:rsid w:val="68E97B63"/>
    <w:rsid w:val="693F6A22"/>
    <w:rsid w:val="698C149E"/>
    <w:rsid w:val="6A5B2F9C"/>
    <w:rsid w:val="6B1E605C"/>
    <w:rsid w:val="6B255C75"/>
    <w:rsid w:val="6C5E0507"/>
    <w:rsid w:val="6C6B5505"/>
    <w:rsid w:val="6D597EAB"/>
    <w:rsid w:val="6DB16E6F"/>
    <w:rsid w:val="6DF67C63"/>
    <w:rsid w:val="6E3F209B"/>
    <w:rsid w:val="6ED02117"/>
    <w:rsid w:val="702A62E2"/>
    <w:rsid w:val="721C7212"/>
    <w:rsid w:val="725336E8"/>
    <w:rsid w:val="7426429A"/>
    <w:rsid w:val="74783A1C"/>
    <w:rsid w:val="74AB354D"/>
    <w:rsid w:val="74B05132"/>
    <w:rsid w:val="768703B6"/>
    <w:rsid w:val="768F3298"/>
    <w:rsid w:val="76C52AAF"/>
    <w:rsid w:val="76E063E5"/>
    <w:rsid w:val="772A35DE"/>
    <w:rsid w:val="781B5752"/>
    <w:rsid w:val="78883B67"/>
    <w:rsid w:val="796734FA"/>
    <w:rsid w:val="798425C1"/>
    <w:rsid w:val="79A35F22"/>
    <w:rsid w:val="79BF662E"/>
    <w:rsid w:val="7A751935"/>
    <w:rsid w:val="7B2952F2"/>
    <w:rsid w:val="7CF46BD3"/>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unhideWhenUsed/>
    <w:qFormat/>
    <w:uiPriority w:val="99"/>
    <w:pPr>
      <w:jc w:val="left"/>
    </w:pPr>
  </w:style>
  <w:style w:type="paragraph" w:styleId="4">
    <w:name w:val="Body Text"/>
    <w:basedOn w:val="1"/>
    <w:next w:val="1"/>
    <w:qFormat/>
    <w:uiPriority w:val="0"/>
    <w:pPr>
      <w:widowControl/>
      <w:spacing w:after="220" w:line="180" w:lineRule="atLeast"/>
      <w:ind w:left="835"/>
    </w:pPr>
    <w:rPr>
      <w:rFonts w:ascii="Arial" w:hAnsi="Arial"/>
      <w:spacing w:val="-5"/>
      <w:kern w:val="0"/>
      <w:sz w:val="20"/>
    </w:rPr>
  </w:style>
  <w:style w:type="paragraph" w:styleId="5">
    <w:name w:val="toc 3"/>
    <w:basedOn w:val="1"/>
    <w:next w:val="1"/>
    <w:unhideWhenUsed/>
    <w:qFormat/>
    <w:uiPriority w:val="39"/>
    <w:pPr>
      <w:ind w:left="840" w:leftChars="400"/>
    </w:pPr>
  </w:style>
  <w:style w:type="paragraph" w:styleId="6">
    <w:name w:val="Balloon Text"/>
    <w:basedOn w:val="1"/>
    <w:link w:val="27"/>
    <w:semiHidden/>
    <w:unhideWhenUsed/>
    <w:qFormat/>
    <w:uiPriority w:val="99"/>
    <w:rPr>
      <w:sz w:val="18"/>
      <w:szCs w:val="18"/>
    </w:rPr>
  </w:style>
  <w:style w:type="paragraph" w:styleId="7">
    <w:name w:val="footer"/>
    <w:basedOn w:val="1"/>
    <w:link w:val="29"/>
    <w:unhideWhenUsed/>
    <w:qFormat/>
    <w:uiPriority w:val="99"/>
    <w:pPr>
      <w:tabs>
        <w:tab w:val="center" w:pos="4153"/>
        <w:tab w:val="right" w:pos="8306"/>
      </w:tabs>
      <w:snapToGrid w:val="0"/>
      <w:jc w:val="left"/>
    </w:pPr>
    <w:rPr>
      <w:sz w:val="18"/>
      <w:szCs w:val="18"/>
    </w:rPr>
  </w:style>
  <w:style w:type="paragraph" w:styleId="8">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4"/>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3"/>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basedOn w:val="17"/>
    <w:unhideWhenUsed/>
    <w:qFormat/>
    <w:uiPriority w:val="99"/>
    <w:rPr>
      <w:sz w:val="21"/>
      <w:szCs w:val="21"/>
    </w:rPr>
  </w:style>
  <w:style w:type="character" w:styleId="21">
    <w:name w:val="footnote reference"/>
    <w:basedOn w:val="17"/>
    <w:semiHidden/>
    <w:unhideWhenUsed/>
    <w:qFormat/>
    <w:uiPriority w:val="99"/>
    <w:rPr>
      <w:vertAlign w:val="superscript"/>
    </w:rPr>
  </w:style>
  <w:style w:type="character" w:customStyle="1" w:styleId="22">
    <w:name w:val="列表段落 字符"/>
    <w:link w:val="23"/>
    <w:qFormat/>
    <w:uiPriority w:val="34"/>
    <w:rPr>
      <w:rFonts w:ascii="Times New Roman" w:hAnsi="Times New Roman"/>
      <w:szCs w:val="24"/>
    </w:rPr>
  </w:style>
  <w:style w:type="paragraph" w:styleId="23">
    <w:name w:val="List Paragraph"/>
    <w:basedOn w:val="1"/>
    <w:link w:val="22"/>
    <w:qFormat/>
    <w:uiPriority w:val="34"/>
    <w:pPr>
      <w:ind w:firstLine="420" w:firstLineChars="200"/>
    </w:pPr>
    <w:rPr>
      <w:rFonts w:eastAsiaTheme="minorEastAsia" w:cstheme="minorBidi"/>
    </w:rPr>
  </w:style>
  <w:style w:type="character" w:customStyle="1" w:styleId="24">
    <w:name w:val="批注文字 字符"/>
    <w:basedOn w:val="17"/>
    <w:semiHidden/>
    <w:qFormat/>
    <w:uiPriority w:val="99"/>
    <w:rPr>
      <w:rFonts w:ascii="Times New Roman" w:hAnsi="Times New Roman" w:eastAsia="宋体" w:cs="Times New Roman"/>
      <w:szCs w:val="24"/>
    </w:rPr>
  </w:style>
  <w:style w:type="character" w:customStyle="1" w:styleId="25">
    <w:name w:val="批注文字 字符1"/>
    <w:link w:val="3"/>
    <w:qFormat/>
    <w:uiPriority w:val="99"/>
    <w:rPr>
      <w:rFonts w:ascii="Times New Roman" w:hAnsi="Times New Roman" w:eastAsia="宋体" w:cs="Times New Roman"/>
      <w:szCs w:val="24"/>
    </w:rPr>
  </w:style>
  <w:style w:type="paragraph" w:customStyle="1" w:styleId="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7">
    <w:name w:val="批注框文本 字符"/>
    <w:basedOn w:val="17"/>
    <w:link w:val="6"/>
    <w:semiHidden/>
    <w:qFormat/>
    <w:uiPriority w:val="99"/>
    <w:rPr>
      <w:rFonts w:ascii="Times New Roman" w:hAnsi="Times New Roman" w:eastAsia="宋体" w:cs="Times New Roman"/>
      <w:sz w:val="18"/>
      <w:szCs w:val="18"/>
    </w:rPr>
  </w:style>
  <w:style w:type="character" w:customStyle="1" w:styleId="28">
    <w:name w:val="页眉 字符"/>
    <w:basedOn w:val="17"/>
    <w:link w:val="8"/>
    <w:qFormat/>
    <w:uiPriority w:val="99"/>
    <w:rPr>
      <w:rFonts w:ascii="Times New Roman" w:hAnsi="Times New Roman" w:eastAsia="宋体" w:cs="Times New Roman"/>
      <w:sz w:val="18"/>
      <w:szCs w:val="18"/>
    </w:rPr>
  </w:style>
  <w:style w:type="character" w:customStyle="1" w:styleId="29">
    <w:name w:val="页脚 字符"/>
    <w:basedOn w:val="17"/>
    <w:link w:val="7"/>
    <w:qFormat/>
    <w:uiPriority w:val="99"/>
    <w:rPr>
      <w:rFonts w:ascii="Times New Roman" w:hAnsi="Times New Roman" w:eastAsia="宋体" w:cs="Times New Roman"/>
      <w:sz w:val="18"/>
      <w:szCs w:val="18"/>
    </w:rPr>
  </w:style>
  <w:style w:type="character" w:customStyle="1" w:styleId="30">
    <w:name w:val="标题1"/>
    <w:basedOn w:val="17"/>
    <w:qFormat/>
    <w:uiPriority w:val="0"/>
  </w:style>
  <w:style w:type="character" w:customStyle="1" w:styleId="31">
    <w:name w:val="批注主题 字符"/>
    <w:basedOn w:val="25"/>
    <w:link w:val="14"/>
    <w:semiHidden/>
    <w:qFormat/>
    <w:uiPriority w:val="99"/>
    <w:rPr>
      <w:rFonts w:ascii="Times New Roman" w:hAnsi="Times New Roman" w:eastAsia="宋体" w:cs="Times New Roman"/>
      <w:b/>
      <w:bCs/>
      <w:szCs w:val="24"/>
    </w:rPr>
  </w:style>
  <w:style w:type="paragraph" w:customStyle="1" w:styleId="3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3">
    <w:name w:val="正文文本 2 字符"/>
    <w:basedOn w:val="17"/>
    <w:link w:val="12"/>
    <w:qFormat/>
    <w:uiPriority w:val="0"/>
    <w:rPr>
      <w:rFonts w:ascii="仿宋_GB2312" w:hAnsi="宋体" w:eastAsia="仿宋_GB2312"/>
      <w:kern w:val="2"/>
      <w:sz w:val="21"/>
      <w:szCs w:val="24"/>
    </w:rPr>
  </w:style>
  <w:style w:type="character" w:customStyle="1" w:styleId="34">
    <w:name w:val="脚注文本 字符"/>
    <w:basedOn w:val="17"/>
    <w:link w:val="10"/>
    <w:semiHidden/>
    <w:qFormat/>
    <w:uiPriority w:val="99"/>
    <w:rPr>
      <w:kern w:val="2"/>
      <w:sz w:val="18"/>
      <w:szCs w:val="18"/>
    </w:rPr>
  </w:style>
  <w:style w:type="paragraph" w:customStyle="1" w:styleId="35">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30</Pages>
  <Words>2955</Words>
  <Characters>16845</Characters>
  <Lines>140</Lines>
  <Paragraphs>39</Paragraphs>
  <TotalTime>77</TotalTime>
  <ScaleCrop>false</ScaleCrop>
  <LinksUpToDate>false</LinksUpToDate>
  <CharactersWithSpaces>19761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lxh</cp:lastModifiedBy>
  <dcterms:modified xsi:type="dcterms:W3CDTF">2023-11-29T02:35:41Z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1C1BF4FEE3BE4BA583C8935398C5B4B7</vt:lpwstr>
  </property>
</Properties>
</file>