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spacing w:line="360" w:lineRule="auto"/>
        <w:jc w:val="center"/>
        <w:rPr>
          <w:rFonts w:hint="eastAsia" w:ascii="方正小标宋简体" w:hAnsi="方正小标宋_GBK" w:eastAsia="方正小标宋简体"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eastAsia="zh-CN"/>
        </w:rPr>
        <w:t>深圳会展中心</w:t>
      </w:r>
      <w:r>
        <w:rPr>
          <w:rFonts w:hint="eastAsia" w:ascii="方正小标宋简体" w:hAnsi="方正小标宋_GBK" w:eastAsia="方正小标宋简体" w:cs="方正小标宋_GBK"/>
          <w:b/>
          <w:sz w:val="32"/>
          <w:szCs w:val="32"/>
          <w:lang w:val="en-US" w:eastAsia="zh-CN"/>
        </w:rPr>
        <w:t>分体</w:t>
      </w:r>
      <w:r>
        <w:rPr>
          <w:rFonts w:hint="eastAsia" w:ascii="方正小标宋简体" w:hAnsi="方正小标宋_GBK" w:eastAsia="方正小标宋简体" w:cs="方正小标宋_GBK"/>
          <w:b/>
          <w:sz w:val="32"/>
          <w:szCs w:val="32"/>
          <w:lang w:eastAsia="zh-CN"/>
        </w:rPr>
        <w:t>空调</w:t>
      </w:r>
      <w:r>
        <w:rPr>
          <w:rFonts w:hint="eastAsia" w:ascii="方正小标宋简体" w:hAnsi="方正小标宋_GBK" w:eastAsia="方正小标宋简体" w:cs="方正小标宋_GBK"/>
          <w:b/>
          <w:sz w:val="32"/>
          <w:szCs w:val="32"/>
          <w:lang w:val="en-US" w:eastAsia="zh-CN"/>
        </w:rPr>
        <w:t>增加漏电保护开关</w:t>
      </w:r>
      <w:r>
        <w:rPr>
          <w:rFonts w:hint="eastAsia" w:ascii="方正小标宋简体" w:hAnsi="方正小标宋_GBK" w:eastAsia="方正小标宋简体" w:cs="方正小标宋_GBK"/>
          <w:b/>
          <w:sz w:val="32"/>
          <w:szCs w:val="32"/>
        </w:rPr>
        <w:t>项目</w:t>
      </w:r>
      <w:bookmarkEnd w:id="0"/>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12</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1" w:name="_Toc128989093"/>
      <w:r>
        <w:rPr>
          <w:rFonts w:hint="eastAsia" w:ascii="宋体" w:hAnsi="宋体" w:cs="宋体"/>
          <w:b/>
          <w:szCs w:val="21"/>
        </w:rPr>
        <w:t>参加单位须知</w:t>
      </w:r>
      <w:bookmarkEnd w:id="1"/>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采购人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olor w:val="auto"/>
                <w:szCs w:val="21"/>
                <w:highlight w:val="none"/>
                <w:lang w:val="en-US" w:eastAsia="zh-CN"/>
              </w:rPr>
              <w:t>cghyz</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s="Times New Roman"/>
                <w:color w:val="auto"/>
                <w:szCs w:val="21"/>
                <w:highlight w:val="none"/>
                <w:lang w:eastAsia="zh-CN"/>
              </w:rPr>
              <w:t>深圳会展中心</w:t>
            </w:r>
            <w:r>
              <w:rPr>
                <w:rFonts w:hint="eastAsia" w:ascii="宋体" w:hAnsi="宋体" w:cs="Times New Roman"/>
                <w:color w:val="auto"/>
                <w:szCs w:val="21"/>
                <w:highlight w:val="none"/>
                <w:lang w:val="en-US" w:eastAsia="zh-CN"/>
              </w:rPr>
              <w:t>分体</w:t>
            </w:r>
            <w:r>
              <w:rPr>
                <w:rFonts w:hint="eastAsia" w:ascii="宋体" w:hAnsi="宋体" w:cs="Times New Roman"/>
                <w:color w:val="auto"/>
                <w:szCs w:val="21"/>
                <w:highlight w:val="none"/>
                <w:lang w:eastAsia="zh-CN"/>
              </w:rPr>
              <w:t>空调</w:t>
            </w:r>
            <w:r>
              <w:rPr>
                <w:rFonts w:hint="eastAsia" w:ascii="宋体" w:hAnsi="宋体" w:cs="Times New Roman"/>
                <w:color w:val="auto"/>
                <w:szCs w:val="21"/>
                <w:highlight w:val="none"/>
                <w:lang w:val="en-US" w:eastAsia="zh-CN"/>
              </w:rPr>
              <w:t>增加漏电保护开关</w:t>
            </w:r>
            <w:r>
              <w:rPr>
                <w:rFonts w:hint="eastAsia" w:ascii="宋体" w:hAnsi="宋体" w:cs="Times New Roman"/>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s="Times New Roman"/>
                <w:color w:val="auto"/>
                <w:szCs w:val="21"/>
                <w:highlight w:val="none"/>
                <w:lang w:val="en-US" w:eastAsia="zh-CN"/>
              </w:rPr>
              <w:t>会展中心各办公室和各个设备机房安装的分体空调电源插座及电源断路器更换为具备漏电保护功能的电源插座和漏电开关。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https://cg.szcec.com/sharing/9cUfIWCzo，</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https://cg.szcec.com/sharing/9xWjOBgtr，</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w:t>
            </w:r>
            <w:r>
              <w:rPr>
                <w:rFonts w:hint="eastAsia" w:ascii="宋体" w:hAnsi="宋体" w:cs="宋体"/>
                <w:color w:val="FF0000"/>
                <w:szCs w:val="21"/>
                <w:highlight w:val="cyan"/>
                <w:lang w:bidi="ar"/>
              </w:rPr>
              <w:t>https://cg.szcec.com/sharing/1mvZsTOhg</w:t>
            </w:r>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bookmarkStart w:id="54" w:name="_GoBack"/>
            <w:bookmarkEnd w:id="54"/>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赵工</w:t>
            </w:r>
          </w:p>
          <w:p>
            <w:pPr>
              <w:pStyle w:val="28"/>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8815</w:t>
            </w:r>
            <w:r>
              <w:rPr>
                <w:rFonts w:hint="eastAsia" w:ascii="宋体" w:hAnsi="宋体" w:eastAsia="宋体"/>
                <w:kern w:val="0"/>
                <w:szCs w:val="21"/>
              </w:rPr>
              <w:t>，手机：</w:t>
            </w:r>
            <w:r>
              <w:rPr>
                <w:rFonts w:hint="eastAsia" w:ascii="宋体" w:hAnsi="宋体" w:eastAsia="宋体"/>
                <w:kern w:val="0"/>
                <w:szCs w:val="21"/>
                <w:lang w:val="en-US" w:eastAsia="zh-CN"/>
              </w:rPr>
              <w:t>18926083811</w:t>
            </w:r>
          </w:p>
          <w:p>
            <w:pPr>
              <w:pStyle w:val="28"/>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集合地点：</w:t>
            </w:r>
            <w:r>
              <w:rPr>
                <w:rFonts w:hint="eastAsia" w:ascii="宋体" w:hAnsi="宋体" w:eastAsia="宋体"/>
                <w:kern w:val="0"/>
                <w:szCs w:val="21"/>
                <w:lang w:eastAsia="zh-CN"/>
              </w:rPr>
              <w:t>深圳会展中心</w:t>
            </w:r>
            <w:r>
              <w:rPr>
                <w:rFonts w:hint="eastAsia" w:ascii="宋体" w:hAnsi="宋体" w:eastAsia="宋体"/>
                <w:kern w:val="0"/>
                <w:szCs w:val="21"/>
                <w:lang w:val="en-US" w:eastAsia="zh-CN"/>
              </w:rPr>
              <w:t>9号馆6号门</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5" w:name="_Toc128989094"/>
      <w:r>
        <w:rPr>
          <w:rFonts w:hint="eastAsia" w:ascii="宋体" w:hAnsi="宋体" w:cs="宋体"/>
          <w:b/>
          <w:szCs w:val="21"/>
        </w:rPr>
        <w:t>特别说明</w:t>
      </w:r>
      <w:bookmarkEnd w:id="5"/>
    </w:p>
    <w:p>
      <w:pPr>
        <w:pStyle w:val="28"/>
        <w:numPr>
          <w:ilvl w:val="0"/>
          <w:numId w:val="7"/>
        </w:numPr>
        <w:spacing w:line="360" w:lineRule="auto"/>
        <w:ind w:left="0" w:firstLine="420" w:firstLineChars="0"/>
        <w:rPr>
          <w:rFonts w:ascii="宋体" w:hAnsi="宋体" w:cs="宋体"/>
          <w:szCs w:val="21"/>
        </w:rPr>
      </w:pPr>
      <w:bookmarkStart w:id="6" w:name="_Toc517278751"/>
      <w:bookmarkStart w:id="7" w:name="_Toc478387747"/>
      <w:bookmarkStart w:id="8"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6"/>
    <w:bookmarkEnd w:id="7"/>
    <w:bookmarkEnd w:id="8"/>
    <w:p>
      <w:pPr>
        <w:numPr>
          <w:ilvl w:val="0"/>
          <w:numId w:val="1"/>
        </w:numPr>
        <w:spacing w:line="300" w:lineRule="auto"/>
        <w:outlineLvl w:val="0"/>
      </w:pPr>
      <w:bookmarkStart w:id="9" w:name="_Toc128989095"/>
      <w:r>
        <w:rPr>
          <w:rFonts w:hint="eastAsia" w:ascii="宋体" w:hAnsi="宋体" w:cs="宋体"/>
          <w:b/>
          <w:sz w:val="24"/>
        </w:rPr>
        <w:t>投标文件编制</w:t>
      </w:r>
      <w:bookmarkEnd w:id="9"/>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tabs>
                <w:tab w:val="left" w:pos="3358"/>
              </w:tabs>
              <w:autoSpaceDE w:val="0"/>
              <w:autoSpaceDN w:val="0"/>
              <w:adjustRightInd w:val="0"/>
              <w:snapToGrid w:val="0"/>
              <w:jc w:val="left"/>
              <w:rPr>
                <w:rFonts w:hint="eastAsia" w:ascii="宋体" w:hAnsi="宋体" w:eastAsia="宋体" w:cs="Courier New"/>
                <w:kern w:val="0"/>
                <w:szCs w:val="21"/>
                <w:lang w:eastAsia="zh-CN"/>
              </w:rPr>
            </w:pPr>
            <w:r>
              <w:rPr>
                <w:rFonts w:ascii="Segoe UI Symbol" w:hAnsi="Segoe UI Symbol" w:cs="Segoe UI Symbol"/>
                <w:kern w:val="0"/>
                <w:szCs w:val="21"/>
              </w:rPr>
              <w:t>☑</w:t>
            </w:r>
            <w:r>
              <w:rPr>
                <w:rFonts w:hint="eastAsia" w:ascii="宋体" w:hAnsi="宋体" w:cs="Courier New"/>
                <w:kern w:val="0"/>
                <w:szCs w:val="21"/>
              </w:rPr>
              <w:t>资格审查文件</w:t>
            </w:r>
            <w:r>
              <w:rPr>
                <w:rFonts w:hint="eastAsia" w:ascii="宋体" w:hAnsi="宋体" w:cs="Courier New"/>
                <w:kern w:val="0"/>
                <w:szCs w:val="21"/>
                <w:lang w:eastAsia="zh-CN"/>
              </w:rPr>
              <w:tab/>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10" w:name="_Toc128989096"/>
      <w:r>
        <w:rPr>
          <w:rFonts w:hint="eastAsia" w:ascii="宋体" w:hAnsi="宋体" w:cs="宋体"/>
          <w:b/>
          <w:sz w:val="24"/>
        </w:rPr>
        <w:t>项目要求</w:t>
      </w:r>
      <w:bookmarkEnd w:id="1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ascii="宋体" w:hAnsi="宋体" w:cs="宋体"/>
              </w:rPr>
            </w:pPr>
            <w:bookmarkStart w:id="11" w:name="OLE_LINK4"/>
            <w:bookmarkStart w:id="12" w:name="OLE_LINK3"/>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1"/>
            <w:bookmarkEnd w:id="12"/>
          </w:p>
          <w:p>
            <w:pPr>
              <w:numPr>
                <w:ilvl w:val="0"/>
                <w:numId w:val="0"/>
              </w:numPr>
              <w:tabs>
                <w:tab w:val="left" w:pos="531"/>
              </w:tabs>
              <w:snapToGrid w:val="0"/>
              <w:ind w:leftChars="0"/>
              <w:rPr>
                <w:rFonts w:ascii="宋体" w:hAnsi="宋体" w:cs="宋体"/>
                <w:color w:val="auto"/>
                <w:szCs w:val="21"/>
                <w:highlight w:val="none"/>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参加单位应</w:t>
            </w:r>
            <w:r>
              <w:rPr>
                <w:rFonts w:hint="eastAsia" w:ascii="宋体" w:hAnsi="宋体"/>
                <w:szCs w:val="21"/>
              </w:rPr>
              <w:t>具有建筑机电安装工程专业承包资质</w:t>
            </w:r>
            <w:r>
              <w:rPr>
                <w:rFonts w:hint="eastAsia" w:ascii="宋体" w:hAnsi="宋体" w:cs="仿宋"/>
                <w:szCs w:val="21"/>
                <w:lang w:eastAsia="zh-CN"/>
              </w:rPr>
              <w:t>叁级或以上</w:t>
            </w:r>
            <w:r>
              <w:rPr>
                <w:rFonts w:hint="eastAsia" w:ascii="宋体" w:hAnsi="宋体"/>
                <w:szCs w:val="21"/>
              </w:rPr>
              <w:t>。提供资质</w:t>
            </w:r>
            <w:r>
              <w:rPr>
                <w:rFonts w:hint="eastAsia" w:ascii="宋体" w:hAnsi="宋体"/>
                <w:color w:val="auto"/>
                <w:szCs w:val="21"/>
                <w:highlight w:val="none"/>
              </w:rPr>
              <w:t>证书复印件或扫描件并加盖公章。</w:t>
            </w:r>
          </w:p>
          <w:p>
            <w:pPr>
              <w:numPr>
                <w:ilvl w:val="0"/>
                <w:numId w:val="0"/>
              </w:numPr>
              <w:tabs>
                <w:tab w:val="left" w:pos="531"/>
              </w:tabs>
              <w:snapToGrid w:val="0"/>
              <w:ind w:leftChars="0"/>
              <w:rPr>
                <w:rFonts w:ascii="宋体" w:hAnsi="宋体" w:cs="宋体"/>
                <w:kern w:val="0"/>
                <w:sz w:val="24"/>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right="28" w:rightChars="0"/>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报价以人民币为结算币种，</w:t>
            </w:r>
            <w:r>
              <w:rPr>
                <w:rFonts w:hint="eastAsia" w:ascii="宋体" w:hAnsi="宋体" w:cs="宋体"/>
                <w:color w:val="FF0000"/>
                <w:szCs w:val="21"/>
                <w:highlight w:val="yellow"/>
              </w:rPr>
              <w:t>报价</w:t>
            </w:r>
            <w:r>
              <w:rPr>
                <w:rFonts w:hint="eastAsia" w:ascii="宋体" w:hAnsi="宋体"/>
                <w:color w:val="FF0000"/>
                <w:szCs w:val="21"/>
                <w:highlight w:val="yellow"/>
              </w:rPr>
              <w:t>应包含税率、</w:t>
            </w:r>
            <w:r>
              <w:rPr>
                <w:rFonts w:hint="eastAsia" w:ascii="宋体" w:hAnsi="宋体" w:cs="宋体"/>
                <w:color w:val="FF0000"/>
                <w:szCs w:val="21"/>
                <w:highlight w:val="yellow"/>
              </w:rPr>
              <w:t>单价和总价。</w:t>
            </w:r>
          </w:p>
          <w:p>
            <w:pPr>
              <w:numPr>
                <w:ilvl w:val="0"/>
                <w:numId w:val="0"/>
              </w:numPr>
              <w:tabs>
                <w:tab w:val="left" w:pos="531"/>
              </w:tabs>
              <w:snapToGrid w:val="0"/>
              <w:ind w:leftChars="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报价不得出现可选择性的报价,含有备选方案的报价将导致废标。</w:t>
            </w:r>
          </w:p>
          <w:p>
            <w:pPr>
              <w:widowControl/>
              <w:numPr>
                <w:ilvl w:val="0"/>
                <w:numId w:val="0"/>
              </w:numPr>
              <w:ind w:leftChars="0" w:right="28" w:rightChars="0"/>
              <w:jc w:val="left"/>
              <w:rPr>
                <w:rFonts w:ascii="宋体" w:hAnsi="宋体" w:cs="宋体"/>
                <w:sz w:val="24"/>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本项目采用总价包干的报价方式。报价以人民币作为结算币种，包括但不仅限于该项目所涉及到的材料费、施工费（拆卸及安装）、调试费、安全管理费、措施费及各项规费、垃圾清运、税金等完成本项目所需的一切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yellow"/>
                <w:lang w:val="en-US" w:eastAsia="zh-CN"/>
              </w:rPr>
              <w:t>18.9</w:t>
            </w:r>
            <w:r>
              <w:rPr>
                <w:rFonts w:hint="eastAsia" w:ascii="宋体" w:hAnsi="宋体" w:cs="宋体"/>
                <w:color w:val="FF0000"/>
                <w:highlight w:val="yellow"/>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本项目施工完毕且验收合格后，一次性支付合同总金额的97%。</w:t>
            </w:r>
          </w:p>
          <w:p>
            <w:pPr>
              <w:numPr>
                <w:ilvl w:val="0"/>
                <w:numId w:val="0"/>
              </w:numPr>
              <w:tabs>
                <w:tab w:val="left" w:pos="531"/>
              </w:tabs>
              <w:snapToGrid w:val="0"/>
              <w:ind w:leftChars="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0"/>
              </w:numPr>
              <w:tabs>
                <w:tab w:val="left" w:pos="531"/>
              </w:tabs>
              <w:snapToGrid w:val="0"/>
              <w:ind w:leftChars="0"/>
              <w:rPr>
                <w:rFonts w:ascii="宋体" w:hAnsi="宋体" w:cs="宋体"/>
                <w:color w:val="auto"/>
                <w:kern w:val="0"/>
                <w:sz w:val="24"/>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highlight w:val="none"/>
                <w:lang w:val="en-US" w:eastAsia="zh-CN"/>
              </w:rPr>
              <w:t>60天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人员要求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669"/>
              </w:tabs>
              <w:snapToGrid w:val="0"/>
              <w:ind w:leftChars="0"/>
              <w:rPr>
                <w:rFonts w:ascii="宋体" w:hAnsi="宋体"/>
              </w:rPr>
            </w:pPr>
            <w:r>
              <w:rPr>
                <w:rFonts w:hint="eastAsia" w:ascii="宋体" w:hAnsi="宋体"/>
                <w:lang w:eastAsia="zh-CN"/>
              </w:rPr>
              <w:t>（</w:t>
            </w:r>
            <w:r>
              <w:rPr>
                <w:rFonts w:hint="eastAsia" w:ascii="宋体" w:hAnsi="宋体"/>
                <w:lang w:val="en-US" w:eastAsia="zh-CN"/>
              </w:rPr>
              <w:t>1）参加单位</w:t>
            </w:r>
            <w:r>
              <w:rPr>
                <w:rFonts w:hint="eastAsia" w:ascii="宋体" w:hAnsi="宋体"/>
              </w:rPr>
              <w:t>须指定项目负责人，</w:t>
            </w:r>
            <w:r>
              <w:rPr>
                <w:rFonts w:hint="eastAsia" w:ascii="宋体" w:hAnsi="宋体"/>
                <w:lang w:eastAsia="zh-CN"/>
              </w:rPr>
              <w:t>项目</w:t>
            </w:r>
            <w:r>
              <w:rPr>
                <w:rFonts w:hint="eastAsia" w:ascii="宋体" w:hAnsi="宋体"/>
              </w:rPr>
              <w:t>负责人须</w:t>
            </w:r>
            <w:r>
              <w:rPr>
                <w:rFonts w:hint="eastAsia" w:ascii="宋体" w:hAnsi="宋体"/>
                <w:lang w:val="en-US" w:eastAsia="zh-CN"/>
              </w:rPr>
              <w:t>具有</w:t>
            </w:r>
            <w:r>
              <w:rPr>
                <w:rFonts w:hint="eastAsia" w:ascii="宋体" w:hAnsi="宋体"/>
                <w:lang w:eastAsia="zh-CN"/>
              </w:rPr>
              <w:t>二级</w:t>
            </w:r>
            <w:r>
              <w:rPr>
                <w:rFonts w:hint="eastAsia" w:ascii="宋体" w:hAnsi="宋体"/>
                <w:szCs w:val="21"/>
                <w:lang w:eastAsia="zh-CN"/>
              </w:rPr>
              <w:t>注册</w:t>
            </w:r>
            <w:r>
              <w:rPr>
                <w:rFonts w:hint="eastAsia" w:ascii="宋体" w:hAnsi="宋体"/>
                <w:lang w:eastAsia="zh-CN"/>
              </w:rPr>
              <w:t>建造师</w:t>
            </w:r>
            <w:r>
              <w:rPr>
                <w:rFonts w:hint="eastAsia" w:ascii="宋体" w:hAnsi="宋体"/>
                <w:lang w:val="en-US" w:eastAsia="zh-CN"/>
              </w:rPr>
              <w:t>或</w:t>
            </w:r>
            <w:r>
              <w:rPr>
                <w:rFonts w:hint="eastAsia" w:ascii="宋体" w:hAnsi="宋体"/>
                <w:lang w:eastAsia="zh-CN"/>
              </w:rPr>
              <w:t>以上</w:t>
            </w:r>
            <w:r>
              <w:rPr>
                <w:rFonts w:hint="eastAsia" w:ascii="宋体" w:hAnsi="宋体"/>
                <w:lang w:val="en-US" w:eastAsia="zh-CN"/>
              </w:rPr>
              <w:t>资格（注册在本公司）</w:t>
            </w:r>
            <w:r>
              <w:rPr>
                <w:rFonts w:hint="eastAsia" w:ascii="宋体" w:hAnsi="宋体"/>
              </w:rPr>
              <w:t>，并提供该负责人职业或执业资格证书复印件或扫描件等信息，负责联络协调及跟进该项目具体实施。</w:t>
            </w:r>
          </w:p>
          <w:p>
            <w:pPr>
              <w:numPr>
                <w:ilvl w:val="0"/>
                <w:numId w:val="0"/>
              </w:numPr>
              <w:tabs>
                <w:tab w:val="left" w:pos="669"/>
              </w:tabs>
              <w:snapToGrid w:val="0"/>
              <w:ind w:leftChars="0"/>
              <w:rPr>
                <w:rFonts w:ascii="宋体" w:hAnsi="宋体"/>
                <w:color w:val="auto"/>
                <w:highlight w:val="none"/>
              </w:rPr>
            </w:pPr>
            <w:r>
              <w:rPr>
                <w:rFonts w:hint="eastAsia" w:ascii="宋体" w:hAnsi="宋体"/>
                <w:lang w:eastAsia="zh-CN"/>
              </w:rPr>
              <w:t>（</w:t>
            </w:r>
            <w:r>
              <w:rPr>
                <w:rFonts w:hint="eastAsia" w:ascii="宋体" w:hAnsi="宋体"/>
                <w:lang w:val="en-US" w:eastAsia="zh-CN"/>
              </w:rPr>
              <w:t>2）参加单位</w:t>
            </w:r>
            <w:r>
              <w:rPr>
                <w:rFonts w:hint="eastAsia" w:ascii="宋体" w:hAnsi="宋体"/>
                <w:color w:val="auto"/>
                <w:highlight w:val="none"/>
              </w:rPr>
              <w:t>安排的现场施工人员须具备</w:t>
            </w:r>
            <w:r>
              <w:rPr>
                <w:rFonts w:hint="eastAsia" w:ascii="宋体" w:hAnsi="宋体"/>
                <w:color w:val="auto"/>
                <w:highlight w:val="none"/>
                <w:lang w:eastAsia="zh-CN"/>
              </w:rPr>
              <w:t>低</w:t>
            </w:r>
            <w:r>
              <w:rPr>
                <w:rFonts w:hint="eastAsia" w:ascii="宋体" w:hAnsi="宋体"/>
                <w:color w:val="auto"/>
                <w:highlight w:val="none"/>
              </w:rPr>
              <w:t>压电工作业证</w:t>
            </w:r>
            <w:r>
              <w:rPr>
                <w:rFonts w:hint="eastAsia" w:ascii="宋体" w:hAnsi="宋体"/>
                <w:color w:val="auto"/>
                <w:highlight w:val="none"/>
                <w:lang w:eastAsia="zh-CN"/>
              </w:rPr>
              <w:t>或高空作业证，</w:t>
            </w:r>
            <w:r>
              <w:rPr>
                <w:rFonts w:hint="eastAsia" w:ascii="宋体" w:hAnsi="宋体"/>
                <w:color w:val="auto"/>
                <w:highlight w:val="none"/>
              </w:rPr>
              <w:t>并提交拟安排人员资格证复印件或扫描件加盖公章。</w:t>
            </w:r>
          </w:p>
          <w:p>
            <w:pPr>
              <w:pStyle w:val="28"/>
              <w:spacing w:line="0" w:lineRule="atLeast"/>
              <w:ind w:firstLine="0" w:firstLineChars="0"/>
              <w:rPr>
                <w:rFonts w:ascii="宋体" w:hAnsi="宋体" w:cs="宋体"/>
                <w:kern w:val="0"/>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工程量</w:t>
            </w:r>
          </w:p>
        </w:tc>
        <w:tc>
          <w:tcPr>
            <w:tcW w:w="6861" w:type="dxa"/>
            <w:gridSpan w:val="2"/>
            <w:tcBorders>
              <w:top w:val="single" w:color="auto" w:sz="4" w:space="0"/>
              <w:left w:val="single" w:color="auto" w:sz="4" w:space="0"/>
              <w:bottom w:val="single" w:color="auto" w:sz="4" w:space="0"/>
              <w:right w:val="single" w:color="auto" w:sz="4" w:space="0"/>
            </w:tcBorders>
            <w:vAlign w:val="center"/>
          </w:tcPr>
          <w:tbl>
            <w:tblPr>
              <w:tblStyle w:val="14"/>
              <w:tblpPr w:leftFromText="180" w:rightFromText="180" w:vertAnchor="text" w:horzAnchor="page" w:tblpX="-4" w:tblpY="192"/>
              <w:tblOverlap w:val="never"/>
              <w:tblW w:w="6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559"/>
              <w:gridCol w:w="274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tcPr>
                <w:p>
                  <w:pPr>
                    <w:spacing w:line="480" w:lineRule="auto"/>
                    <w:jc w:val="both"/>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559" w:type="dxa"/>
                </w:tcPr>
                <w:p>
                  <w:pPr>
                    <w:spacing w:line="480" w:lineRule="auto"/>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2741" w:type="dxa"/>
                </w:tcPr>
                <w:p>
                  <w:pPr>
                    <w:spacing w:line="48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项目描叙</w:t>
                  </w:r>
                </w:p>
              </w:tc>
              <w:tc>
                <w:tcPr>
                  <w:tcW w:w="1449" w:type="dxa"/>
                </w:tcPr>
                <w:p>
                  <w:pPr>
                    <w:spacing w:line="48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数量</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59" w:type="dxa"/>
                </w:tcPr>
                <w:p>
                  <w:pPr>
                    <w:spacing w:line="480" w:lineRule="auto"/>
                    <w:ind w:left="-19" w:leftChars="-21" w:hanging="25" w:hangingChars="12"/>
                    <w:jc w:val="center"/>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aps w:val="0"/>
                      <w:color w:val="000000"/>
                      <w:spacing w:val="0"/>
                      <w:sz w:val="21"/>
                      <w:szCs w:val="21"/>
                      <w:shd w:val="clear"/>
                      <w:lang w:val="en-US" w:eastAsia="zh-CN"/>
                    </w:rPr>
                    <w:t>漏电保护器</w:t>
                  </w:r>
                </w:p>
              </w:tc>
              <w:tc>
                <w:tcPr>
                  <w:tcW w:w="2741" w:type="dxa"/>
                  <w:vAlign w:val="center"/>
                </w:tcPr>
                <w:p>
                  <w:pPr>
                    <w:spacing w:line="360" w:lineRule="auto"/>
                    <w:ind w:left="-19" w:leftChars="-21" w:hanging="25" w:hangingChars="12"/>
                    <w:jc w:val="center"/>
                    <w:rPr>
                      <w:rFonts w:hint="eastAsia" w:ascii="宋体" w:hAnsi="宋体" w:eastAsia="宋体" w:cs="宋体"/>
                      <w:b w:val="0"/>
                      <w:bCs w:val="0"/>
                      <w:i w:val="0"/>
                      <w:iCs w:val="0"/>
                      <w:caps w:val="0"/>
                      <w:color w:val="000000"/>
                      <w:spacing w:val="0"/>
                      <w:sz w:val="21"/>
                      <w:szCs w:val="21"/>
                      <w:shd w:val="clear"/>
                      <w:lang w:val="en-US" w:eastAsia="zh-CN"/>
                    </w:rPr>
                  </w:pPr>
                  <w:r>
                    <w:rPr>
                      <w:rFonts w:hint="eastAsia" w:ascii="宋体" w:hAnsi="宋体" w:eastAsia="宋体" w:cs="宋体"/>
                      <w:b w:val="0"/>
                      <w:bCs w:val="0"/>
                      <w:i w:val="0"/>
                      <w:iCs w:val="0"/>
                      <w:caps w:val="0"/>
                      <w:color w:val="000000"/>
                      <w:spacing w:val="0"/>
                      <w:sz w:val="21"/>
                      <w:szCs w:val="21"/>
                      <w:shd w:val="clear"/>
                      <w:lang w:val="en-US" w:eastAsia="zh-CN"/>
                    </w:rPr>
                    <w:t>AC-25 2P</w:t>
                  </w:r>
                  <w:r>
                    <w:rPr>
                      <w:rFonts w:hint="eastAsia" w:ascii="宋体" w:hAnsi="宋体" w:cs="宋体"/>
                      <w:b w:val="0"/>
                      <w:bCs w:val="0"/>
                      <w:i w:val="0"/>
                      <w:iCs w:val="0"/>
                      <w:caps w:val="0"/>
                      <w:color w:val="000000"/>
                      <w:spacing w:val="0"/>
                      <w:sz w:val="21"/>
                      <w:szCs w:val="21"/>
                      <w:shd w:val="clear"/>
                      <w:lang w:val="en-US" w:eastAsia="zh-CN"/>
                    </w:rPr>
                    <w:t>、</w:t>
                  </w:r>
                  <w:r>
                    <w:rPr>
                      <w:rFonts w:hint="eastAsia" w:ascii="宋体" w:hAnsi="宋体" w:eastAsia="宋体" w:cs="宋体"/>
                      <w:b w:val="0"/>
                      <w:bCs w:val="0"/>
                      <w:i w:val="0"/>
                      <w:iCs w:val="0"/>
                      <w:caps w:val="0"/>
                      <w:color w:val="000000"/>
                      <w:spacing w:val="0"/>
                      <w:sz w:val="21"/>
                      <w:szCs w:val="21"/>
                      <w:shd w:val="clear"/>
                      <w:lang w:val="en-US" w:eastAsia="zh-CN"/>
                    </w:rPr>
                    <w:t>包安装调试</w:t>
                  </w:r>
                </w:p>
              </w:tc>
              <w:tc>
                <w:tcPr>
                  <w:tcW w:w="1449" w:type="dxa"/>
                  <w:vAlign w:val="center"/>
                </w:tcPr>
                <w:p>
                  <w:pPr>
                    <w:spacing w:line="360" w:lineRule="auto"/>
                    <w:ind w:left="-19" w:leftChars="-21" w:hanging="25" w:hangingChars="12"/>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59" w:type="dxa"/>
                </w:tcPr>
                <w:p>
                  <w:pPr>
                    <w:spacing w:line="360" w:lineRule="auto"/>
                    <w:ind w:left="-19" w:leftChars="-21" w:hanging="25" w:hangingChars="12"/>
                    <w:jc w:val="center"/>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aps w:val="0"/>
                      <w:color w:val="000000"/>
                      <w:spacing w:val="0"/>
                      <w:sz w:val="21"/>
                      <w:szCs w:val="21"/>
                      <w:shd w:val="clear"/>
                      <w:lang w:val="en-US" w:eastAsia="zh-CN"/>
                    </w:rPr>
                    <w:t>漏电保护器</w:t>
                  </w:r>
                </w:p>
              </w:tc>
              <w:tc>
                <w:tcPr>
                  <w:tcW w:w="2741" w:type="dxa"/>
                  <w:vAlign w:val="center"/>
                </w:tcPr>
                <w:p>
                  <w:pPr>
                    <w:spacing w:line="360" w:lineRule="auto"/>
                    <w:ind w:left="-19" w:leftChars="-21" w:hanging="25" w:hangingChars="12"/>
                    <w:jc w:val="center"/>
                    <w:rPr>
                      <w:rFonts w:hint="eastAsia" w:ascii="宋体" w:hAnsi="宋体" w:eastAsia="宋体" w:cs="宋体"/>
                      <w:b w:val="0"/>
                      <w:bCs w:val="0"/>
                      <w:i w:val="0"/>
                      <w:iCs w:val="0"/>
                      <w:caps w:val="0"/>
                      <w:color w:val="000000"/>
                      <w:spacing w:val="0"/>
                      <w:sz w:val="21"/>
                      <w:szCs w:val="21"/>
                      <w:shd w:val="clear"/>
                    </w:rPr>
                  </w:pPr>
                  <w:r>
                    <w:rPr>
                      <w:rFonts w:hint="eastAsia" w:ascii="宋体" w:hAnsi="宋体" w:eastAsia="宋体" w:cs="宋体"/>
                      <w:b w:val="0"/>
                      <w:bCs w:val="0"/>
                      <w:i w:val="0"/>
                      <w:iCs w:val="0"/>
                      <w:caps w:val="0"/>
                      <w:color w:val="000000"/>
                      <w:spacing w:val="0"/>
                      <w:sz w:val="21"/>
                      <w:szCs w:val="21"/>
                      <w:shd w:val="clear"/>
                      <w:lang w:val="en-US" w:eastAsia="zh-CN"/>
                    </w:rPr>
                    <w:t>AC-25 2P</w:t>
                  </w:r>
                  <w:r>
                    <w:rPr>
                      <w:rFonts w:hint="eastAsia" w:ascii="宋体" w:hAnsi="宋体" w:cs="宋体"/>
                      <w:b w:val="0"/>
                      <w:bCs w:val="0"/>
                      <w:i w:val="0"/>
                      <w:iCs w:val="0"/>
                      <w:caps w:val="0"/>
                      <w:color w:val="000000"/>
                      <w:spacing w:val="0"/>
                      <w:sz w:val="21"/>
                      <w:szCs w:val="21"/>
                      <w:shd w:val="clear"/>
                      <w:lang w:val="en-US" w:eastAsia="zh-CN"/>
                    </w:rPr>
                    <w:t>、</w:t>
                  </w:r>
                  <w:r>
                    <w:rPr>
                      <w:rFonts w:hint="eastAsia" w:ascii="宋体" w:hAnsi="宋体" w:eastAsia="宋体" w:cs="宋体"/>
                      <w:b w:val="0"/>
                      <w:bCs w:val="0"/>
                      <w:i w:val="0"/>
                      <w:iCs w:val="0"/>
                      <w:caps w:val="0"/>
                      <w:color w:val="000000"/>
                      <w:spacing w:val="0"/>
                      <w:sz w:val="21"/>
                      <w:szCs w:val="21"/>
                      <w:shd w:val="clear"/>
                      <w:lang w:val="en-US" w:eastAsia="zh-CN"/>
                    </w:rPr>
                    <w:t>包安装调试</w:t>
                  </w:r>
                </w:p>
              </w:tc>
              <w:tc>
                <w:tcPr>
                  <w:tcW w:w="144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559" w:type="dxa"/>
                  <w:vAlign w:val="top"/>
                </w:tcPr>
                <w:p>
                  <w:pPr>
                    <w:spacing w:line="48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室内电箱</w:t>
                  </w:r>
                </w:p>
              </w:tc>
              <w:tc>
                <w:tcPr>
                  <w:tcW w:w="2741"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i w:val="0"/>
                      <w:iCs w:val="0"/>
                      <w:caps w:val="0"/>
                      <w:color w:val="000000"/>
                      <w:spacing w:val="0"/>
                      <w:sz w:val="21"/>
                      <w:szCs w:val="21"/>
                      <w:shd w:val="clear"/>
                      <w:lang w:val="en-US" w:eastAsia="zh-CN"/>
                    </w:rPr>
                    <w:t>包安装调试</w:t>
                  </w:r>
                </w:p>
              </w:tc>
              <w:tc>
                <w:tcPr>
                  <w:tcW w:w="1449"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559" w:type="dxa"/>
                </w:tcPr>
                <w:p>
                  <w:pPr>
                    <w:spacing w:line="48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漏电保护插座</w:t>
                  </w:r>
                </w:p>
              </w:tc>
              <w:tc>
                <w:tcPr>
                  <w:tcW w:w="274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i w:val="0"/>
                      <w:iCs w:val="0"/>
                      <w:caps w:val="0"/>
                      <w:color w:val="000000"/>
                      <w:spacing w:val="0"/>
                      <w:sz w:val="21"/>
                      <w:szCs w:val="21"/>
                      <w:shd w:val="clear"/>
                      <w:lang w:val="en-US" w:eastAsia="zh-CN"/>
                    </w:rPr>
                    <w:t>包安装调试</w:t>
                  </w:r>
                </w:p>
              </w:tc>
              <w:tc>
                <w:tcPr>
                  <w:tcW w:w="144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559" w:type="dxa"/>
                  <w:vAlign w:val="top"/>
                </w:tcPr>
                <w:p>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漏电保护插座</w:t>
                  </w:r>
                </w:p>
              </w:tc>
              <w:tc>
                <w:tcPr>
                  <w:tcW w:w="2741"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aps w:val="0"/>
                      <w:color w:val="000000"/>
                      <w:spacing w:val="0"/>
                      <w:sz w:val="21"/>
                      <w:szCs w:val="21"/>
                      <w:shd w:val="clear"/>
                      <w:lang w:val="en-US" w:eastAsia="zh-CN"/>
                    </w:rPr>
                    <w:t>包安装调试</w:t>
                  </w:r>
                </w:p>
              </w:tc>
              <w:tc>
                <w:tcPr>
                  <w:tcW w:w="144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5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4cm</w:t>
                  </w:r>
                  <w:r>
                    <w:rPr>
                      <w:rFonts w:hint="eastAsia" w:ascii="宋体" w:hAnsi="宋体" w:cs="宋体"/>
                      <w:sz w:val="21"/>
                      <w:szCs w:val="21"/>
                      <w:vertAlign w:val="superscript"/>
                      <w:lang w:val="en-US" w:eastAsia="zh-CN"/>
                    </w:rPr>
                    <w:t>2</w:t>
                  </w:r>
                  <w:r>
                    <w:rPr>
                      <w:rFonts w:hint="eastAsia" w:ascii="宋体" w:hAnsi="宋体" w:eastAsia="宋体" w:cs="宋体"/>
                      <w:sz w:val="21"/>
                      <w:szCs w:val="21"/>
                      <w:lang w:eastAsia="zh-CN"/>
                    </w:rPr>
                    <w:t>单芯电线</w:t>
                  </w:r>
                </w:p>
              </w:tc>
              <w:tc>
                <w:tcPr>
                  <w:tcW w:w="2741" w:type="dxa"/>
                  <w:vAlign w:val="center"/>
                </w:tcPr>
                <w:p>
                  <w:pPr>
                    <w:jc w:val="center"/>
                    <w:rPr>
                      <w:rFonts w:hint="eastAsia" w:ascii="宋体" w:hAnsi="宋体" w:eastAsia="宋体" w:cs="宋体"/>
                      <w:b w:val="0"/>
                      <w:bCs w:val="0"/>
                      <w:i w:val="0"/>
                      <w:iCs w:val="0"/>
                      <w:caps w:val="0"/>
                      <w:color w:val="000000"/>
                      <w:spacing w:val="0"/>
                      <w:sz w:val="21"/>
                      <w:szCs w:val="21"/>
                      <w:shd w:val="clear"/>
                      <w:lang w:val="en-US" w:eastAsia="zh-CN"/>
                    </w:rPr>
                  </w:pPr>
                  <w:r>
                    <w:rPr>
                      <w:rFonts w:hint="eastAsia" w:ascii="宋体" w:hAnsi="宋体" w:eastAsia="宋体" w:cs="宋体"/>
                      <w:b w:val="0"/>
                      <w:bCs w:val="0"/>
                      <w:i w:val="0"/>
                      <w:iCs w:val="0"/>
                      <w:caps w:val="0"/>
                      <w:color w:val="000000"/>
                      <w:spacing w:val="0"/>
                      <w:sz w:val="21"/>
                      <w:szCs w:val="21"/>
                      <w:shd w:val="clear"/>
                      <w:lang w:val="en-US" w:eastAsia="zh-CN"/>
                    </w:rPr>
                    <w:t>三相五线制，每根线100米</w:t>
                  </w:r>
                </w:p>
              </w:tc>
              <w:tc>
                <w:tcPr>
                  <w:tcW w:w="144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1559" w:type="dxa"/>
                </w:tcPr>
                <w:p>
                  <w:pPr>
                    <w:spacing w:line="48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杯梳等辅材</w:t>
                  </w:r>
                </w:p>
              </w:tc>
              <w:tc>
                <w:tcPr>
                  <w:tcW w:w="2741" w:type="dxa"/>
                  <w:vAlign w:val="center"/>
                </w:tcPr>
                <w:p>
                  <w:pPr>
                    <w:jc w:val="center"/>
                    <w:rPr>
                      <w:rFonts w:hint="eastAsia" w:ascii="宋体" w:hAnsi="宋体" w:eastAsia="宋体" w:cs="宋体"/>
                      <w:sz w:val="21"/>
                      <w:szCs w:val="21"/>
                      <w:lang w:val="en-US" w:eastAsia="zh-CN"/>
                    </w:rPr>
                  </w:pPr>
                </w:p>
              </w:tc>
              <w:tc>
                <w:tcPr>
                  <w:tcW w:w="144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一批</w:t>
                  </w:r>
                </w:p>
              </w:tc>
            </w:tr>
          </w:tbl>
          <w:p>
            <w:pPr>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lang w:val="en-US" w:eastAsia="zh-CN"/>
              </w:rPr>
              <w:t>技术要求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9"/>
              </w:numPr>
              <w:ind w:leftChars="0"/>
              <w:jc w:val="left"/>
              <w:rPr>
                <w:rFonts w:hint="eastAsia"/>
                <w:lang w:val="en-US" w:eastAsia="zh-CN"/>
              </w:rPr>
            </w:pPr>
            <w:r>
              <w:rPr>
                <w:rFonts w:hint="eastAsia"/>
                <w:lang w:val="en-US" w:eastAsia="zh-CN"/>
              </w:rPr>
              <w:t>漏电保护器参考品牌要求：ABB、西门子、施耐德。</w:t>
            </w:r>
          </w:p>
          <w:p>
            <w:pPr>
              <w:numPr>
                <w:ilvl w:val="0"/>
                <w:numId w:val="9"/>
              </w:numPr>
              <w:ind w:leftChars="0"/>
              <w:jc w:val="left"/>
              <w:rPr>
                <w:rFonts w:hint="default"/>
                <w:lang w:val="en-US" w:eastAsia="zh-CN"/>
              </w:rPr>
            </w:pPr>
            <w:r>
              <w:rPr>
                <w:rFonts w:hint="eastAsia"/>
                <w:lang w:val="en-US" w:eastAsia="zh-CN"/>
              </w:rPr>
              <w:t>漏电保护插座：正泰、公牛、德力西。</w:t>
            </w:r>
          </w:p>
          <w:p>
            <w:pPr>
              <w:numPr>
                <w:ilvl w:val="0"/>
                <w:numId w:val="9"/>
              </w:numPr>
              <w:ind w:leftChars="0"/>
              <w:jc w:val="left"/>
              <w:rPr>
                <w:rFonts w:hint="default"/>
                <w:lang w:val="en-US" w:eastAsia="zh-CN"/>
              </w:rPr>
            </w:pPr>
            <w:r>
              <w:rPr>
                <w:rFonts w:hint="eastAsia"/>
                <w:lang w:val="en-US" w:eastAsia="zh-CN"/>
              </w:rPr>
              <w:t>漏电保护器需具备漏电、过载、短路保护功能。</w:t>
            </w:r>
          </w:p>
          <w:p>
            <w:pPr>
              <w:numPr>
                <w:ilvl w:val="0"/>
                <w:numId w:val="9"/>
              </w:numPr>
              <w:ind w:leftChars="0"/>
              <w:jc w:val="left"/>
              <w:rPr>
                <w:rFonts w:hint="default"/>
                <w:lang w:val="en-US" w:eastAsia="zh-CN"/>
              </w:rPr>
            </w:pPr>
            <w:r>
              <w:rPr>
                <w:rFonts w:hint="eastAsia"/>
                <w:lang w:val="en-US" w:eastAsia="zh-CN"/>
              </w:rPr>
              <w:t>漏电保护器和漏电保护插座外壳需具备阻燃特性。</w:t>
            </w:r>
          </w:p>
          <w:p>
            <w:pPr>
              <w:numPr>
                <w:ilvl w:val="0"/>
                <w:numId w:val="9"/>
              </w:numPr>
              <w:ind w:leftChars="0"/>
              <w:jc w:val="left"/>
              <w:rPr>
                <w:rFonts w:hint="default"/>
                <w:lang w:val="en-US" w:eastAsia="zh-CN"/>
              </w:rPr>
            </w:pPr>
            <w:r>
              <w:rPr>
                <w:rFonts w:hint="eastAsia"/>
                <w:lang w:val="en-US" w:eastAsia="zh-CN"/>
              </w:rPr>
              <w:t>漏电保护器和漏电保护插座保护动作时间</w:t>
            </w:r>
            <w:r>
              <w:rPr>
                <w:rFonts w:hint="default" w:ascii="Arial" w:hAnsi="Arial" w:cs="Arial"/>
                <w:lang w:val="en-US" w:eastAsia="zh-CN"/>
              </w:rPr>
              <w:t>≤</w:t>
            </w:r>
            <w:r>
              <w:rPr>
                <w:rFonts w:hint="eastAsia"/>
                <w:lang w:val="en-US" w:eastAsia="zh-CN"/>
              </w:rPr>
              <w:t>0.6s。</w:t>
            </w:r>
          </w:p>
          <w:p>
            <w:pPr>
              <w:widowControl/>
              <w:jc w:val="left"/>
              <w:rPr>
                <w:rFonts w:ascii="宋体" w:hAnsi="宋体" w:cs="宋体"/>
                <w:sz w:val="24"/>
              </w:rPr>
            </w:pPr>
            <w:r>
              <w:rPr>
                <w:rFonts w:hint="eastAsia"/>
                <w:lang w:val="en-US" w:eastAsia="zh-CN"/>
              </w:rPr>
              <w:t>漏电保护器和漏电保护插座分断电流</w:t>
            </w:r>
            <w:r>
              <w:rPr>
                <w:rFonts w:hint="default" w:ascii="Arial" w:hAnsi="Arial" w:cs="Arial"/>
                <w:lang w:val="en-US" w:eastAsia="zh-CN"/>
              </w:rPr>
              <w:t>≤</w:t>
            </w:r>
            <w:r>
              <w:rPr>
                <w:rFonts w:hint="eastAsia"/>
                <w:lang w:val="en-US" w:eastAsia="zh-CN"/>
              </w:rPr>
              <w:t>0.03A。</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highlight w:val="yellow"/>
              </w:rPr>
            </w:pPr>
            <w:r>
              <w:rPr>
                <w:rFonts w:hint="eastAsia" w:ascii="宋体" w:hAnsi="宋体" w:cs="宋体"/>
                <w:szCs w:val="21"/>
              </w:rPr>
              <w:t>施工要求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0"/>
              </w:numPr>
              <w:jc w:val="left"/>
              <w:rPr>
                <w:rFonts w:hint="eastAsia"/>
                <w:lang w:val="en-US" w:eastAsia="zh-CN"/>
              </w:rPr>
            </w:pPr>
            <w:r>
              <w:rPr>
                <w:rFonts w:hint="eastAsia"/>
                <w:lang w:val="en-US" w:eastAsia="zh-CN"/>
              </w:rPr>
              <w:t>本</w:t>
            </w:r>
            <w:r>
              <w:rPr>
                <w:rFonts w:hint="eastAsia"/>
              </w:rPr>
              <w:t>工程施工</w:t>
            </w:r>
            <w:r>
              <w:rPr>
                <w:rFonts w:hint="eastAsia"/>
                <w:lang w:val="en-US" w:eastAsia="zh-CN"/>
              </w:rPr>
              <w:t>按照</w:t>
            </w:r>
            <w:r>
              <w:rPr>
                <w:rFonts w:hint="eastAsia" w:ascii="宋体" w:hAnsi="宋体" w:cs="宋体"/>
                <w:kern w:val="0"/>
                <w:szCs w:val="21"/>
              </w:rPr>
              <w:t>建筑电气工程施工质量验收规范</w:t>
            </w:r>
            <w:r>
              <w:rPr>
                <w:rFonts w:hint="eastAsia" w:ascii="宋体" w:hAnsi="宋体" w:cs="宋体"/>
                <w:kern w:val="0"/>
                <w:szCs w:val="21"/>
                <w:lang w:eastAsia="zh-CN"/>
              </w:rPr>
              <w:t>（</w:t>
            </w:r>
            <w:r>
              <w:rPr>
                <w:rFonts w:hint="eastAsia" w:ascii="Times New Roman" w:hAnsi="Times New Roman" w:eastAsia="宋体" w:cs="Times New Roman"/>
                <w:i w:val="0"/>
                <w:iCs w:val="0"/>
                <w:caps w:val="0"/>
                <w:spacing w:val="0"/>
                <w:sz w:val="21"/>
                <w:szCs w:val="24"/>
                <w:shd w:val="clear"/>
              </w:rPr>
              <w:t>GB 50303-2015</w:t>
            </w:r>
            <w:r>
              <w:rPr>
                <w:rFonts w:hint="eastAsia" w:ascii="宋体" w:hAnsi="宋体" w:cs="宋体"/>
                <w:kern w:val="0"/>
                <w:szCs w:val="21"/>
                <w:lang w:eastAsia="zh-CN"/>
              </w:rPr>
              <w:t>）</w:t>
            </w:r>
            <w:r>
              <w:rPr>
                <w:rFonts w:hint="eastAsia"/>
              </w:rPr>
              <w:t>的要求和现场实际情况，制定并提交安全可行的《项目施工方案》，包括但不仅限于材料选择、系统测试、施工工艺、进度计划、现场施工管理、安全措施、应急预案等。</w:t>
            </w:r>
          </w:p>
          <w:p>
            <w:pPr>
              <w:numPr>
                <w:ilvl w:val="0"/>
                <w:numId w:val="10"/>
              </w:numPr>
              <w:jc w:val="left"/>
              <w:rPr>
                <w:rFonts w:hint="eastAsia"/>
                <w:lang w:val="en-US" w:eastAsia="zh-CN"/>
              </w:rPr>
            </w:pPr>
            <w:r>
              <w:rPr>
                <w:rFonts w:hint="eastAsia"/>
                <w:lang w:val="en-US" w:eastAsia="zh-CN"/>
              </w:rPr>
              <w:t>参加单位应对现场施工作业人员的安全负全部责任。施工人员进入现场正确佩戴安全帽，不得穿拖鞋，施工现场禁止抽烟，不得酒后作业。</w:t>
            </w:r>
          </w:p>
          <w:p>
            <w:pPr>
              <w:numPr>
                <w:ilvl w:val="0"/>
                <w:numId w:val="10"/>
              </w:numPr>
              <w:jc w:val="left"/>
              <w:rPr>
                <w:rFonts w:hint="eastAsia"/>
                <w:lang w:val="en-US" w:eastAsia="zh-CN"/>
              </w:rPr>
            </w:pPr>
            <w:r>
              <w:rPr>
                <w:rFonts w:hint="eastAsia"/>
                <w:lang w:val="en-US" w:eastAsia="zh-CN"/>
              </w:rPr>
              <w:t>使用电动工具或设备时必须由专业电工接线；运入施工现场的材料及机具应摆放整齐。</w:t>
            </w:r>
          </w:p>
          <w:p>
            <w:pPr>
              <w:numPr>
                <w:ilvl w:val="0"/>
                <w:numId w:val="10"/>
              </w:numPr>
              <w:jc w:val="left"/>
              <w:rPr>
                <w:rFonts w:hint="eastAsia"/>
                <w:lang w:val="en-US" w:eastAsia="zh-CN"/>
              </w:rPr>
            </w:pPr>
            <w:r>
              <w:rPr>
                <w:rFonts w:hint="eastAsia"/>
                <w:lang w:val="en-US" w:eastAsia="zh-CN"/>
              </w:rPr>
              <w:t>参加单位承诺严格按照安全规程安排施工作业，采购人有权制止现场违规或存在安全隐患作业现象，必要时可勒令停工整顿并按章处罚。</w:t>
            </w:r>
          </w:p>
          <w:p>
            <w:pPr>
              <w:numPr>
                <w:ilvl w:val="0"/>
                <w:numId w:val="10"/>
              </w:numPr>
              <w:jc w:val="left"/>
              <w:rPr>
                <w:rFonts w:hint="eastAsia"/>
              </w:rPr>
            </w:pPr>
            <w:r>
              <w:rPr>
                <w:rFonts w:hint="eastAsia" w:ascii="宋体" w:hAnsi="宋体"/>
                <w:lang w:val="en-US" w:eastAsia="zh-CN"/>
              </w:rPr>
              <w:t>参加单位</w:t>
            </w:r>
            <w:r>
              <w:rPr>
                <w:rFonts w:hint="eastAsia"/>
              </w:rPr>
              <w:t>登高作业前必须向</w:t>
            </w:r>
            <w:r>
              <w:rPr>
                <w:rFonts w:hint="eastAsia"/>
                <w:lang w:val="en-US" w:eastAsia="zh-CN"/>
              </w:rPr>
              <w:t>采购</w:t>
            </w:r>
            <w:r>
              <w:rPr>
                <w:rFonts w:hint="eastAsia"/>
              </w:rPr>
              <w:t>人</w:t>
            </w:r>
            <w:r>
              <w:rPr>
                <w:rFonts w:hint="eastAsia"/>
                <w:lang w:eastAsia="zh-CN"/>
              </w:rPr>
              <w:t>申请高空作业，</w:t>
            </w:r>
            <w:r>
              <w:rPr>
                <w:rFonts w:hint="eastAsia"/>
                <w:lang w:val="en-US" w:eastAsia="zh-CN"/>
              </w:rPr>
              <w:t>采购</w:t>
            </w:r>
            <w:r>
              <w:rPr>
                <w:rFonts w:hint="eastAsia"/>
                <w:lang w:eastAsia="zh-CN"/>
              </w:rPr>
              <w:t>人审批后方可进行高空作业。高空作业时</w:t>
            </w:r>
            <w:r>
              <w:rPr>
                <w:rFonts w:hint="eastAsia"/>
                <w:lang w:val="en-US" w:eastAsia="zh-CN"/>
              </w:rPr>
              <w:t>需</w:t>
            </w:r>
            <w:r>
              <w:rPr>
                <w:rFonts w:hint="eastAsia"/>
              </w:rPr>
              <w:t>正确佩戴安全带、安全帽，且必须有专人看护梯子。</w:t>
            </w:r>
          </w:p>
          <w:p>
            <w:pPr>
              <w:numPr>
                <w:ilvl w:val="0"/>
                <w:numId w:val="10"/>
              </w:numPr>
              <w:jc w:val="left"/>
              <w:rPr>
                <w:rFonts w:hint="eastAsia"/>
              </w:rPr>
            </w:pPr>
            <w:r>
              <w:rPr>
                <w:rFonts w:hint="eastAsia" w:ascii="宋体" w:hAnsi="宋体"/>
                <w:lang w:val="en-US" w:eastAsia="zh-CN"/>
              </w:rPr>
              <w:t>参加单位</w:t>
            </w:r>
            <w:r>
              <w:rPr>
                <w:rFonts w:hint="eastAsia"/>
              </w:rPr>
              <w:t>应注重现场的文明施工，对施工区域的施工垃圾须及时自行清除，不得乱堆乱放。</w:t>
            </w:r>
          </w:p>
          <w:p>
            <w:pPr>
              <w:numPr>
                <w:ilvl w:val="0"/>
                <w:numId w:val="10"/>
              </w:numPr>
              <w:jc w:val="left"/>
              <w:rPr>
                <w:rFonts w:hint="eastAsia" w:ascii="宋体" w:hAnsi="宋体" w:cs="宋体"/>
                <w:color w:val="FF0000"/>
                <w:highlight w:val="yellow"/>
              </w:rPr>
            </w:pPr>
            <w:r>
              <w:rPr>
                <w:rFonts w:hint="eastAsia" w:ascii="宋体" w:hAnsi="宋体"/>
                <w:lang w:val="en-US" w:eastAsia="zh-CN"/>
              </w:rPr>
              <w:t>参加单位</w:t>
            </w:r>
            <w:r>
              <w:rPr>
                <w:rFonts w:hint="eastAsia" w:ascii="Times New Roman" w:hAnsi="Times New Roman" w:eastAsia="宋体" w:cs="Times New Roman"/>
                <w:spacing w:val="0"/>
                <w:kern w:val="2"/>
                <w:sz w:val="21"/>
                <w:szCs w:val="24"/>
                <w:lang w:val="en-US" w:eastAsia="zh-CN" w:bidi="ar-SA"/>
              </w:rPr>
              <w:t>必须在人员及材料、设备进场前，按照</w:t>
            </w:r>
            <w:r>
              <w:rPr>
                <w:rFonts w:hint="eastAsia" w:cs="Times New Roman"/>
                <w:spacing w:val="0"/>
                <w:kern w:val="2"/>
                <w:sz w:val="21"/>
                <w:szCs w:val="24"/>
                <w:lang w:val="en-US" w:eastAsia="zh-CN" w:bidi="ar-SA"/>
              </w:rPr>
              <w:t>采购</w:t>
            </w:r>
            <w:r>
              <w:rPr>
                <w:rFonts w:hint="eastAsia" w:ascii="Times New Roman" w:hAnsi="Times New Roman" w:eastAsia="宋体" w:cs="Times New Roman"/>
                <w:spacing w:val="0"/>
                <w:kern w:val="2"/>
                <w:sz w:val="21"/>
                <w:szCs w:val="24"/>
                <w:lang w:val="en-US" w:eastAsia="zh-CN" w:bidi="ar-SA"/>
              </w:rPr>
              <w:t>人要求完成安全责任书签订。</w:t>
            </w:r>
          </w:p>
          <w:p>
            <w:pPr>
              <w:numPr>
                <w:ilvl w:val="0"/>
                <w:numId w:val="10"/>
              </w:numPr>
              <w:jc w:val="left"/>
              <w:rPr>
                <w:rFonts w:hint="eastAsia" w:ascii="宋体" w:hAnsi="宋体" w:cs="宋体"/>
                <w:color w:val="FF0000"/>
                <w:highlight w:val="yellow"/>
              </w:rPr>
            </w:pPr>
            <w:r>
              <w:rPr>
                <w:rFonts w:hint="eastAsia" w:cs="Times New Roman"/>
                <w:spacing w:val="0"/>
                <w:kern w:val="2"/>
                <w:sz w:val="21"/>
                <w:szCs w:val="24"/>
                <w:lang w:val="en-US" w:eastAsia="zh-CN" w:bidi="ar-SA"/>
              </w:rPr>
              <w:t>进场施工</w:t>
            </w:r>
            <w:r>
              <w:rPr>
                <w:rFonts w:hint="eastAsia"/>
                <w:lang w:val="en-US" w:eastAsia="zh-CN"/>
              </w:rPr>
              <w:t>前需提前和采购人现场管理人员沟通，在不影响空调使用的时间段内才能施工。</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工程质保服务承诺</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ind w:leftChars="0"/>
              <w:rPr>
                <w:color w:val="FF0000"/>
                <w:highlight w:val="yellow"/>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rPr>
              <w:t>本项目工程质量保修期至少为2年，最终质量保修期以《售后服务承诺书》上的免费保修年限承诺为准。</w:t>
            </w:r>
          </w:p>
          <w:p>
            <w:pPr>
              <w:numPr>
                <w:ilvl w:val="0"/>
                <w:numId w:val="0"/>
              </w:numPr>
              <w:jc w:val="left"/>
              <w:rPr>
                <w:rFonts w:hint="eastAsia" w:cs="Times New Roman"/>
                <w:spacing w:val="0"/>
                <w:kern w:val="2"/>
                <w:sz w:val="21"/>
                <w:szCs w:val="24"/>
                <w:lang w:val="en-US" w:eastAsia="zh-CN" w:bidi="ar-SA"/>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参加单位</w:t>
            </w:r>
            <w:r>
              <w:rPr>
                <w:rFonts w:hint="eastAsia" w:ascii="宋体" w:hAnsi="宋体" w:cs="宋体"/>
                <w:szCs w:val="21"/>
              </w:rPr>
              <w:t>须提供《售后服务承诺书》，包括但不限于质量保修期内出现质量问题的保修承诺，还需提交免费保修年限承诺及保修电话、联系人、责任人等</w:t>
            </w:r>
            <w:r>
              <w:rPr>
                <w:rFonts w:hint="eastAsia" w:ascii="宋体" w:hAnsi="宋体" w:cs="宋体"/>
                <w:szCs w:val="21"/>
                <w:lang w:eastAsia="zh-CN"/>
              </w:rPr>
              <w:t>，</w:t>
            </w:r>
            <w:r>
              <w:rPr>
                <w:rFonts w:hint="eastAsia" w:ascii="宋体" w:hAnsi="宋体" w:cs="宋体"/>
                <w:szCs w:val="21"/>
              </w:rPr>
              <w:t>以及质量保修期满后维修维护的服务承诺。</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szCs w:val="21"/>
              </w:rPr>
              <w:t>工期要求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cs="Times New Roman"/>
                <w:spacing w:val="0"/>
                <w:kern w:val="2"/>
                <w:sz w:val="21"/>
                <w:szCs w:val="24"/>
                <w:lang w:val="en-US" w:eastAsia="zh-CN" w:bidi="ar-SA"/>
              </w:rPr>
            </w:pPr>
            <w:r>
              <w:rPr>
                <w:rFonts w:hint="eastAsia" w:ascii="宋体" w:hAnsi="宋体" w:cs="宋体"/>
                <w:szCs w:val="21"/>
              </w:rPr>
              <w:t>合同</w:t>
            </w:r>
            <w:r>
              <w:rPr>
                <w:rFonts w:hint="eastAsia" w:ascii="宋体" w:hAnsi="宋体"/>
                <w:szCs w:val="21"/>
              </w:rPr>
              <w:t>签订后，60个日历日完成竣工验收。如遇不可抗拒、因配合</w:t>
            </w:r>
            <w:r>
              <w:rPr>
                <w:rFonts w:hint="eastAsia" w:ascii="宋体" w:hAnsi="宋体"/>
                <w:szCs w:val="21"/>
                <w:lang w:val="en-US" w:eastAsia="zh-CN"/>
              </w:rPr>
              <w:t>采购</w:t>
            </w:r>
            <w:r>
              <w:rPr>
                <w:rFonts w:hint="eastAsia" w:ascii="宋体" w:hAnsi="宋体"/>
                <w:szCs w:val="21"/>
              </w:rPr>
              <w:t>人经营造成的工期延误，经</w:t>
            </w:r>
            <w:r>
              <w:rPr>
                <w:rFonts w:hint="eastAsia" w:ascii="宋体" w:hAnsi="宋体"/>
                <w:szCs w:val="21"/>
                <w:lang w:val="en-US" w:eastAsia="zh-CN"/>
              </w:rPr>
              <w:t>采购</w:t>
            </w:r>
            <w:r>
              <w:rPr>
                <w:rFonts w:hint="eastAsia" w:ascii="宋体" w:hAnsi="宋体"/>
                <w:szCs w:val="21"/>
              </w:rPr>
              <w:t>人确认后可顺延合同工期。否则，</w:t>
            </w:r>
            <w:r>
              <w:rPr>
                <w:rFonts w:hint="eastAsia" w:ascii="宋体" w:hAnsi="宋体"/>
                <w:szCs w:val="21"/>
                <w:lang w:val="en-US" w:eastAsia="zh-CN"/>
              </w:rPr>
              <w:t>采购</w:t>
            </w:r>
            <w:r>
              <w:rPr>
                <w:rFonts w:hint="eastAsia" w:ascii="宋体" w:hAnsi="宋体"/>
                <w:szCs w:val="21"/>
              </w:rPr>
              <w:t>人将按</w:t>
            </w:r>
            <w:r>
              <w:rPr>
                <w:rFonts w:hint="eastAsia" w:ascii="宋体" w:hAnsi="宋体"/>
                <w:szCs w:val="21"/>
                <w:lang w:val="en-US" w:eastAsia="zh-CN"/>
              </w:rPr>
              <w:t>5</w:t>
            </w:r>
            <w:r>
              <w:rPr>
                <w:rFonts w:hint="eastAsia" w:ascii="宋体" w:hAnsi="宋体"/>
                <w:szCs w:val="21"/>
              </w:rPr>
              <w:t>00元/天的标准直接从当期应付款项中扣除相应款项作为违约金。</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6</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项目验收要求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1"/>
              </w:numPr>
              <w:ind w:left="355" w:leftChars="-83" w:hanging="529" w:hangingChars="252"/>
            </w:pPr>
            <w:r>
              <w:rPr>
                <w:rFonts w:hint="eastAsia"/>
              </w:rPr>
              <w:t>项目完成施工，</w:t>
            </w:r>
            <w:r>
              <w:rPr>
                <w:rFonts w:hint="eastAsia"/>
                <w:lang w:val="en-US" w:eastAsia="zh-CN"/>
              </w:rPr>
              <w:t>参加单位</w:t>
            </w:r>
            <w:r>
              <w:rPr>
                <w:rFonts w:hint="eastAsia"/>
              </w:rPr>
              <w:t>提供全套验收资料，及时提出书面验收申请，</w:t>
            </w:r>
            <w:r>
              <w:rPr>
                <w:rFonts w:hint="eastAsia"/>
                <w:lang w:val="en-US" w:eastAsia="zh-CN"/>
              </w:rPr>
              <w:t>采购</w:t>
            </w:r>
            <w:r>
              <w:rPr>
                <w:rFonts w:hint="eastAsia"/>
              </w:rPr>
              <w:t>人组织相关人员进行初步验收。</w:t>
            </w:r>
          </w:p>
          <w:p>
            <w:pPr>
              <w:numPr>
                <w:ilvl w:val="0"/>
                <w:numId w:val="11"/>
              </w:numPr>
              <w:ind w:left="355" w:leftChars="-83" w:hanging="529" w:hangingChars="252"/>
              <w:rPr>
                <w:rFonts w:hint="default"/>
                <w:lang w:val="en-US" w:eastAsia="zh-CN"/>
              </w:rPr>
            </w:pPr>
            <w:r>
              <w:rPr>
                <w:rFonts w:hint="eastAsia"/>
              </w:rPr>
              <w:t>初验合格后，进入试运行阶段，本项目及相关设备设施运行72小时正常后，</w:t>
            </w:r>
            <w:r>
              <w:rPr>
                <w:rFonts w:hint="eastAsia"/>
                <w:lang w:val="en-US" w:eastAsia="zh-CN"/>
              </w:rPr>
              <w:t>参加单位</w:t>
            </w:r>
            <w:r>
              <w:rPr>
                <w:rFonts w:hint="eastAsia"/>
              </w:rPr>
              <w:t>方可向</w:t>
            </w:r>
            <w:r>
              <w:rPr>
                <w:rFonts w:hint="eastAsia"/>
                <w:lang w:val="en-US" w:eastAsia="zh-CN"/>
              </w:rPr>
              <w:t>采购</w:t>
            </w:r>
            <w:r>
              <w:rPr>
                <w:rFonts w:hint="eastAsia"/>
              </w:rPr>
              <w:t>人申请进行竣工验收。</w:t>
            </w:r>
          </w:p>
          <w:p>
            <w:pPr>
              <w:numPr>
                <w:ilvl w:val="0"/>
                <w:numId w:val="11"/>
              </w:numPr>
              <w:ind w:left="355" w:leftChars="-83" w:hanging="529" w:hangingChars="252"/>
              <w:rPr>
                <w:rFonts w:hint="default" w:cs="Times New Roman"/>
                <w:spacing w:val="0"/>
                <w:kern w:val="2"/>
                <w:sz w:val="21"/>
                <w:szCs w:val="24"/>
                <w:lang w:val="en-US" w:eastAsia="zh-CN" w:bidi="ar-SA"/>
              </w:rPr>
            </w:pPr>
            <w:r>
              <w:rPr>
                <w:rFonts w:hint="eastAsia"/>
              </w:rPr>
              <w:t>本项目根据相关国家标准</w:t>
            </w:r>
            <w:r>
              <w:rPr>
                <w:rFonts w:hint="eastAsia"/>
                <w:lang w:eastAsia="zh-CN"/>
              </w:rPr>
              <w:t>：</w:t>
            </w:r>
            <w:r>
              <w:rPr>
                <w:rFonts w:hint="eastAsia"/>
              </w:rPr>
              <w:t>建筑电气工程施工质量验收规范</w:t>
            </w:r>
            <w:r>
              <w:rPr>
                <w:rFonts w:hint="eastAsia"/>
                <w:lang w:eastAsia="zh-CN"/>
              </w:rPr>
              <w:t>（</w:t>
            </w:r>
            <w:r>
              <w:rPr>
                <w:rFonts w:hint="eastAsia"/>
              </w:rPr>
              <w:t>GB 50303-2015</w:t>
            </w:r>
            <w:r>
              <w:rPr>
                <w:rFonts w:hint="eastAsia"/>
                <w:lang w:eastAsia="zh-CN"/>
              </w:rPr>
              <w:t>）</w:t>
            </w:r>
            <w:r>
              <w:rPr>
                <w:rFonts w:hint="eastAsia"/>
                <w:lang w:val="en-US" w:eastAsia="zh-CN"/>
              </w:rPr>
              <w:t>进行验收。</w:t>
            </w:r>
          </w:p>
          <w:p>
            <w:pPr>
              <w:numPr>
                <w:ilvl w:val="0"/>
                <w:numId w:val="11"/>
              </w:numPr>
              <w:ind w:left="355" w:leftChars="-83" w:hanging="529" w:hangingChars="252"/>
              <w:rPr>
                <w:rFonts w:hint="default" w:cs="Times New Roman"/>
                <w:spacing w:val="0"/>
                <w:kern w:val="2"/>
                <w:sz w:val="21"/>
                <w:szCs w:val="24"/>
                <w:lang w:val="en-US" w:eastAsia="zh-CN" w:bidi="ar-SA"/>
              </w:rPr>
            </w:pPr>
            <w:r>
              <w:rPr>
                <w:rFonts w:hint="eastAsia" w:ascii="宋体" w:hAnsi="宋体" w:cs="宋体"/>
                <w:kern w:val="0"/>
                <w:szCs w:val="21"/>
                <w:lang w:val="en-US" w:eastAsia="zh-CN"/>
              </w:rPr>
              <w:t>漏电开关和带漏电功能插座试验按钮动作灵敏。</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3" w:name="_Toc128989097"/>
      <w:r>
        <w:rPr>
          <w:rFonts w:hint="eastAsia" w:ascii="宋体" w:hAnsi="宋体" w:cs="宋体"/>
          <w:b/>
          <w:sz w:val="24"/>
        </w:rPr>
        <w:t>其他项目说明资料</w:t>
      </w:r>
      <w:bookmarkEnd w:id="13"/>
    </w:p>
    <w:p>
      <w:pPr>
        <w:pStyle w:val="11"/>
        <w:ind w:firstLine="1050" w:firstLineChars="500"/>
        <w:rPr>
          <w:rFonts w:hint="eastAsia" w:ascii="宋体" w:eastAsia="宋体" w:cs="宋体"/>
          <w:color w:val="FF0000"/>
          <w:highlight w:val="yellow"/>
          <w:lang w:val="en-US" w:eastAsia="zh-CN"/>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4" w:name="_Toc128989098"/>
      <w:r>
        <w:rPr>
          <w:rFonts w:hint="eastAsia" w:ascii="宋体" w:hAnsi="宋体" w:cs="宋体"/>
          <w:b/>
          <w:sz w:val="24"/>
        </w:rPr>
        <w:t>开标评标流程</w:t>
      </w:r>
      <w:bookmarkEnd w:id="14"/>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5" w:name="_Toc128989099"/>
      <w:r>
        <w:rPr>
          <w:rFonts w:hint="eastAsia" w:ascii="宋体" w:hAnsi="宋体" w:cs="宋体"/>
          <w:b/>
          <w:sz w:val="24"/>
        </w:rPr>
        <w:t>评审办法</w:t>
      </w:r>
      <w:bookmarkEnd w:id="15"/>
    </w:p>
    <w:p>
      <w:pPr>
        <w:spacing w:line="360" w:lineRule="auto"/>
        <w:ind w:firstLine="420" w:firstLineChars="200"/>
        <w:rPr>
          <w:rFonts w:ascii="宋体" w:hAnsi="宋体"/>
          <w:szCs w:val="21"/>
        </w:rPr>
      </w:pPr>
      <w:r>
        <w:rPr>
          <w:rFonts w:hint="eastAsia" w:ascii="宋体" w:hAnsi="宋体"/>
          <w:szCs w:val="21"/>
        </w:rPr>
        <w:t>首先对</w:t>
      </w:r>
      <w:r>
        <w:rPr>
          <w:rFonts w:hint="eastAsia" w:ascii="宋体" w:hAnsi="宋体"/>
          <w:szCs w:val="21"/>
          <w:lang w:val="en-US" w:eastAsia="zh-CN"/>
        </w:rPr>
        <w:t>参加单位</w:t>
      </w:r>
      <w:r>
        <w:rPr>
          <w:rFonts w:hint="eastAsia" w:ascii="宋体" w:hAnsi="宋体"/>
          <w:szCs w:val="21"/>
        </w:rPr>
        <w:t>进行符合性审查，然后进行不可偏离项检查。对通过符合性审查及不可偏离项检查的</w:t>
      </w:r>
      <w:r>
        <w:rPr>
          <w:rFonts w:hint="eastAsia" w:ascii="宋体" w:hAnsi="宋体"/>
          <w:szCs w:val="21"/>
          <w:lang w:val="en-US" w:eastAsia="zh-CN"/>
        </w:rPr>
        <w:t>参加单位</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30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30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26"/>
          <w:rFonts w:ascii="宋体" w:hAnsi="宋体"/>
          <w:b/>
          <w:szCs w:val="21"/>
        </w:rPr>
      </w:pPr>
      <w:bookmarkStart w:id="16" w:name="_Toc116550355"/>
      <w:r>
        <w:rPr>
          <w:rStyle w:val="26"/>
          <w:rFonts w:hint="eastAsia" w:ascii="宋体" w:hAnsi="宋体"/>
          <w:b/>
          <w:bCs/>
          <w:szCs w:val="21"/>
        </w:rPr>
        <w:t>符合性检查</w:t>
      </w:r>
      <w:bookmarkEnd w:id="16"/>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lang w:val="en-US" w:eastAsia="zh-CN"/>
              </w:rPr>
              <w:t>参加单位</w:t>
            </w:r>
            <w:r>
              <w:rPr>
                <w:rFonts w:hint="eastAsia" w:ascii="宋体" w:hAnsi="宋体" w:cs="仿宋"/>
                <w:bCs/>
                <w:szCs w:val="21"/>
              </w:rPr>
              <w:t>提交的投标文件是否按要求编制目录、加密；投标文件的加密密码按要求发送至</w:t>
            </w:r>
            <w:r>
              <w:rPr>
                <w:rFonts w:hint="eastAsia" w:ascii="宋体" w:hAnsi="宋体" w:cs="仿宋"/>
                <w:bCs/>
                <w:szCs w:val="21"/>
                <w:lang w:val="en-US" w:eastAsia="zh-CN"/>
              </w:rPr>
              <w:t>采购</w:t>
            </w:r>
            <w:r>
              <w:rPr>
                <w:rFonts w:hint="eastAsia" w:ascii="宋体" w:hAnsi="宋体" w:cs="仿宋"/>
                <w:bCs/>
                <w:szCs w:val="21"/>
              </w:rPr>
              <w:t>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val="en-US" w:eastAsia="zh-CN"/>
              </w:rPr>
              <w:t>参加单位</w:t>
            </w:r>
            <w:r>
              <w:rPr>
                <w:rFonts w:hint="eastAsia" w:ascii="宋体" w:hAnsi="宋体" w:cs="仿宋"/>
                <w:bCs/>
                <w:szCs w:val="21"/>
              </w:rPr>
              <w:t>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w:t>
            </w:r>
            <w:r>
              <w:rPr>
                <w:rFonts w:hint="eastAsia" w:ascii="宋体" w:hAnsi="宋体" w:cs="宋体"/>
                <w:lang w:val="en-US" w:eastAsia="zh-CN"/>
              </w:rPr>
              <w:t>是否</w:t>
            </w:r>
            <w:r>
              <w:rPr>
                <w:rFonts w:hint="eastAsia" w:ascii="宋体" w:hAnsi="宋体" w:cs="宋体"/>
              </w:rPr>
              <w:t>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ascii="宋体" w:hAnsi="宋体" w:cs="宋体"/>
                <w:color w:val="auto"/>
                <w:szCs w:val="21"/>
                <w:highlight w:val="none"/>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szCs w:val="21"/>
                <w:lang w:val="en-US" w:eastAsia="zh-CN"/>
              </w:rPr>
              <w:t>参加单位是否</w:t>
            </w:r>
            <w:r>
              <w:rPr>
                <w:rFonts w:hint="eastAsia" w:ascii="宋体" w:hAnsi="宋体"/>
                <w:szCs w:val="21"/>
              </w:rPr>
              <w:t>具有建筑机电安装工程专业承包资质</w:t>
            </w:r>
            <w:r>
              <w:rPr>
                <w:rFonts w:hint="eastAsia" w:ascii="宋体" w:hAnsi="宋体" w:cs="仿宋"/>
                <w:szCs w:val="21"/>
                <w:lang w:eastAsia="zh-CN"/>
              </w:rPr>
              <w:t>叁级或以上</w:t>
            </w:r>
            <w:r>
              <w:rPr>
                <w:rFonts w:hint="eastAsia" w:ascii="宋体" w:hAnsi="宋体"/>
                <w:szCs w:val="21"/>
              </w:rPr>
              <w:t>。提供资质</w:t>
            </w:r>
            <w:r>
              <w:rPr>
                <w:rFonts w:hint="eastAsia" w:ascii="宋体" w:hAnsi="宋体"/>
                <w:color w:val="auto"/>
                <w:szCs w:val="21"/>
                <w:highlight w:val="none"/>
              </w:rPr>
              <w:t>证书复印件或扫描件并加盖公章。</w:t>
            </w:r>
          </w:p>
          <w:p>
            <w:pPr>
              <w:numPr>
                <w:ilvl w:val="0"/>
                <w:numId w:val="0"/>
              </w:numPr>
              <w:tabs>
                <w:tab w:val="left" w:pos="531"/>
              </w:tabs>
              <w:snapToGrid w:val="0"/>
              <w:spacing w:line="360" w:lineRule="auto"/>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18.9</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3"/>
        </w:numPr>
        <w:spacing w:before="156" w:beforeLines="50"/>
        <w:jc w:val="left"/>
        <w:outlineLvl w:val="2"/>
        <w:rPr>
          <w:rStyle w:val="26"/>
          <w:rFonts w:ascii="宋体" w:hAnsi="宋体"/>
          <w:b/>
          <w:bCs/>
          <w:szCs w:val="21"/>
        </w:rPr>
      </w:pPr>
      <w:bookmarkStart w:id="17" w:name="_Toc114675512"/>
      <w:bookmarkStart w:id="18" w:name="_Toc116550356"/>
      <w:r>
        <w:rPr>
          <w:rStyle w:val="26"/>
          <w:rFonts w:hint="eastAsia" w:ascii="宋体" w:hAnsi="宋体"/>
          <w:b/>
          <w:bCs/>
          <w:szCs w:val="21"/>
        </w:rPr>
        <w:t>不可偏离项检查</w:t>
      </w:r>
      <w:bookmarkEnd w:id="17"/>
      <w:bookmarkEnd w:id="18"/>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ascii="宋体" w:hAnsi="宋体"/>
          <w:b/>
          <w:bCs/>
          <w:szCs w:val="21"/>
        </w:rPr>
      </w:pPr>
      <w:bookmarkStart w:id="19" w:name="_Toc116550357"/>
      <w:bookmarkStart w:id="20" w:name="_Toc114675513"/>
      <w:r>
        <w:rPr>
          <w:rStyle w:val="26"/>
          <w:rFonts w:hint="eastAsia" w:ascii="宋体" w:hAnsi="宋体"/>
          <w:b/>
          <w:bCs/>
          <w:szCs w:val="21"/>
        </w:rPr>
        <w:t>综合评议指标表</w:t>
      </w:r>
      <w:bookmarkEnd w:id="19"/>
      <w:bookmarkEnd w:id="20"/>
    </w:p>
    <w:p>
      <w:pPr>
        <w:pStyle w:val="2"/>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ascii="宋体" w:hAnsi="宋体" w:cs="宋体"/>
                <w:szCs w:val="21"/>
              </w:rPr>
              <w:t>公司资质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15"/>
              </w:numPr>
              <w:jc w:val="left"/>
              <w:rPr>
                <w:rFonts w:ascii="宋体" w:hAnsi="宋体" w:cs="仿宋"/>
                <w:szCs w:val="21"/>
              </w:rPr>
            </w:pPr>
            <w:r>
              <w:rPr>
                <w:rFonts w:hint="eastAsia" w:ascii="宋体" w:hAnsi="宋体" w:cs="宋体"/>
                <w:szCs w:val="21"/>
                <w:lang w:val="en-US" w:eastAsia="zh-CN"/>
              </w:rPr>
              <w:t>参加单位</w:t>
            </w:r>
            <w:r>
              <w:rPr>
                <w:rFonts w:hint="eastAsia" w:ascii="宋体" w:hAnsi="宋体" w:cs="仿宋"/>
                <w:szCs w:val="21"/>
              </w:rPr>
              <w:t>具有建筑机电安装工程专业承包专业承包一级得6分，二级3分。</w:t>
            </w:r>
          </w:p>
          <w:p>
            <w:pPr>
              <w:numPr>
                <w:ilvl w:val="0"/>
                <w:numId w:val="15"/>
              </w:numPr>
              <w:jc w:val="left"/>
              <w:rPr>
                <w:rFonts w:ascii="宋体" w:hAnsi="宋体"/>
                <w:color w:val="FF0000"/>
                <w:szCs w:val="21"/>
              </w:rPr>
            </w:pPr>
            <w:r>
              <w:rPr>
                <w:rFonts w:hint="eastAsia" w:ascii="宋体" w:hAnsi="宋体" w:cs="宋体"/>
                <w:szCs w:val="21"/>
                <w:lang w:val="en-US" w:eastAsia="zh-CN"/>
              </w:rPr>
              <w:t>参加单位</w:t>
            </w:r>
            <w:r>
              <w:rPr>
                <w:rFonts w:hint="eastAsia" w:ascii="宋体" w:hAnsi="宋体" w:cs="仿宋"/>
                <w:szCs w:val="21"/>
              </w:rPr>
              <w:t>具有有效的安全生产许可证得2分。</w:t>
            </w:r>
          </w:p>
          <w:p>
            <w:pPr>
              <w:rPr>
                <w:rFonts w:ascii="宋体" w:hAnsi="宋体"/>
                <w:color w:val="FF0000"/>
                <w:szCs w:val="21"/>
              </w:rPr>
            </w:pPr>
            <w:r>
              <w:rPr>
                <w:rFonts w:hint="eastAsia" w:ascii="宋体" w:hAnsi="宋体" w:cs="仿宋"/>
                <w:szCs w:val="21"/>
              </w:rPr>
              <w:t>备注：投标人提供以上证书复印件或扫描件，加盖投标人公章。资料无法辨识或不在有效期内的，均不得分。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kern w:val="0"/>
                <w:szCs w:val="21"/>
                <w:highlight w:val="none"/>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8"/>
              <w:numPr>
                <w:ilvl w:val="0"/>
                <w:numId w:val="0"/>
              </w:numPr>
              <w:ind w:leftChars="0"/>
              <w:jc w:val="left"/>
              <w:rPr>
                <w:rFonts w:ascii="宋体" w:hAnsi="宋体" w:cs="仿宋"/>
                <w:b/>
                <w:bCs/>
                <w:szCs w:val="21"/>
              </w:rPr>
            </w:pPr>
            <w:r>
              <w:rPr>
                <w:rFonts w:hint="eastAsia" w:ascii="宋体" w:hAnsi="宋体" w:cs="仿宋"/>
                <w:b/>
                <w:bCs/>
                <w:szCs w:val="21"/>
                <w:lang w:eastAsia="zh-CN"/>
              </w:rPr>
              <w:t>（</w:t>
            </w:r>
            <w:r>
              <w:rPr>
                <w:rFonts w:hint="eastAsia" w:ascii="宋体" w:hAnsi="宋体" w:cs="仿宋"/>
                <w:b/>
                <w:bCs/>
                <w:szCs w:val="21"/>
                <w:lang w:val="en-US" w:eastAsia="zh-CN"/>
              </w:rPr>
              <w:t>1）</w:t>
            </w:r>
            <w:r>
              <w:rPr>
                <w:rFonts w:hint="eastAsia" w:ascii="宋体" w:hAnsi="宋体" w:eastAsia="宋体" w:cs="仿宋"/>
                <w:b/>
                <w:bCs/>
                <w:szCs w:val="21"/>
              </w:rPr>
              <w:t>评审内容及标准：</w:t>
            </w:r>
          </w:p>
          <w:p>
            <w:pPr>
              <w:jc w:val="left"/>
              <w:rPr>
                <w:rFonts w:ascii="宋体" w:hAnsi="宋体" w:cs="仿宋"/>
                <w:szCs w:val="21"/>
              </w:rPr>
            </w:pPr>
            <w:r>
              <w:rPr>
                <w:rFonts w:hint="eastAsia" w:ascii="宋体" w:hAnsi="宋体" w:cs="仿宋"/>
                <w:szCs w:val="21"/>
              </w:rPr>
              <w:t>根据</w:t>
            </w:r>
            <w:r>
              <w:rPr>
                <w:rFonts w:hint="eastAsia" w:ascii="宋体" w:hAnsi="宋体" w:cs="宋体"/>
                <w:szCs w:val="21"/>
                <w:lang w:val="en-US" w:eastAsia="zh-CN"/>
              </w:rPr>
              <w:t>参加单位</w:t>
            </w:r>
            <w:r>
              <w:rPr>
                <w:rFonts w:hint="eastAsia" w:ascii="宋体" w:hAnsi="宋体" w:cs="仿宋"/>
                <w:szCs w:val="21"/>
              </w:rPr>
              <w:t>提供的202</w:t>
            </w:r>
            <w:r>
              <w:rPr>
                <w:rFonts w:hint="eastAsia" w:ascii="宋体" w:hAnsi="宋体" w:cs="仿宋"/>
                <w:szCs w:val="21"/>
                <w:lang w:val="en-US" w:eastAsia="zh-CN"/>
              </w:rPr>
              <w:t>2</w:t>
            </w:r>
            <w:r>
              <w:rPr>
                <w:rFonts w:hint="eastAsia" w:ascii="宋体" w:hAnsi="宋体" w:cs="仿宋"/>
                <w:szCs w:val="21"/>
              </w:rPr>
              <w:t>年1月1日至本项目采购公告发布日止（以合同签订时间为准）所承接的机电类的安装、改造或维护相关项目合同累计合同总额评分:</w:t>
            </w:r>
          </w:p>
          <w:p>
            <w:pPr>
              <w:pStyle w:val="28"/>
              <w:numPr>
                <w:ilvl w:val="0"/>
                <w:numId w:val="16"/>
              </w:numPr>
              <w:ind w:hanging="15" w:firstLineChars="0"/>
              <w:jc w:val="left"/>
              <w:rPr>
                <w:rFonts w:ascii="宋体" w:hAnsi="宋体" w:eastAsia="宋体" w:cs="仿宋"/>
                <w:szCs w:val="21"/>
              </w:rPr>
            </w:pPr>
            <w:r>
              <w:rPr>
                <w:rFonts w:hint="eastAsia" w:ascii="宋体" w:hAnsi="宋体" w:eastAsia="宋体" w:cs="仿宋"/>
                <w:szCs w:val="21"/>
              </w:rPr>
              <w:t>累计合同额总额≥200万元，得8分；</w:t>
            </w:r>
          </w:p>
          <w:p>
            <w:pPr>
              <w:pStyle w:val="28"/>
              <w:numPr>
                <w:ilvl w:val="0"/>
                <w:numId w:val="16"/>
              </w:numPr>
              <w:ind w:hanging="15" w:firstLineChars="0"/>
              <w:jc w:val="left"/>
              <w:rPr>
                <w:rFonts w:ascii="宋体" w:hAnsi="宋体" w:eastAsia="宋体" w:cs="仿宋"/>
                <w:szCs w:val="21"/>
              </w:rPr>
            </w:pPr>
            <w:r>
              <w:rPr>
                <w:rFonts w:hint="eastAsia" w:ascii="宋体" w:hAnsi="宋体" w:eastAsia="宋体" w:cs="仿宋"/>
                <w:szCs w:val="21"/>
              </w:rPr>
              <w:t>150万元≤累计合同额总额＜200万元，得6分；</w:t>
            </w:r>
          </w:p>
          <w:p>
            <w:pPr>
              <w:pStyle w:val="28"/>
              <w:numPr>
                <w:ilvl w:val="0"/>
                <w:numId w:val="16"/>
              </w:numPr>
              <w:ind w:hanging="15" w:firstLineChars="0"/>
              <w:jc w:val="left"/>
              <w:rPr>
                <w:rFonts w:ascii="宋体" w:hAnsi="宋体" w:eastAsia="宋体" w:cs="仿宋"/>
                <w:szCs w:val="21"/>
              </w:rPr>
            </w:pPr>
            <w:r>
              <w:rPr>
                <w:rFonts w:hint="eastAsia" w:ascii="宋体" w:hAnsi="宋体" w:eastAsia="宋体" w:cs="仿宋"/>
                <w:szCs w:val="21"/>
              </w:rPr>
              <w:t>100万元≤累计合同额总额＜150万元，得4分；</w:t>
            </w:r>
          </w:p>
          <w:p>
            <w:pPr>
              <w:pStyle w:val="28"/>
              <w:numPr>
                <w:ilvl w:val="0"/>
                <w:numId w:val="16"/>
              </w:numPr>
              <w:ind w:hanging="15" w:firstLineChars="0"/>
              <w:jc w:val="left"/>
              <w:rPr>
                <w:rFonts w:ascii="宋体" w:hAnsi="宋体" w:eastAsia="宋体" w:cs="仿宋"/>
                <w:szCs w:val="21"/>
              </w:rPr>
            </w:pPr>
            <w:r>
              <w:rPr>
                <w:rFonts w:hint="eastAsia" w:ascii="宋体" w:hAnsi="宋体" w:eastAsia="宋体" w:cs="仿宋"/>
                <w:szCs w:val="21"/>
              </w:rPr>
              <w:t>50万元≤累计合同额总额＜100万元，得2分；</w:t>
            </w:r>
          </w:p>
          <w:p>
            <w:pPr>
              <w:pStyle w:val="28"/>
              <w:numPr>
                <w:ilvl w:val="0"/>
                <w:numId w:val="16"/>
              </w:numPr>
              <w:ind w:hanging="15" w:firstLineChars="0"/>
              <w:jc w:val="left"/>
              <w:rPr>
                <w:rFonts w:ascii="宋体" w:hAnsi="宋体" w:eastAsia="宋体" w:cs="仿宋"/>
                <w:szCs w:val="21"/>
              </w:rPr>
            </w:pPr>
            <w:r>
              <w:rPr>
                <w:rFonts w:hint="eastAsia" w:ascii="宋体" w:hAnsi="宋体" w:eastAsia="宋体" w:cs="仿宋"/>
                <w:szCs w:val="21"/>
              </w:rPr>
              <w:t>累计合同额总额＜50万元，得1分；</w:t>
            </w:r>
          </w:p>
          <w:p>
            <w:pPr>
              <w:pStyle w:val="28"/>
              <w:numPr>
                <w:ilvl w:val="0"/>
                <w:numId w:val="0"/>
              </w:numPr>
              <w:ind w:leftChars="0"/>
              <w:jc w:val="left"/>
              <w:rPr>
                <w:rFonts w:ascii="宋体" w:hAnsi="宋体" w:eastAsia="宋体" w:cs="仿宋"/>
                <w:b/>
                <w:bCs/>
                <w:szCs w:val="21"/>
                <w:lang w:val="zh-CN"/>
              </w:rPr>
            </w:pPr>
            <w:r>
              <w:rPr>
                <w:rFonts w:hint="eastAsia" w:ascii="宋体" w:hAnsi="宋体" w:cs="仿宋"/>
                <w:b/>
                <w:bCs/>
                <w:szCs w:val="21"/>
                <w:lang w:eastAsia="zh-CN"/>
              </w:rPr>
              <w:t>（</w:t>
            </w:r>
            <w:r>
              <w:rPr>
                <w:rFonts w:hint="eastAsia" w:ascii="宋体" w:hAnsi="宋体" w:cs="仿宋"/>
                <w:b/>
                <w:bCs/>
                <w:szCs w:val="21"/>
                <w:lang w:val="en-US" w:eastAsia="zh-CN"/>
              </w:rPr>
              <w:t>2）</w:t>
            </w:r>
            <w:r>
              <w:rPr>
                <w:rFonts w:hint="eastAsia" w:ascii="宋体" w:hAnsi="宋体" w:eastAsia="宋体" w:cs="仿宋"/>
                <w:b/>
                <w:bCs/>
                <w:szCs w:val="21"/>
              </w:rPr>
              <w:t>证明文件</w:t>
            </w:r>
            <w:r>
              <w:rPr>
                <w:rFonts w:hint="eastAsia" w:ascii="宋体" w:hAnsi="宋体" w:eastAsia="宋体" w:cs="仿宋"/>
                <w:b/>
                <w:bCs/>
                <w:szCs w:val="21"/>
                <w:lang w:val="zh-CN"/>
              </w:rPr>
              <w:t>：</w:t>
            </w:r>
          </w:p>
          <w:p>
            <w:pPr>
              <w:pStyle w:val="28"/>
              <w:numPr>
                <w:ilvl w:val="0"/>
                <w:numId w:val="17"/>
              </w:numPr>
              <w:ind w:left="689" w:hanging="284" w:firstLineChars="0"/>
              <w:jc w:val="left"/>
              <w:rPr>
                <w:rFonts w:ascii="宋体" w:hAnsi="宋体" w:cs="仿宋"/>
                <w:szCs w:val="21"/>
                <w:lang w:val="zh-CN"/>
              </w:rPr>
            </w:pPr>
            <w:r>
              <w:rPr>
                <w:rFonts w:hint="eastAsia" w:ascii="宋体" w:hAnsi="宋体" w:cs="宋体"/>
                <w:szCs w:val="21"/>
                <w:lang w:val="en-US" w:eastAsia="zh-CN"/>
              </w:rPr>
              <w:t>参加单位</w:t>
            </w:r>
            <w:r>
              <w:rPr>
                <w:rFonts w:hint="eastAsia" w:ascii="宋体" w:hAnsi="宋体" w:eastAsia="宋体" w:cs="仿宋"/>
                <w:szCs w:val="21"/>
                <w:lang w:val="zh-CN"/>
              </w:rPr>
              <w:t>须自行汇总并计算</w:t>
            </w:r>
            <w:r>
              <w:rPr>
                <w:rFonts w:hint="eastAsia" w:ascii="宋体" w:hAnsi="宋体" w:eastAsia="宋体" w:cs="仿宋"/>
                <w:szCs w:val="21"/>
              </w:rPr>
              <w:t>拟提供合同</w:t>
            </w:r>
            <w:r>
              <w:rPr>
                <w:rFonts w:hint="eastAsia" w:ascii="宋体" w:hAnsi="宋体" w:eastAsia="宋体" w:cs="仿宋"/>
                <w:szCs w:val="21"/>
                <w:lang w:val="zh-CN"/>
              </w:rPr>
              <w:t>总金额；</w:t>
            </w:r>
          </w:p>
          <w:p>
            <w:pPr>
              <w:pStyle w:val="28"/>
              <w:numPr>
                <w:ilvl w:val="0"/>
                <w:numId w:val="17"/>
              </w:numPr>
              <w:ind w:left="689" w:hanging="284" w:firstLineChars="0"/>
              <w:jc w:val="left"/>
              <w:rPr>
                <w:rFonts w:ascii="宋体" w:hAnsi="宋体" w:eastAsia="宋体" w:cs="宋体"/>
                <w:szCs w:val="21"/>
              </w:rPr>
            </w:pPr>
            <w:r>
              <w:rPr>
                <w:rFonts w:hint="eastAsia" w:ascii="宋体" w:hAnsi="宋体" w:eastAsia="宋体" w:cs="宋体"/>
                <w:szCs w:val="21"/>
              </w:rPr>
              <w:t>提供能体现上述信息的相应合同的关键页复印件或扫描件并加盖</w:t>
            </w:r>
            <w:r>
              <w:rPr>
                <w:rFonts w:hint="eastAsia" w:ascii="宋体" w:hAnsi="宋体" w:cs="宋体"/>
                <w:szCs w:val="21"/>
                <w:lang w:val="en-US" w:eastAsia="zh-CN"/>
              </w:rPr>
              <w:t>参加单位</w:t>
            </w:r>
            <w:r>
              <w:rPr>
                <w:rFonts w:hint="eastAsia" w:ascii="宋体" w:hAnsi="宋体" w:eastAsia="宋体" w:cs="宋体"/>
                <w:szCs w:val="21"/>
              </w:rPr>
              <w:t>公章。合同关键页包含但不限于项目名称、业主方名称、合同主要内容、合同金额、签订时间、甲乙双方盖章等信息。</w:t>
            </w:r>
          </w:p>
          <w:p>
            <w:pPr>
              <w:pStyle w:val="28"/>
              <w:numPr>
                <w:ilvl w:val="0"/>
                <w:numId w:val="17"/>
              </w:numPr>
              <w:ind w:left="689" w:hanging="284" w:firstLineChars="0"/>
              <w:jc w:val="left"/>
              <w:rPr>
                <w:rFonts w:ascii="宋体" w:hAnsi="宋体"/>
                <w:color w:val="FF0000"/>
              </w:rPr>
            </w:pPr>
            <w:r>
              <w:rPr>
                <w:rFonts w:hint="eastAsia" w:ascii="宋体" w:hAnsi="宋体" w:eastAsia="宋体" w:cs="宋体"/>
                <w:szCs w:val="21"/>
              </w:rPr>
              <w:t>未提供或所提供合同关键页信息不全、不清晰的，不得分。</w:t>
            </w:r>
          </w:p>
          <w:p>
            <w:pPr>
              <w:pStyle w:val="28"/>
              <w:numPr>
                <w:ilvl w:val="0"/>
                <w:numId w:val="17"/>
              </w:numPr>
              <w:ind w:left="689" w:hanging="284" w:firstLineChars="0"/>
              <w:jc w:val="left"/>
              <w:rPr>
                <w:rFonts w:ascii="宋体" w:hAnsi="宋体"/>
                <w:color w:val="FF0000"/>
              </w:rPr>
            </w:pPr>
            <w:r>
              <w:rPr>
                <w:rFonts w:hint="eastAsia" w:ascii="宋体" w:hAnsi="宋体" w:eastAsia="宋体" w:cs="宋体"/>
                <w:szCs w:val="21"/>
              </w:rPr>
              <w:t>同一个合同不重复得分。</w:t>
            </w:r>
          </w:p>
          <w:p>
            <w:pPr>
              <w:snapToGrid w:val="0"/>
              <w:rPr>
                <w:rFonts w:ascii="宋体" w:hAnsi="宋体"/>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拟派项目人员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8"/>
              <w:numPr>
                <w:ilvl w:val="0"/>
                <w:numId w:val="0"/>
              </w:numPr>
              <w:ind w:leftChars="0"/>
              <w:jc w:val="left"/>
              <w:rPr>
                <w:rFonts w:ascii="宋体" w:hAnsi="宋体" w:cs="宋体"/>
                <w:b/>
                <w:bCs/>
                <w:szCs w:val="21"/>
              </w:rPr>
            </w:pPr>
            <w:r>
              <w:rPr>
                <w:rFonts w:hint="eastAsia" w:ascii="宋体" w:hAnsi="宋体" w:cs="仿宋"/>
                <w:b/>
                <w:bCs/>
                <w:szCs w:val="21"/>
                <w:lang w:eastAsia="zh-CN"/>
              </w:rPr>
              <w:t>（</w:t>
            </w:r>
            <w:r>
              <w:rPr>
                <w:rFonts w:hint="eastAsia" w:ascii="宋体" w:hAnsi="宋体" w:cs="仿宋"/>
                <w:b/>
                <w:bCs/>
                <w:szCs w:val="21"/>
                <w:lang w:val="en-US" w:eastAsia="zh-CN"/>
              </w:rPr>
              <w:t>1）</w:t>
            </w:r>
            <w:r>
              <w:rPr>
                <w:rFonts w:hint="eastAsia" w:ascii="宋体" w:hAnsi="宋体" w:eastAsia="宋体" w:cs="仿宋"/>
                <w:b/>
                <w:bCs/>
                <w:szCs w:val="21"/>
              </w:rPr>
              <w:t>评审</w:t>
            </w:r>
            <w:r>
              <w:rPr>
                <w:rFonts w:hint="eastAsia" w:ascii="宋体" w:hAnsi="宋体" w:eastAsia="宋体" w:cs="宋体"/>
                <w:b/>
                <w:bCs/>
                <w:szCs w:val="21"/>
              </w:rPr>
              <w:t>标准：</w:t>
            </w:r>
          </w:p>
          <w:p>
            <w:pPr>
              <w:pStyle w:val="28"/>
              <w:numPr>
                <w:ilvl w:val="0"/>
                <w:numId w:val="18"/>
              </w:numPr>
              <w:ind w:left="425" w:hanging="298" w:firstLineChars="0"/>
              <w:jc w:val="left"/>
              <w:rPr>
                <w:rFonts w:ascii="宋体" w:hAnsi="宋体" w:cs="宋体"/>
                <w:szCs w:val="21"/>
              </w:rPr>
            </w:pPr>
            <w:r>
              <w:rPr>
                <w:rFonts w:hint="eastAsia" w:ascii="宋体" w:hAnsi="宋体" w:cs="宋体"/>
                <w:szCs w:val="21"/>
                <w:lang w:val="en-US" w:eastAsia="zh-CN"/>
              </w:rPr>
              <w:t>参加单位</w:t>
            </w:r>
            <w:r>
              <w:rPr>
                <w:rFonts w:hint="eastAsia" w:ascii="宋体" w:hAnsi="宋体" w:eastAsia="宋体" w:cs="宋体"/>
                <w:szCs w:val="21"/>
              </w:rPr>
              <w:t>拟派人员具有</w:t>
            </w:r>
            <w:r>
              <w:rPr>
                <w:rFonts w:hint="eastAsia" w:ascii="宋体" w:hAnsi="宋体" w:eastAsia="宋体" w:cs="宋体"/>
                <w:szCs w:val="21"/>
                <w:lang w:eastAsia="zh-CN"/>
              </w:rPr>
              <w:t>低压</w:t>
            </w:r>
            <w:r>
              <w:rPr>
                <w:rFonts w:hint="eastAsia" w:ascii="宋体" w:hAnsi="宋体" w:eastAsia="宋体" w:cs="宋体"/>
                <w:szCs w:val="21"/>
              </w:rPr>
              <w:t>电工作业证的，每有1个得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5</w:t>
            </w:r>
            <w:r>
              <w:rPr>
                <w:rFonts w:hint="eastAsia" w:ascii="宋体" w:hAnsi="宋体" w:eastAsia="宋体" w:cs="宋体"/>
                <w:szCs w:val="21"/>
              </w:rPr>
              <w:t>分；</w:t>
            </w:r>
          </w:p>
          <w:p>
            <w:pPr>
              <w:pStyle w:val="28"/>
              <w:numPr>
                <w:ilvl w:val="0"/>
                <w:numId w:val="18"/>
              </w:numPr>
              <w:ind w:left="425" w:hanging="298" w:firstLineChars="0"/>
              <w:jc w:val="left"/>
              <w:rPr>
                <w:rFonts w:ascii="宋体" w:hAnsi="宋体" w:cs="宋体"/>
                <w:szCs w:val="21"/>
              </w:rPr>
            </w:pPr>
            <w:r>
              <w:rPr>
                <w:rFonts w:hint="eastAsia" w:ascii="宋体" w:hAnsi="宋体" w:cs="宋体"/>
                <w:szCs w:val="21"/>
                <w:lang w:val="en-US" w:eastAsia="zh-CN"/>
              </w:rPr>
              <w:t>参加单位</w:t>
            </w:r>
            <w:r>
              <w:rPr>
                <w:rFonts w:hint="eastAsia" w:ascii="宋体" w:hAnsi="宋体" w:eastAsia="宋体" w:cs="宋体"/>
                <w:szCs w:val="21"/>
              </w:rPr>
              <w:t>拟派人员具有高空作业证的，每有1个得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5</w:t>
            </w:r>
            <w:r>
              <w:rPr>
                <w:rFonts w:hint="eastAsia" w:ascii="宋体" w:hAnsi="宋体" w:eastAsia="宋体" w:cs="宋体"/>
                <w:szCs w:val="21"/>
              </w:rPr>
              <w:t>分；</w:t>
            </w:r>
          </w:p>
          <w:p>
            <w:pPr>
              <w:pStyle w:val="28"/>
              <w:numPr>
                <w:ilvl w:val="0"/>
                <w:numId w:val="0"/>
              </w:numPr>
              <w:ind w:leftChars="0"/>
              <w:jc w:val="left"/>
              <w:rPr>
                <w:rFonts w:ascii="宋体" w:hAnsi="宋体" w:eastAsia="宋体" w:cs="宋体"/>
                <w:b/>
                <w:bCs/>
                <w:szCs w:val="21"/>
              </w:rPr>
            </w:pPr>
            <w:r>
              <w:rPr>
                <w:rFonts w:hint="eastAsia" w:ascii="宋体" w:hAnsi="宋体" w:cs="仿宋"/>
                <w:b/>
                <w:bCs/>
                <w:szCs w:val="21"/>
                <w:lang w:eastAsia="zh-CN"/>
              </w:rPr>
              <w:t>（</w:t>
            </w:r>
            <w:r>
              <w:rPr>
                <w:rFonts w:hint="eastAsia" w:ascii="宋体" w:hAnsi="宋体" w:cs="仿宋"/>
                <w:b/>
                <w:bCs/>
                <w:szCs w:val="21"/>
                <w:lang w:val="en-US" w:eastAsia="zh-CN"/>
              </w:rPr>
              <w:t>2）</w:t>
            </w:r>
            <w:r>
              <w:rPr>
                <w:rFonts w:hint="eastAsia" w:ascii="宋体" w:hAnsi="宋体" w:eastAsia="宋体" w:cs="仿宋"/>
                <w:b/>
                <w:bCs/>
                <w:szCs w:val="21"/>
              </w:rPr>
              <w:t>证明</w:t>
            </w:r>
            <w:r>
              <w:rPr>
                <w:rFonts w:hint="eastAsia" w:ascii="宋体" w:hAnsi="宋体" w:eastAsia="宋体" w:cs="宋体"/>
                <w:b/>
                <w:bCs/>
                <w:szCs w:val="21"/>
              </w:rPr>
              <w:t>文件：</w:t>
            </w:r>
          </w:p>
          <w:p>
            <w:pPr>
              <w:tabs>
                <w:tab w:val="left" w:pos="531"/>
              </w:tabs>
              <w:snapToGrid w:val="0"/>
              <w:rPr>
                <w:rFonts w:ascii="宋体" w:hAnsi="宋体"/>
                <w:color w:val="FF0000"/>
                <w:szCs w:val="21"/>
                <w:highlight w:val="yellow"/>
              </w:rPr>
            </w:pPr>
            <w:r>
              <w:rPr>
                <w:rFonts w:hint="eastAsia" w:ascii="宋体" w:hAnsi="宋体" w:cs="宋体"/>
                <w:szCs w:val="21"/>
              </w:rPr>
              <w:t>提供以上人员资格证明文件和近三个月社保清单证明，如开标日上一个月的社保材料因社保部门原因暂时无法取得，则可以往前顺推</w:t>
            </w:r>
            <w:r>
              <w:rPr>
                <w:rFonts w:hint="eastAsia" w:ascii="宋体" w:hAnsi="宋体" w:cs="宋体"/>
                <w:szCs w:val="21"/>
                <w:lang w:val="sq-AL"/>
              </w:rPr>
              <w:t>一个月，</w:t>
            </w:r>
            <w:r>
              <w:rPr>
                <w:rFonts w:hint="eastAsia" w:ascii="宋体" w:hAnsi="宋体" w:cs="宋体"/>
                <w:szCs w:val="21"/>
              </w:rPr>
              <w:t>社保证明须同时加盖投标人公章</w:t>
            </w:r>
            <w:r>
              <w:rPr>
                <w:rFonts w:hint="eastAsia" w:ascii="宋体" w:hAnsi="宋体" w:cs="宋体"/>
                <w:szCs w:val="21"/>
                <w:lang w:val="sq-AL"/>
              </w:rPr>
              <w:t>。（未按要求提供或提供不清晰的均不得分，原件备查）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项目管理人员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snapToGrid w:val="0"/>
              <w:ind w:left="0" w:firstLine="0"/>
              <w:rPr>
                <w:rFonts w:hint="eastAsia" w:ascii="宋体" w:hAnsi="宋体" w:cs="宋体"/>
                <w:szCs w:val="21"/>
              </w:rPr>
            </w:pPr>
            <w:r>
              <w:rPr>
                <w:rFonts w:hint="eastAsia" w:ascii="宋体" w:hAnsi="宋体" w:cs="宋体"/>
                <w:szCs w:val="21"/>
              </w:rPr>
              <w:t>项目负责人具</w:t>
            </w:r>
            <w:r>
              <w:rPr>
                <w:rFonts w:hint="eastAsia" w:ascii="宋体" w:hAnsi="宋体" w:cs="宋体"/>
                <w:szCs w:val="21"/>
                <w:lang w:val="en-US" w:eastAsia="zh-CN"/>
              </w:rPr>
              <w:t>有</w:t>
            </w:r>
            <w:r>
              <w:rPr>
                <w:rFonts w:hint="eastAsia" w:ascii="宋体" w:hAnsi="宋体" w:cs="宋体"/>
                <w:szCs w:val="21"/>
              </w:rPr>
              <w:t>一级</w:t>
            </w:r>
            <w:r>
              <w:rPr>
                <w:rFonts w:hint="eastAsia" w:ascii="宋体" w:hAnsi="宋体" w:cs="宋体"/>
                <w:szCs w:val="21"/>
                <w:lang w:eastAsia="zh-CN"/>
              </w:rPr>
              <w:t>注册</w:t>
            </w:r>
            <w:r>
              <w:rPr>
                <w:rFonts w:hint="eastAsia" w:ascii="宋体" w:hAnsi="宋体" w:cs="宋体"/>
                <w:szCs w:val="21"/>
              </w:rPr>
              <w:t>建造师（机电专业）</w:t>
            </w:r>
            <w:r>
              <w:rPr>
                <w:rFonts w:hint="eastAsia" w:ascii="宋体" w:hAnsi="宋体" w:cs="宋体"/>
                <w:szCs w:val="21"/>
                <w:lang w:val="en-US" w:eastAsia="zh-CN"/>
              </w:rPr>
              <w:t>资格证的</w:t>
            </w:r>
            <w:r>
              <w:rPr>
                <w:rFonts w:hint="eastAsia" w:ascii="宋体" w:hAnsi="宋体" w:cs="宋体"/>
                <w:lang w:val="en-US" w:eastAsia="zh-CN"/>
              </w:rPr>
              <w:t>（注册在本公司）</w:t>
            </w:r>
            <w:r>
              <w:rPr>
                <w:rFonts w:hint="eastAsia" w:ascii="宋体" w:hAnsi="宋体" w:cs="宋体"/>
                <w:szCs w:val="21"/>
                <w:lang w:val="en-US" w:eastAsia="zh-CN"/>
              </w:rPr>
              <w:t>，</w:t>
            </w:r>
            <w:r>
              <w:rPr>
                <w:rFonts w:hint="eastAsia" w:ascii="宋体" w:hAnsi="宋体" w:cs="宋体"/>
                <w:szCs w:val="21"/>
                <w:lang w:eastAsia="zh-CN"/>
              </w:rPr>
              <w:t>得</w:t>
            </w:r>
            <w:r>
              <w:rPr>
                <w:rFonts w:hint="eastAsia" w:ascii="宋体" w:hAnsi="宋体" w:cs="宋体"/>
                <w:szCs w:val="21"/>
                <w:lang w:val="en-US" w:eastAsia="zh-CN"/>
              </w:rPr>
              <w:t>4分</w:t>
            </w:r>
            <w:r>
              <w:rPr>
                <w:rFonts w:hint="eastAsia" w:ascii="宋体" w:hAnsi="宋体" w:cs="宋体"/>
                <w:szCs w:val="21"/>
              </w:rPr>
              <w:t>。</w:t>
            </w:r>
          </w:p>
          <w:p>
            <w:pPr>
              <w:tabs>
                <w:tab w:val="left" w:pos="531"/>
              </w:tabs>
              <w:snapToGrid w:val="0"/>
              <w:rPr>
                <w:rFonts w:ascii="宋体" w:hAnsi="宋体"/>
                <w:color w:val="FF0000"/>
                <w:szCs w:val="21"/>
                <w:highlight w:val="yellow"/>
              </w:rPr>
            </w:pPr>
            <w:r>
              <w:rPr>
                <w:rFonts w:hint="eastAsia" w:ascii="宋体" w:hAnsi="宋体" w:cs="宋体"/>
                <w:szCs w:val="21"/>
                <w:lang w:val="zh-CN"/>
              </w:rPr>
              <w:t>证明文件：以投标文件提供的加盖</w:t>
            </w:r>
            <w:r>
              <w:rPr>
                <w:rFonts w:hint="eastAsia" w:ascii="宋体" w:hAnsi="宋体" w:cs="宋体"/>
                <w:szCs w:val="21"/>
                <w:lang w:val="en-US" w:eastAsia="zh-CN"/>
              </w:rPr>
              <w:t>参加单位</w:t>
            </w:r>
            <w:r>
              <w:rPr>
                <w:rFonts w:hint="eastAsia" w:ascii="宋体" w:hAnsi="宋体" w:cs="宋体"/>
                <w:szCs w:val="21"/>
                <w:lang w:val="zh-CN"/>
              </w:rPr>
              <w:t>公章的社保证明及职称证书复印件为准。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FF0000"/>
                <w:szCs w:val="21"/>
                <w:highlight w:val="yellow"/>
                <w:lang w:val="en-US" w:eastAsia="zh-CN"/>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施工方案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color w:val="FF0000"/>
                <w:kern w:val="0"/>
                <w:szCs w:val="21"/>
              </w:rPr>
            </w:pPr>
            <w:r>
              <w:rPr>
                <w:rFonts w:hint="eastAsia" w:ascii="宋体" w:hAnsi="宋体" w:cs="宋体"/>
                <w:bCs/>
                <w:color w:val="000000"/>
                <w:szCs w:val="21"/>
              </w:rPr>
              <w:t>根据</w:t>
            </w:r>
            <w:r>
              <w:rPr>
                <w:rFonts w:hint="eastAsia" w:ascii="宋体" w:hAnsi="宋体" w:cs="宋体"/>
                <w:szCs w:val="21"/>
                <w:lang w:val="en-US" w:eastAsia="zh-CN"/>
              </w:rPr>
              <w:t>参加单位</w:t>
            </w:r>
            <w:r>
              <w:rPr>
                <w:rFonts w:hint="eastAsia" w:ascii="宋体" w:hAnsi="宋体" w:cs="宋体"/>
                <w:szCs w:val="21"/>
              </w:rPr>
              <w:t>提交的《项目</w:t>
            </w:r>
            <w:r>
              <w:rPr>
                <w:rFonts w:hint="eastAsia" w:ascii="宋体" w:hAnsi="宋体" w:cs="宋体"/>
                <w:bCs/>
                <w:color w:val="000000"/>
                <w:szCs w:val="21"/>
              </w:rPr>
              <w:t>施工方案</w:t>
            </w:r>
            <w:r>
              <w:rPr>
                <w:rFonts w:hint="eastAsia" w:ascii="宋体" w:hAnsi="宋体" w:cs="宋体"/>
                <w:szCs w:val="21"/>
              </w:rPr>
              <w:t>》</w:t>
            </w:r>
            <w:r>
              <w:rPr>
                <w:rFonts w:hint="eastAsia" w:ascii="宋体" w:hAnsi="宋体" w:cs="宋体"/>
                <w:bCs/>
                <w:color w:val="000000"/>
                <w:szCs w:val="21"/>
              </w:rPr>
              <w:t>中所采用的关键技术、工</w:t>
            </w:r>
            <w:r>
              <w:rPr>
                <w:rFonts w:hint="eastAsia" w:ascii="宋体" w:hAnsi="宋体" w:cs="宋体"/>
                <w:bCs/>
                <w:color w:val="000000" w:themeColor="text1"/>
                <w:szCs w:val="21"/>
                <w14:textFill>
                  <w14:solidFill>
                    <w14:schemeClr w14:val="tx1"/>
                  </w14:solidFill>
                </w14:textFill>
              </w:rPr>
              <w:t>艺及对重点、难点的分析和解决方案的先进性、合理性，是否符合</w:t>
            </w:r>
            <w:r>
              <w:rPr>
                <w:rFonts w:hint="eastAsia" w:ascii="宋体" w:hAnsi="宋体" w:cs="宋体"/>
                <w:bCs/>
                <w:color w:val="000000" w:themeColor="text1"/>
                <w:szCs w:val="21"/>
                <w:lang w:val="en-US" w:eastAsia="zh-CN"/>
                <w14:textFill>
                  <w14:solidFill>
                    <w14:schemeClr w14:val="tx1"/>
                  </w14:solidFill>
                </w14:textFill>
              </w:rPr>
              <w:t>采购</w:t>
            </w:r>
            <w:r>
              <w:rPr>
                <w:rFonts w:hint="eastAsia" w:ascii="宋体" w:hAnsi="宋体" w:cs="宋体"/>
                <w:bCs/>
                <w:color w:val="000000" w:themeColor="text1"/>
                <w:szCs w:val="21"/>
                <w14:textFill>
                  <w14:solidFill>
                    <w14:schemeClr w14:val="tx1"/>
                  </w14:solidFill>
                </w14:textFill>
              </w:rPr>
              <w:t>人实际情况以及是否具备切实可行操作性；对施工措施、制作工艺有没有在同类型的场所实际验证过等方面进行综合比较后评分：优得</w:t>
            </w:r>
            <w:r>
              <w:rPr>
                <w:rFonts w:hint="eastAsia" w:ascii="宋体" w:hAnsi="宋体" w:cs="宋体"/>
                <w:bCs/>
                <w:color w:val="000000" w:themeColor="text1"/>
                <w:szCs w:val="21"/>
                <w:lang w:val="en-US" w:eastAsia="zh-CN"/>
                <w14:textFill>
                  <w14:solidFill>
                    <w14:schemeClr w14:val="tx1"/>
                  </w14:solidFill>
                </w14:textFill>
              </w:rPr>
              <w:t>14</w:t>
            </w:r>
            <w:r>
              <w:rPr>
                <w:rFonts w:hint="eastAsia" w:ascii="宋体" w:hAnsi="宋体" w:cs="宋体"/>
                <w:bCs/>
                <w:color w:val="000000" w:themeColor="text1"/>
                <w:szCs w:val="21"/>
                <w14:textFill>
                  <w14:solidFill>
                    <w14:schemeClr w14:val="tx1"/>
                  </w14:solidFill>
                </w14:textFill>
              </w:rPr>
              <w:t>分，良得</w:t>
            </w:r>
            <w:r>
              <w:rPr>
                <w:rFonts w:hint="eastAsia" w:ascii="宋体" w:hAnsi="宋体" w:cs="宋体"/>
                <w:bCs/>
                <w:color w:val="000000" w:themeColor="text1"/>
                <w:szCs w:val="21"/>
                <w:lang w:val="en-US" w:eastAsia="zh-CN"/>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分，一般得</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分，差不得分</w:t>
            </w:r>
            <w:r>
              <w:rPr>
                <w:rFonts w:hint="eastAsia" w:ascii="宋体" w:hAnsi="宋体" w:cs="宋体"/>
                <w:bCs/>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安全生产</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color w:val="FF0000"/>
                <w:kern w:val="0"/>
                <w:szCs w:val="21"/>
              </w:rPr>
            </w:pPr>
            <w:r>
              <w:rPr>
                <w:rFonts w:hint="eastAsia" w:ascii="宋体" w:hAnsi="宋体" w:eastAsia="宋体" w:cs="宋体"/>
                <w:kern w:val="0"/>
                <w:szCs w:val="21"/>
              </w:rPr>
              <w:t>根据对</w:t>
            </w:r>
            <w:r>
              <w:rPr>
                <w:rFonts w:hint="eastAsia" w:ascii="宋体" w:hAnsi="宋体" w:cs="宋体"/>
                <w:szCs w:val="21"/>
                <w:lang w:val="en-US" w:eastAsia="zh-CN"/>
              </w:rPr>
              <w:t>参加单位</w:t>
            </w:r>
            <w:r>
              <w:rPr>
                <w:rFonts w:hint="eastAsia" w:ascii="宋体" w:hAnsi="宋体" w:eastAsia="宋体" w:cs="宋体"/>
                <w:kern w:val="0"/>
                <w:szCs w:val="21"/>
              </w:rPr>
              <w:t>制定的本项目安全管理组织架构、安全生产制度及应急预案的横向比较后的综合评议，优得4分；良得2分；一般得1分，差不得分。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20"/>
              </w:numPr>
              <w:spacing w:before="100" w:beforeAutospacing="1" w:after="100" w:afterAutospacing="1"/>
              <w:ind w:leftChars="0"/>
              <w:jc w:val="left"/>
              <w:rPr>
                <w:rFonts w:hint="eastAsia" w:ascii="宋体" w:hAnsi="宋体" w:cs="宋体"/>
                <w:kern w:val="0"/>
                <w:szCs w:val="21"/>
              </w:rPr>
            </w:pPr>
            <w:r>
              <w:rPr>
                <w:rFonts w:hint="eastAsia" w:ascii="宋体" w:hAnsi="宋体" w:cs="宋体"/>
                <w:kern w:val="0"/>
                <w:szCs w:val="21"/>
              </w:rPr>
              <w:t>根据各投标人提供的《售后服务承诺书》进行综合比较，质量保修时间在满足2年的基础上，每增加1年加4分，最多得8分。</w:t>
            </w:r>
          </w:p>
          <w:p>
            <w:pPr>
              <w:widowControl/>
              <w:numPr>
                <w:ilvl w:val="0"/>
                <w:numId w:val="20"/>
              </w:numPr>
              <w:spacing w:before="100" w:beforeAutospacing="1" w:after="100" w:afterAutospacing="1"/>
              <w:ind w:leftChars="0"/>
              <w:jc w:val="left"/>
              <w:rPr>
                <w:rFonts w:ascii="宋体" w:hAnsi="宋体" w:cs="宋体"/>
                <w:color w:val="FF0000"/>
                <w:kern w:val="0"/>
                <w:szCs w:val="21"/>
              </w:rPr>
            </w:pPr>
            <w:r>
              <w:rPr>
                <w:rFonts w:hint="eastAsia" w:ascii="宋体" w:hAnsi="宋体" w:eastAsia="宋体" w:cs="宋体"/>
                <w:kern w:val="0"/>
                <w:szCs w:val="21"/>
              </w:rPr>
              <w:t>根据各投标人提供的质量保修服务方案进行综合比较，优得4分；良得2分；一般得1分。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1"/>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21"/>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21"/>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tabs>
                <w:tab w:val="left" w:pos="595"/>
              </w:tabs>
              <w:spacing w:line="240" w:lineRule="atLeast"/>
              <w:jc w:val="left"/>
              <w:rPr>
                <w:rFonts w:hint="eastAsia" w:ascii="宋体" w:eastAsia="宋体" w:cs="宋体"/>
                <w:kern w:val="0"/>
                <w:szCs w:val="21"/>
                <w:highlight w:val="none"/>
                <w:lang w:eastAsia="zh-CN"/>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pStyle w:val="2"/>
      </w:pPr>
    </w:p>
    <w:p>
      <w:pPr>
        <w:numPr>
          <w:ilvl w:val="0"/>
          <w:numId w:val="1"/>
        </w:numPr>
        <w:spacing w:line="300" w:lineRule="auto"/>
        <w:outlineLvl w:val="0"/>
        <w:rPr>
          <w:rFonts w:ascii="宋体" w:hAnsi="宋体" w:cs="宋体"/>
          <w:b/>
          <w:sz w:val="24"/>
        </w:rPr>
      </w:pPr>
      <w:bookmarkStart w:id="21" w:name="_Toc128989102"/>
      <w:r>
        <w:rPr>
          <w:rFonts w:hint="eastAsia" w:ascii="宋体" w:hAnsi="宋体" w:cs="宋体"/>
          <w:b/>
          <w:sz w:val="24"/>
        </w:rPr>
        <w:t>采购结果</w:t>
      </w:r>
      <w:bookmarkEnd w:id="21"/>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22" w:name="_Toc128989103"/>
      <w:r>
        <w:rPr>
          <w:rFonts w:hint="eastAsia" w:ascii="宋体" w:hAnsi="宋体" w:cs="宋体"/>
          <w:b/>
          <w:sz w:val="24"/>
        </w:rPr>
        <w:t>合同条款及格式</w:t>
      </w:r>
      <w:bookmarkEnd w:id="22"/>
    </w:p>
    <w:p>
      <w:pPr>
        <w:pStyle w:val="28"/>
        <w:ind w:left="420" w:firstLine="0" w:firstLineChars="0"/>
        <w:jc w:val="center"/>
        <w:rPr>
          <w:rFonts w:ascii="方正小标宋简体" w:hAnsi="方正小标宋简体" w:eastAsia="方正小标宋简体" w:cs="方正小标宋简体"/>
          <w:bCs/>
          <w:kern w:val="0"/>
          <w:sz w:val="28"/>
          <w:szCs w:val="28"/>
        </w:rPr>
      </w:pPr>
      <w:bookmarkStart w:id="23" w:name="_Toc22525"/>
      <w:r>
        <w:rPr>
          <w:rFonts w:hint="eastAsia" w:ascii="方正小标宋简体" w:hAnsi="方正小标宋简体" w:eastAsia="方正小标宋简体" w:cs="方正小标宋简体"/>
          <w:bCs/>
          <w:kern w:val="0"/>
          <w:sz w:val="28"/>
          <w:szCs w:val="28"/>
          <w:lang w:eastAsia="zh-CN"/>
        </w:rPr>
        <w:t>深圳会展中心</w:t>
      </w:r>
      <w:r>
        <w:rPr>
          <w:rFonts w:hint="eastAsia" w:ascii="方正小标宋简体" w:hAnsi="方正小标宋简体" w:eastAsia="方正小标宋简体" w:cs="方正小标宋简体"/>
          <w:bCs/>
          <w:kern w:val="0"/>
          <w:sz w:val="28"/>
          <w:szCs w:val="28"/>
          <w:lang w:val="en-US" w:eastAsia="zh-CN"/>
        </w:rPr>
        <w:t>分体</w:t>
      </w:r>
      <w:r>
        <w:rPr>
          <w:rFonts w:hint="eastAsia" w:ascii="方正小标宋简体" w:hAnsi="方正小标宋简体" w:eastAsia="方正小标宋简体" w:cs="方正小标宋简体"/>
          <w:bCs/>
          <w:kern w:val="0"/>
          <w:sz w:val="28"/>
          <w:szCs w:val="28"/>
          <w:lang w:eastAsia="zh-CN"/>
        </w:rPr>
        <w:t>空调</w:t>
      </w:r>
      <w:r>
        <w:rPr>
          <w:rFonts w:hint="eastAsia" w:ascii="方正小标宋简体" w:hAnsi="方正小标宋简体" w:eastAsia="方正小标宋简体" w:cs="方正小标宋简体"/>
          <w:bCs/>
          <w:kern w:val="0"/>
          <w:sz w:val="28"/>
          <w:szCs w:val="28"/>
          <w:lang w:val="en-US" w:eastAsia="zh-CN"/>
        </w:rPr>
        <w:t>增加漏电保护开关</w:t>
      </w:r>
      <w:r>
        <w:rPr>
          <w:rFonts w:hint="eastAsia" w:ascii="方正小标宋简体" w:hAnsi="方正小标宋简体" w:eastAsia="方正小标宋简体" w:cs="方正小标宋简体"/>
          <w:bCs/>
          <w:kern w:val="0"/>
          <w:sz w:val="28"/>
          <w:szCs w:val="28"/>
        </w:rPr>
        <w:t>项目合同</w:t>
      </w:r>
    </w:p>
    <w:bookmarkEnd w:id="23"/>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pPr>
    </w:p>
    <w:p>
      <w:pPr>
        <w:pStyle w:val="11"/>
      </w:pPr>
    </w:p>
    <w:p>
      <w:pPr>
        <w:pStyle w:val="11"/>
      </w:pPr>
    </w:p>
    <w:p>
      <w:pPr>
        <w:pStyle w:val="11"/>
      </w:pPr>
    </w:p>
    <w:p>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4" w:name="_Toc128989104"/>
      <w:r>
        <w:rPr>
          <w:rFonts w:hint="eastAsia" w:ascii="宋体" w:hAnsi="宋体" w:cs="宋体"/>
          <w:b/>
          <w:sz w:val="24"/>
        </w:rPr>
        <w:t>附件</w:t>
      </w:r>
      <w:bookmarkEnd w:id="24"/>
    </w:p>
    <w:p>
      <w:pPr>
        <w:pStyle w:val="11"/>
        <w:rPr>
          <w:rFonts w:ascii="仿宋" w:hAnsi="仿宋" w:eastAsia="仿宋" w:cs="仿宋"/>
          <w:sz w:val="28"/>
          <w:szCs w:val="28"/>
        </w:rPr>
      </w:pPr>
      <w:bookmarkStart w:id="25" w:name="_Toc478387760"/>
    </w:p>
    <w:p>
      <w:pPr>
        <w:spacing w:line="0" w:lineRule="atLeast"/>
        <w:outlineLvl w:val="0"/>
        <w:rPr>
          <w:rFonts w:ascii="宋体" w:hAnsi="宋体"/>
        </w:rPr>
      </w:pPr>
      <w:bookmarkStart w:id="26" w:name="_Toc128989105"/>
      <w:r>
        <w:rPr>
          <w:rFonts w:hint="eastAsia" w:ascii="仿宋" w:hAnsi="仿宋" w:eastAsia="仿宋" w:cs="仿宋"/>
          <w:sz w:val="28"/>
          <w:szCs w:val="28"/>
        </w:rPr>
        <w:t>附件1：报名回函</w:t>
      </w:r>
      <w:bookmarkEnd w:id="26"/>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7" w:name="_Toc128989106"/>
      <w:r>
        <w:rPr>
          <w:rFonts w:hint="eastAsia" w:ascii="仿宋" w:hAnsi="仿宋" w:eastAsia="仿宋" w:cs="仿宋"/>
          <w:sz w:val="28"/>
          <w:szCs w:val="28"/>
        </w:rPr>
        <w:t>附件2：考察证明</w:t>
      </w:r>
      <w:bookmarkEnd w:id="25"/>
      <w:bookmarkEnd w:id="27"/>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9"/>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23"/>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3"/>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2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2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0" w:name="_Toc25356"/>
      <w:r>
        <w:rPr>
          <w:rFonts w:hint="eastAsia" w:ascii="仿宋" w:hAnsi="仿宋" w:eastAsia="仿宋" w:cs="仿宋"/>
          <w:sz w:val="28"/>
          <w:szCs w:val="28"/>
        </w:rPr>
        <w:t>日期：_________年____月____日</w:t>
      </w:r>
      <w:bookmarkEnd w:id="30"/>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1" w:name="_Toc128989108"/>
      <w:r>
        <w:rPr>
          <w:rFonts w:hint="eastAsia" w:ascii="仿宋" w:hAnsi="仿宋" w:eastAsia="仿宋" w:cs="仿宋"/>
          <w:sz w:val="28"/>
          <w:szCs w:val="28"/>
        </w:rPr>
        <w:t>附件4：报价一览表（服务）</w:t>
      </w:r>
      <w:bookmarkEnd w:id="31"/>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2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2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2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2" w:name="_Toc211248412"/>
      <w:r>
        <w:rPr>
          <w:rFonts w:hint="eastAsia" w:ascii="仿宋" w:hAnsi="仿宋" w:eastAsia="仿宋" w:cs="仿宋"/>
          <w:sz w:val="28"/>
          <w:szCs w:val="28"/>
        </w:rPr>
        <w:br w:type="page"/>
      </w:r>
      <w:bookmarkEnd w:id="32"/>
      <w:bookmarkStart w:id="33" w:name="_Toc128989109"/>
      <w:bookmarkStart w:id="34" w:name="_Toc54773233"/>
      <w:r>
        <w:rPr>
          <w:rFonts w:hint="eastAsia" w:ascii="仿宋" w:hAnsi="仿宋" w:eastAsia="仿宋" w:cs="仿宋"/>
          <w:sz w:val="28"/>
          <w:szCs w:val="28"/>
        </w:rPr>
        <w:t>附件5：报价一览表（工程）</w:t>
      </w:r>
      <w:bookmarkEnd w:id="33"/>
      <w:r>
        <w:rPr>
          <w:rFonts w:hint="eastAsia" w:ascii="仿宋" w:hAnsi="仿宋" w:eastAsia="仿宋" w:cs="仿宋"/>
          <w:color w:val="FF0000"/>
          <w:sz w:val="28"/>
          <w:szCs w:val="28"/>
        </w:rPr>
        <w:t>（本项目不适用）</w:t>
      </w:r>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25"/>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5" w:name="_Toc128989110"/>
      <w:r>
        <w:rPr>
          <w:rFonts w:hint="eastAsia" w:ascii="仿宋" w:hAnsi="仿宋" w:eastAsia="仿宋" w:cs="仿宋"/>
          <w:color w:val="000000"/>
          <w:sz w:val="28"/>
          <w:szCs w:val="28"/>
        </w:rPr>
        <w:t>附件6：商务条款响应/偏离表</w:t>
      </w:r>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7" w:name="_Toc236803114"/>
      <w:bookmarkStart w:id="38" w:name="_Toc85808702"/>
      <w:bookmarkStart w:id="39" w:name="_Toc128989111"/>
      <w:r>
        <w:rPr>
          <w:rFonts w:hint="eastAsia" w:ascii="仿宋" w:hAnsi="仿宋" w:eastAsia="仿宋" w:cs="仿宋"/>
          <w:color w:val="000000"/>
          <w:sz w:val="28"/>
          <w:szCs w:val="28"/>
        </w:rPr>
        <w:t>附件7： 技术（服务）响应/偏离表</w:t>
      </w:r>
      <w:bookmarkEnd w:id="37"/>
      <w:bookmarkEnd w:id="38"/>
      <w:bookmarkEnd w:id="39"/>
    </w:p>
    <w:p>
      <w:pPr>
        <w:adjustRightInd w:val="0"/>
        <w:snapToGrid w:val="0"/>
        <w:spacing w:before="240" w:after="240" w:line="400" w:lineRule="exact"/>
        <w:jc w:val="center"/>
        <w:rPr>
          <w:rFonts w:ascii="仿宋" w:hAnsi="仿宋" w:eastAsia="仿宋" w:cs="仿宋"/>
          <w:color w:val="000000"/>
          <w:sz w:val="28"/>
          <w:szCs w:val="28"/>
        </w:rPr>
      </w:pPr>
      <w:bookmarkStart w:id="4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1" w:name="_Toc128989112"/>
      <w:r>
        <w:rPr>
          <w:rFonts w:hint="eastAsia" w:ascii="仿宋" w:hAnsi="仿宋" w:eastAsia="仿宋" w:cs="仿宋"/>
          <w:sz w:val="28"/>
          <w:szCs w:val="28"/>
        </w:rPr>
        <w:t>附件8：法定代表人证明书</w:t>
      </w:r>
      <w:bookmarkEnd w:id="34"/>
      <w:bookmarkEnd w:id="41"/>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2"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3" w:name="_Toc128989113"/>
      <w:r>
        <w:rPr>
          <w:rFonts w:hint="eastAsia" w:ascii="仿宋" w:hAnsi="仿宋" w:eastAsia="仿宋" w:cs="仿宋"/>
          <w:sz w:val="28"/>
          <w:szCs w:val="28"/>
        </w:rPr>
        <w:t>附件9：法人授权委托证明书</w:t>
      </w:r>
      <w:bookmarkEnd w:id="42"/>
      <w:bookmarkEnd w:id="43"/>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3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3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31"/>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4" w:name="_Toc54773235"/>
      <w:bookmarkStart w:id="45" w:name="_Toc128989114"/>
      <w:r>
        <w:rPr>
          <w:rFonts w:hint="eastAsia" w:ascii="仿宋" w:hAnsi="仿宋" w:eastAsia="仿宋" w:cs="仿宋"/>
          <w:sz w:val="28"/>
          <w:szCs w:val="28"/>
        </w:rPr>
        <w:t>附件10：经营业绩一览表</w:t>
      </w:r>
      <w:bookmarkEnd w:id="44"/>
      <w:bookmarkEnd w:id="45"/>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6" w:name="_Toc54773236"/>
      <w:bookmarkStart w:id="47" w:name="_Toc128989115"/>
      <w:r>
        <w:rPr>
          <w:rFonts w:hint="eastAsia" w:ascii="仿宋" w:hAnsi="仿宋" w:eastAsia="仿宋" w:cs="仿宋"/>
          <w:sz w:val="28"/>
          <w:szCs w:val="28"/>
        </w:rPr>
        <w:t>附件11：售后服务承诺书</w:t>
      </w:r>
      <w:bookmarkEnd w:id="46"/>
      <w:r>
        <w:rPr>
          <w:rFonts w:ascii="仿宋" w:hAnsi="仿宋" w:eastAsia="仿宋" w:cs="仿宋"/>
          <w:sz w:val="28"/>
          <w:szCs w:val="28"/>
        </w:rPr>
        <w:t>/质量保修服务承诺书（根据项目类型选择）</w:t>
      </w:r>
      <w:bookmarkEnd w:id="4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3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3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3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3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3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8" w:name="_Toc32341"/>
      <w:r>
        <w:rPr>
          <w:rFonts w:hint="eastAsia" w:ascii="仿宋" w:hAnsi="仿宋" w:eastAsia="仿宋" w:cs="仿宋"/>
          <w:sz w:val="28"/>
          <w:szCs w:val="28"/>
        </w:rPr>
        <w:br w:type="page"/>
      </w:r>
      <w:bookmarkStart w:id="49" w:name="_Toc128989116"/>
      <w:bookmarkStart w:id="50" w:name="_Toc54773237"/>
      <w:r>
        <w:rPr>
          <w:rFonts w:hint="eastAsia" w:ascii="仿宋" w:hAnsi="仿宋" w:eastAsia="仿宋" w:cs="仿宋"/>
          <w:sz w:val="28"/>
          <w:szCs w:val="28"/>
        </w:rPr>
        <w:t>附件12：履约情况及社会信誉承诺书</w:t>
      </w:r>
      <w:bookmarkEnd w:id="48"/>
      <w:bookmarkEnd w:id="49"/>
      <w:bookmarkEnd w:id="5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1"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2" w:name="_Toc128989117"/>
      <w:r>
        <w:rPr>
          <w:rFonts w:hint="eastAsia" w:ascii="仿宋" w:hAnsi="仿宋" w:eastAsia="仿宋" w:cs="仿宋"/>
          <w:sz w:val="28"/>
          <w:szCs w:val="28"/>
        </w:rPr>
        <w:t>附件13：投标文件密码</w:t>
      </w:r>
      <w:bookmarkEnd w:id="52"/>
    </w:p>
    <w:p>
      <w:pPr>
        <w:spacing w:line="360" w:lineRule="auto"/>
        <w:jc w:val="center"/>
        <w:rPr>
          <w:rFonts w:ascii="宋体" w:hAnsi="宋体"/>
          <w:b/>
          <w:sz w:val="44"/>
          <w:szCs w:val="44"/>
        </w:rPr>
      </w:pPr>
    </w:p>
    <w:p>
      <w:pPr>
        <w:jc w:val="center"/>
        <w:rPr>
          <w:rFonts w:ascii="宋体" w:hAnsi="宋体"/>
          <w:b/>
          <w:color w:val="000000"/>
          <w:sz w:val="32"/>
          <w:szCs w:val="32"/>
        </w:rPr>
      </w:pPr>
      <w:bookmarkStart w:id="53"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3"/>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34"/>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34"/>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5F8DA"/>
    <w:multiLevelType w:val="singleLevel"/>
    <w:tmpl w:val="8295F8DA"/>
    <w:lvl w:ilvl="0" w:tentative="0">
      <w:start w:val="1"/>
      <w:numFmt w:val="decimal"/>
      <w:suff w:val="nothing"/>
      <w:lvlText w:val="（%1）"/>
      <w:lvlJc w:val="left"/>
      <w:rPr>
        <w:rFonts w:hint="default"/>
        <w:color w:val="auto"/>
      </w:rPr>
    </w:lvl>
  </w:abstractNum>
  <w:abstractNum w:abstractNumId="1">
    <w:nsid w:val="85D7A724"/>
    <w:multiLevelType w:val="singleLevel"/>
    <w:tmpl w:val="85D7A724"/>
    <w:lvl w:ilvl="0" w:tentative="0">
      <w:start w:val="1"/>
      <w:numFmt w:val="decimal"/>
      <w:suff w:val="nothing"/>
      <w:lvlText w:val="（%1）"/>
      <w:lvlJc w:val="left"/>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AA5A57F"/>
    <w:multiLevelType w:val="singleLevel"/>
    <w:tmpl w:val="DAA5A57F"/>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8CA72AB"/>
    <w:multiLevelType w:val="singleLevel"/>
    <w:tmpl w:val="08CA72AB"/>
    <w:lvl w:ilvl="0" w:tentative="0">
      <w:start w:val="1"/>
      <w:numFmt w:val="decimal"/>
      <w:suff w:val="nothing"/>
      <w:lvlText w:val="（%1）"/>
      <w:lvlJc w:val="left"/>
      <w:rPr>
        <w:rFonts w:hint="default"/>
        <w:color w:val="auto"/>
      </w:rPr>
    </w:lvl>
  </w:abstractNum>
  <w:abstractNum w:abstractNumId="10">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477E9C"/>
    <w:multiLevelType w:val="singleLevel"/>
    <w:tmpl w:val="26477E9C"/>
    <w:lvl w:ilvl="0" w:tentative="0">
      <w:start w:val="1"/>
      <w:numFmt w:val="decimal"/>
      <w:lvlText w:val="(%1)"/>
      <w:lvlJc w:val="left"/>
      <w:pPr>
        <w:ind w:left="425" w:hanging="425"/>
      </w:pPr>
      <w:rPr>
        <w:rFonts w:hint="default"/>
        <w:color w:val="auto"/>
      </w:r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7129F8"/>
    <w:multiLevelType w:val="multilevel"/>
    <w:tmpl w:val="287129F8"/>
    <w:lvl w:ilvl="0" w:tentative="0">
      <w:start w:val="1"/>
      <w:numFmt w:val="decimal"/>
      <w:lvlText w:val="（%1）"/>
      <w:lvlJc w:val="left"/>
      <w:pPr>
        <w:ind w:left="360" w:hanging="36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9BC542D"/>
    <w:multiLevelType w:val="multilevel"/>
    <w:tmpl w:val="29BC54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72D6470"/>
    <w:multiLevelType w:val="singleLevel"/>
    <w:tmpl w:val="472D6470"/>
    <w:lvl w:ilvl="0" w:tentative="0">
      <w:start w:val="1"/>
      <w:numFmt w:val="decimal"/>
      <w:lvlText w:val="%1."/>
      <w:lvlJc w:val="left"/>
      <w:pPr>
        <w:ind w:left="425" w:hanging="425"/>
      </w:pPr>
      <w:rPr>
        <w:rFonts w:hint="default"/>
      </w:rPr>
    </w:lvl>
  </w:abstractNum>
  <w:abstractNum w:abstractNumId="24">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5">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7">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E145C9"/>
    <w:multiLevelType w:val="multilevel"/>
    <w:tmpl w:val="61E145C9"/>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1">
    <w:nsid w:val="6E6C730C"/>
    <w:multiLevelType w:val="multilevel"/>
    <w:tmpl w:val="6E6C73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30"/>
  </w:num>
  <w:num w:numId="3">
    <w:abstractNumId w:val="20"/>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25"/>
  </w:num>
  <w:num w:numId="9">
    <w:abstractNumId w:val="1"/>
  </w:num>
  <w:num w:numId="10">
    <w:abstractNumId w:val="9"/>
  </w:num>
  <w:num w:numId="11">
    <w:abstractNumId w:val="16"/>
  </w:num>
  <w:num w:numId="12">
    <w:abstractNumId w:val="23"/>
  </w:num>
  <w:num w:numId="13">
    <w:abstractNumId w:val="7"/>
  </w:num>
  <w:num w:numId="14">
    <w:abstractNumId w:val="13"/>
  </w:num>
  <w:num w:numId="15">
    <w:abstractNumId w:val="14"/>
  </w:num>
  <w:num w:numId="16">
    <w:abstractNumId w:val="31"/>
  </w:num>
  <w:num w:numId="17">
    <w:abstractNumId w:val="28"/>
  </w:num>
  <w:num w:numId="18">
    <w:abstractNumId w:val="17"/>
  </w:num>
  <w:num w:numId="19">
    <w:abstractNumId w:val="19"/>
  </w:num>
  <w:num w:numId="20">
    <w:abstractNumId w:val="0"/>
  </w:num>
  <w:num w:numId="21">
    <w:abstractNumId w:val="2"/>
  </w:num>
  <w:num w:numId="22">
    <w:abstractNumId w:val="4"/>
  </w:num>
  <w:num w:numId="23">
    <w:abstractNumId w:val="29"/>
  </w:num>
  <w:num w:numId="24">
    <w:abstractNumId w:val="21"/>
  </w:num>
  <w:num w:numId="25">
    <w:abstractNumId w:val="18"/>
  </w:num>
  <w:num w:numId="26">
    <w:abstractNumId w:val="5"/>
  </w:num>
  <w:num w:numId="27">
    <w:abstractNumId w:val="10"/>
  </w:num>
  <w:num w:numId="28">
    <w:abstractNumId w:val="6"/>
  </w:num>
  <w:num w:numId="29">
    <w:abstractNumId w:val="32"/>
  </w:num>
  <w:num w:numId="30">
    <w:abstractNumId w:val="22"/>
  </w:num>
  <w:num w:numId="31">
    <w:abstractNumId w:val="27"/>
  </w:num>
  <w:num w:numId="32">
    <w:abstractNumId w:val="8"/>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D05917"/>
    <w:rsid w:val="09550008"/>
    <w:rsid w:val="0BB540F7"/>
    <w:rsid w:val="0CBF3E0A"/>
    <w:rsid w:val="0D6C68DD"/>
    <w:rsid w:val="0DE325EB"/>
    <w:rsid w:val="0FE67E91"/>
    <w:rsid w:val="0FF30054"/>
    <w:rsid w:val="114C469F"/>
    <w:rsid w:val="11672EFE"/>
    <w:rsid w:val="12233FCD"/>
    <w:rsid w:val="12843799"/>
    <w:rsid w:val="136E18B5"/>
    <w:rsid w:val="17F6273C"/>
    <w:rsid w:val="1828123D"/>
    <w:rsid w:val="18A624A5"/>
    <w:rsid w:val="1B9A1A18"/>
    <w:rsid w:val="1CCD79EE"/>
    <w:rsid w:val="1D012599"/>
    <w:rsid w:val="1D9D4BEE"/>
    <w:rsid w:val="1E020668"/>
    <w:rsid w:val="1E1C321D"/>
    <w:rsid w:val="1E6A5405"/>
    <w:rsid w:val="22C64C6F"/>
    <w:rsid w:val="22C90A12"/>
    <w:rsid w:val="252941C0"/>
    <w:rsid w:val="28413D6F"/>
    <w:rsid w:val="28C21443"/>
    <w:rsid w:val="298D33FE"/>
    <w:rsid w:val="2A347D50"/>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41AE46E3"/>
    <w:rsid w:val="44663420"/>
    <w:rsid w:val="4479539E"/>
    <w:rsid w:val="44D742D8"/>
    <w:rsid w:val="452E5288"/>
    <w:rsid w:val="481C5C5C"/>
    <w:rsid w:val="48D32A87"/>
    <w:rsid w:val="4B2466B0"/>
    <w:rsid w:val="4C314B4E"/>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CE67377"/>
    <w:rsid w:val="5EB66460"/>
    <w:rsid w:val="5F7C7776"/>
    <w:rsid w:val="619B20E5"/>
    <w:rsid w:val="63141A74"/>
    <w:rsid w:val="6672262A"/>
    <w:rsid w:val="67027BAA"/>
    <w:rsid w:val="67DD1DA1"/>
    <w:rsid w:val="68D4038F"/>
    <w:rsid w:val="69A30E21"/>
    <w:rsid w:val="6AD21273"/>
    <w:rsid w:val="6D4D248D"/>
    <w:rsid w:val="6D9018A4"/>
    <w:rsid w:val="6E1B6D8D"/>
    <w:rsid w:val="6E597A7A"/>
    <w:rsid w:val="6F4A172C"/>
    <w:rsid w:val="6FBE3414"/>
    <w:rsid w:val="74701065"/>
    <w:rsid w:val="75106734"/>
    <w:rsid w:val="751975AF"/>
    <w:rsid w:val="755A63B4"/>
    <w:rsid w:val="75864917"/>
    <w:rsid w:val="764269C5"/>
    <w:rsid w:val="778B51DA"/>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13</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2023-12-05T06:18:22Z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5AE867FA504841BD890301EE125C6257</vt:lpwstr>
  </property>
</Properties>
</file>