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项目名称：深圳会展中心广告灯箱改造项目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3年1</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8"/>
          <w:rFonts w:ascii="宋体" w:hAnsi="宋体" w:cs="仿宋"/>
          <w:bCs/>
        </w:rPr>
        <w:t>一、</w:t>
      </w:r>
      <w:r>
        <w:rPr>
          <w:rStyle w:val="18"/>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8"/>
          <w:rFonts w:ascii="宋体" w:hAnsi="宋体" w:cs="仿宋"/>
          <w:bCs/>
        </w:rPr>
        <w:t>二、</w:t>
      </w:r>
      <w:r>
        <w:rPr>
          <w:rStyle w:val="18"/>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8"/>
          <w:rFonts w:ascii="宋体" w:hAnsi="宋体" w:cs="仿宋"/>
          <w:bCs/>
        </w:rPr>
        <w:t>三、</w:t>
      </w:r>
      <w:r>
        <w:rPr>
          <w:rStyle w:val="18"/>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8"/>
          <w:rFonts w:ascii="宋体" w:hAnsi="宋体" w:cs="仿宋"/>
          <w:bCs/>
        </w:rPr>
        <w:t>四、</w:t>
      </w:r>
      <w:r>
        <w:rPr>
          <w:rStyle w:val="18"/>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8"/>
          <w:rFonts w:ascii="宋体" w:hAnsi="宋体" w:cs="仿宋"/>
          <w:bCs/>
        </w:rPr>
        <w:t>五、</w:t>
      </w:r>
      <w:r>
        <w:rPr>
          <w:rStyle w:val="18"/>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8"/>
          <w:rFonts w:ascii="宋体" w:hAnsi="宋体" w:cs="仿宋"/>
          <w:bCs/>
        </w:rPr>
        <w:t>六、</w:t>
      </w:r>
      <w:r>
        <w:rPr>
          <w:rStyle w:val="18"/>
        </w:rPr>
        <w:t>开标阶段</w:t>
      </w:r>
      <w:r>
        <w:tab/>
      </w:r>
      <w:r>
        <w:fldChar w:fldCharType="begin"/>
      </w:r>
      <w:r>
        <w:instrText xml:space="preserve"> PAGEREF _Toc106791260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8"/>
          <w:rFonts w:ascii="宋体" w:hAnsi="宋体" w:cs="仿宋"/>
          <w:bCs/>
        </w:rPr>
        <w:t>七、</w:t>
      </w:r>
      <w:r>
        <w:rPr>
          <w:rStyle w:val="18"/>
        </w:rPr>
        <w:t>评标阶段</w:t>
      </w:r>
      <w:r>
        <w:tab/>
      </w:r>
      <w:r>
        <w:fldChar w:fldCharType="begin"/>
      </w:r>
      <w:r>
        <w:instrText xml:space="preserve"> PAGEREF _Toc106791261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8"/>
          <w:rFonts w:ascii="宋体" w:hAnsi="宋体"/>
        </w:rPr>
        <w:t>（一）</w:t>
      </w:r>
      <w:r>
        <w:rPr>
          <w:rStyle w:val="18"/>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8"/>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8"/>
          <w:b/>
        </w:rPr>
        <w:t>第五部分：参考附件</w:t>
      </w:r>
      <w:r>
        <w:tab/>
      </w:r>
      <w:r>
        <w:fldChar w:fldCharType="begin"/>
      </w:r>
      <w:r>
        <w:instrText xml:space="preserve"> PAGEREF _Toc106791267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8"/>
          <w:rFonts w:ascii="宋体" w:hAnsi="宋体"/>
        </w:rPr>
        <w:t>附件1：报名回函</w:t>
      </w:r>
      <w:r>
        <w:tab/>
      </w:r>
      <w:r>
        <w:fldChar w:fldCharType="begin"/>
      </w:r>
      <w:r>
        <w:instrText xml:space="preserve"> PAGEREF _Toc106791268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8"/>
          <w:rFonts w:ascii="宋体" w:hAnsi="宋体"/>
        </w:rPr>
        <w:t>附件2：投标函</w:t>
      </w:r>
      <w:r>
        <w:tab/>
      </w:r>
      <w:r>
        <w:fldChar w:fldCharType="begin"/>
      </w:r>
      <w:r>
        <w:instrText xml:space="preserve"> PAGEREF _Toc106791269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8"/>
          <w:rFonts w:ascii="宋体" w:hAnsi="宋体"/>
        </w:rPr>
        <w:t>附件4：考察证明</w:t>
      </w:r>
      <w:r>
        <w:tab/>
      </w:r>
      <w:r>
        <w:fldChar w:fldCharType="begin"/>
      </w:r>
      <w:r>
        <w:instrText xml:space="preserve"> PAGEREF _Toc106791271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8"/>
          <w:rFonts w:ascii="宋体" w:hAnsi="宋体"/>
        </w:rPr>
        <w:t>附件7：报价一览表（货物）（本项目不适用）</w:t>
      </w:r>
      <w:r>
        <w:tab/>
      </w:r>
      <w:r>
        <w:fldChar w:fldCharType="begin"/>
      </w:r>
      <w:r>
        <w:instrText xml:space="preserve"> PAGEREF _Toc106791274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8"/>
          <w:rFonts w:ascii="宋体" w:hAnsi="宋体"/>
        </w:rPr>
        <w:t>附件9：报价一览表（工程）</w:t>
      </w:r>
      <w:r>
        <w:tab/>
      </w:r>
      <w:r>
        <w:fldChar w:fldCharType="begin"/>
      </w:r>
      <w:r>
        <w:instrText xml:space="preserve"> PAGEREF _Toc106791276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28</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深圳会展中心广告灯箱改造项目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更换深圳会展中心一、二楼及地下停车场原有23个大、中、小号旧灯箱，并在二楼服务区东西两侧墙体增加8个中号灯箱。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深圳会展中心二楼服务区、东西礼门及地下停车场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rPr>
            </w:pPr>
            <w:r>
              <w:rPr>
                <w:rFonts w:ascii="宋体" w:hAnsi="宋体"/>
                <w:szCs w:val="21"/>
              </w:rPr>
              <w:t>30</w:t>
            </w:r>
            <w:r>
              <w:rPr>
                <w:rFonts w:hint="eastAsia" w:ascii="宋体" w:hAnsi="宋体"/>
                <w:szCs w:val="21"/>
              </w:rPr>
              <w:t>天（（双方签定合同后，由招标人在150日之内指定中标单位进场作业日期。接到招标人进场作业日期指令后， 中标单位应于进场作业日期开始30个日历日之内完成旧灯箱拆除、新灯箱制作及安装合同签定后30天内完成合同约定的更换及新增灯箱。）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https://cg.szcec.com/sharing/wwSXJdtbh，</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https://cg.szcec.com/sharing/9gQBATc7x，</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投标单位授权代表须熟记文件密码，否则做废标处理。投标文件递交时间截止后，不再接受任何理由的撤回或重新提交文件请求。</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12</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632-107-932</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https://cg.szcec.com/sharing/NtIGzP8mj</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cs="Segoe UI Symbol"/>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 xml:space="preserve">组织，踏勘要求： </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cs="Segoe UI Symbol"/>
                <w:kern w:val="0"/>
                <w:szCs w:val="21"/>
              </w:rPr>
              <w:sym w:font="Wingdings 2" w:char="00A3"/>
            </w: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2023-1</w:t>
            </w:r>
            <w:r>
              <w:rPr>
                <w:rFonts w:hint="eastAsia" w:ascii="宋体" w:hAnsi="宋体" w:eastAsia="宋体"/>
                <w:kern w:val="0"/>
                <w:szCs w:val="21"/>
                <w:highlight w:val="yellow"/>
                <w:lang w:val="en-US" w:eastAsia="zh-CN"/>
              </w:rPr>
              <w:t>2</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13</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15</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w:t>
            </w:r>
            <w:bookmarkStart w:id="90" w:name="_GoBack"/>
            <w:bookmarkEnd w:id="90"/>
            <w:r>
              <w:rPr>
                <w:rFonts w:hint="eastAsia" w:ascii="宋体" w:hAnsi="宋体" w:eastAsia="宋体"/>
                <w:kern w:val="0"/>
                <w:szCs w:val="21"/>
              </w:rPr>
              <w:t>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 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highlight w:val="yellow"/>
              </w:rPr>
            </w:pPr>
            <w:r>
              <w:rPr>
                <w:rFonts w:hint="eastAsia" w:ascii="宋体" w:hAnsi="宋体" w:eastAsia="宋体"/>
                <w:kern w:val="0"/>
                <w:szCs w:val="21"/>
                <w:highlight w:val="yellow"/>
              </w:rPr>
              <w:t>踏勘联系人：</w:t>
            </w:r>
            <w:r>
              <w:rPr>
                <w:rFonts w:hint="eastAsia" w:ascii="宋体" w:hAnsi="宋体"/>
                <w:szCs w:val="21"/>
                <w:highlight w:val="yellow"/>
              </w:rPr>
              <w:t>王先生</w:t>
            </w:r>
          </w:p>
          <w:p>
            <w:pPr>
              <w:pStyle w:val="22"/>
              <w:tabs>
                <w:tab w:val="left" w:pos="541"/>
              </w:tabs>
              <w:snapToGrid w:val="0"/>
              <w:ind w:left="805" w:firstLine="0" w:firstLineChars="0"/>
              <w:rPr>
                <w:rFonts w:ascii="宋体" w:hAnsi="宋体" w:eastAsia="宋体"/>
                <w:kern w:val="0"/>
                <w:szCs w:val="21"/>
                <w:highlight w:val="yellow"/>
              </w:rPr>
            </w:pPr>
            <w:r>
              <w:rPr>
                <w:rFonts w:hint="eastAsia" w:ascii="宋体" w:hAnsi="宋体" w:eastAsia="宋体"/>
                <w:kern w:val="0"/>
                <w:szCs w:val="21"/>
                <w:highlight w:val="yellow"/>
              </w:rPr>
              <w:t>电话：0755-82848959，手机：</w:t>
            </w:r>
            <w:r>
              <w:rPr>
                <w:rFonts w:hint="eastAsia" w:ascii="宋体" w:hAnsi="宋体" w:cs="宋体"/>
                <w:bCs/>
                <w:kern w:val="0"/>
                <w:szCs w:val="21"/>
                <w:highlight w:val="yellow"/>
              </w:rPr>
              <w:t>18589020038</w:t>
            </w:r>
          </w:p>
          <w:p>
            <w:pPr>
              <w:pStyle w:val="22"/>
              <w:tabs>
                <w:tab w:val="left" w:pos="541"/>
              </w:tabs>
              <w:snapToGrid w:val="0"/>
              <w:ind w:left="805" w:firstLine="0" w:firstLineChars="0"/>
              <w:rPr>
                <w:rFonts w:ascii="宋体" w:hAnsi="宋体" w:eastAsia="宋体"/>
                <w:kern w:val="0"/>
                <w:szCs w:val="21"/>
                <w:highlight w:val="yellow"/>
              </w:rPr>
            </w:pPr>
            <w:r>
              <w:rPr>
                <w:rFonts w:hint="eastAsia" w:ascii="宋体" w:hAnsi="宋体" w:eastAsia="宋体"/>
                <w:kern w:val="0"/>
                <w:szCs w:val="21"/>
                <w:highlight w:val="yellow"/>
              </w:rPr>
              <w:t>集合地点：深圳会展中心</w:t>
            </w:r>
            <w:r>
              <w:rPr>
                <w:rFonts w:hint="eastAsia" w:ascii="宋体" w:hAnsi="宋体" w:eastAsia="宋体"/>
                <w:kern w:val="0"/>
                <w:szCs w:val="21"/>
              </w:rPr>
              <w:t>西礼门</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w:t>
            </w:r>
            <w:r>
              <w:rPr>
                <w:rFonts w:hint="eastAsia" w:ascii="宋体" w:hAnsi="宋体" w:eastAsia="宋体" w:cs="宋体"/>
                <w:kern w:val="0"/>
                <w:szCs w:val="21"/>
              </w:rPr>
              <w:t>现场踏勘与本项目招标（采购）文件载明的要求不一致时，以本项目招标（采购）文件中</w:t>
            </w:r>
            <w:r>
              <w:rPr>
                <w:rFonts w:hint="eastAsia" w:ascii="宋体" w:hAnsi="宋体" w:eastAsia="宋体"/>
                <w:kern w:val="0"/>
                <w:szCs w:val="21"/>
              </w:rPr>
              <w:t>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rPr>
            </w:pPr>
            <w:r>
              <w:rPr>
                <w:rFonts w:hint="eastAsia" w:ascii="宋体" w:hAnsi="宋体" w:cs="Segoe UI Symbol"/>
                <w:kern w:val="0"/>
                <w:szCs w:val="21"/>
              </w:rPr>
              <w:sym w:font="Wingdings 2" w:char="0052"/>
            </w:r>
            <w:r>
              <w:rPr>
                <w:rFonts w:hint="eastAsia" w:ascii="宋体" w:hAnsi="宋体" w:eastAsia="宋体" w:cs="Segoe UI Symbol"/>
                <w:color w:val="FF0000"/>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rPr>
            </w:pPr>
            <w:r>
              <w:rPr>
                <w:rFonts w:hint="eastAsia" w:ascii="宋体" w:hAnsi="宋体" w:eastAsia="宋体" w:cs="Segoe UI Symbol"/>
                <w:color w:val="FF0000"/>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rPr>
            </w:pPr>
            <w:r>
              <w:rPr>
                <w:rFonts w:hint="eastAsia" w:ascii="宋体" w:hAnsi="宋体" w:eastAsia="宋体" w:cs="Segoe UI Symbol"/>
                <w:color w:val="FF0000"/>
                <w:kern w:val="0"/>
                <w:szCs w:val="21"/>
              </w:rPr>
              <w:t>履约保证金金额：人民币</w:t>
            </w:r>
            <w:r>
              <w:rPr>
                <w:rFonts w:hint="eastAsia" w:ascii="宋体" w:hAnsi="宋体" w:eastAsia="宋体" w:cs="Segoe UI Symbol"/>
                <w:color w:val="FF0000"/>
                <w:kern w:val="0"/>
                <w:szCs w:val="21"/>
                <w:u w:val="single"/>
              </w:rPr>
              <w:t xml:space="preserve"> </w:t>
            </w:r>
            <w:r>
              <w:rPr>
                <w:rFonts w:ascii="宋体" w:hAnsi="宋体" w:eastAsia="宋体" w:cs="Segoe UI Symbol"/>
                <w:color w:val="FF0000"/>
                <w:kern w:val="0"/>
                <w:szCs w:val="21"/>
                <w:u w:val="single"/>
              </w:rPr>
              <w:t>/</w:t>
            </w:r>
            <w:r>
              <w:rPr>
                <w:rFonts w:hint="eastAsia" w:ascii="宋体" w:hAnsi="宋体" w:eastAsia="宋体" w:cs="Segoe UI Symbol"/>
                <w:color w:val="FF0000"/>
                <w:kern w:val="0"/>
                <w:szCs w:val="21"/>
                <w:u w:val="single"/>
              </w:rPr>
              <w:t xml:space="preserve"> </w:t>
            </w:r>
            <w:r>
              <w:rPr>
                <w:rFonts w:hint="eastAsia" w:ascii="宋体" w:hAnsi="宋体" w:eastAsia="宋体" w:cs="Segoe UI Symbol"/>
                <w:color w:val="FF0000"/>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rPr>
            </w:pPr>
            <w:r>
              <w:rPr>
                <w:rFonts w:hint="eastAsia" w:ascii="宋体" w:hAnsi="宋体" w:eastAsia="宋体" w:cs="Segoe UI Symbol"/>
                <w:color w:val="FF0000"/>
                <w:kern w:val="0"/>
                <w:szCs w:val="21"/>
              </w:rPr>
              <w:t>履约保证金的</w:t>
            </w:r>
            <w:r>
              <w:rPr>
                <w:rFonts w:ascii="宋体" w:hAnsi="宋体" w:eastAsia="宋体" w:cs="Segoe UI Symbol"/>
                <w:color w:val="FF0000"/>
                <w:kern w:val="0"/>
                <w:szCs w:val="21"/>
              </w:rPr>
              <w:t>形式：</w:t>
            </w:r>
            <w:r>
              <w:rPr>
                <w:rFonts w:hint="eastAsia" w:ascii="宋体" w:hAnsi="宋体" w:eastAsia="宋体" w:cs="Segoe UI Symbol"/>
                <w:color w:val="FF0000"/>
                <w:kern w:val="0"/>
                <w:szCs w:val="21"/>
              </w:rPr>
              <w:t>□银行转账</w:t>
            </w:r>
            <w:r>
              <w:rPr>
                <w:rFonts w:ascii="宋体" w:hAnsi="宋体" w:eastAsia="宋体" w:cs="Segoe UI Symbol"/>
                <w:color w:val="FF0000"/>
                <w:kern w:val="0"/>
                <w:szCs w:val="21"/>
              </w:rPr>
              <w:t xml:space="preserve">  </w:t>
            </w:r>
            <w:r>
              <w:rPr>
                <w:rFonts w:hint="eastAsia" w:ascii="宋体" w:hAnsi="宋体" w:eastAsia="宋体" w:cs="Segoe UI Symbol"/>
                <w:color w:val="FF0000"/>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FF0000"/>
                <w:kern w:val="0"/>
                <w:szCs w:val="21"/>
              </w:rPr>
            </w:pPr>
            <w:r>
              <w:rPr>
                <w:rFonts w:hint="eastAsia" w:ascii="宋体" w:hAnsi="宋体" w:eastAsia="宋体" w:cs="Segoe UI Symbol"/>
                <w:color w:val="FF0000"/>
                <w:kern w:val="0"/>
                <w:szCs w:val="21"/>
              </w:rPr>
              <w:t>投标人保证金</w:t>
            </w:r>
            <w:r>
              <w:rPr>
                <w:rFonts w:ascii="宋体" w:hAnsi="宋体" w:eastAsia="宋体" w:cs="Segoe UI Symbol"/>
                <w:color w:val="FF0000"/>
                <w:kern w:val="0"/>
                <w:szCs w:val="21"/>
              </w:rPr>
              <w:t>收款</w:t>
            </w:r>
            <w:r>
              <w:rPr>
                <w:rFonts w:hint="eastAsia" w:ascii="宋体" w:hAnsi="宋体" w:eastAsia="宋体" w:cs="Segoe UI Symbol"/>
                <w:color w:val="FF0000"/>
                <w:kern w:val="0"/>
                <w:szCs w:val="21"/>
              </w:rPr>
              <w:t>银行账户信息（选用“银行转账</w:t>
            </w:r>
            <w:r>
              <w:rPr>
                <w:rFonts w:ascii="宋体" w:hAnsi="宋体" w:eastAsia="宋体" w:cs="Segoe UI Symbol"/>
                <w:color w:val="FF0000"/>
                <w:kern w:val="0"/>
                <w:szCs w:val="21"/>
              </w:rPr>
              <w:t>”</w:t>
            </w:r>
            <w:r>
              <w:rPr>
                <w:rFonts w:hint="eastAsia" w:ascii="宋体" w:hAnsi="宋体" w:eastAsia="宋体" w:cs="Segoe UI Symbol"/>
                <w:color w:val="FF0000"/>
                <w:kern w:val="0"/>
                <w:szCs w:val="21"/>
              </w:rPr>
              <w:t>方式须填</w:t>
            </w:r>
            <w:r>
              <w:rPr>
                <w:rFonts w:ascii="宋体" w:hAnsi="宋体" w:eastAsia="宋体" w:cs="Segoe UI Symbol"/>
                <w:color w:val="FF0000"/>
                <w:kern w:val="0"/>
                <w:szCs w:val="21"/>
              </w:rPr>
              <w:t>）</w:t>
            </w:r>
          </w:p>
          <w:p>
            <w:pPr>
              <w:autoSpaceDE w:val="0"/>
              <w:autoSpaceDN w:val="0"/>
              <w:adjustRightInd w:val="0"/>
              <w:snapToGrid w:val="0"/>
              <w:ind w:left="819" w:leftChars="390" w:firstLine="1"/>
              <w:jc w:val="left"/>
              <w:rPr>
                <w:rFonts w:ascii="宋体" w:hAnsi="宋体" w:cs="Segoe UI Symbol"/>
                <w:color w:val="FF0000"/>
                <w:kern w:val="0"/>
                <w:szCs w:val="21"/>
              </w:rPr>
            </w:pPr>
            <w:r>
              <w:rPr>
                <w:rFonts w:ascii="宋体" w:hAnsi="宋体" w:cs="Segoe UI Symbol"/>
                <w:color w:val="FF0000"/>
                <w:kern w:val="0"/>
                <w:szCs w:val="21"/>
              </w:rPr>
              <w:t>收款单位：</w:t>
            </w:r>
            <w:r>
              <w:rPr>
                <w:rFonts w:hint="eastAsia" w:ascii="宋体" w:hAnsi="宋体" w:cs="Segoe UI Symbol"/>
                <w:color w:val="FF0000"/>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FF0000"/>
                <w:kern w:val="0"/>
                <w:szCs w:val="21"/>
              </w:rPr>
            </w:pPr>
            <w:r>
              <w:rPr>
                <w:rFonts w:ascii="宋体" w:hAnsi="宋体" w:cs="Segoe UI Symbol"/>
                <w:color w:val="FF0000"/>
                <w:kern w:val="0"/>
                <w:szCs w:val="21"/>
              </w:rPr>
              <w:t>开户银行：</w:t>
            </w:r>
            <w:r>
              <w:rPr>
                <w:rFonts w:ascii="宋体" w:hAnsi="宋体" w:cs="Segoe UI Symbol"/>
                <w:color w:val="FF0000"/>
                <w:kern w:val="0"/>
                <w:szCs w:val="21"/>
                <w:u w:val="single"/>
              </w:rPr>
              <w:t xml:space="preserve">     </w:t>
            </w:r>
            <w:r>
              <w:rPr>
                <w:rFonts w:hint="eastAsia" w:ascii="宋体" w:hAnsi="宋体" w:cs="Segoe UI Symbol"/>
                <w:color w:val="FF0000"/>
                <w:kern w:val="0"/>
                <w:szCs w:val="21"/>
                <w:u w:val="single"/>
              </w:rPr>
              <w:t>／</w:t>
            </w:r>
            <w:r>
              <w:rPr>
                <w:rFonts w:ascii="宋体" w:hAnsi="宋体" w:cs="Segoe UI Symbol"/>
                <w:color w:val="FF0000"/>
                <w:kern w:val="0"/>
                <w:szCs w:val="21"/>
                <w:u w:val="single"/>
              </w:rPr>
              <w:t xml:space="preserve">       </w:t>
            </w:r>
          </w:p>
          <w:p>
            <w:pPr>
              <w:autoSpaceDE w:val="0"/>
              <w:autoSpaceDN w:val="0"/>
              <w:adjustRightInd w:val="0"/>
              <w:snapToGrid w:val="0"/>
              <w:ind w:left="819" w:leftChars="390" w:firstLine="1"/>
              <w:jc w:val="left"/>
              <w:rPr>
                <w:rFonts w:ascii="宋体" w:hAnsi="宋体" w:cs="Segoe UI Symbol"/>
                <w:color w:val="FF0000"/>
                <w:kern w:val="0"/>
                <w:szCs w:val="21"/>
                <w:u w:val="single"/>
              </w:rPr>
            </w:pPr>
            <w:r>
              <w:rPr>
                <w:rFonts w:hint="eastAsia" w:ascii="宋体" w:hAnsi="宋体" w:cs="Segoe UI Symbol"/>
                <w:color w:val="FF0000"/>
                <w:kern w:val="0"/>
                <w:szCs w:val="21"/>
              </w:rPr>
              <w:t>银行账号</w:t>
            </w:r>
            <w:r>
              <w:rPr>
                <w:rFonts w:ascii="宋体" w:hAnsi="宋体" w:cs="Segoe UI Symbol"/>
                <w:color w:val="FF0000"/>
                <w:kern w:val="0"/>
                <w:szCs w:val="21"/>
              </w:rPr>
              <w:t>：</w:t>
            </w:r>
            <w:r>
              <w:rPr>
                <w:rFonts w:ascii="宋体" w:hAnsi="宋体" w:cs="Segoe UI Symbol"/>
                <w:color w:val="FF0000"/>
                <w:kern w:val="0"/>
                <w:szCs w:val="21"/>
                <w:u w:val="single"/>
              </w:rPr>
              <w:t xml:space="preserve">     </w:t>
            </w:r>
            <w:r>
              <w:rPr>
                <w:rFonts w:hint="eastAsia" w:ascii="宋体" w:hAnsi="宋体" w:cs="Segoe UI Symbol"/>
                <w:color w:val="FF0000"/>
                <w:kern w:val="0"/>
                <w:szCs w:val="21"/>
                <w:u w:val="single"/>
              </w:rPr>
              <w:t>／</w:t>
            </w:r>
            <w:r>
              <w:rPr>
                <w:rFonts w:ascii="宋体" w:hAnsi="宋体" w:cs="Segoe UI Symbol"/>
                <w:color w:val="FF0000"/>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FF0000"/>
                <w:kern w:val="0"/>
                <w:szCs w:val="21"/>
              </w:rPr>
              <w:t>履约保证金的</w:t>
            </w:r>
            <w:r>
              <w:rPr>
                <w:rFonts w:ascii="宋体" w:hAnsi="宋体" w:eastAsia="宋体" w:cs="Segoe UI Symbol"/>
                <w:color w:val="FF0000"/>
                <w:kern w:val="0"/>
                <w:szCs w:val="21"/>
              </w:rPr>
              <w:t>形式</w:t>
            </w:r>
            <w:r>
              <w:rPr>
                <w:rFonts w:hint="eastAsia" w:ascii="宋体" w:hAnsi="宋体" w:eastAsia="宋体" w:cs="Segoe UI Symbol"/>
                <w:color w:val="FF0000"/>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rPr>
            </w:pPr>
            <w:r>
              <w:rPr>
                <w:rFonts w:ascii="宋体" w:hAnsi="宋体" w:cs="Segoe UI Symbol"/>
                <w:kern w:val="0"/>
                <w:szCs w:val="21"/>
              </w:rPr>
              <w:sym w:font="Wingdings 2" w:char="0052"/>
            </w:r>
            <w:r>
              <w:rPr>
                <w:rFonts w:hint="eastAsia" w:ascii="宋体" w:hAnsi="宋体"/>
                <w:color w:val="FF0000"/>
                <w:szCs w:val="21"/>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6" w:name="_Toc82685543"/>
      <w:bookmarkEnd w:id="6"/>
      <w:bookmarkStart w:id="7" w:name="_Toc82591927"/>
      <w:bookmarkEnd w:id="7"/>
      <w:bookmarkStart w:id="8" w:name="_Toc82684706"/>
      <w:bookmarkEnd w:id="8"/>
      <w:bookmarkStart w:id="9" w:name="_Toc82684703"/>
      <w:bookmarkEnd w:id="9"/>
      <w:bookmarkStart w:id="10" w:name="_Toc82684588"/>
      <w:bookmarkEnd w:id="10"/>
      <w:bookmarkStart w:id="11" w:name="_Toc82685540"/>
      <w:bookmarkEnd w:id="11"/>
      <w:bookmarkStart w:id="12" w:name="_Toc82685542"/>
      <w:bookmarkEnd w:id="12"/>
      <w:bookmarkStart w:id="13" w:name="_Toc82591926"/>
      <w:bookmarkEnd w:id="13"/>
      <w:bookmarkStart w:id="14" w:name="_Toc82684590"/>
      <w:bookmarkEnd w:id="14"/>
      <w:bookmarkStart w:id="15" w:name="_Toc82685541"/>
      <w:bookmarkEnd w:id="15"/>
      <w:bookmarkStart w:id="16" w:name="_Toc82591925"/>
      <w:bookmarkEnd w:id="16"/>
      <w:bookmarkStart w:id="17" w:name="_Toc82684705"/>
      <w:bookmarkEnd w:id="17"/>
      <w:bookmarkStart w:id="18" w:name="_Toc82684704"/>
      <w:bookmarkEnd w:id="18"/>
      <w:bookmarkStart w:id="19" w:name="_Toc82684589"/>
      <w:bookmarkEnd w:id="19"/>
      <w:bookmarkStart w:id="20" w:name="_Toc82591928"/>
      <w:bookmarkEnd w:id="20"/>
      <w:bookmarkStart w:id="21" w:name="_Toc82684591"/>
      <w:bookmarkEnd w:id="21"/>
      <w:bookmarkStart w:id="22" w:name="_Toc10679125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yellow"/>
        </w:rPr>
        <w:t>地址</w:t>
      </w:r>
      <w:r>
        <w:rPr>
          <w:rFonts w:hint="eastAsia" w:ascii="宋体" w:hAnsi="宋体" w:eastAsia="宋体" w:cs="宋体"/>
          <w:szCs w:val="21"/>
        </w:rPr>
        <w:t>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2"/>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6"/>
      <w:bookmarkEnd w:id="26"/>
      <w:bookmarkStart w:id="27" w:name="_Toc82591988"/>
      <w:bookmarkEnd w:id="27"/>
      <w:bookmarkStart w:id="28" w:name="_Toc82684593"/>
      <w:bookmarkEnd w:id="28"/>
      <w:bookmarkStart w:id="29" w:name="_Toc82591985"/>
      <w:bookmarkEnd w:id="29"/>
      <w:bookmarkStart w:id="30" w:name="_Toc82685545"/>
      <w:bookmarkEnd w:id="30"/>
      <w:bookmarkStart w:id="31" w:name="_Toc82591930"/>
      <w:bookmarkEnd w:id="31"/>
      <w:bookmarkStart w:id="32" w:name="_Toc82591989"/>
      <w:bookmarkEnd w:id="32"/>
      <w:bookmarkStart w:id="33" w:name="_Toc82684708"/>
      <w:bookmarkEnd w:id="33"/>
      <w:bookmarkStart w:id="34" w:name="_Toc82591987"/>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 xml:space="preserve">履约情况及社会信誉承诺书 </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（1）</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rPr>
                <w:rFonts w:ascii="宋体" w:hAnsi="宋体" w:cs="宋体"/>
                <w:szCs w:val="21"/>
              </w:rPr>
            </w:pPr>
            <w:r>
              <w:rPr>
                <w:rFonts w:hint="eastAsia" w:ascii="宋体" w:hAnsi="宋体" w:cs="宋体"/>
                <w:szCs w:val="21"/>
              </w:rPr>
              <w:t>（2）投标人经营范围内需包含广告业务、展览展示、设计及建筑工程等其中一项；其生产或销售的产品符合中华人民共和国的设计和制造生产或行业标准。</w:t>
            </w:r>
          </w:p>
          <w:p>
            <w:pPr>
              <w:numPr>
                <w:ilvl w:val="255"/>
                <w:numId w:val="0"/>
              </w:numPr>
              <w:tabs>
                <w:tab w:val="left" w:pos="531"/>
              </w:tabs>
              <w:snapToGrid w:val="0"/>
              <w:rPr>
                <w:rFonts w:ascii="宋体" w:hAnsi="宋体" w:cs="宋体"/>
                <w:szCs w:val="21"/>
              </w:rPr>
            </w:pPr>
            <w:r>
              <w:rPr>
                <w:rFonts w:hint="eastAsia" w:ascii="宋体" w:hAnsi="宋体" w:cs="宋体"/>
                <w:szCs w:val="21"/>
              </w:rPr>
              <w:t>（3）</w:t>
            </w: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255"/>
                <w:numId w:val="0"/>
              </w:numPr>
              <w:tabs>
                <w:tab w:val="left" w:pos="531"/>
              </w:tabs>
              <w:snapToGrid w:val="0"/>
              <w:rPr>
                <w:rFonts w:ascii="宋体" w:hAnsi="宋体" w:cs="宋体"/>
                <w:szCs w:val="21"/>
              </w:rPr>
            </w:pPr>
            <w:r>
              <w:rPr>
                <w:rFonts w:hint="eastAsia" w:ascii="宋体" w:hAnsi="宋体" w:cs="宋体"/>
                <w:szCs w:val="21"/>
              </w:rPr>
              <w:t>（4）投标人必须在深圳设有长期的服务机构，拥有稳定的服务保障和技术支持队伍，保证实施的服务质量和快速的服务响应时间。（提供投标单位生产厂房的租赁合同及相关证明材料）</w:t>
            </w:r>
          </w:p>
          <w:p>
            <w:pPr>
              <w:numPr>
                <w:ilvl w:val="255"/>
                <w:numId w:val="0"/>
              </w:numPr>
              <w:tabs>
                <w:tab w:val="left" w:pos="531"/>
              </w:tabs>
              <w:snapToGrid w:val="0"/>
              <w:rPr>
                <w:rFonts w:ascii="宋体" w:hAnsi="宋体" w:cs="宋体"/>
                <w:szCs w:val="21"/>
              </w:rPr>
            </w:pPr>
            <w:r>
              <w:rPr>
                <w:rFonts w:hint="eastAsia" w:ascii="宋体" w:hAnsi="宋体" w:cs="宋体"/>
                <w:szCs w:val="21"/>
              </w:rPr>
              <w:t>（5）本项目不接受联合体投标，严禁转包或非法分包。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报价以人民币为结算币种，报价应包含税率、税前及税后的单价和总价。</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投标报价不得出现可选择性的报价,含有备选方案的报价将导致废标。</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投标报价包括但不限于新灯箱的材料费、制作费、包装费、运输费、安装费、调试费、售后服务费，旧灯箱拆除及处理费用、保险费、安全措施费、人工费、税费等完成本项目所需的全部费用。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本项目采购控制金额为人民币43万元（含税），报价超过上述控制金额的投标文件作废标处理。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szCs w:val="21"/>
              </w:rPr>
              <w:t>（1）本项目施工完毕且验收合格后，一次性支付合同总金额的97%。</w:t>
            </w:r>
          </w:p>
          <w:p>
            <w:pPr>
              <w:tabs>
                <w:tab w:val="left" w:pos="531"/>
              </w:tabs>
              <w:snapToGrid w:val="0"/>
              <w:rPr>
                <w:rFonts w:ascii="宋体" w:hAnsi="宋体" w:cs="宋体"/>
                <w:szCs w:val="21"/>
              </w:rPr>
            </w:pPr>
            <w:r>
              <w:rPr>
                <w:rFonts w:hint="eastAsia" w:ascii="宋体" w:hAnsi="宋体" w:cs="宋体"/>
                <w:szCs w:val="21"/>
              </w:rPr>
              <w:t>（2）合同总金额的3%款项留作质保金，待质保期满、无质量和遗留问题，且完成罚金、违约金等清算后，一次性支付剩余款项（不计利息）。</w:t>
            </w:r>
          </w:p>
          <w:p>
            <w:pPr>
              <w:tabs>
                <w:tab w:val="left" w:pos="531"/>
              </w:tabs>
              <w:snapToGrid w:val="0"/>
              <w:rPr>
                <w:rFonts w:ascii="宋体" w:hAnsi="宋体" w:cs="宋体"/>
                <w:szCs w:val="21"/>
              </w:rPr>
            </w:pPr>
            <w:r>
              <w:rPr>
                <w:rFonts w:hint="eastAsia" w:ascii="宋体" w:hAnsi="宋体" w:cs="宋体"/>
                <w:szCs w:val="21"/>
              </w:rPr>
              <w:t>（3）详细付款事宜以合同条款为准。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项目完成时间</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ascii="宋体" w:eastAsia="宋体" w:cs="宋体"/>
                <w:szCs w:val="21"/>
                <w:highlight w:val="yellow"/>
              </w:rPr>
            </w:pPr>
            <w:r>
              <w:rPr>
                <w:rFonts w:hint="eastAsia" w:ascii="宋体" w:eastAsia="宋体" w:cs="宋体"/>
                <w:szCs w:val="21"/>
              </w:rPr>
              <w:t>双方签定合同后，由招标人在150日历日之内指定中标单位进场作业日期。接到招标人进场作业日期指令后， 中标单位应于进场作业日期开始30个日历日之内完成旧灯箱拆除、新灯箱制作及安装，安装完工后一周内完成验收。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yellow"/>
              </w:rPr>
            </w:pPr>
            <w:r>
              <w:rPr>
                <w:rFonts w:hint="eastAsia" w:ascii="宋体" w:hAnsi="宋体" w:cs="宋体"/>
                <w:szCs w:val="21"/>
              </w:rPr>
              <w:t>工程位置</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highlight w:val="yellow"/>
              </w:rPr>
            </w:pPr>
            <w:r>
              <w:rPr>
                <w:rFonts w:hint="eastAsia" w:ascii="宋体" w:hAnsi="宋体" w:cs="宋体"/>
                <w:szCs w:val="21"/>
              </w:rPr>
              <w:t>深圳会展中心一楼贵宾电梯旁、二楼服务区及负一楼地下停车场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yellow"/>
              </w:rPr>
            </w:pPr>
            <w:r>
              <w:rPr>
                <w:rFonts w:hint="eastAsia" w:ascii="宋体" w:hAnsi="宋体" w:cs="宋体"/>
                <w:szCs w:val="21"/>
              </w:rPr>
              <w:t>工程概述</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szCs w:val="21"/>
              </w:rPr>
              <w:t>会展中心现有拉布式广告灯箱23个，分别为：一、二楼小号灯箱8个，二楼服务区中号灯箱8个、大号灯箱4个，地下停车场小号灯箱2个、大号灯箱1个。现决定对所有灯箱进行改造，即撤除并替换全部现有23个灯箱（其中，地下停车场2个小号灯箱合并改造为1个大号灯箱），并在2楼服务区东西两侧墙体增加8个中号灯箱，共计31个灯箱。所有灯箱款式均为卡布式。</w:t>
            </w:r>
          </w:p>
          <w:p>
            <w:pPr>
              <w:pStyle w:val="2"/>
              <w:snapToGrid w:val="0"/>
              <w:ind w:left="0"/>
              <w:rPr>
                <w:rFonts w:hint="eastAsia" w:ascii="宋体" w:hAnsi="宋体" w:cs="宋体"/>
                <w:szCs w:val="21"/>
                <w:highlight w:val="yellow"/>
              </w:rPr>
            </w:pPr>
            <w:r>
              <w:rPr>
                <w:rFonts w:hint="eastAsia"/>
              </w:rPr>
              <w:t>拆除的23个旧灯箱产权归招标人所有，由中标单位负责放置于招标人指定位置。</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灯箱整体 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28"/>
              </w:tabs>
              <w:snapToGrid w:val="0"/>
              <w:ind w:left="-38" w:leftChars="-18" w:firstLine="101"/>
              <w:rPr>
                <w:rFonts w:ascii="宋体" w:hAnsi="宋体" w:cs="宋体"/>
                <w:szCs w:val="21"/>
              </w:rPr>
            </w:pPr>
            <w:r>
              <w:rPr>
                <w:rFonts w:hint="eastAsia" w:ascii="宋体" w:hAnsi="宋体" w:cs="宋体"/>
                <w:szCs w:val="21"/>
              </w:rPr>
              <w:t>灯箱应耐潮、耐腐蚀、防静电吸尘，电子元器件均为工业使用等级类，所有金属构件、配件均按照相关规定进行防锈、防腐蚀等处理，且所有材料必须符合国家防火要求，达到B1级以上。</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灯箱款式：卡布式。</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工作时间：12小时/天，每周七天连续工作。</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灯箱平均光照度不低于3000 LUX。</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灯箱光照均匀度不低于85%</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LED光源色温在9000±500K范围内</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灯箱功耗不超过96w/平方米</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灯箱工作电压为12V</w:t>
            </w:r>
          </w:p>
          <w:p>
            <w:pPr>
              <w:numPr>
                <w:ilvl w:val="0"/>
                <w:numId w:val="11"/>
              </w:numPr>
              <w:tabs>
                <w:tab w:val="left" w:pos="531"/>
                <w:tab w:val="left" w:pos="669"/>
              </w:tabs>
              <w:snapToGrid w:val="0"/>
              <w:ind w:left="-40" w:leftChars="-19" w:firstLine="37" w:firstLineChars="18"/>
              <w:rPr>
                <w:rFonts w:ascii="宋体" w:hAnsi="宋体" w:cs="宋体"/>
                <w:szCs w:val="21"/>
              </w:rPr>
            </w:pPr>
            <w:r>
              <w:rPr>
                <w:rFonts w:hint="eastAsia" w:ascii="宋体" w:hAnsi="宋体" w:cs="宋体"/>
                <w:szCs w:val="21"/>
              </w:rPr>
              <w:t>灯箱效果：亮度均匀柔和，无斑马纹，无眩光，不伤眼睛，画面清晰。</w:t>
            </w:r>
          </w:p>
          <w:p>
            <w:pPr>
              <w:numPr>
                <w:ilvl w:val="0"/>
                <w:numId w:val="11"/>
              </w:numPr>
              <w:snapToGrid w:val="0"/>
              <w:ind w:left="-40" w:leftChars="-19" w:firstLine="37" w:firstLineChars="18"/>
              <w:rPr>
                <w:rFonts w:ascii="宋体" w:hAnsi="宋体" w:cs="宋体"/>
                <w:szCs w:val="21"/>
              </w:rPr>
            </w:pPr>
            <w:r>
              <w:rPr>
                <w:rFonts w:hint="eastAsia" w:ascii="宋体" w:hAnsi="宋体" w:cs="宋体"/>
                <w:szCs w:val="21"/>
              </w:rPr>
              <w:t>灯箱配有定时装置、电源短路及漏电保护器，确保灯箱用电安全。</w:t>
            </w:r>
          </w:p>
          <w:p>
            <w:pPr>
              <w:pStyle w:val="2"/>
              <w:numPr>
                <w:ilvl w:val="0"/>
                <w:numId w:val="11"/>
              </w:numPr>
              <w:snapToGrid w:val="0"/>
              <w:ind w:left="-40" w:leftChars="-19" w:firstLine="34" w:firstLineChars="18"/>
              <w:rPr>
                <w:rFonts w:hint="eastAsia" w:ascii="宋体" w:hAnsi="宋体" w:cs="宋体"/>
                <w:szCs w:val="21"/>
              </w:rPr>
            </w:pPr>
            <w:r>
              <w:rPr>
                <w:rFonts w:hint="eastAsia"/>
              </w:rPr>
              <w:t>（11）招标人负责将灯箱所需电源线缆接入至灯箱安装位置，中标单位负责灯箱内部电源与外部接入电源的接驳。</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立式大灯箱（底座+卡布式灯箱）</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numPr>
                <w:ilvl w:val="0"/>
                <w:numId w:val="12"/>
              </w:numPr>
              <w:tabs>
                <w:tab w:val="left" w:pos="531"/>
              </w:tabs>
              <w:snapToGrid w:val="0"/>
              <w:ind w:firstLineChars="0"/>
              <w:rPr>
                <w:rFonts w:ascii="宋体" w:hAnsi="宋体" w:eastAsia="宋体" w:cs="宋体"/>
                <w:szCs w:val="21"/>
              </w:rPr>
            </w:pPr>
            <w:r>
              <w:rPr>
                <w:rFonts w:hint="eastAsia" w:ascii="宋体" w:hAnsi="宋体" w:eastAsia="宋体" w:cs="宋体"/>
                <w:szCs w:val="21"/>
              </w:rPr>
              <w:t>底座</w:t>
            </w:r>
          </w:p>
          <w:p>
            <w:pPr>
              <w:numPr>
                <w:ilvl w:val="0"/>
                <w:numId w:val="13"/>
              </w:numPr>
              <w:tabs>
                <w:tab w:val="left" w:pos="528"/>
              </w:tabs>
              <w:snapToGrid w:val="0"/>
              <w:ind w:left="0" w:leftChars="-100" w:hanging="210" w:hangingChars="100"/>
              <w:rPr>
                <w:rFonts w:ascii="宋体" w:hAnsi="宋体" w:cs="宋体"/>
                <w:szCs w:val="21"/>
              </w:rPr>
            </w:pPr>
            <w:r>
              <w:rPr>
                <w:rFonts w:hint="eastAsia" w:ascii="宋体" w:hAnsi="宋体" w:cs="宋体"/>
                <w:szCs w:val="21"/>
              </w:rPr>
              <w:t>外形尺寸：背板支撑5400*4200*250mm，梯形座5400*850*300mm。</w:t>
            </w:r>
          </w:p>
          <w:p>
            <w:pPr>
              <w:numPr>
                <w:ilvl w:val="0"/>
                <w:numId w:val="13"/>
              </w:numPr>
              <w:tabs>
                <w:tab w:val="left" w:pos="528"/>
              </w:tabs>
              <w:snapToGrid w:val="0"/>
              <w:ind w:left="0" w:leftChars="-100" w:hanging="210" w:hangingChars="100"/>
              <w:rPr>
                <w:rFonts w:ascii="宋体" w:hAnsi="宋体" w:cs="宋体"/>
                <w:szCs w:val="21"/>
              </w:rPr>
            </w:pPr>
            <w:r>
              <w:rPr>
                <w:rFonts w:hint="eastAsia" w:ascii="宋体" w:hAnsi="宋体" w:cs="宋体"/>
                <w:szCs w:val="21"/>
              </w:rPr>
              <w:t>主体材质：外部1.2mm厚度镀锌板折弯焊接打磨，灰色烤漆；内部20*40镀锌方通铁架支撑，另加配重。</w:t>
            </w:r>
          </w:p>
          <w:p>
            <w:pPr>
              <w:numPr>
                <w:ilvl w:val="0"/>
                <w:numId w:val="13"/>
              </w:numPr>
              <w:tabs>
                <w:tab w:val="left" w:pos="528"/>
              </w:tabs>
              <w:snapToGrid w:val="0"/>
              <w:ind w:left="0" w:leftChars="-100" w:hanging="210" w:hangingChars="100"/>
              <w:rPr>
                <w:rFonts w:ascii="宋体" w:hAnsi="宋体" w:cs="宋体"/>
                <w:szCs w:val="21"/>
              </w:rPr>
            </w:pPr>
            <w:r>
              <w:rPr>
                <w:rFonts w:hint="eastAsia" w:ascii="宋体" w:hAnsi="宋体" w:cs="宋体"/>
                <w:szCs w:val="21"/>
              </w:rPr>
              <w:t>安全要求：要求稳定性好，灯箱底座不易移动，不易倒塌。</w:t>
            </w:r>
          </w:p>
          <w:p>
            <w:pPr>
              <w:pStyle w:val="22"/>
              <w:numPr>
                <w:ilvl w:val="0"/>
                <w:numId w:val="12"/>
              </w:numPr>
              <w:tabs>
                <w:tab w:val="left" w:pos="531"/>
              </w:tabs>
              <w:snapToGrid w:val="0"/>
              <w:ind w:firstLineChars="0"/>
              <w:rPr>
                <w:rFonts w:ascii="宋体" w:hAnsi="宋体" w:eastAsia="宋体" w:cs="宋体"/>
                <w:szCs w:val="21"/>
              </w:rPr>
            </w:pPr>
            <w:r>
              <w:rPr>
                <w:rFonts w:hint="eastAsia" w:ascii="宋体" w:hAnsi="宋体" w:eastAsia="宋体" w:cs="宋体"/>
                <w:szCs w:val="21"/>
              </w:rPr>
              <w:t>灯箱</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灯箱主体框架：灯箱外框采用加强优质铝合金（6063-T5)，材料壁厚1.5mm，双层结构，边框厚度100mm。45度拼角裁切打磨光滑，不挂手，拼合无明显缝隙。</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灯箱颜色：灰色</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光源要求：LED光源采用透镜漫反射灯条，芯片采用台湾晶源（或同等级）芯片，满足高效、节能、环保等要求。LED芯片为1.2W功率芯片，灯距不得大于150mm，每平方不得少于120颗灯珠。</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光源标准：光源使用寿命不低于 5 万小时，工作1000 小时的光衰应小于等于 1%，工作 10000 小时的光衰应小于等于 5%。当环境温度为40℃， LED 照明装置额定工况下，且温升稳定后，LED 芯片散热板表面温度不得高于45℃，LED 芯片 PN 结温度不高于85℃。</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光源排布间距：标准卡座式间距160mm/每条LED，灯条外带散热铝槽。背后悬空，保证灯条散热效果以及使用寿命。</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电源：采用卡布灯箱专用内置12V低压电源，电线采用耐火的低烟无卤、A级阻燃RV电子线，满足灯箱负载需求。</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内部铺设布局：灯箱内部光源分布、电气元件及线路布置合理，正常使用过程中不变形、不脱落，灯箱内线路铺设连接均为公母插连接。</w:t>
            </w:r>
          </w:p>
          <w:p>
            <w:pPr>
              <w:numPr>
                <w:ilvl w:val="0"/>
                <w:numId w:val="14"/>
              </w:numPr>
              <w:tabs>
                <w:tab w:val="left" w:pos="386"/>
              </w:tabs>
              <w:snapToGrid w:val="0"/>
              <w:ind w:left="-39" w:leftChars="-86" w:hanging="142"/>
              <w:rPr>
                <w:rFonts w:ascii="宋体" w:hAnsi="宋体" w:cs="宋体"/>
                <w:szCs w:val="21"/>
              </w:rPr>
            </w:pPr>
            <w:r>
              <w:rPr>
                <w:rFonts w:hint="eastAsia" w:ascii="宋体" w:hAnsi="宋体" w:cs="宋体"/>
                <w:szCs w:val="21"/>
              </w:rPr>
              <w:t>背板：采用3mm阻燃铝塑板加支撑结构。</w:t>
            </w:r>
          </w:p>
          <w:p>
            <w:pPr>
              <w:numPr>
                <w:ilvl w:val="0"/>
                <w:numId w:val="14"/>
              </w:numPr>
              <w:tabs>
                <w:tab w:val="left" w:pos="386"/>
              </w:tabs>
              <w:snapToGrid w:val="0"/>
              <w:ind w:left="-181" w:leftChars="-86"/>
              <w:rPr>
                <w:rFonts w:ascii="宋体" w:hAnsi="宋体" w:cs="宋体"/>
                <w:szCs w:val="21"/>
              </w:rPr>
            </w:pPr>
            <w:r>
              <w:rPr>
                <w:rFonts w:hint="eastAsia" w:ascii="宋体" w:hAnsi="宋体" w:cs="宋体"/>
                <w:szCs w:val="21"/>
              </w:rPr>
              <w:t>画面制作及安装方式：画面四边缝制软胶条，卡入灯箱四边卡槽。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卡布灯箱</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灯箱主体框架：灯箱外框采用加强优质铝合金（6063-T5)，材料壁厚1.5mm,双层结构，边框厚度100mm。45度拼角裁切打磨光滑，不挂手，拼合无明显缝隙。</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灯箱颜色：银白</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光源要求：LED光源采用透镜漫反射灯条，芯片采用台湾晶源（或同等级）芯片，满足高效、节能、环保等要求。LED芯片为1.2W功率芯片，灯距不得大于150mm，每平方不得少于120颗灯珠。</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光源标准：光源使用寿命不低于 5 万小时，工作1000 小时的光衰应小于等于 1%，工作 10000 小时的光衰应小于等于 5%。当环境温度为40℃， LED 照明装置额定工况下，且温升稳定后，LED 芯片散热板表面温度不得高于45℃，LED 芯片 PN 结温度不高于85℃。</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光源排布间距：标准卡座式间距160mm/每条LED，灯条外带散热铝槽。背后悬空，保证灯条散热效果以及使用寿命。</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电源：采用卡布灯箱专用内置12V低压电源，电线采用耐火的低烟无卤、A级阻燃RV电子线，满足灯箱负载需求。</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内部铺设布局：灯箱内部光源分布、电气元件及线路布置合理，正常使用过程中不变形、不脱落，灯箱内线路铺设连接均为公母插连接。</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背板：采用3mm阻燃铝塑板加支撑结构。</w:t>
            </w:r>
          </w:p>
          <w:p>
            <w:pPr>
              <w:pStyle w:val="22"/>
              <w:widowControl/>
              <w:numPr>
                <w:ilvl w:val="0"/>
                <w:numId w:val="15"/>
              </w:numPr>
              <w:tabs>
                <w:tab w:val="left" w:pos="386"/>
              </w:tabs>
              <w:snapToGrid w:val="0"/>
              <w:ind w:left="-179" w:leftChars="-105" w:hanging="41" w:firstLineChars="0"/>
              <w:jc w:val="left"/>
              <w:rPr>
                <w:rFonts w:ascii="宋体" w:hAnsi="宋体" w:eastAsia="宋体" w:cs="宋体"/>
                <w:szCs w:val="21"/>
              </w:rPr>
            </w:pPr>
            <w:r>
              <w:rPr>
                <w:rFonts w:hint="eastAsia" w:ascii="宋体" w:hAnsi="宋体" w:eastAsia="宋体" w:cs="宋体"/>
                <w:szCs w:val="21"/>
              </w:rPr>
              <w:t>画面制作及安装方式：画面四边缝制软胶条，卡入灯箱四边卡槽。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widowControl/>
              <w:numPr>
                <w:ilvl w:val="0"/>
                <w:numId w:val="16"/>
              </w:numPr>
              <w:tabs>
                <w:tab w:val="left" w:pos="248"/>
              </w:tabs>
              <w:snapToGrid w:val="0"/>
              <w:ind w:left="-317" w:leftChars="-151" w:firstLine="140" w:firstLineChars="0"/>
              <w:jc w:val="left"/>
              <w:rPr>
                <w:rFonts w:ascii="宋体" w:hAnsi="宋体" w:eastAsia="宋体" w:cs="宋体"/>
                <w:szCs w:val="21"/>
              </w:rPr>
            </w:pPr>
            <w:r>
              <w:rPr>
                <w:rFonts w:hint="eastAsia" w:ascii="宋体" w:hAnsi="宋体" w:eastAsia="宋体" w:cs="宋体"/>
                <w:szCs w:val="21"/>
              </w:rPr>
              <w:t>工程全部完工后，中标单位应及时提出书面验收申请，由招标人组织相关部门进行现场验收。</w:t>
            </w:r>
          </w:p>
          <w:p>
            <w:pPr>
              <w:pStyle w:val="22"/>
              <w:widowControl/>
              <w:numPr>
                <w:ilvl w:val="0"/>
                <w:numId w:val="16"/>
              </w:numPr>
              <w:tabs>
                <w:tab w:val="left" w:pos="248"/>
              </w:tabs>
              <w:snapToGrid w:val="0"/>
              <w:ind w:left="-317" w:leftChars="-151" w:firstLine="140" w:firstLineChars="0"/>
              <w:jc w:val="left"/>
              <w:rPr>
                <w:rFonts w:ascii="宋体" w:hAnsi="宋体" w:eastAsia="宋体" w:cs="宋体"/>
                <w:szCs w:val="21"/>
              </w:rPr>
            </w:pPr>
            <w:r>
              <w:rPr>
                <w:rFonts w:hint="eastAsia" w:ascii="宋体" w:hAnsi="宋体" w:eastAsia="宋体" w:cs="宋体"/>
                <w:szCs w:val="21"/>
              </w:rPr>
              <w:t>根据国家或工程属地及行业相关规范和标准进行验收。</w:t>
            </w:r>
          </w:p>
          <w:p>
            <w:pPr>
              <w:pStyle w:val="22"/>
              <w:widowControl/>
              <w:numPr>
                <w:ilvl w:val="0"/>
                <w:numId w:val="16"/>
              </w:numPr>
              <w:tabs>
                <w:tab w:val="left" w:pos="248"/>
              </w:tabs>
              <w:snapToGrid w:val="0"/>
              <w:ind w:left="-317" w:leftChars="-151" w:firstLine="140" w:firstLineChars="0"/>
              <w:jc w:val="left"/>
              <w:rPr>
                <w:rFonts w:ascii="宋体" w:hAnsi="宋体" w:eastAsia="宋体" w:cs="宋体"/>
                <w:szCs w:val="21"/>
              </w:rPr>
            </w:pPr>
            <w:r>
              <w:rPr>
                <w:rFonts w:hint="eastAsia" w:ascii="宋体" w:hAnsi="宋体" w:eastAsia="宋体" w:cs="宋体"/>
                <w:szCs w:val="21"/>
              </w:rPr>
              <w:t>中标单位需确保使用材质的真实性，招标人有权委托第三方对所使用的材料进行抽样送检。如检测材质符合本项目要求，送检费用由招标人支付；如检测材质不符合本项目要求，送检费用由中标单位支付，中标单位需无条件进行更换或返工，并重新提交验收申请。</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工程质保服务承诺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widowControl/>
              <w:numPr>
                <w:ilvl w:val="0"/>
                <w:numId w:val="17"/>
              </w:numPr>
              <w:tabs>
                <w:tab w:val="left" w:pos="390"/>
              </w:tabs>
              <w:snapToGrid w:val="0"/>
              <w:ind w:left="0" w:leftChars="-84" w:hanging="176" w:firstLineChars="0"/>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《质量保修服务承诺书》包括但不仅限于质保期年限承诺、质保期内及期满后出现质量问题的服务承诺、响应时限等内容。</w:t>
            </w:r>
          </w:p>
          <w:p>
            <w:pPr>
              <w:pStyle w:val="22"/>
              <w:widowControl/>
              <w:numPr>
                <w:ilvl w:val="0"/>
                <w:numId w:val="17"/>
              </w:numPr>
              <w:tabs>
                <w:tab w:val="left" w:pos="390"/>
              </w:tabs>
              <w:snapToGrid w:val="0"/>
              <w:ind w:left="0" w:leftChars="-84" w:hanging="176" w:firstLineChars="0"/>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本项目整体结构质保5年，光源及电源质保2年。期间因工程施工或使用材料本身质量问题造成的损坏应由中标单位及时免费维修更换。</w:t>
            </w:r>
          </w:p>
          <w:p>
            <w:pPr>
              <w:pStyle w:val="22"/>
              <w:widowControl/>
              <w:numPr>
                <w:ilvl w:val="0"/>
                <w:numId w:val="17"/>
              </w:numPr>
              <w:tabs>
                <w:tab w:val="left" w:pos="390"/>
              </w:tabs>
              <w:snapToGrid w:val="0"/>
              <w:ind w:left="0" w:leftChars="-84" w:hanging="176" w:firstLineChars="0"/>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前款为最低保修期要求，最终以《质量保修服务承诺书》中提交的质保年限承诺为准。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 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jc w:val="left"/>
              <w:rPr>
                <w:rFonts w:ascii="宋体" w:hAnsi="宋体" w:cs="宋体"/>
                <w:szCs w:val="21"/>
              </w:rPr>
            </w:pPr>
            <w:r>
              <w:rPr>
                <w:rFonts w:hint="eastAsia" w:ascii="宋体" w:hAnsi="宋体" w:cs="宋体"/>
                <w:szCs w:val="21"/>
              </w:rPr>
              <w:t>质保期间免费提供光源、电源线、电源等元件，灯箱出现故障后2小时内响应，48小时内完成修复。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37" w:name="_Toc82684600"/>
      <w:bookmarkEnd w:id="37"/>
      <w:bookmarkStart w:id="38" w:name="_Toc82684715"/>
      <w:bookmarkEnd w:id="38"/>
      <w:bookmarkStart w:id="39" w:name="_Toc82591996"/>
      <w:bookmarkEnd w:id="39"/>
      <w:bookmarkStart w:id="40" w:name="_Toc82685552"/>
      <w:bookmarkEnd w:id="40"/>
      <w:bookmarkStart w:id="41" w:name="_Toc106791257"/>
      <w:r>
        <w:rPr>
          <w:rFonts w:hint="eastAsia" w:ascii="宋体" w:hAnsi="宋体"/>
          <w:b/>
          <w:szCs w:val="21"/>
        </w:rPr>
        <w:t>其他项目说明资料</w:t>
      </w:r>
      <w:bookmarkEnd w:id="41"/>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pPr>
      <w:r>
        <w:rPr>
          <w:rFonts w:hint="eastAsia"/>
        </w:rPr>
        <w:t>工程量清单</w:t>
      </w:r>
    </w:p>
    <w:tbl>
      <w:tblPr>
        <w:tblStyle w:val="14"/>
        <w:tblpPr w:leftFromText="180" w:rightFromText="180" w:vertAnchor="text" w:horzAnchor="page" w:tblpX="1650" w:tblpY="130"/>
        <w:tblOverlap w:val="never"/>
        <w:tblW w:w="8805" w:type="dxa"/>
        <w:tblInd w:w="0" w:type="dxa"/>
        <w:tblLayout w:type="autofit"/>
        <w:tblCellMar>
          <w:top w:w="0" w:type="dxa"/>
          <w:left w:w="108" w:type="dxa"/>
          <w:bottom w:w="0" w:type="dxa"/>
          <w:right w:w="108" w:type="dxa"/>
        </w:tblCellMar>
      </w:tblPr>
      <w:tblGrid>
        <w:gridCol w:w="757"/>
        <w:gridCol w:w="3369"/>
        <w:gridCol w:w="1673"/>
        <w:gridCol w:w="757"/>
        <w:gridCol w:w="2249"/>
      </w:tblGrid>
      <w:tr>
        <w:tblPrEx>
          <w:tblCellMar>
            <w:top w:w="0" w:type="dxa"/>
            <w:left w:w="108" w:type="dxa"/>
            <w:bottom w:w="0" w:type="dxa"/>
            <w:right w:w="108" w:type="dxa"/>
          </w:tblCellMar>
        </w:tblPrEx>
        <w:trPr>
          <w:trHeight w:val="450" w:hRule="atLeast"/>
        </w:trPr>
        <w:tc>
          <w:tcPr>
            <w:tcW w:w="88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b/>
                <w:bCs/>
                <w:kern w:val="0"/>
                <w:szCs w:val="21"/>
                <w:lang w:bidi="ar"/>
              </w:rPr>
              <w:t>深圳会展中心灯箱改造工程量清单</w:t>
            </w: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序号</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项目名称</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灯箱尺寸/m</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数量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7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二楼服务区卡布大号灯箱（立式）</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5.4*4.2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分为底座+灯箱两部份；拆旧装新</w:t>
            </w:r>
          </w:p>
        </w:tc>
      </w:tr>
      <w:tr>
        <w:tblPrEx>
          <w:tblCellMar>
            <w:top w:w="0" w:type="dxa"/>
            <w:left w:w="108" w:type="dxa"/>
            <w:bottom w:w="0" w:type="dxa"/>
            <w:right w:w="108" w:type="dxa"/>
          </w:tblCellMar>
        </w:tblPrEx>
        <w:trPr>
          <w:trHeight w:val="7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二楼服务区卡布中号灯箱</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6*1.9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墙面安装；8个拆旧装新，8个为新装</w:t>
            </w: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一、二楼卡布小号灯箱</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3.21*1.25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墙面安装；拆旧装新</w:t>
            </w: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地下停车场卡布大灯箱</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墙面安装；拆旧装新</w:t>
            </w: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地下停车场卡布小灯箱</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墙面安装；2个并列的小号灯箱拆旧装新，合并改造为1个大号灯箱（8*2m）。</w:t>
            </w: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Cs w:val="21"/>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合计</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31</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szCs w:val="21"/>
              </w:rPr>
            </w:pPr>
          </w:p>
        </w:tc>
      </w:tr>
    </w:tbl>
    <w:p>
      <w:pPr>
        <w:spacing w:line="360" w:lineRule="auto"/>
        <w:ind w:firstLine="1928" w:firstLineChars="600"/>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22"/>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hint="eastAsia" w:ascii="宋体" w:hAnsi="宋体"/>
                <w:lang w:val="en-US" w:eastAsia="zh-CN"/>
              </w:rPr>
              <w:t>30</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szCs w:val="21"/>
              </w:rPr>
              <w:t>4</w:t>
            </w:r>
            <w:r>
              <w:rPr>
                <w:rFonts w:hint="eastAsia" w:ascii="宋体" w:hAnsi="宋体"/>
                <w:lang w:val="en-US" w:eastAsia="zh-CN"/>
              </w:rPr>
              <w:t>0</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hint="eastAsia" w:ascii="宋体" w:hAnsi="宋体"/>
                <w:szCs w:val="21"/>
              </w:rPr>
              <w:t>3</w:t>
            </w:r>
            <w:r>
              <w:rPr>
                <w:rFonts w:ascii="宋体" w:hAnsi="宋体"/>
                <w:szCs w:val="21"/>
              </w:rPr>
              <w:t>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1"/>
      </w:pPr>
    </w:p>
    <w:p>
      <w:pPr>
        <w:numPr>
          <w:ilvl w:val="0"/>
          <w:numId w:val="20"/>
        </w:numPr>
        <w:spacing w:line="360" w:lineRule="auto"/>
        <w:jc w:val="left"/>
        <w:outlineLvl w:val="2"/>
        <w:rPr>
          <w:rStyle w:val="29"/>
          <w:rFonts w:ascii="宋体" w:hAnsi="宋体"/>
          <w:b/>
          <w:szCs w:val="21"/>
        </w:rPr>
      </w:pPr>
      <w:bookmarkStart w:id="51" w:name="_Toc106791264"/>
      <w:r>
        <w:rPr>
          <w:rStyle w:val="29"/>
          <w:rFonts w:hint="eastAsia" w:ascii="宋体" w:hAnsi="宋体"/>
          <w:b/>
          <w:bCs/>
          <w:szCs w:val="21"/>
        </w:rPr>
        <w:t>符合性检查</w:t>
      </w:r>
      <w:bookmarkEnd w:id="51"/>
    </w:p>
    <w:tbl>
      <w:tblPr>
        <w:tblStyle w:val="14"/>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jc w:val="center"/>
              <w:rPr>
                <w:rFonts w:ascii="宋体" w:hAnsi="宋体" w:cs="宋体"/>
                <w:szCs w:val="21"/>
              </w:rPr>
            </w:pPr>
            <w:r>
              <w:rPr>
                <w:rFonts w:hint="eastAsia" w:ascii="宋体" w:hAnsi="宋体" w:cs="宋体"/>
                <w:szCs w:val="21"/>
              </w:rPr>
              <w:t>评议项目</w:t>
            </w:r>
          </w:p>
        </w:tc>
        <w:tc>
          <w:tcPr>
            <w:tcW w:w="7635" w:type="dxa"/>
            <w:tcBorders>
              <w:tl2br w:val="nil"/>
              <w:tr2bl w:val="nil"/>
            </w:tcBorders>
            <w:shd w:val="clear" w:color="auto" w:fill="EEEEEE"/>
            <w:vAlign w:val="center"/>
          </w:tcPr>
          <w:p>
            <w:pPr>
              <w:jc w:val="center"/>
              <w:rPr>
                <w:rFonts w:ascii="宋体" w:hAnsi="宋体" w:cs="宋体"/>
                <w:szCs w:val="21"/>
              </w:rPr>
            </w:pPr>
            <w:r>
              <w:rPr>
                <w:rFonts w:hint="eastAsia" w:ascii="宋体" w:hAnsi="宋体" w:cs="宋体"/>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宋体"/>
                <w:szCs w:val="21"/>
              </w:rPr>
            </w:pPr>
            <w:r>
              <w:rPr>
                <w:rFonts w:hint="eastAsia" w:ascii="宋体" w:hAnsi="宋体" w:cs="宋体"/>
                <w:szCs w:val="21"/>
              </w:rPr>
              <w:t>投标文件</w:t>
            </w:r>
          </w:p>
        </w:tc>
        <w:tc>
          <w:tcPr>
            <w:tcW w:w="7635" w:type="dxa"/>
            <w:tcBorders>
              <w:tl2br w:val="nil"/>
              <w:tr2bl w:val="nil"/>
            </w:tcBorders>
            <w:vAlign w:val="center"/>
          </w:tcPr>
          <w:p>
            <w:pPr>
              <w:rPr>
                <w:rFonts w:ascii="宋体" w:hAnsi="宋体" w:cs="宋体"/>
                <w:szCs w:val="21"/>
              </w:rPr>
            </w:pPr>
            <w:r>
              <w:rPr>
                <w:rFonts w:hint="eastAsia" w:ascii="宋体" w:hAnsi="宋体" w:cs="宋体"/>
                <w:bCs/>
                <w:szCs w:val="21"/>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宋体"/>
                <w:szCs w:val="21"/>
              </w:rPr>
            </w:pPr>
            <w:r>
              <w:rPr>
                <w:rFonts w:hint="eastAsia" w:ascii="宋体" w:hAnsi="宋体" w:cs="宋体"/>
                <w:szCs w:val="21"/>
              </w:rPr>
              <w:t>法定代表人证明书及授权委托证明书</w:t>
            </w:r>
          </w:p>
        </w:tc>
        <w:tc>
          <w:tcPr>
            <w:tcW w:w="7635" w:type="dxa"/>
            <w:tcBorders>
              <w:tl2br w:val="nil"/>
              <w:tr2bl w:val="nil"/>
            </w:tcBorders>
            <w:vAlign w:val="center"/>
          </w:tcPr>
          <w:p>
            <w:pPr>
              <w:rPr>
                <w:rFonts w:ascii="宋体" w:hAnsi="宋体" w:cs="宋体"/>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宋体"/>
                <w:szCs w:val="21"/>
              </w:rPr>
            </w:pPr>
            <w:r>
              <w:rPr>
                <w:rFonts w:hint="eastAsia" w:ascii="宋体" w:hAnsi="宋体" w:cs="宋体"/>
                <w:szCs w:val="21"/>
              </w:rPr>
              <w:t>资格证明文件</w:t>
            </w:r>
          </w:p>
        </w:tc>
        <w:tc>
          <w:tcPr>
            <w:tcW w:w="7635" w:type="dxa"/>
            <w:tcBorders>
              <w:tl2br w:val="nil"/>
              <w:tr2bl w:val="nil"/>
            </w:tcBorders>
            <w:vAlign w:val="center"/>
          </w:tcPr>
          <w:p>
            <w:pPr>
              <w:rPr>
                <w:rFonts w:ascii="宋体" w:hAnsi="宋体" w:cs="宋体"/>
                <w:szCs w:val="21"/>
              </w:rPr>
            </w:pPr>
            <w:r>
              <w:rPr>
                <w:rFonts w:hint="eastAsia" w:ascii="宋体" w:hAnsi="宋体" w:cs="宋体"/>
                <w:szCs w:val="21"/>
              </w:rPr>
              <w:t>投标人是否提供以下证明文件：</w:t>
            </w:r>
          </w:p>
          <w:p>
            <w:pPr>
              <w:numPr>
                <w:ilvl w:val="255"/>
                <w:numId w:val="0"/>
              </w:numPr>
              <w:tabs>
                <w:tab w:val="left" w:pos="531"/>
              </w:tabs>
              <w:snapToGrid w:val="0"/>
              <w:rPr>
                <w:rFonts w:ascii="宋体" w:hAnsi="宋体" w:cs="宋体"/>
                <w:szCs w:val="21"/>
              </w:rPr>
            </w:pPr>
            <w:r>
              <w:rPr>
                <w:rFonts w:hint="eastAsia" w:ascii="宋体" w:hAnsi="宋体" w:cs="宋体"/>
                <w:szCs w:val="21"/>
              </w:rPr>
              <w:t>（1）</w:t>
            </w:r>
            <w:r>
              <w:rPr>
                <w:rFonts w:hint="eastAsia" w:ascii="宋体" w:hAnsi="宋体" w:cs="仿宋_GB2312"/>
                <w:szCs w:val="21"/>
              </w:rPr>
              <w:t>投标人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rPr>
                <w:rFonts w:ascii="宋体" w:hAnsi="宋体" w:cs="宋体"/>
                <w:szCs w:val="21"/>
              </w:rPr>
            </w:pPr>
            <w:r>
              <w:rPr>
                <w:rFonts w:hint="eastAsia" w:ascii="宋体" w:hAnsi="宋体" w:cs="宋体"/>
                <w:szCs w:val="21"/>
              </w:rPr>
              <w:t>（2）投标人是否经营范围内需包含广告业务、展览展示、设计及建筑工程等其中一项；其生产或销售的产品符合中华人民共和国的设计和制造生产或行业标准。</w:t>
            </w:r>
          </w:p>
          <w:p>
            <w:pPr>
              <w:numPr>
                <w:ilvl w:val="255"/>
                <w:numId w:val="0"/>
              </w:numPr>
              <w:tabs>
                <w:tab w:val="left" w:pos="531"/>
              </w:tabs>
              <w:snapToGrid w:val="0"/>
              <w:rPr>
                <w:rFonts w:ascii="宋体" w:hAnsi="宋体" w:cs="宋体"/>
                <w:szCs w:val="21"/>
              </w:rPr>
            </w:pPr>
            <w:r>
              <w:rPr>
                <w:rFonts w:hint="eastAsia" w:ascii="宋体" w:hAnsi="宋体" w:cs="宋体"/>
                <w:szCs w:val="21"/>
              </w:rPr>
              <w:t>（3）投标人是否在深圳设有长期的服务机构，拥有稳定的服务保障和技术支持队伍，保证实施的服务质量和快速的服务响应时间。（提供投标单位生产厂房的租赁合同及相关证明材料）</w:t>
            </w:r>
          </w:p>
          <w:p>
            <w:pPr>
              <w:tabs>
                <w:tab w:val="left" w:pos="531"/>
              </w:tabs>
              <w:snapToGrid w:val="0"/>
              <w:rPr>
                <w:rFonts w:ascii="宋体" w:hAnsi="宋体" w:cs="宋体"/>
                <w:szCs w:val="21"/>
              </w:rPr>
            </w:pPr>
            <w:r>
              <w:rPr>
                <w:rFonts w:hint="eastAsia" w:ascii="宋体" w:hAnsi="宋体" w:cs="宋体"/>
                <w:szCs w:val="21"/>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jc w:val="center"/>
              <w:rPr>
                <w:rFonts w:ascii="宋体" w:hAnsi="宋体" w:cs="宋体"/>
                <w:szCs w:val="21"/>
              </w:rPr>
            </w:pPr>
            <w:r>
              <w:rPr>
                <w:rFonts w:hint="eastAsia" w:ascii="宋体" w:hAnsi="宋体" w:cs="宋体"/>
                <w:szCs w:val="21"/>
              </w:rPr>
              <w:t>控制金额</w:t>
            </w:r>
          </w:p>
        </w:tc>
        <w:tc>
          <w:tcPr>
            <w:tcW w:w="7635" w:type="dxa"/>
            <w:tcBorders>
              <w:tl2br w:val="nil"/>
              <w:tr2bl w:val="nil"/>
            </w:tcBorders>
            <w:vAlign w:val="center"/>
          </w:tcPr>
          <w:p>
            <w:pPr>
              <w:rPr>
                <w:rFonts w:ascii="宋体" w:hAnsi="宋体" w:cs="宋体"/>
                <w:szCs w:val="21"/>
              </w:rPr>
            </w:pPr>
            <w:r>
              <w:rPr>
                <w:rFonts w:hint="eastAsia" w:ascii="宋体" w:hAnsi="宋体" w:cs="宋体"/>
                <w:szCs w:val="21"/>
              </w:rPr>
              <w:t>本项目报价是否高于</w:t>
            </w:r>
            <w:r>
              <w:rPr>
                <w:rFonts w:hint="eastAsia" w:ascii="宋体" w:hAnsi="宋体" w:cs="宋体"/>
                <w:color w:val="FF0000"/>
                <w:szCs w:val="21"/>
              </w:rPr>
              <w:t>43</w:t>
            </w:r>
            <w:r>
              <w:rPr>
                <w:rFonts w:hint="eastAsia" w:ascii="宋体" w:hAnsi="宋体" w:cs="宋体"/>
                <w:szCs w:val="21"/>
              </w:rPr>
              <w:t>万元（含税），超过上述控制金额的视为无效报价。</w:t>
            </w:r>
          </w:p>
        </w:tc>
      </w:tr>
    </w:tbl>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rPr>
              <w:t>企业实力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line="360" w:lineRule="auto"/>
              <w:rPr>
                <w:rFonts w:ascii="宋体" w:hAnsi="宋体" w:cs="仿宋_GB2312"/>
                <w:szCs w:val="21"/>
              </w:rPr>
            </w:pPr>
            <w:r>
              <w:rPr>
                <w:rFonts w:hint="eastAsia" w:ascii="宋体" w:hAnsi="宋体" w:cs="仿宋_GB2312"/>
                <w:szCs w:val="21"/>
              </w:rPr>
              <w:t>综合评议各投标人企业实力等因素进行评议。</w:t>
            </w:r>
          </w:p>
          <w:p>
            <w:pPr>
              <w:numPr>
                <w:ilvl w:val="0"/>
                <w:numId w:val="22"/>
              </w:numPr>
              <w:tabs>
                <w:tab w:val="left" w:pos="531"/>
              </w:tabs>
              <w:snapToGrid w:val="0"/>
              <w:spacing w:line="360" w:lineRule="auto"/>
              <w:ind w:left="0" w:firstLine="0"/>
              <w:rPr>
                <w:rFonts w:ascii="宋体" w:hAnsi="宋体" w:cs="仿宋_GB2312"/>
                <w:szCs w:val="21"/>
              </w:rPr>
            </w:pPr>
            <w:r>
              <w:rPr>
                <w:rFonts w:hint="eastAsia" w:ascii="宋体" w:hAnsi="宋体" w:cs="仿宋_GB2312"/>
                <w:szCs w:val="21"/>
              </w:rPr>
              <w:t>企业自有人数规模≥30人，得</w:t>
            </w:r>
            <w:r>
              <w:rPr>
                <w:rFonts w:hint="eastAsia" w:ascii="宋体" w:hAnsi="宋体" w:cs="仿宋_GB2312"/>
                <w:szCs w:val="21"/>
                <w:lang w:val="en-US" w:eastAsia="zh-CN"/>
              </w:rPr>
              <w:t>10</w:t>
            </w:r>
            <w:r>
              <w:rPr>
                <w:rFonts w:hint="eastAsia" w:ascii="宋体" w:hAnsi="宋体" w:cs="仿宋_GB2312"/>
                <w:szCs w:val="21"/>
              </w:rPr>
              <w:t>分；</w:t>
            </w:r>
          </w:p>
          <w:p>
            <w:pPr>
              <w:numPr>
                <w:ilvl w:val="0"/>
                <w:numId w:val="22"/>
              </w:numPr>
              <w:tabs>
                <w:tab w:val="left" w:pos="531"/>
              </w:tabs>
              <w:snapToGrid w:val="0"/>
              <w:spacing w:line="360" w:lineRule="auto"/>
              <w:ind w:left="0" w:firstLine="0"/>
              <w:rPr>
                <w:rFonts w:ascii="宋体" w:hAnsi="宋体" w:cs="仿宋_GB2312"/>
                <w:szCs w:val="21"/>
              </w:rPr>
            </w:pPr>
            <w:r>
              <w:rPr>
                <w:rFonts w:hint="eastAsia" w:ascii="宋体" w:hAnsi="宋体" w:cs="仿宋_GB2312"/>
                <w:szCs w:val="21"/>
              </w:rPr>
              <w:t>29人</w:t>
            </w:r>
            <w:r>
              <w:rPr>
                <w:rFonts w:hint="eastAsia" w:ascii="宋体" w:hAnsi="宋体" w:cs="宋体"/>
                <w:szCs w:val="21"/>
              </w:rPr>
              <w:t>≦</w:t>
            </w:r>
            <w:r>
              <w:rPr>
                <w:rFonts w:hint="eastAsia" w:ascii="宋体" w:hAnsi="宋体" w:cs="仿宋_GB2312"/>
                <w:szCs w:val="21"/>
              </w:rPr>
              <w:t>企业人数规模</w:t>
            </w:r>
            <w:r>
              <w:rPr>
                <w:rFonts w:hint="eastAsia" w:ascii="宋体" w:hAnsi="宋体" w:cs="宋体"/>
                <w:szCs w:val="21"/>
              </w:rPr>
              <w:t>&lt;</w:t>
            </w:r>
            <w:r>
              <w:rPr>
                <w:rFonts w:hint="eastAsia" w:ascii="宋体" w:hAnsi="宋体" w:cs="仿宋_GB2312"/>
                <w:szCs w:val="21"/>
              </w:rPr>
              <w:t>20人，得</w:t>
            </w:r>
            <w:r>
              <w:rPr>
                <w:rFonts w:hint="eastAsia" w:ascii="宋体" w:hAnsi="宋体" w:cs="仿宋_GB2312"/>
                <w:szCs w:val="21"/>
                <w:lang w:val="en-US" w:eastAsia="zh-CN"/>
              </w:rPr>
              <w:t>8</w:t>
            </w:r>
            <w:r>
              <w:rPr>
                <w:rFonts w:hint="eastAsia" w:ascii="宋体" w:hAnsi="宋体" w:cs="仿宋_GB2312"/>
                <w:szCs w:val="21"/>
              </w:rPr>
              <w:t>分；</w:t>
            </w:r>
          </w:p>
          <w:p>
            <w:pPr>
              <w:numPr>
                <w:ilvl w:val="0"/>
                <w:numId w:val="22"/>
              </w:numPr>
              <w:tabs>
                <w:tab w:val="left" w:pos="531"/>
              </w:tabs>
              <w:snapToGrid w:val="0"/>
              <w:spacing w:line="360" w:lineRule="auto"/>
              <w:ind w:left="0" w:firstLine="0"/>
              <w:rPr>
                <w:rFonts w:ascii="宋体" w:hAnsi="宋体" w:cs="仿宋_GB2312"/>
                <w:szCs w:val="21"/>
              </w:rPr>
            </w:pPr>
            <w:r>
              <w:rPr>
                <w:rFonts w:hint="eastAsia" w:ascii="宋体" w:hAnsi="宋体" w:cs="仿宋_GB2312"/>
                <w:szCs w:val="21"/>
              </w:rPr>
              <w:t>20人</w:t>
            </w:r>
            <w:r>
              <w:rPr>
                <w:rFonts w:hint="eastAsia" w:ascii="宋体" w:hAnsi="宋体" w:cs="宋体"/>
                <w:szCs w:val="21"/>
              </w:rPr>
              <w:t>≦</w:t>
            </w:r>
            <w:r>
              <w:rPr>
                <w:rFonts w:hint="eastAsia" w:ascii="宋体" w:hAnsi="宋体" w:cs="仿宋_GB2312"/>
                <w:szCs w:val="21"/>
              </w:rPr>
              <w:t>企业人数规模</w:t>
            </w:r>
            <w:r>
              <w:rPr>
                <w:rFonts w:hint="eastAsia" w:ascii="宋体" w:hAnsi="宋体" w:cs="宋体"/>
                <w:szCs w:val="21"/>
              </w:rPr>
              <w:t>&lt;</w:t>
            </w:r>
            <w:r>
              <w:rPr>
                <w:rFonts w:hint="eastAsia" w:ascii="宋体" w:hAnsi="宋体" w:cs="仿宋_GB2312"/>
                <w:szCs w:val="21"/>
              </w:rPr>
              <w:t>10人，得</w:t>
            </w:r>
            <w:r>
              <w:rPr>
                <w:rFonts w:hint="eastAsia" w:ascii="宋体" w:hAnsi="宋体" w:cs="仿宋_GB2312"/>
                <w:szCs w:val="21"/>
                <w:lang w:val="en-US" w:eastAsia="zh-CN"/>
              </w:rPr>
              <w:t>5</w:t>
            </w:r>
            <w:r>
              <w:rPr>
                <w:rFonts w:hint="eastAsia" w:ascii="宋体" w:hAnsi="宋体" w:cs="仿宋_GB2312"/>
                <w:szCs w:val="21"/>
              </w:rPr>
              <w:t>分；</w:t>
            </w:r>
          </w:p>
          <w:p>
            <w:pPr>
              <w:numPr>
                <w:ilvl w:val="0"/>
                <w:numId w:val="22"/>
              </w:numPr>
              <w:tabs>
                <w:tab w:val="left" w:pos="531"/>
              </w:tabs>
              <w:snapToGrid w:val="0"/>
              <w:spacing w:line="360" w:lineRule="auto"/>
              <w:ind w:left="0" w:firstLine="0"/>
              <w:rPr>
                <w:rFonts w:ascii="宋体" w:hAnsi="宋体" w:cs="仿宋_GB2312"/>
                <w:szCs w:val="21"/>
              </w:rPr>
            </w:pPr>
            <w:r>
              <w:rPr>
                <w:rFonts w:hint="eastAsia" w:ascii="宋体" w:hAnsi="宋体" w:cs="仿宋_GB2312"/>
                <w:szCs w:val="21"/>
              </w:rPr>
              <w:t>10人及以下规模得2分。</w:t>
            </w:r>
          </w:p>
          <w:p>
            <w:pPr>
              <w:tabs>
                <w:tab w:val="left" w:pos="531"/>
              </w:tabs>
              <w:snapToGrid w:val="0"/>
              <w:spacing w:line="360" w:lineRule="auto"/>
              <w:rPr>
                <w:rFonts w:ascii="宋体" w:hAnsi="宋体"/>
                <w:szCs w:val="21"/>
              </w:rPr>
            </w:pPr>
            <w:r>
              <w:rPr>
                <w:rFonts w:hint="eastAsia" w:ascii="宋体" w:hAnsi="宋体"/>
                <w:szCs w:val="21"/>
              </w:rPr>
              <w:t>备注：请提供可体现社保缴纳人数的社保证明资料，加盖</w:t>
            </w:r>
            <w:r>
              <w:rPr>
                <w:rFonts w:hint="eastAsia" w:ascii="宋体" w:hAnsi="宋体" w:cs="仿宋"/>
                <w:szCs w:val="21"/>
              </w:rPr>
              <w:t>投标人</w:t>
            </w:r>
            <w:r>
              <w:rPr>
                <w:rFonts w:hint="eastAsia" w:ascii="宋体" w:hAnsi="宋体"/>
                <w:szCs w:val="21"/>
              </w:rPr>
              <w:t>公章。未提供或所提供信息无法判断企业缴纳社保人数的不得分。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资质证书</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line="360" w:lineRule="auto"/>
              <w:rPr>
                <w:rFonts w:ascii="宋体" w:hAnsi="宋体" w:cs="仿宋_GB2312"/>
                <w:szCs w:val="21"/>
              </w:rPr>
            </w:pPr>
            <w:r>
              <w:rPr>
                <w:rFonts w:hint="eastAsia" w:ascii="宋体" w:hAnsi="宋体" w:cs="仿宋_GB2312"/>
                <w:szCs w:val="21"/>
              </w:rPr>
              <w:t>(1)投标人具有有效质量管理体系认证证书，得1分；</w:t>
            </w:r>
          </w:p>
          <w:p>
            <w:pPr>
              <w:tabs>
                <w:tab w:val="left" w:pos="531"/>
              </w:tabs>
              <w:snapToGrid w:val="0"/>
              <w:spacing w:line="360" w:lineRule="auto"/>
              <w:rPr>
                <w:rFonts w:ascii="宋体" w:hAnsi="宋体" w:cs="仿宋_GB2312"/>
                <w:szCs w:val="21"/>
              </w:rPr>
            </w:pPr>
            <w:r>
              <w:rPr>
                <w:rFonts w:hint="eastAsia" w:ascii="宋体" w:hAnsi="宋体" w:cs="仿宋_GB2312"/>
                <w:szCs w:val="21"/>
              </w:rPr>
              <w:t>(2)投标人具有有效环境管理体系认证证书，得1分；</w:t>
            </w:r>
          </w:p>
          <w:p>
            <w:pPr>
              <w:tabs>
                <w:tab w:val="left" w:pos="531"/>
              </w:tabs>
              <w:snapToGrid w:val="0"/>
              <w:spacing w:line="360" w:lineRule="auto"/>
              <w:rPr>
                <w:rFonts w:ascii="宋体" w:hAnsi="宋体" w:cs="仿宋_GB2312"/>
                <w:szCs w:val="21"/>
              </w:rPr>
            </w:pPr>
            <w:r>
              <w:rPr>
                <w:rFonts w:hint="eastAsia" w:ascii="宋体" w:hAnsi="宋体" w:cs="仿宋_GB2312"/>
                <w:szCs w:val="21"/>
              </w:rPr>
              <w:t>(3)投标人具有有效</w:t>
            </w:r>
            <w:r>
              <w:rPr>
                <w:rFonts w:hint="eastAsia" w:ascii="宋体" w:hAnsi="宋体" w:cs="Arial"/>
                <w:szCs w:val="21"/>
              </w:rPr>
              <w:t>职业健康安全管理体系</w:t>
            </w:r>
            <w:r>
              <w:rPr>
                <w:rFonts w:hint="eastAsia" w:ascii="宋体" w:hAnsi="宋体" w:cs="仿宋_GB2312"/>
                <w:szCs w:val="21"/>
              </w:rPr>
              <w:t>认证，得1分；</w:t>
            </w:r>
          </w:p>
          <w:p>
            <w:pPr>
              <w:tabs>
                <w:tab w:val="left" w:pos="531"/>
              </w:tabs>
              <w:snapToGrid w:val="0"/>
              <w:spacing w:line="360" w:lineRule="auto"/>
            </w:pPr>
            <w:r>
              <w:rPr>
                <w:rFonts w:hint="eastAsia" w:ascii="宋体" w:hAnsi="宋体" w:cs="仿宋_GB2312"/>
                <w:szCs w:val="21"/>
              </w:rPr>
              <w:t>(4)投标人具有有效安全生产许可证，得2分；</w:t>
            </w:r>
          </w:p>
          <w:p>
            <w:pPr>
              <w:tabs>
                <w:tab w:val="left" w:pos="531"/>
              </w:tabs>
              <w:snapToGrid w:val="0"/>
              <w:spacing w:line="360" w:lineRule="auto"/>
              <w:rPr>
                <w:rFonts w:ascii="宋体" w:hAnsi="宋体"/>
                <w:szCs w:val="21"/>
              </w:rPr>
            </w:pPr>
            <w:r>
              <w:rPr>
                <w:rFonts w:hint="eastAsia" w:ascii="宋体" w:hAnsi="宋体"/>
                <w:szCs w:val="21"/>
              </w:rPr>
              <w:t>备注：投标人需提供相关认证证书复印件并加盖投标人公章。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pPr>
              <w:snapToGrid w:val="0"/>
              <w:spacing w:line="360" w:lineRule="auto"/>
              <w:rPr>
                <w:rFonts w:ascii="宋体" w:hAnsi="宋体"/>
              </w:rPr>
            </w:pPr>
            <w:r>
              <w:rPr>
                <w:rFonts w:hint="eastAsia" w:ascii="宋体" w:hAnsi="宋体"/>
              </w:rPr>
              <w:t>根据各投标人提供的自2020年1月1日起至本项目采购公告发布之日（以合同签订日期为准）期间所承接的5个灯箱工程类及广告制作类项目合同的总金额进行评分：单项工程合同金额人民币10万元及以上，每项业绩得2分，20万元及以上，每项业绩得4分，50万元及以上，每项业绩得5分，最高10分。（须提供合同关键页复印件并加盖投标人公章）</w:t>
            </w:r>
          </w:p>
          <w:p>
            <w:pPr>
              <w:snapToGrid w:val="0"/>
              <w:spacing w:line="360" w:lineRule="auto"/>
              <w:rPr>
                <w:rFonts w:ascii="宋体" w:hAnsi="宋体"/>
              </w:rPr>
            </w:pPr>
            <w:r>
              <w:rPr>
                <w:rFonts w:hint="eastAsia" w:ascii="宋体" w:hAnsi="宋体"/>
              </w:rPr>
              <w:t>说明：未提供业绩证明、或证明资料不能体现合同金额、或金额无法按类型拆分、或证明资料不清晰的，均不得分。</w:t>
            </w:r>
          </w:p>
          <w:p>
            <w:pPr>
              <w:snapToGrid w:val="0"/>
              <w:spacing w:line="360" w:lineRule="auto"/>
              <w:rPr>
                <w:rFonts w:ascii="宋体" w:hAnsi="宋体"/>
              </w:rPr>
            </w:pPr>
            <w:r>
              <w:rPr>
                <w:rFonts w:hint="eastAsia" w:ascii="宋体" w:hAnsi="宋体"/>
              </w:rPr>
              <w:t>说明：</w:t>
            </w:r>
          </w:p>
          <w:p>
            <w:pPr>
              <w:numPr>
                <w:ilvl w:val="0"/>
                <w:numId w:val="23"/>
              </w:numPr>
              <w:snapToGrid w:val="0"/>
              <w:spacing w:line="360" w:lineRule="auto"/>
              <w:rPr>
                <w:rFonts w:ascii="宋体" w:hAnsi="宋体"/>
              </w:rPr>
            </w:pPr>
            <w:r>
              <w:rPr>
                <w:rFonts w:hint="eastAsia" w:ascii="宋体" w:hAnsi="宋体"/>
              </w:rPr>
              <w:t>投标人需自行汇总统计业绩合同金额，并提供相应的包含但不限于合同签订时间、合同标的内容、合同金额等评审信息且加盖投标人公章合同关键页，必要时需提供证明文件原件。上述合同金额均以人民币计。</w:t>
            </w:r>
          </w:p>
          <w:p>
            <w:pPr>
              <w:numPr>
                <w:ilvl w:val="0"/>
                <w:numId w:val="23"/>
              </w:numPr>
              <w:snapToGrid w:val="0"/>
              <w:spacing w:line="360" w:lineRule="auto"/>
              <w:rPr>
                <w:rFonts w:ascii="宋体" w:hAnsi="宋体"/>
              </w:rPr>
            </w:pPr>
            <w:r>
              <w:rPr>
                <w:rFonts w:hint="eastAsia" w:ascii="宋体" w:hAnsi="宋体"/>
              </w:rPr>
              <w:t>所有业绩证明资料须能明确界定为灯箱工程、广告制作工程业绩，否则为无效证明资料。</w:t>
            </w:r>
          </w:p>
          <w:p>
            <w:pPr>
              <w:numPr>
                <w:ilvl w:val="0"/>
                <w:numId w:val="23"/>
              </w:numPr>
              <w:snapToGrid w:val="0"/>
              <w:spacing w:line="360" w:lineRule="auto"/>
              <w:rPr>
                <w:rFonts w:ascii="宋体" w:hAnsi="宋体"/>
              </w:rPr>
            </w:pPr>
            <w:r>
              <w:rPr>
                <w:rFonts w:hint="eastAsia" w:ascii="宋体" w:hAnsi="宋体"/>
              </w:rPr>
              <w:t>投标人提供业绩合同不足5个的、未提供或所提供的业绩合同关键页信息不全、不清晰的，均不得分。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1"/>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工期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5</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line="360" w:lineRule="auto"/>
              <w:rPr>
                <w:rFonts w:ascii="宋体" w:hAnsi="宋体"/>
                <w:szCs w:val="21"/>
              </w:rPr>
            </w:pPr>
            <w:r>
              <w:rPr>
                <w:rFonts w:hint="eastAsia" w:ascii="宋体" w:hAnsi="宋体"/>
                <w:szCs w:val="21"/>
              </w:rPr>
              <w:t>根据投标人提交的工期响应时间长短进行评议：在确保施工质量及施工安全的前提下，工期相对较短的，得分较高。按照工期由短到长排名，工期最短为第一名得</w:t>
            </w:r>
            <w:r>
              <w:rPr>
                <w:rFonts w:hint="eastAsia" w:ascii="宋体" w:hAnsi="宋体"/>
                <w:szCs w:val="21"/>
                <w:lang w:val="en-US" w:eastAsia="zh-CN"/>
              </w:rPr>
              <w:t>5</w:t>
            </w:r>
            <w:r>
              <w:rPr>
                <w:rFonts w:hint="eastAsia" w:ascii="宋体" w:hAnsi="宋体"/>
                <w:szCs w:val="21"/>
              </w:rPr>
              <w:t>分，供应商工期排名每下降1名，得分相应降低1分，以此类推，最低0分。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技术服务评议项（4</w:t>
            </w:r>
            <w:r>
              <w:rPr>
                <w:rFonts w:hint="eastAsia" w:ascii="宋体" w:hAnsi="宋体"/>
                <w:b/>
                <w:szCs w:val="21"/>
                <w:lang w:val="en-US" w:eastAsia="zh-CN"/>
              </w:rPr>
              <w:t>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施工方案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kern w:val="0"/>
                <w:szCs w:val="21"/>
              </w:rPr>
            </w:pPr>
            <w:r>
              <w:rPr>
                <w:rFonts w:hint="eastAsia" w:ascii="宋体" w:hAnsi="宋体" w:cs="宋体"/>
                <w:kern w:val="0"/>
                <w:szCs w:val="21"/>
              </w:rPr>
              <w:t>（一）评分内容：</w:t>
            </w:r>
          </w:p>
          <w:p>
            <w:pPr>
              <w:widowControl/>
              <w:spacing w:line="360" w:lineRule="auto"/>
              <w:ind w:right="30"/>
              <w:jc w:val="left"/>
              <w:rPr>
                <w:rFonts w:ascii="宋体" w:hAnsi="宋体" w:cs="宋体"/>
                <w:kern w:val="0"/>
                <w:szCs w:val="21"/>
              </w:rPr>
            </w:pPr>
            <w:r>
              <w:rPr>
                <w:rFonts w:hint="eastAsia" w:ascii="宋体" w:hAnsi="宋体" w:cs="宋体"/>
                <w:kern w:val="0"/>
                <w:szCs w:val="21"/>
              </w:rPr>
              <w:t>投标人按照招标需求，针对本项目提供项目服务方案，规划方案要符合会展中心实际，规划方案管理目标清晰，组织架构科学合理，服务方案包括但不限于以下内容：</w:t>
            </w:r>
          </w:p>
          <w:p>
            <w:pPr>
              <w:widowControl/>
              <w:spacing w:line="360" w:lineRule="auto"/>
              <w:ind w:right="30"/>
              <w:jc w:val="left"/>
              <w:rPr>
                <w:rFonts w:ascii="宋体" w:hAnsi="宋体" w:cs="宋体"/>
                <w:kern w:val="0"/>
                <w:szCs w:val="21"/>
              </w:rPr>
            </w:pPr>
            <w:r>
              <w:rPr>
                <w:rFonts w:hint="eastAsia" w:ascii="宋体" w:hAnsi="宋体" w:cs="宋体"/>
                <w:kern w:val="0"/>
                <w:szCs w:val="21"/>
              </w:rPr>
              <w:t>1.项目整体设想及规划，管理目标；</w:t>
            </w:r>
          </w:p>
          <w:p>
            <w:pPr>
              <w:widowControl/>
              <w:spacing w:line="360" w:lineRule="auto"/>
              <w:ind w:right="30"/>
              <w:jc w:val="left"/>
              <w:rPr>
                <w:rFonts w:ascii="宋体" w:hAnsi="宋体" w:cs="宋体"/>
                <w:kern w:val="0"/>
                <w:szCs w:val="21"/>
              </w:rPr>
            </w:pPr>
            <w:r>
              <w:rPr>
                <w:rFonts w:hint="eastAsia" w:ascii="宋体" w:hAnsi="宋体" w:cs="宋体"/>
                <w:kern w:val="0"/>
                <w:szCs w:val="21"/>
              </w:rPr>
              <w:t>2.管理措施制度、管理方式、工作计划；</w:t>
            </w:r>
          </w:p>
          <w:p>
            <w:pPr>
              <w:widowControl/>
              <w:spacing w:line="360" w:lineRule="auto"/>
              <w:ind w:right="30"/>
              <w:jc w:val="left"/>
              <w:rPr>
                <w:rFonts w:ascii="宋体" w:hAnsi="宋体" w:cs="宋体"/>
                <w:kern w:val="0"/>
                <w:szCs w:val="21"/>
              </w:rPr>
            </w:pPr>
            <w:r>
              <w:rPr>
                <w:rFonts w:hint="eastAsia" w:ascii="宋体" w:hAnsi="宋体" w:cs="宋体"/>
                <w:kern w:val="0"/>
                <w:szCs w:val="21"/>
              </w:rPr>
              <w:t>3.具有可操作性，符合本项目要求。</w:t>
            </w:r>
          </w:p>
          <w:p>
            <w:pPr>
              <w:widowControl/>
              <w:spacing w:line="360" w:lineRule="auto"/>
              <w:ind w:right="30"/>
              <w:jc w:val="left"/>
              <w:rPr>
                <w:rFonts w:ascii="宋体" w:hAnsi="宋体" w:cs="宋体"/>
                <w:kern w:val="0"/>
                <w:szCs w:val="21"/>
              </w:rPr>
            </w:pPr>
            <w:r>
              <w:rPr>
                <w:rFonts w:hint="eastAsia" w:ascii="宋体" w:hAnsi="宋体" w:cs="宋体"/>
                <w:kern w:val="0"/>
                <w:szCs w:val="21"/>
              </w:rPr>
              <w:t>（二）评分标准：</w:t>
            </w:r>
          </w:p>
          <w:p>
            <w:pPr>
              <w:widowControl/>
              <w:spacing w:line="360" w:lineRule="auto"/>
              <w:ind w:right="30"/>
              <w:jc w:val="left"/>
              <w:rPr>
                <w:rFonts w:ascii="宋体" w:hAnsi="宋体" w:cs="宋体"/>
                <w:kern w:val="0"/>
                <w:szCs w:val="21"/>
              </w:rPr>
            </w:pPr>
            <w:r>
              <w:rPr>
                <w:rFonts w:hint="eastAsia" w:ascii="宋体" w:hAnsi="宋体" w:cs="宋体"/>
                <w:kern w:val="0"/>
                <w:szCs w:val="21"/>
              </w:rPr>
              <w:t xml:space="preserve">1.提供以上 3 点内容得 </w:t>
            </w:r>
            <w:r>
              <w:rPr>
                <w:rFonts w:hint="eastAsia" w:ascii="宋体" w:hAnsi="宋体" w:cs="宋体"/>
                <w:kern w:val="0"/>
                <w:szCs w:val="21"/>
                <w:lang w:val="en-US" w:eastAsia="zh-CN"/>
              </w:rPr>
              <w:t>3</w:t>
            </w:r>
            <w:r>
              <w:rPr>
                <w:rFonts w:hint="eastAsia" w:ascii="宋体" w:hAnsi="宋体" w:cs="宋体"/>
                <w:kern w:val="0"/>
                <w:szCs w:val="21"/>
              </w:rPr>
              <w:t xml:space="preserve">分，满足任意 2 点内容得 </w:t>
            </w:r>
            <w:r>
              <w:rPr>
                <w:rFonts w:hint="eastAsia" w:ascii="宋体" w:hAnsi="宋体" w:cs="宋体"/>
                <w:kern w:val="0"/>
                <w:szCs w:val="21"/>
                <w:lang w:val="en-US" w:eastAsia="zh-CN"/>
              </w:rPr>
              <w:t>2</w:t>
            </w:r>
            <w:r>
              <w:rPr>
                <w:rFonts w:hint="eastAsia" w:ascii="宋体" w:hAnsi="宋体" w:cs="宋体"/>
                <w:kern w:val="0"/>
                <w:szCs w:val="21"/>
              </w:rPr>
              <w:t>分，满足任意一点内容得 1 分，未满足不得分。</w:t>
            </w:r>
          </w:p>
          <w:p>
            <w:pPr>
              <w:widowControl/>
              <w:spacing w:line="360" w:lineRule="auto"/>
              <w:ind w:right="30"/>
              <w:jc w:val="left"/>
              <w:rPr>
                <w:rFonts w:ascii="宋体" w:hAnsi="宋体" w:cs="宋体"/>
                <w:kern w:val="0"/>
                <w:szCs w:val="21"/>
              </w:rPr>
            </w:pPr>
            <w:r>
              <w:rPr>
                <w:rFonts w:hint="eastAsia" w:ascii="宋体" w:hAnsi="宋体" w:cs="宋体"/>
                <w:kern w:val="0"/>
                <w:szCs w:val="21"/>
              </w:rPr>
              <w:t>2.在此基础上，专家根据内容的合理性进行评分:</w:t>
            </w:r>
          </w:p>
          <w:p>
            <w:pPr>
              <w:widowControl/>
              <w:spacing w:line="360" w:lineRule="auto"/>
              <w:ind w:right="30"/>
              <w:jc w:val="left"/>
              <w:rPr>
                <w:rFonts w:ascii="宋体" w:hAnsi="宋体" w:cs="宋体"/>
                <w:kern w:val="0"/>
                <w:szCs w:val="21"/>
              </w:rPr>
            </w:pPr>
            <w:r>
              <w:rPr>
                <w:rFonts w:hint="eastAsia" w:ascii="宋体" w:hAnsi="宋体" w:cs="宋体"/>
                <w:kern w:val="0"/>
                <w:szCs w:val="21"/>
              </w:rPr>
              <w:t>（1）服务方案及可行性分析内容全面；</w:t>
            </w:r>
          </w:p>
          <w:p>
            <w:pPr>
              <w:widowControl/>
              <w:spacing w:line="360" w:lineRule="auto"/>
              <w:ind w:right="30"/>
              <w:jc w:val="left"/>
              <w:rPr>
                <w:rFonts w:ascii="宋体" w:hAnsi="宋体" w:cs="宋体"/>
                <w:kern w:val="0"/>
                <w:szCs w:val="21"/>
              </w:rPr>
            </w:pPr>
            <w:r>
              <w:rPr>
                <w:rFonts w:hint="eastAsia" w:ascii="宋体" w:hAnsi="宋体" w:cs="宋体"/>
                <w:kern w:val="0"/>
                <w:szCs w:val="21"/>
              </w:rPr>
              <w:t>（2）服务方案及可行性分析内容具体；</w:t>
            </w:r>
          </w:p>
          <w:p>
            <w:pPr>
              <w:widowControl/>
              <w:spacing w:line="360" w:lineRule="auto"/>
              <w:ind w:right="30"/>
              <w:jc w:val="left"/>
              <w:rPr>
                <w:rFonts w:ascii="宋体" w:hAnsi="宋体" w:cs="宋体"/>
                <w:kern w:val="0"/>
                <w:szCs w:val="21"/>
              </w:rPr>
            </w:pPr>
            <w:r>
              <w:rPr>
                <w:rFonts w:hint="eastAsia" w:ascii="宋体" w:hAnsi="宋体" w:cs="宋体"/>
                <w:kern w:val="0"/>
                <w:szCs w:val="21"/>
              </w:rPr>
              <w:t>（3）服务方案及可行性分析内容科学合理；</w:t>
            </w:r>
          </w:p>
          <w:p>
            <w:pPr>
              <w:widowControl/>
              <w:spacing w:line="360" w:lineRule="auto"/>
              <w:ind w:right="30"/>
              <w:jc w:val="left"/>
              <w:rPr>
                <w:rFonts w:ascii="宋体" w:hAnsi="宋体" w:cs="宋体"/>
                <w:kern w:val="0"/>
                <w:szCs w:val="21"/>
              </w:rPr>
            </w:pPr>
            <w:r>
              <w:rPr>
                <w:rFonts w:hint="eastAsia" w:ascii="宋体" w:hAnsi="宋体" w:cs="宋体"/>
                <w:kern w:val="0"/>
                <w:szCs w:val="21"/>
              </w:rPr>
              <w:t>（4）服务方案及可行性分析内容针对性强；</w:t>
            </w:r>
          </w:p>
          <w:p>
            <w:pPr>
              <w:widowControl/>
              <w:spacing w:line="360" w:lineRule="auto"/>
              <w:ind w:right="30"/>
              <w:jc w:val="left"/>
              <w:rPr>
                <w:rFonts w:ascii="宋体" w:hAnsi="宋体" w:cs="宋体"/>
                <w:kern w:val="0"/>
                <w:szCs w:val="21"/>
              </w:rPr>
            </w:pPr>
            <w:r>
              <w:rPr>
                <w:rFonts w:hint="eastAsia" w:ascii="宋体" w:hAnsi="宋体" w:cs="宋体"/>
                <w:kern w:val="0"/>
                <w:szCs w:val="21"/>
              </w:rPr>
              <w:t>（5）服务方案及可行性分析内容可操作性强。</w:t>
            </w:r>
          </w:p>
          <w:p>
            <w:pPr>
              <w:widowControl/>
              <w:spacing w:line="360" w:lineRule="auto"/>
              <w:ind w:right="30"/>
              <w:jc w:val="left"/>
              <w:rPr>
                <w:rFonts w:ascii="宋体" w:hAnsi="宋体" w:cs="宋体"/>
                <w:kern w:val="0"/>
                <w:szCs w:val="21"/>
              </w:rPr>
            </w:pPr>
            <w:r>
              <w:rPr>
                <w:rFonts w:hint="eastAsia" w:ascii="宋体" w:hAnsi="宋体" w:cs="宋体"/>
                <w:kern w:val="0"/>
                <w:szCs w:val="21"/>
              </w:rPr>
              <w:t xml:space="preserve">优评分标准：满足以上五项要求的评价为优，加 </w:t>
            </w:r>
            <w:r>
              <w:rPr>
                <w:rFonts w:hint="eastAsia" w:ascii="宋体" w:hAnsi="宋体" w:cs="宋体"/>
                <w:kern w:val="0"/>
                <w:szCs w:val="21"/>
                <w:lang w:val="en-US" w:eastAsia="zh-CN"/>
              </w:rPr>
              <w:t>10</w:t>
            </w:r>
            <w:r>
              <w:rPr>
                <w:rFonts w:hint="eastAsia" w:ascii="宋体" w:hAnsi="宋体" w:cs="宋体"/>
                <w:kern w:val="0"/>
                <w:szCs w:val="21"/>
              </w:rPr>
              <w:t xml:space="preserve"> 分；</w:t>
            </w:r>
          </w:p>
          <w:p>
            <w:pPr>
              <w:widowControl/>
              <w:spacing w:line="360" w:lineRule="auto"/>
              <w:ind w:right="30"/>
              <w:jc w:val="left"/>
              <w:rPr>
                <w:rFonts w:ascii="宋体" w:hAnsi="宋体" w:cs="宋体"/>
                <w:kern w:val="0"/>
                <w:szCs w:val="21"/>
              </w:rPr>
            </w:pPr>
            <w:r>
              <w:rPr>
                <w:rFonts w:hint="eastAsia" w:ascii="宋体" w:hAnsi="宋体" w:cs="宋体"/>
                <w:kern w:val="0"/>
                <w:szCs w:val="21"/>
              </w:rPr>
              <w:t xml:space="preserve">良评分标准：满足以上四项要求的评价为良，加 </w:t>
            </w:r>
            <w:r>
              <w:rPr>
                <w:rFonts w:hint="eastAsia" w:ascii="宋体" w:hAnsi="宋体" w:cs="宋体"/>
                <w:kern w:val="0"/>
                <w:szCs w:val="21"/>
                <w:lang w:val="en-US" w:eastAsia="zh-CN"/>
              </w:rPr>
              <w:t>7</w:t>
            </w:r>
            <w:r>
              <w:rPr>
                <w:rFonts w:hint="eastAsia" w:ascii="宋体" w:hAnsi="宋体" w:cs="宋体"/>
                <w:kern w:val="0"/>
                <w:szCs w:val="21"/>
              </w:rPr>
              <w:t>分；</w:t>
            </w:r>
          </w:p>
          <w:p>
            <w:pPr>
              <w:widowControl/>
              <w:spacing w:line="360" w:lineRule="auto"/>
              <w:ind w:right="30"/>
              <w:jc w:val="left"/>
              <w:rPr>
                <w:rFonts w:ascii="宋体" w:hAnsi="宋体" w:cs="宋体"/>
                <w:kern w:val="0"/>
                <w:szCs w:val="21"/>
              </w:rPr>
            </w:pPr>
            <w:r>
              <w:rPr>
                <w:rFonts w:hint="eastAsia" w:ascii="宋体" w:hAnsi="宋体" w:cs="宋体"/>
                <w:kern w:val="0"/>
                <w:szCs w:val="21"/>
              </w:rPr>
              <w:t xml:space="preserve">中评分标准：满足以上三项要求的评价为中，加 </w:t>
            </w:r>
            <w:r>
              <w:rPr>
                <w:rFonts w:hint="eastAsia" w:ascii="宋体" w:hAnsi="宋体" w:cs="宋体"/>
                <w:kern w:val="0"/>
                <w:szCs w:val="21"/>
                <w:lang w:val="en-US" w:eastAsia="zh-CN"/>
              </w:rPr>
              <w:t>4</w:t>
            </w:r>
            <w:r>
              <w:rPr>
                <w:rFonts w:hint="eastAsia" w:ascii="宋体" w:hAnsi="宋体" w:cs="宋体"/>
                <w:kern w:val="0"/>
                <w:szCs w:val="21"/>
              </w:rPr>
              <w:t xml:space="preserve"> 分；</w:t>
            </w:r>
          </w:p>
          <w:p>
            <w:pPr>
              <w:widowControl/>
              <w:spacing w:line="360" w:lineRule="auto"/>
              <w:ind w:right="30"/>
              <w:jc w:val="left"/>
              <w:rPr>
                <w:rFonts w:ascii="宋体" w:hAnsi="宋体" w:cs="宋体"/>
                <w:kern w:val="0"/>
                <w:szCs w:val="21"/>
              </w:rPr>
            </w:pPr>
            <w:r>
              <w:rPr>
                <w:rFonts w:hint="eastAsia" w:ascii="宋体" w:hAnsi="宋体" w:cs="宋体"/>
                <w:kern w:val="0"/>
                <w:szCs w:val="21"/>
              </w:rPr>
              <w:t>差评分标准：满足以上二项要求的评价为差，得 1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质保服务承诺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kern w:val="0"/>
                <w:szCs w:val="21"/>
              </w:rPr>
            </w:pPr>
            <w:r>
              <w:rPr>
                <w:rFonts w:hint="eastAsia" w:ascii="宋体" w:hAnsi="宋体" w:cs="宋体"/>
                <w:kern w:val="0"/>
                <w:szCs w:val="21"/>
              </w:rPr>
              <w:t>（一）评分内容：</w:t>
            </w:r>
          </w:p>
          <w:p>
            <w:pPr>
              <w:widowControl/>
              <w:spacing w:line="360" w:lineRule="auto"/>
              <w:ind w:right="30"/>
              <w:jc w:val="left"/>
              <w:rPr>
                <w:rFonts w:ascii="宋体" w:hAnsi="宋体" w:cs="宋体"/>
                <w:kern w:val="0"/>
                <w:szCs w:val="21"/>
              </w:rPr>
            </w:pPr>
            <w:r>
              <w:rPr>
                <w:rFonts w:hint="eastAsia" w:ascii="宋体" w:hAnsi="宋体" w:cs="宋体"/>
                <w:kern w:val="0"/>
                <w:szCs w:val="21"/>
              </w:rPr>
              <w:t>根据各投标人提供的《质量保证服务承诺书》等内容的综合比较：</w:t>
            </w:r>
          </w:p>
          <w:p>
            <w:pPr>
              <w:widowControl/>
              <w:spacing w:line="360" w:lineRule="auto"/>
              <w:ind w:right="30"/>
              <w:jc w:val="left"/>
              <w:rPr>
                <w:rFonts w:ascii="宋体" w:hAnsi="宋体" w:cs="宋体"/>
                <w:kern w:val="0"/>
                <w:szCs w:val="21"/>
              </w:rPr>
            </w:pPr>
            <w:r>
              <w:rPr>
                <w:rFonts w:hint="eastAsia" w:ascii="宋体" w:hAnsi="宋体" w:cs="宋体"/>
                <w:kern w:val="0"/>
                <w:szCs w:val="21"/>
              </w:rPr>
              <w:t>（二）评分标准：</w:t>
            </w:r>
          </w:p>
          <w:p>
            <w:pPr>
              <w:widowControl/>
              <w:spacing w:line="360" w:lineRule="auto"/>
              <w:ind w:right="30"/>
              <w:jc w:val="left"/>
              <w:rPr>
                <w:rFonts w:ascii="宋体" w:hAnsi="宋体" w:cs="宋体"/>
                <w:kern w:val="0"/>
                <w:szCs w:val="21"/>
              </w:rPr>
            </w:pPr>
            <w:r>
              <w:rPr>
                <w:rFonts w:hint="eastAsia" w:ascii="宋体" w:hAnsi="宋体" w:cs="宋体"/>
                <w:kern w:val="0"/>
                <w:szCs w:val="21"/>
              </w:rPr>
              <w:t>1.整体结构质保满足5年、光源及电源质保满足2年的基础上，整体结构或者光源及电源的质保期每增加1年，得0.5分，最高3.5分。</w:t>
            </w:r>
          </w:p>
          <w:p>
            <w:pPr>
              <w:widowControl/>
              <w:spacing w:line="360" w:lineRule="auto"/>
              <w:ind w:right="30"/>
              <w:jc w:val="left"/>
              <w:rPr>
                <w:rFonts w:ascii="宋体" w:hAnsi="宋体" w:cs="宋体"/>
                <w:kern w:val="0"/>
                <w:szCs w:val="21"/>
              </w:rPr>
            </w:pPr>
            <w:r>
              <w:rPr>
                <w:rFonts w:hint="eastAsia" w:ascii="宋体" w:hAnsi="宋体" w:cs="宋体"/>
                <w:kern w:val="0"/>
                <w:szCs w:val="21"/>
              </w:rPr>
              <w:t>2.服务承诺越全面完善、方案越具体可行，得分越高。优得1.5分，良得1分，一般得0.5分，差得0分。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t>质量保</w:t>
            </w:r>
          </w:p>
          <w:p>
            <w:pPr>
              <w:spacing w:line="320" w:lineRule="exact"/>
              <w:jc w:val="center"/>
            </w:pPr>
            <w:r>
              <w:t>障措施</w:t>
            </w:r>
          </w:p>
          <w:p>
            <w:pPr>
              <w:spacing w:line="320" w:lineRule="exact"/>
              <w:jc w:val="center"/>
            </w:pPr>
            <w:r>
              <w:t>及方案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kern w:val="0"/>
                <w:szCs w:val="21"/>
              </w:rPr>
            </w:pPr>
            <w:r>
              <w:rPr>
                <w:rFonts w:hint="eastAsia" w:ascii="宋体" w:hAnsi="宋体" w:cs="宋体"/>
                <w:kern w:val="0"/>
                <w:szCs w:val="21"/>
              </w:rPr>
              <w:t>（一）评分内容：</w:t>
            </w:r>
          </w:p>
          <w:p>
            <w:pPr>
              <w:widowControl/>
              <w:spacing w:line="360" w:lineRule="auto"/>
              <w:ind w:right="30"/>
              <w:jc w:val="left"/>
              <w:rPr>
                <w:rFonts w:ascii="宋体" w:hAnsi="宋体" w:cs="宋体"/>
                <w:kern w:val="0"/>
                <w:szCs w:val="21"/>
              </w:rPr>
            </w:pPr>
            <w:r>
              <w:rPr>
                <w:rFonts w:hint="eastAsia" w:ascii="宋体" w:hAnsi="宋体" w:cs="宋体"/>
                <w:kern w:val="0"/>
                <w:szCs w:val="21"/>
              </w:rPr>
              <w:t>重点考察项目质量保障措施及方案。必须包含组织管理、风险防控、进度控制、保密措施等内容。投标人提供的服务质量保证措施及承诺情况，包含但不限于投标人招聘完成以后的服务承诺内容、招聘的人员服务质量情况以及日常业务培训能力等措施内容。</w:t>
            </w:r>
          </w:p>
          <w:p>
            <w:pPr>
              <w:widowControl/>
              <w:spacing w:line="360" w:lineRule="auto"/>
              <w:ind w:right="30"/>
              <w:jc w:val="left"/>
              <w:rPr>
                <w:rFonts w:ascii="宋体" w:hAnsi="宋体" w:cs="宋体"/>
                <w:kern w:val="0"/>
                <w:szCs w:val="21"/>
              </w:rPr>
            </w:pPr>
            <w:r>
              <w:rPr>
                <w:rFonts w:hint="eastAsia" w:ascii="宋体" w:hAnsi="宋体" w:cs="宋体"/>
                <w:kern w:val="0"/>
                <w:szCs w:val="21"/>
              </w:rPr>
              <w:t>（二）评分标准：</w:t>
            </w:r>
          </w:p>
          <w:p>
            <w:pPr>
              <w:widowControl/>
              <w:spacing w:line="360" w:lineRule="auto"/>
              <w:ind w:right="30"/>
              <w:jc w:val="left"/>
              <w:rPr>
                <w:rFonts w:ascii="宋体" w:hAnsi="宋体" w:cs="宋体"/>
                <w:kern w:val="0"/>
                <w:szCs w:val="21"/>
              </w:rPr>
            </w:pPr>
            <w:r>
              <w:rPr>
                <w:rFonts w:hint="eastAsia" w:ascii="宋体" w:hAnsi="宋体" w:cs="宋体"/>
                <w:kern w:val="0"/>
                <w:szCs w:val="21"/>
              </w:rPr>
              <w:t xml:space="preserve">1.提供以上内容得 </w:t>
            </w:r>
            <w:r>
              <w:rPr>
                <w:rFonts w:hint="eastAsia" w:ascii="宋体" w:hAnsi="宋体" w:cs="宋体"/>
                <w:kern w:val="0"/>
                <w:szCs w:val="21"/>
                <w:lang w:val="en-US" w:eastAsia="zh-CN"/>
              </w:rPr>
              <w:t>2</w:t>
            </w:r>
            <w:r>
              <w:rPr>
                <w:rFonts w:hint="eastAsia" w:ascii="宋体" w:hAnsi="宋体" w:cs="宋体"/>
                <w:kern w:val="0"/>
                <w:szCs w:val="21"/>
              </w:rPr>
              <w:t xml:space="preserve"> 分，未满足不得分。</w:t>
            </w:r>
          </w:p>
          <w:p>
            <w:pPr>
              <w:widowControl/>
              <w:spacing w:line="360" w:lineRule="auto"/>
              <w:ind w:right="30"/>
              <w:jc w:val="left"/>
              <w:rPr>
                <w:rFonts w:ascii="宋体" w:hAnsi="宋体" w:cs="宋体"/>
                <w:kern w:val="0"/>
                <w:szCs w:val="21"/>
              </w:rPr>
            </w:pPr>
            <w:r>
              <w:rPr>
                <w:rFonts w:hint="eastAsia" w:ascii="宋体" w:hAnsi="宋体" w:cs="宋体"/>
                <w:kern w:val="0"/>
                <w:szCs w:val="21"/>
              </w:rPr>
              <w:t>2.在此基础上，专家根据内容的合理性进行评分:</w:t>
            </w:r>
          </w:p>
          <w:p>
            <w:pPr>
              <w:widowControl/>
              <w:spacing w:line="360" w:lineRule="auto"/>
              <w:ind w:right="30"/>
              <w:jc w:val="left"/>
              <w:rPr>
                <w:rFonts w:ascii="宋体" w:hAnsi="宋体" w:cs="宋体"/>
                <w:kern w:val="0"/>
                <w:szCs w:val="21"/>
              </w:rPr>
            </w:pPr>
            <w:r>
              <w:rPr>
                <w:rFonts w:hint="eastAsia" w:ascii="宋体" w:hAnsi="宋体" w:cs="宋体"/>
                <w:kern w:val="0"/>
                <w:szCs w:val="21"/>
              </w:rPr>
              <w:t>（1）质量保障措施及方案内容全面；</w:t>
            </w:r>
          </w:p>
          <w:p>
            <w:pPr>
              <w:widowControl/>
              <w:spacing w:line="360" w:lineRule="auto"/>
              <w:ind w:right="30"/>
              <w:jc w:val="left"/>
              <w:rPr>
                <w:rFonts w:ascii="宋体" w:hAnsi="宋体" w:cs="宋体"/>
                <w:kern w:val="0"/>
                <w:szCs w:val="21"/>
              </w:rPr>
            </w:pPr>
            <w:r>
              <w:rPr>
                <w:rFonts w:hint="eastAsia" w:ascii="宋体" w:hAnsi="宋体" w:cs="宋体"/>
                <w:kern w:val="0"/>
                <w:szCs w:val="21"/>
              </w:rPr>
              <w:t>（2）质量保障措施及方案内容具体；</w:t>
            </w:r>
          </w:p>
          <w:p>
            <w:pPr>
              <w:widowControl/>
              <w:spacing w:line="360" w:lineRule="auto"/>
              <w:ind w:right="30"/>
              <w:jc w:val="left"/>
              <w:rPr>
                <w:rFonts w:ascii="宋体" w:hAnsi="宋体" w:cs="宋体"/>
                <w:kern w:val="0"/>
                <w:szCs w:val="21"/>
              </w:rPr>
            </w:pPr>
            <w:r>
              <w:rPr>
                <w:rFonts w:hint="eastAsia" w:ascii="宋体" w:hAnsi="宋体" w:cs="宋体"/>
                <w:kern w:val="0"/>
                <w:szCs w:val="21"/>
              </w:rPr>
              <w:t>（3）质量保障措施及方案内容科学合理；</w:t>
            </w:r>
          </w:p>
          <w:p>
            <w:pPr>
              <w:widowControl/>
              <w:spacing w:line="360" w:lineRule="auto"/>
              <w:ind w:right="30"/>
              <w:jc w:val="left"/>
              <w:rPr>
                <w:rFonts w:ascii="宋体" w:hAnsi="宋体" w:cs="宋体"/>
                <w:kern w:val="0"/>
                <w:szCs w:val="21"/>
              </w:rPr>
            </w:pPr>
            <w:r>
              <w:rPr>
                <w:rFonts w:hint="eastAsia" w:ascii="宋体" w:hAnsi="宋体" w:cs="宋体"/>
                <w:kern w:val="0"/>
                <w:szCs w:val="21"/>
              </w:rPr>
              <w:t>（4）质量保障措施及方案针对性强；</w:t>
            </w:r>
          </w:p>
          <w:p>
            <w:pPr>
              <w:widowControl/>
              <w:spacing w:line="360" w:lineRule="auto"/>
              <w:ind w:right="30"/>
              <w:jc w:val="left"/>
              <w:rPr>
                <w:rFonts w:ascii="宋体" w:hAnsi="宋体" w:cs="宋体"/>
                <w:kern w:val="0"/>
                <w:szCs w:val="21"/>
              </w:rPr>
            </w:pPr>
            <w:r>
              <w:rPr>
                <w:rFonts w:hint="eastAsia" w:ascii="宋体" w:hAnsi="宋体" w:cs="宋体"/>
                <w:kern w:val="0"/>
                <w:szCs w:val="21"/>
              </w:rPr>
              <w:t>（5）质量保障措施及方案可操作性强。</w:t>
            </w:r>
          </w:p>
          <w:p>
            <w:pPr>
              <w:widowControl/>
              <w:spacing w:line="360" w:lineRule="auto"/>
              <w:ind w:right="30"/>
              <w:jc w:val="left"/>
              <w:rPr>
                <w:rFonts w:ascii="宋体" w:hAnsi="宋体" w:cs="宋体"/>
                <w:kern w:val="0"/>
                <w:szCs w:val="21"/>
              </w:rPr>
            </w:pPr>
            <w:r>
              <w:rPr>
                <w:rFonts w:hint="eastAsia" w:ascii="宋体" w:hAnsi="宋体" w:cs="宋体"/>
                <w:kern w:val="0"/>
                <w:szCs w:val="21"/>
              </w:rPr>
              <w:t>优评分标准：满足以上五项要求的评价为优，加 8 分；</w:t>
            </w:r>
          </w:p>
          <w:p>
            <w:pPr>
              <w:widowControl/>
              <w:spacing w:line="360" w:lineRule="auto"/>
              <w:ind w:right="30"/>
              <w:jc w:val="left"/>
              <w:rPr>
                <w:rFonts w:ascii="宋体" w:hAnsi="宋体" w:cs="宋体"/>
                <w:kern w:val="0"/>
                <w:szCs w:val="21"/>
              </w:rPr>
            </w:pPr>
            <w:r>
              <w:rPr>
                <w:rFonts w:hint="eastAsia" w:ascii="宋体" w:hAnsi="宋体" w:cs="宋体"/>
                <w:kern w:val="0"/>
                <w:szCs w:val="21"/>
              </w:rPr>
              <w:t>良评分标准：满足以上四项要求的评价为良，加 5 分；</w:t>
            </w:r>
          </w:p>
          <w:p>
            <w:pPr>
              <w:widowControl/>
              <w:spacing w:line="360" w:lineRule="auto"/>
              <w:ind w:right="30"/>
              <w:jc w:val="left"/>
              <w:rPr>
                <w:rFonts w:ascii="宋体" w:hAnsi="宋体" w:cs="宋体"/>
                <w:kern w:val="0"/>
                <w:szCs w:val="21"/>
              </w:rPr>
            </w:pPr>
            <w:r>
              <w:rPr>
                <w:rFonts w:hint="eastAsia" w:ascii="宋体" w:hAnsi="宋体" w:cs="宋体"/>
                <w:kern w:val="0"/>
                <w:szCs w:val="21"/>
              </w:rPr>
              <w:t>中评分标准：满足以上三项要求的评价为中，加 3 分；</w:t>
            </w:r>
          </w:p>
          <w:p>
            <w:pPr>
              <w:widowControl/>
              <w:spacing w:line="360" w:lineRule="auto"/>
              <w:ind w:right="30"/>
              <w:jc w:val="left"/>
              <w:rPr>
                <w:rFonts w:ascii="宋体" w:hAnsi="宋体" w:cs="宋体"/>
                <w:kern w:val="0"/>
                <w:szCs w:val="21"/>
              </w:rPr>
            </w:pPr>
            <w:r>
              <w:rPr>
                <w:rFonts w:hint="eastAsia" w:ascii="宋体" w:hAnsi="宋体" w:cs="宋体"/>
                <w:kern w:val="0"/>
                <w:szCs w:val="21"/>
              </w:rPr>
              <w:t>差评分标准：满足以上二项要求的评价为差，加 1 分；</w:t>
            </w:r>
          </w:p>
          <w:p>
            <w:pPr>
              <w:widowControl/>
              <w:spacing w:line="360" w:lineRule="auto"/>
              <w:ind w:right="30"/>
              <w:jc w:val="left"/>
              <w:rPr>
                <w:rFonts w:ascii="宋体" w:hAnsi="宋体" w:cs="宋体"/>
                <w:kern w:val="0"/>
                <w:szCs w:val="21"/>
              </w:rPr>
            </w:pPr>
            <w:r>
              <w:rPr>
                <w:rFonts w:hint="eastAsia" w:ascii="宋体" w:hAnsi="宋体" w:cs="宋体"/>
                <w:kern w:val="0"/>
                <w:szCs w:val="21"/>
              </w:rPr>
              <w:t>上述情况之外的，得 0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t>项目的</w:t>
            </w:r>
          </w:p>
          <w:p>
            <w:pPr>
              <w:spacing w:line="320" w:lineRule="exact"/>
              <w:jc w:val="center"/>
            </w:pPr>
            <w:r>
              <w:t>重点、难</w:t>
            </w:r>
          </w:p>
          <w:p>
            <w:pPr>
              <w:spacing w:line="320" w:lineRule="exact"/>
              <w:jc w:val="center"/>
            </w:pPr>
            <w:r>
              <w:t>点及解</w:t>
            </w:r>
          </w:p>
          <w:p>
            <w:pPr>
              <w:spacing w:line="320" w:lineRule="exact"/>
              <w:jc w:val="center"/>
            </w:pPr>
            <w:r>
              <w:t>决方案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12分</w:t>
            </w:r>
          </w:p>
        </w:tc>
        <w:tc>
          <w:tcPr>
            <w:tcW w:w="6804"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ascii="宋体" w:hAnsi="宋体" w:cs="宋体"/>
                <w:kern w:val="0"/>
                <w:szCs w:val="21"/>
              </w:rPr>
            </w:pPr>
            <w:r>
              <w:rPr>
                <w:rFonts w:hint="eastAsia" w:ascii="宋体" w:hAnsi="宋体" w:cs="宋体"/>
                <w:kern w:val="0"/>
                <w:szCs w:val="21"/>
              </w:rPr>
              <w:t>（一）评审内容：</w:t>
            </w:r>
          </w:p>
          <w:p>
            <w:pPr>
              <w:widowControl/>
              <w:spacing w:line="360" w:lineRule="auto"/>
              <w:ind w:right="30"/>
              <w:jc w:val="left"/>
              <w:rPr>
                <w:rFonts w:ascii="宋体" w:hAnsi="宋体" w:cs="宋体"/>
                <w:kern w:val="0"/>
                <w:szCs w:val="21"/>
              </w:rPr>
            </w:pPr>
            <w:r>
              <w:rPr>
                <w:rFonts w:hint="eastAsia" w:ascii="宋体" w:hAnsi="宋体" w:cs="宋体"/>
                <w:kern w:val="0"/>
                <w:szCs w:val="21"/>
              </w:rPr>
              <w:t>投标人针对本项目对重点难点工作做出分析、应对措施及相关的合</w:t>
            </w:r>
          </w:p>
          <w:p>
            <w:pPr>
              <w:widowControl/>
              <w:spacing w:line="360" w:lineRule="auto"/>
              <w:ind w:right="30"/>
              <w:jc w:val="left"/>
              <w:rPr>
                <w:rFonts w:ascii="宋体" w:hAnsi="宋体" w:cs="宋体"/>
                <w:kern w:val="0"/>
                <w:szCs w:val="21"/>
              </w:rPr>
            </w:pPr>
            <w:r>
              <w:rPr>
                <w:rFonts w:hint="eastAsia" w:ascii="宋体" w:hAnsi="宋体" w:cs="宋体"/>
                <w:kern w:val="0"/>
                <w:szCs w:val="21"/>
              </w:rPr>
              <w:t>理化建议，包括但不限于以下内容：</w:t>
            </w:r>
          </w:p>
          <w:p>
            <w:pPr>
              <w:widowControl/>
              <w:spacing w:line="360" w:lineRule="auto"/>
              <w:ind w:right="30"/>
              <w:jc w:val="left"/>
              <w:rPr>
                <w:rFonts w:ascii="宋体" w:hAnsi="宋体" w:cs="宋体"/>
                <w:kern w:val="0"/>
                <w:szCs w:val="21"/>
              </w:rPr>
            </w:pPr>
            <w:r>
              <w:rPr>
                <w:rFonts w:hint="eastAsia" w:ascii="宋体" w:hAnsi="宋体" w:cs="宋体"/>
                <w:kern w:val="0"/>
                <w:szCs w:val="21"/>
              </w:rPr>
              <w:t>1.重点分析；</w:t>
            </w:r>
          </w:p>
          <w:p>
            <w:pPr>
              <w:widowControl/>
              <w:spacing w:line="360" w:lineRule="auto"/>
              <w:ind w:right="30"/>
              <w:jc w:val="left"/>
              <w:rPr>
                <w:rFonts w:ascii="宋体" w:hAnsi="宋体" w:cs="宋体"/>
                <w:kern w:val="0"/>
                <w:szCs w:val="21"/>
              </w:rPr>
            </w:pPr>
            <w:r>
              <w:rPr>
                <w:rFonts w:hint="eastAsia" w:ascii="宋体" w:hAnsi="宋体" w:cs="宋体"/>
                <w:kern w:val="0"/>
                <w:szCs w:val="21"/>
              </w:rPr>
              <w:t>2.难点分析；</w:t>
            </w:r>
          </w:p>
          <w:p>
            <w:pPr>
              <w:widowControl/>
              <w:spacing w:line="360" w:lineRule="auto"/>
              <w:ind w:right="30"/>
              <w:jc w:val="left"/>
              <w:rPr>
                <w:rFonts w:ascii="宋体" w:hAnsi="宋体" w:cs="宋体"/>
                <w:kern w:val="0"/>
                <w:szCs w:val="21"/>
              </w:rPr>
            </w:pPr>
            <w:r>
              <w:rPr>
                <w:rFonts w:hint="eastAsia" w:ascii="宋体" w:hAnsi="宋体" w:cs="宋体"/>
                <w:kern w:val="0"/>
                <w:szCs w:val="21"/>
              </w:rPr>
              <w:t>3.重难点应对措施；</w:t>
            </w:r>
          </w:p>
          <w:p>
            <w:pPr>
              <w:widowControl/>
              <w:spacing w:line="360" w:lineRule="auto"/>
              <w:ind w:right="30"/>
              <w:jc w:val="left"/>
              <w:rPr>
                <w:rFonts w:ascii="宋体" w:hAnsi="宋体" w:cs="宋体"/>
                <w:kern w:val="0"/>
                <w:szCs w:val="21"/>
              </w:rPr>
            </w:pPr>
            <w:r>
              <w:rPr>
                <w:rFonts w:hint="eastAsia" w:ascii="宋体" w:hAnsi="宋体" w:cs="宋体"/>
                <w:kern w:val="0"/>
                <w:szCs w:val="21"/>
              </w:rPr>
              <w:t>4.相关的合理化建议。</w:t>
            </w:r>
          </w:p>
          <w:p>
            <w:pPr>
              <w:widowControl/>
              <w:spacing w:line="360" w:lineRule="auto"/>
              <w:ind w:right="30"/>
              <w:jc w:val="left"/>
              <w:rPr>
                <w:rFonts w:ascii="宋体" w:hAnsi="宋体" w:cs="宋体"/>
                <w:kern w:val="0"/>
                <w:szCs w:val="21"/>
              </w:rPr>
            </w:pPr>
            <w:r>
              <w:rPr>
                <w:rFonts w:hint="eastAsia" w:ascii="宋体" w:hAnsi="宋体" w:cs="宋体"/>
                <w:kern w:val="0"/>
                <w:szCs w:val="21"/>
              </w:rPr>
              <w:t>（二）评分依据：</w:t>
            </w:r>
          </w:p>
          <w:p>
            <w:pPr>
              <w:widowControl/>
              <w:spacing w:line="360" w:lineRule="auto"/>
              <w:ind w:right="30"/>
              <w:jc w:val="left"/>
              <w:rPr>
                <w:rFonts w:ascii="宋体" w:hAnsi="宋体" w:cs="宋体"/>
                <w:kern w:val="0"/>
                <w:szCs w:val="21"/>
              </w:rPr>
            </w:pPr>
            <w:r>
              <w:rPr>
                <w:rFonts w:hint="eastAsia" w:ascii="宋体" w:hAnsi="宋体" w:cs="宋体"/>
                <w:kern w:val="0"/>
                <w:szCs w:val="21"/>
              </w:rPr>
              <w:t>1.提供以上 4 点内容得 3 分，满足任意 3 点内容得 2 分，满足任意</w:t>
            </w:r>
          </w:p>
          <w:p>
            <w:pPr>
              <w:widowControl/>
              <w:spacing w:line="360" w:lineRule="auto"/>
              <w:ind w:right="30"/>
              <w:jc w:val="left"/>
              <w:rPr>
                <w:rFonts w:ascii="宋体" w:hAnsi="宋体" w:cs="宋体"/>
                <w:kern w:val="0"/>
                <w:szCs w:val="21"/>
              </w:rPr>
            </w:pPr>
            <w:r>
              <w:rPr>
                <w:rFonts w:hint="eastAsia" w:ascii="宋体" w:hAnsi="宋体" w:cs="宋体"/>
                <w:kern w:val="0"/>
                <w:szCs w:val="21"/>
              </w:rPr>
              <w:t>一点内容得 1 分，未满足不得分。</w:t>
            </w:r>
          </w:p>
          <w:p>
            <w:pPr>
              <w:widowControl/>
              <w:spacing w:line="360" w:lineRule="auto"/>
              <w:ind w:right="30"/>
              <w:jc w:val="left"/>
              <w:rPr>
                <w:rFonts w:ascii="宋体" w:hAnsi="宋体" w:cs="宋体"/>
                <w:kern w:val="0"/>
                <w:szCs w:val="21"/>
              </w:rPr>
            </w:pPr>
            <w:r>
              <w:rPr>
                <w:rFonts w:hint="eastAsia" w:ascii="宋体" w:hAnsi="宋体" w:cs="宋体"/>
                <w:kern w:val="0"/>
                <w:szCs w:val="21"/>
              </w:rPr>
              <w:t>2.在此基础上，专家根据内容的合理性进行评分：</w:t>
            </w:r>
          </w:p>
          <w:p>
            <w:pPr>
              <w:widowControl/>
              <w:spacing w:line="360" w:lineRule="auto"/>
              <w:ind w:right="30"/>
              <w:jc w:val="left"/>
              <w:rPr>
                <w:rFonts w:ascii="宋体" w:hAnsi="宋体" w:cs="宋体"/>
                <w:kern w:val="0"/>
                <w:szCs w:val="21"/>
              </w:rPr>
            </w:pPr>
            <w:r>
              <w:rPr>
                <w:rFonts w:hint="eastAsia" w:ascii="宋体" w:hAnsi="宋体" w:cs="宋体"/>
                <w:kern w:val="0"/>
                <w:szCs w:val="21"/>
              </w:rPr>
              <w:t>（1）优评分标准：方案符合实际、完整、规范、思路清晰，内容合理性强。评价为优的，加 9分；</w:t>
            </w:r>
          </w:p>
          <w:p>
            <w:pPr>
              <w:widowControl/>
              <w:spacing w:line="360" w:lineRule="auto"/>
              <w:ind w:right="30"/>
              <w:jc w:val="left"/>
              <w:rPr>
                <w:rFonts w:ascii="宋体" w:hAnsi="宋体" w:cs="宋体"/>
                <w:kern w:val="0"/>
                <w:szCs w:val="21"/>
              </w:rPr>
            </w:pPr>
            <w:r>
              <w:rPr>
                <w:rFonts w:hint="eastAsia" w:ascii="宋体" w:hAnsi="宋体" w:cs="宋体"/>
                <w:kern w:val="0"/>
                <w:szCs w:val="21"/>
              </w:rPr>
              <w:t>（2）良评分标准：方案较符合实际、较完整规范、思路较清晰，内容合理性较强。评价为良的，加 5 分；</w:t>
            </w:r>
          </w:p>
          <w:p>
            <w:pPr>
              <w:widowControl/>
              <w:spacing w:line="360" w:lineRule="auto"/>
              <w:ind w:right="30"/>
              <w:jc w:val="left"/>
              <w:rPr>
                <w:rFonts w:ascii="宋体" w:hAnsi="宋体" w:cs="宋体"/>
                <w:kern w:val="0"/>
                <w:szCs w:val="21"/>
              </w:rPr>
            </w:pPr>
            <w:r>
              <w:rPr>
                <w:rFonts w:hint="eastAsia" w:ascii="宋体" w:hAnsi="宋体" w:cs="宋体"/>
                <w:kern w:val="0"/>
                <w:szCs w:val="21"/>
              </w:rPr>
              <w:t>（3）中评分标准：方案较普通、完整性规范性一般，思路不够清晰，内容合理性一般。评价为中的，加 2 分；</w:t>
            </w:r>
          </w:p>
          <w:p>
            <w:pPr>
              <w:widowControl/>
              <w:spacing w:line="360" w:lineRule="auto"/>
              <w:ind w:right="30"/>
              <w:jc w:val="left"/>
              <w:rPr>
                <w:rFonts w:ascii="宋体" w:hAnsi="宋体" w:cs="宋体"/>
                <w:kern w:val="0"/>
                <w:szCs w:val="21"/>
              </w:rPr>
            </w:pPr>
            <w:r>
              <w:rPr>
                <w:rFonts w:hint="eastAsia" w:ascii="宋体" w:hAnsi="宋体" w:cs="宋体"/>
                <w:kern w:val="0"/>
                <w:szCs w:val="21"/>
              </w:rPr>
              <w:t>（4）差评分标准方案：方案不完整、不规范，思路不清晰，内容合理性较差或未提供。评价为差的不得分。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w:t>
            </w:r>
            <w:r>
              <w:rPr>
                <w:rFonts w:hint="eastAsia" w:ascii="宋体" w:hAnsi="宋体"/>
                <w:szCs w:val="21"/>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sym w:font="Wingdings 2" w:char="00A3"/>
            </w: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804" w:type="dxa"/>
            <w:gridSpan w:val="2"/>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25"/>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szCs w:val="21"/>
              </w:rPr>
              <w:t>××</w:t>
            </w:r>
            <w:r>
              <w:rPr>
                <w:rStyle w:val="19"/>
                <w:rFonts w:hint="eastAsia" w:ascii="宋体" w:hAnsi="宋体"/>
              </w:rPr>
              <w:t xml:space="preserve"> （价格评价分项满分值），Z为本次招标最佳报价（即基准价）；</w:t>
            </w:r>
          </w:p>
          <w:p>
            <w:pPr>
              <w:numPr>
                <w:ilvl w:val="0"/>
                <w:numId w:val="25"/>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A为价格调整系数，当投标报价低于本次招标最佳报价（即基准价）时，A=0.5；当投标报价高于次招标最佳报价时，取A=1；</w:t>
            </w:r>
          </w:p>
          <w:p>
            <w:pPr>
              <w:numPr>
                <w:ilvl w:val="0"/>
                <w:numId w:val="25"/>
              </w:numPr>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804" w:type="dxa"/>
            <w:gridSpan w:val="2"/>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rPr>
            </w:pPr>
            <w:r>
              <w:rPr>
                <w:rFonts w:hint="eastAsia"/>
              </w:rPr>
              <w:t>说明：报价最接近基准分的投标人价格分最高，价格分保留至小数点后两位。</w:t>
            </w:r>
          </w:p>
        </w:tc>
      </w:tr>
    </w:tbl>
    <w:p>
      <w:pPr>
        <w:numPr>
          <w:ilvl w:val="0"/>
          <w:numId w:val="20"/>
        </w:numPr>
        <w:spacing w:before="936" w:beforeLines="300" w:line="360" w:lineRule="auto"/>
        <w:jc w:val="left"/>
        <w:outlineLvl w:val="2"/>
        <w:rPr>
          <w:rStyle w:val="29"/>
          <w:rFonts w:ascii="宋体" w:hAnsi="宋体"/>
          <w:b/>
          <w:bCs/>
          <w:szCs w:val="21"/>
        </w:rPr>
      </w:pPr>
      <w:bookmarkStart w:id="52" w:name="_Toc106791265"/>
      <w:r>
        <w:rPr>
          <w:rStyle w:val="29"/>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3" w:name="_Toc106791266"/>
      <w:r>
        <w:rPr>
          <w:rFonts w:hint="eastAsia" w:ascii="宋体" w:hAnsi="宋体"/>
          <w:b/>
          <w:sz w:val="32"/>
          <w:szCs w:val="32"/>
        </w:rPr>
        <w:t>第四部分：合同条款及格式</w:t>
      </w:r>
      <w:bookmarkEnd w:id="53"/>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spacing w:line="440" w:lineRule="exact"/>
        <w:rPr>
          <w:rFonts w:ascii="宋体" w:hAnsi="宋体"/>
          <w:szCs w:val="21"/>
        </w:rPr>
      </w:pPr>
    </w:p>
    <w:p>
      <w:pPr>
        <w:pStyle w:val="11"/>
        <w:jc w:val="center"/>
        <w:rPr>
          <w:rFonts w:ascii="宋体" w:eastAsia="宋体"/>
          <w:sz w:val="32"/>
          <w:szCs w:val="32"/>
        </w:rPr>
      </w:pPr>
      <w:r>
        <w:rPr>
          <w:rFonts w:hint="eastAsia" w:ascii="宋体" w:eastAsia="宋体"/>
          <w:sz w:val="32"/>
          <w:szCs w:val="32"/>
        </w:rPr>
        <w:t>深圳会展中心灯箱改造项目合同</w:t>
      </w:r>
    </w:p>
    <w:p>
      <w:pPr>
        <w:pStyle w:val="11"/>
        <w:jc w:val="center"/>
        <w:rPr>
          <w:rFonts w:ascii="宋体" w:eastAsia="宋体"/>
          <w:sz w:val="32"/>
          <w:szCs w:val="32"/>
        </w:rPr>
      </w:pPr>
      <w:r>
        <w:rPr>
          <w:rFonts w:hint="eastAsia" w:ascii="宋体" w:eastAsia="宋体"/>
          <w:sz w:val="32"/>
          <w:szCs w:val="32"/>
        </w:rPr>
        <w:t>（仅供参考）</w:t>
      </w:r>
    </w:p>
    <w:p>
      <w:pPr>
        <w:pStyle w:val="11"/>
        <w:rPr>
          <w:rFonts w:ascii="宋体" w:eastAsia="宋体"/>
        </w:rPr>
      </w:pPr>
    </w:p>
    <w:p>
      <w:pPr>
        <w:pStyle w:val="11"/>
        <w:rPr>
          <w:rFonts w:ascii="宋体" w:eastAsia="宋体"/>
        </w:rPr>
      </w:pPr>
      <w:r>
        <w:rPr>
          <w:rFonts w:hint="eastAsia" w:ascii="宋体" w:eastAsia="宋体"/>
        </w:rPr>
        <w:t>甲方（公章）：深圳会展中心管理有限责任公司</w:t>
      </w:r>
      <w:r>
        <w:rPr>
          <w:rFonts w:ascii="宋体" w:eastAsia="宋体"/>
        </w:rPr>
        <w:tab/>
      </w:r>
      <w:r>
        <w:rPr>
          <w:rFonts w:ascii="宋体" w:eastAsia="宋体"/>
        </w:rPr>
        <w:tab/>
      </w:r>
      <w:r>
        <w:rPr>
          <w:rFonts w:ascii="宋体" w:eastAsia="宋体"/>
        </w:rPr>
        <w:tab/>
      </w:r>
      <w:r>
        <w:rPr>
          <w:rFonts w:ascii="宋体" w:eastAsia="宋体"/>
        </w:rPr>
        <w:tab/>
      </w:r>
      <w:r>
        <w:rPr>
          <w:rFonts w:hint="eastAsia" w:ascii="宋体" w:eastAsia="宋体"/>
        </w:rPr>
        <w:t>（以下简称“甲方”）</w:t>
      </w:r>
    </w:p>
    <w:p>
      <w:pPr>
        <w:pStyle w:val="11"/>
        <w:rPr>
          <w:rFonts w:ascii="宋体" w:eastAsia="宋体"/>
        </w:rPr>
      </w:pPr>
      <w:r>
        <w:rPr>
          <w:rFonts w:hint="eastAsia" w:ascii="宋体" w:eastAsia="宋体"/>
        </w:rPr>
        <w:t xml:space="preserve">甲方代表： </w:t>
      </w:r>
    </w:p>
    <w:p>
      <w:pPr>
        <w:pStyle w:val="11"/>
        <w:rPr>
          <w:rFonts w:ascii="宋体" w:eastAsia="宋体"/>
        </w:rPr>
      </w:pPr>
      <w:r>
        <w:rPr>
          <w:rFonts w:hint="eastAsia" w:ascii="宋体" w:eastAsia="宋体"/>
        </w:rPr>
        <w:t xml:space="preserve">联系电话： </w:t>
      </w:r>
    </w:p>
    <w:p>
      <w:pPr>
        <w:pStyle w:val="11"/>
        <w:rPr>
          <w:rFonts w:ascii="宋体" w:eastAsia="宋体"/>
        </w:rPr>
      </w:pPr>
    </w:p>
    <w:p>
      <w:pPr>
        <w:pStyle w:val="11"/>
        <w:rPr>
          <w:rFonts w:ascii="宋体" w:eastAsia="宋体"/>
        </w:rPr>
      </w:pPr>
      <w:r>
        <w:rPr>
          <w:rFonts w:hint="eastAsia" w:ascii="宋体" w:eastAsia="宋体"/>
        </w:rPr>
        <w:t>乙方（公章）：</w:t>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hint="eastAsia" w:ascii="宋体" w:eastAsia="宋体"/>
        </w:rPr>
        <w:t>（以下简称“乙方”）</w:t>
      </w:r>
    </w:p>
    <w:p>
      <w:pPr>
        <w:pStyle w:val="11"/>
        <w:rPr>
          <w:rFonts w:ascii="宋体" w:eastAsia="宋体"/>
        </w:rPr>
      </w:pPr>
      <w:r>
        <w:rPr>
          <w:rFonts w:hint="eastAsia" w:ascii="宋体" w:eastAsia="宋体"/>
        </w:rPr>
        <w:t xml:space="preserve">乙方代表： </w:t>
      </w:r>
    </w:p>
    <w:p>
      <w:pPr>
        <w:pStyle w:val="11"/>
        <w:rPr>
          <w:rFonts w:ascii="宋体" w:eastAsia="宋体"/>
        </w:rPr>
      </w:pPr>
      <w:r>
        <w:rPr>
          <w:rFonts w:hint="eastAsia" w:ascii="宋体" w:eastAsia="宋体"/>
        </w:rPr>
        <w:t xml:space="preserve">联系电话： </w:t>
      </w:r>
    </w:p>
    <w:p>
      <w:pPr>
        <w:pStyle w:val="11"/>
        <w:rPr>
          <w:rFonts w:ascii="宋体" w:eastAsia="宋体"/>
        </w:rPr>
      </w:pPr>
    </w:p>
    <w:p>
      <w:pPr>
        <w:pStyle w:val="11"/>
        <w:rPr>
          <w:rFonts w:ascii="宋体" w:eastAsia="宋体"/>
        </w:rPr>
      </w:pPr>
    </w:p>
    <w:p>
      <w:pPr>
        <w:pStyle w:val="11"/>
        <w:rPr>
          <w:rFonts w:ascii="宋体" w:eastAsia="宋体"/>
        </w:rPr>
      </w:pPr>
      <w:r>
        <w:rPr>
          <w:rFonts w:hint="eastAsia" w:ascii="宋体" w:eastAsia="宋体"/>
        </w:rPr>
        <w:t>甲、乙双方经友好协商，本着公平互利原则，依据《中华人民共和国合同法》之规定，就甲方委托乙方进行灯箱改造有关事宜，达成以下协议：</w:t>
      </w:r>
    </w:p>
    <w:p>
      <w:pPr>
        <w:pStyle w:val="11"/>
        <w:rPr>
          <w:rFonts w:ascii="宋体" w:eastAsia="宋体"/>
        </w:rPr>
      </w:pPr>
      <w:r>
        <w:rPr>
          <w:rFonts w:hint="eastAsia" w:ascii="宋体" w:eastAsia="宋体"/>
        </w:rPr>
        <w:t>一、工程概况</w:t>
      </w:r>
    </w:p>
    <w:p>
      <w:pPr>
        <w:pStyle w:val="11"/>
        <w:rPr>
          <w:rFonts w:ascii="宋体" w:eastAsia="宋体"/>
        </w:rPr>
      </w:pPr>
      <w:r>
        <w:rPr>
          <w:rFonts w:hint="eastAsia" w:ascii="宋体" w:eastAsia="宋体"/>
        </w:rPr>
        <w:t xml:space="preserve">1.1 项目名称： 深圳会展中心灯箱改造项目  </w:t>
      </w:r>
    </w:p>
    <w:p>
      <w:pPr>
        <w:pStyle w:val="11"/>
        <w:rPr>
          <w:rFonts w:ascii="宋体" w:eastAsia="宋体"/>
        </w:rPr>
      </w:pPr>
      <w:r>
        <w:rPr>
          <w:rFonts w:hint="eastAsia" w:ascii="宋体" w:eastAsia="宋体"/>
        </w:rPr>
        <w:t>1.2 项目地点：深圳市会展中心二楼服务区、一二楼东西礼门电梯口、地下停车场</w:t>
      </w:r>
    </w:p>
    <w:p>
      <w:pPr>
        <w:pStyle w:val="11"/>
        <w:rPr>
          <w:rFonts w:ascii="宋体" w:eastAsia="宋体"/>
        </w:rPr>
      </w:pPr>
      <w:r>
        <w:rPr>
          <w:rFonts w:hint="eastAsia" w:ascii="宋体" w:eastAsia="宋体"/>
        </w:rPr>
        <w:t>1.3 项目内容： 会展中心现有拉布式广告灯箱23个，分别为：一、二楼小号灯箱8个，二楼服务区中号灯箱8个、大号灯箱4个，地下停车场小号灯箱2个、大号灯箱1个。由乙方对所有灯箱进行改造，即拆除并替换全部现有23个灯箱（其中，地下停车场2个小号灯箱合并改造为1个8*2m的大号灯箱），并在2楼服务区东西两侧墙体增加8个中号灯箱，共计31个灯箱。所有灯箱款式均为卡布式。</w:t>
      </w:r>
    </w:p>
    <w:p>
      <w:pPr>
        <w:pStyle w:val="11"/>
        <w:rPr>
          <w:rFonts w:ascii="宋体" w:eastAsia="宋体"/>
        </w:rPr>
      </w:pPr>
      <w:r>
        <w:rPr>
          <w:rFonts w:hint="eastAsia" w:ascii="宋体" w:eastAsia="宋体"/>
        </w:rPr>
        <w:t>二、工期：双方签定合同后，由甲方在150日历日之内指定乙方进场作业日期。接到甲方进场作业日期指令后， 乙方应于进场作业日期开始30个日历日之内完成旧灯箱拆除、新灯箱制作及安装。如因甲方要求对项目进行调整或变更，造成的工期延误，以双方沟通确认的时间为准。在合同履行过程中，乙方如发现不能按合同要求时间完成工程，应第一时间向甲方反馈，并提供需延期完成的时间，甲方对乙方的反馈应给予回复，最终以双方确认为准。</w:t>
      </w:r>
    </w:p>
    <w:p>
      <w:pPr>
        <w:pStyle w:val="11"/>
        <w:rPr>
          <w:rFonts w:ascii="宋体" w:eastAsia="宋体"/>
        </w:rPr>
      </w:pPr>
      <w:r>
        <w:rPr>
          <w:rFonts w:hint="eastAsia" w:ascii="宋体" w:eastAsia="宋体"/>
        </w:rPr>
        <w:t>三、质量标准</w:t>
      </w:r>
    </w:p>
    <w:p>
      <w:pPr>
        <w:pStyle w:val="11"/>
        <w:rPr>
          <w:rFonts w:ascii="宋体" w:eastAsia="宋体"/>
        </w:rPr>
      </w:pPr>
      <w:r>
        <w:rPr>
          <w:rFonts w:hint="eastAsia" w:ascii="宋体" w:eastAsia="宋体"/>
        </w:rPr>
        <w:t>1、本工程应按相关专业的行业产品制作及施工安装标准执行，详见投标文件中相关技术标准。</w:t>
      </w:r>
    </w:p>
    <w:p>
      <w:pPr>
        <w:pStyle w:val="11"/>
        <w:rPr>
          <w:rFonts w:ascii="宋体" w:eastAsia="宋体"/>
        </w:rPr>
      </w:pPr>
      <w:r>
        <w:rPr>
          <w:rFonts w:hint="eastAsia" w:ascii="宋体" w:eastAsia="宋体"/>
        </w:rPr>
        <w:t>2、工程质量应达到本行业的质量检验、验收评定标准，确保验收通过。</w:t>
      </w:r>
    </w:p>
    <w:p>
      <w:pPr>
        <w:pStyle w:val="11"/>
        <w:rPr>
          <w:rFonts w:ascii="宋体" w:eastAsia="宋体"/>
        </w:rPr>
      </w:pPr>
      <w:r>
        <w:rPr>
          <w:rFonts w:hint="eastAsia" w:ascii="宋体" w:eastAsia="宋体"/>
        </w:rPr>
        <w:t>四、合同价款</w:t>
      </w:r>
    </w:p>
    <w:p>
      <w:pPr>
        <w:pStyle w:val="11"/>
        <w:rPr>
          <w:rFonts w:ascii="宋体" w:eastAsia="宋体"/>
        </w:rPr>
      </w:pPr>
      <w:r>
        <w:rPr>
          <w:rFonts w:hint="eastAsia" w:ascii="宋体" w:eastAsia="宋体"/>
        </w:rPr>
        <w:t>1、本工程合同总金额：大写人民币        元整（¥：      ），为含税价，包括新灯箱的材料费、制作费、包装费、运输费、安装费、售后服务费，旧灯箱拆除及处理费用、税费等相关一切费用。</w:t>
      </w:r>
    </w:p>
    <w:p>
      <w:pPr>
        <w:pStyle w:val="11"/>
        <w:rPr>
          <w:rFonts w:ascii="宋体" w:eastAsia="宋体"/>
        </w:rPr>
      </w:pPr>
      <w:r>
        <w:rPr>
          <w:rFonts w:hint="eastAsia" w:ascii="宋体" w:eastAsia="宋体"/>
        </w:rPr>
        <w:t>2、在项目进行过程中，如因甲方要求设计变更、数量变化或施工调整导致费用变化，则需先由乙方重新报价，经甲方书面确认后方可执行，并将经双方确认的报价单作为本合同附件。</w:t>
      </w:r>
    </w:p>
    <w:p>
      <w:pPr>
        <w:pStyle w:val="11"/>
        <w:rPr>
          <w:rFonts w:ascii="宋体" w:eastAsia="宋体"/>
        </w:rPr>
      </w:pPr>
      <w:r>
        <w:rPr>
          <w:rFonts w:hint="eastAsia" w:ascii="宋体" w:eastAsia="宋体"/>
        </w:rPr>
        <w:t>五、付款</w:t>
      </w:r>
    </w:p>
    <w:p>
      <w:pPr>
        <w:pStyle w:val="11"/>
        <w:rPr>
          <w:rFonts w:ascii="宋体" w:eastAsia="宋体"/>
        </w:rPr>
      </w:pPr>
      <w:r>
        <w:rPr>
          <w:rFonts w:hint="eastAsia" w:ascii="宋体" w:eastAsia="宋体"/>
        </w:rPr>
        <w:t>1、付款方式：</w:t>
      </w:r>
      <w:r>
        <w:rPr>
          <w:rFonts w:ascii="宋体" w:eastAsia="宋体"/>
        </w:rPr>
        <w:t xml:space="preserve"> </w:t>
      </w:r>
    </w:p>
    <w:p>
      <w:pPr>
        <w:pStyle w:val="11"/>
        <w:numPr>
          <w:ilvl w:val="0"/>
          <w:numId w:val="27"/>
        </w:numPr>
        <w:tabs>
          <w:tab w:val="left" w:pos="567"/>
        </w:tabs>
        <w:ind w:left="-142" w:firstLine="142"/>
        <w:rPr>
          <w:rFonts w:ascii="宋体" w:eastAsia="宋体"/>
        </w:rPr>
      </w:pPr>
      <w:r>
        <w:rPr>
          <w:rFonts w:hint="eastAsia" w:ascii="宋体" w:eastAsia="宋体"/>
        </w:rPr>
        <w:t>本项目施工完毕且验收合格后，甲方一次性支付乙方合同总金额的97%。</w:t>
      </w:r>
    </w:p>
    <w:p>
      <w:pPr>
        <w:pStyle w:val="11"/>
        <w:numPr>
          <w:ilvl w:val="0"/>
          <w:numId w:val="27"/>
        </w:numPr>
        <w:tabs>
          <w:tab w:val="left" w:pos="567"/>
        </w:tabs>
        <w:ind w:left="-142" w:firstLine="142"/>
        <w:rPr>
          <w:rFonts w:ascii="宋体" w:eastAsia="宋体"/>
        </w:rPr>
      </w:pPr>
      <w:r>
        <w:rPr>
          <w:rFonts w:hint="eastAsia" w:ascii="宋体" w:eastAsia="宋体"/>
        </w:rPr>
        <w:t>合同总金额的3%款项留作质保金，待质保期满、无质量和遗留问题，且完成罚金、违约金等清算后，甲方一次性支付乙方剩余款项（不计利息）。</w:t>
      </w:r>
    </w:p>
    <w:p>
      <w:pPr>
        <w:pStyle w:val="11"/>
        <w:rPr>
          <w:rFonts w:ascii="宋体" w:eastAsia="宋体"/>
        </w:rPr>
      </w:pPr>
      <w:r>
        <w:rPr>
          <w:rFonts w:hint="eastAsia" w:ascii="宋体" w:eastAsia="宋体"/>
        </w:rPr>
        <w:t>2、票据类型：增值税专用发票。</w:t>
      </w:r>
    </w:p>
    <w:p>
      <w:pPr>
        <w:pStyle w:val="11"/>
        <w:rPr>
          <w:rFonts w:ascii="宋体" w:eastAsia="宋体"/>
        </w:rPr>
      </w:pPr>
      <w:r>
        <w:rPr>
          <w:rFonts w:hint="eastAsia" w:ascii="宋体" w:eastAsia="宋体"/>
        </w:rPr>
        <w:t>3、乙方收款信息：</w:t>
      </w:r>
    </w:p>
    <w:p>
      <w:pPr>
        <w:pStyle w:val="11"/>
        <w:rPr>
          <w:rFonts w:ascii="宋体" w:eastAsia="宋体"/>
        </w:rPr>
      </w:pPr>
      <w:r>
        <w:rPr>
          <w:rFonts w:hint="eastAsia" w:ascii="宋体" w:eastAsia="宋体"/>
        </w:rPr>
        <w:t xml:space="preserve">      开户名：                          </w:t>
      </w:r>
    </w:p>
    <w:p>
      <w:pPr>
        <w:pStyle w:val="11"/>
        <w:rPr>
          <w:rFonts w:ascii="宋体" w:eastAsia="宋体"/>
        </w:rPr>
      </w:pPr>
      <w:r>
        <w:rPr>
          <w:rFonts w:hint="eastAsia" w:ascii="宋体" w:eastAsia="宋体"/>
        </w:rPr>
        <w:t xml:space="preserve">      开户行：                          </w:t>
      </w:r>
    </w:p>
    <w:p>
      <w:pPr>
        <w:pStyle w:val="11"/>
        <w:rPr>
          <w:rFonts w:ascii="宋体" w:eastAsia="宋体"/>
        </w:rPr>
      </w:pPr>
      <w:r>
        <w:rPr>
          <w:rFonts w:hint="eastAsia" w:ascii="宋体" w:eastAsia="宋体"/>
        </w:rPr>
        <w:t xml:space="preserve">      账  号：                          </w:t>
      </w:r>
    </w:p>
    <w:p>
      <w:pPr>
        <w:pStyle w:val="11"/>
        <w:rPr>
          <w:rFonts w:ascii="宋体" w:eastAsia="宋体"/>
        </w:rPr>
      </w:pPr>
    </w:p>
    <w:p>
      <w:pPr>
        <w:pStyle w:val="11"/>
        <w:rPr>
          <w:rFonts w:ascii="宋体" w:eastAsia="宋体"/>
        </w:rPr>
      </w:pPr>
      <w:r>
        <w:rPr>
          <w:rFonts w:hint="eastAsia" w:ascii="宋体" w:eastAsia="宋体"/>
        </w:rPr>
        <w:t>六、双方权利和义务</w:t>
      </w:r>
    </w:p>
    <w:p>
      <w:pPr>
        <w:pStyle w:val="11"/>
        <w:rPr>
          <w:rFonts w:ascii="宋体" w:eastAsia="宋体"/>
        </w:rPr>
      </w:pPr>
      <w:r>
        <w:rPr>
          <w:rFonts w:hint="eastAsia" w:ascii="宋体" w:eastAsia="宋体"/>
        </w:rPr>
        <w:t>1、甲方权利和义务</w:t>
      </w:r>
    </w:p>
    <w:p>
      <w:pPr>
        <w:pStyle w:val="11"/>
        <w:numPr>
          <w:ilvl w:val="0"/>
          <w:numId w:val="28"/>
        </w:numPr>
        <w:tabs>
          <w:tab w:val="left" w:pos="567"/>
        </w:tabs>
        <w:ind w:left="-142" w:firstLine="142"/>
        <w:rPr>
          <w:rFonts w:ascii="宋体" w:eastAsia="宋体"/>
        </w:rPr>
      </w:pPr>
      <w:r>
        <w:rPr>
          <w:rFonts w:hint="eastAsia" w:ascii="宋体" w:eastAsia="宋体"/>
        </w:rPr>
        <w:t>甲方负责审核确认乙方所提供的制作工艺及施工方案。</w:t>
      </w:r>
    </w:p>
    <w:p>
      <w:pPr>
        <w:pStyle w:val="11"/>
        <w:numPr>
          <w:ilvl w:val="0"/>
          <w:numId w:val="28"/>
        </w:numPr>
        <w:tabs>
          <w:tab w:val="left" w:pos="567"/>
        </w:tabs>
        <w:ind w:left="-142" w:firstLine="142"/>
        <w:rPr>
          <w:rFonts w:ascii="宋体" w:eastAsia="宋体"/>
        </w:rPr>
      </w:pPr>
      <w:r>
        <w:rPr>
          <w:rFonts w:hint="eastAsia" w:ascii="宋体" w:eastAsia="宋体"/>
        </w:rPr>
        <w:t>甲方向乙方提供施工场地、电力接驳（甲方负责将灯箱所需电源线缆接入至灯箱安装位置，乙方负责灯箱内部电源与外部接入电源的接驳。）、安全警戒等。</w:t>
      </w:r>
    </w:p>
    <w:p>
      <w:pPr>
        <w:pStyle w:val="11"/>
        <w:numPr>
          <w:ilvl w:val="0"/>
          <w:numId w:val="28"/>
        </w:numPr>
        <w:tabs>
          <w:tab w:val="left" w:pos="567"/>
        </w:tabs>
        <w:ind w:left="-142" w:firstLine="142"/>
        <w:rPr>
          <w:rFonts w:ascii="宋体" w:eastAsia="宋体"/>
        </w:rPr>
      </w:pPr>
      <w:r>
        <w:rPr>
          <w:rFonts w:hint="eastAsia" w:ascii="宋体" w:eastAsia="宋体"/>
        </w:rPr>
        <w:t>甲方负责协调内部相关部门的工作配合事宜。</w:t>
      </w:r>
    </w:p>
    <w:p>
      <w:pPr>
        <w:pStyle w:val="11"/>
        <w:numPr>
          <w:ilvl w:val="0"/>
          <w:numId w:val="28"/>
        </w:numPr>
        <w:tabs>
          <w:tab w:val="left" w:pos="567"/>
        </w:tabs>
        <w:ind w:left="-142" w:firstLine="142"/>
        <w:rPr>
          <w:rFonts w:ascii="宋体" w:eastAsia="宋体"/>
        </w:rPr>
      </w:pPr>
      <w:r>
        <w:rPr>
          <w:rFonts w:hint="eastAsia" w:ascii="宋体" w:eastAsia="宋体"/>
        </w:rPr>
        <w:t>拆除的23个旧灯箱产权归甲方所有，由乙方负责放置于甲方指定位置。</w:t>
      </w:r>
    </w:p>
    <w:p>
      <w:pPr>
        <w:pStyle w:val="11"/>
        <w:numPr>
          <w:ilvl w:val="0"/>
          <w:numId w:val="28"/>
        </w:numPr>
        <w:tabs>
          <w:tab w:val="left" w:pos="567"/>
        </w:tabs>
        <w:ind w:left="-142" w:firstLine="142"/>
        <w:rPr>
          <w:rFonts w:ascii="宋体" w:eastAsia="宋体"/>
        </w:rPr>
      </w:pPr>
      <w:r>
        <w:rPr>
          <w:rFonts w:hint="eastAsia" w:ascii="宋体" w:eastAsia="宋体"/>
        </w:rPr>
        <w:t>甲方监督乙方工程进度、质量，现场施工等事宜。</w:t>
      </w:r>
    </w:p>
    <w:p>
      <w:pPr>
        <w:pStyle w:val="11"/>
        <w:numPr>
          <w:ilvl w:val="0"/>
          <w:numId w:val="28"/>
        </w:numPr>
        <w:tabs>
          <w:tab w:val="left" w:pos="567"/>
        </w:tabs>
        <w:ind w:left="-142" w:firstLine="142"/>
        <w:rPr>
          <w:rFonts w:ascii="宋体" w:eastAsia="宋体"/>
        </w:rPr>
      </w:pPr>
      <w:r>
        <w:rPr>
          <w:rFonts w:hint="eastAsia" w:ascii="宋体" w:eastAsia="宋体"/>
        </w:rPr>
        <w:t>按合同约定及时支付工程款。</w:t>
      </w:r>
    </w:p>
    <w:p>
      <w:pPr>
        <w:pStyle w:val="11"/>
        <w:rPr>
          <w:rFonts w:ascii="宋体" w:eastAsia="宋体"/>
        </w:rPr>
      </w:pPr>
      <w:r>
        <w:rPr>
          <w:rFonts w:hint="eastAsia" w:ascii="宋体" w:eastAsia="宋体"/>
        </w:rPr>
        <w:t>2、乙方权利和义务</w:t>
      </w:r>
    </w:p>
    <w:p>
      <w:pPr>
        <w:pStyle w:val="11"/>
        <w:numPr>
          <w:ilvl w:val="0"/>
          <w:numId w:val="29"/>
        </w:numPr>
        <w:tabs>
          <w:tab w:val="left" w:pos="567"/>
        </w:tabs>
        <w:ind w:left="-141" w:leftChars="-67" w:firstLine="284"/>
        <w:rPr>
          <w:rFonts w:ascii="宋体" w:eastAsia="宋体"/>
        </w:rPr>
      </w:pPr>
      <w:r>
        <w:rPr>
          <w:rFonts w:hint="eastAsia" w:ascii="宋体" w:eastAsia="宋体"/>
        </w:rPr>
        <w:t xml:space="preserve">提前向甲方递交施工申请和计划表，作好施工人员、材料、设备等各项准备。                        </w:t>
      </w:r>
    </w:p>
    <w:p>
      <w:pPr>
        <w:pStyle w:val="11"/>
        <w:numPr>
          <w:ilvl w:val="0"/>
          <w:numId w:val="29"/>
        </w:numPr>
        <w:tabs>
          <w:tab w:val="left" w:pos="567"/>
        </w:tabs>
        <w:ind w:left="-141" w:leftChars="-67" w:firstLine="284"/>
        <w:rPr>
          <w:rFonts w:ascii="宋体" w:eastAsia="宋体"/>
        </w:rPr>
      </w:pPr>
      <w:r>
        <w:rPr>
          <w:rFonts w:hint="eastAsia" w:ascii="宋体" w:eastAsia="宋体"/>
        </w:rPr>
        <w:t>乙方严格遵守会展中心对施工环境、施工噪音和安全生产管理规定，按甲方要求办理相关施工审批手续。</w:t>
      </w:r>
    </w:p>
    <w:p>
      <w:pPr>
        <w:pStyle w:val="11"/>
        <w:numPr>
          <w:ilvl w:val="0"/>
          <w:numId w:val="29"/>
        </w:numPr>
        <w:tabs>
          <w:tab w:val="left" w:pos="567"/>
        </w:tabs>
        <w:ind w:left="-141" w:leftChars="-67" w:firstLine="284"/>
        <w:rPr>
          <w:rFonts w:ascii="宋体" w:eastAsia="宋体"/>
        </w:rPr>
      </w:pPr>
      <w:r>
        <w:rPr>
          <w:rFonts w:hint="eastAsia" w:ascii="宋体" w:eastAsia="宋体"/>
        </w:rPr>
        <w:t xml:space="preserve">乙方需保证施工现场清洁，符合环境卫生管理的有关规定，清除现场内施工安装产生的垃圾、废料等，做到工完场清。 </w:t>
      </w:r>
    </w:p>
    <w:p>
      <w:pPr>
        <w:pStyle w:val="11"/>
        <w:numPr>
          <w:ilvl w:val="0"/>
          <w:numId w:val="29"/>
        </w:numPr>
        <w:tabs>
          <w:tab w:val="left" w:pos="567"/>
        </w:tabs>
        <w:ind w:left="-141" w:leftChars="-67" w:firstLine="284"/>
        <w:rPr>
          <w:rFonts w:ascii="宋体" w:eastAsia="宋体"/>
        </w:rPr>
      </w:pPr>
      <w:r>
        <w:rPr>
          <w:rFonts w:hint="eastAsia" w:ascii="宋体" w:eastAsia="宋体"/>
        </w:rPr>
        <w:t>乙方应保证现场施工安全和消防安全，所有现场施工人员做好安全防护措施，设置现场安全负责人员，施工前进行安全教育，加强安全监管。</w:t>
      </w:r>
    </w:p>
    <w:p>
      <w:pPr>
        <w:pStyle w:val="11"/>
        <w:numPr>
          <w:ilvl w:val="0"/>
          <w:numId w:val="29"/>
        </w:numPr>
        <w:tabs>
          <w:tab w:val="left" w:pos="567"/>
        </w:tabs>
        <w:ind w:left="-141" w:leftChars="-67" w:firstLine="284"/>
        <w:rPr>
          <w:rFonts w:ascii="宋体" w:eastAsia="宋体"/>
        </w:rPr>
      </w:pPr>
      <w:r>
        <w:rPr>
          <w:rFonts w:hint="eastAsia" w:ascii="宋体" w:eastAsia="宋体"/>
        </w:rPr>
        <w:t>工程质量如没达到合同约定的质量标准，乙方需进行整改直至合格，由此产生的一切费用由乙方承担。</w:t>
      </w:r>
    </w:p>
    <w:p>
      <w:pPr>
        <w:pStyle w:val="11"/>
        <w:rPr>
          <w:rFonts w:ascii="宋体" w:eastAsia="宋体"/>
        </w:rPr>
      </w:pPr>
      <w:r>
        <w:rPr>
          <w:rFonts w:hint="eastAsia" w:ascii="宋体" w:eastAsia="宋体"/>
        </w:rPr>
        <w:t>七、验收</w:t>
      </w:r>
    </w:p>
    <w:p>
      <w:pPr>
        <w:pStyle w:val="11"/>
        <w:rPr>
          <w:rFonts w:ascii="宋体" w:eastAsia="宋体"/>
        </w:rPr>
      </w:pPr>
      <w:r>
        <w:rPr>
          <w:rFonts w:hint="eastAsia" w:ascii="宋体" w:eastAsia="宋体"/>
        </w:rPr>
        <w:t>1、验收时间：工程完成后一周内完成验收。</w:t>
      </w:r>
    </w:p>
    <w:p>
      <w:pPr>
        <w:pStyle w:val="11"/>
        <w:rPr>
          <w:rFonts w:ascii="宋体" w:eastAsia="宋体"/>
        </w:rPr>
      </w:pPr>
      <w:r>
        <w:rPr>
          <w:rFonts w:hint="eastAsia" w:ascii="宋体" w:eastAsia="宋体"/>
        </w:rPr>
        <w:t>2、验收标准：</w:t>
      </w:r>
    </w:p>
    <w:p>
      <w:pPr>
        <w:pStyle w:val="11"/>
        <w:numPr>
          <w:ilvl w:val="0"/>
          <w:numId w:val="30"/>
        </w:numPr>
        <w:ind w:left="-283" w:leftChars="-135" w:firstLine="424" w:firstLineChars="202"/>
        <w:rPr>
          <w:rFonts w:ascii="宋体" w:eastAsia="宋体"/>
        </w:rPr>
      </w:pPr>
      <w:r>
        <w:rPr>
          <w:rFonts w:hint="eastAsia" w:ascii="宋体" w:eastAsia="宋体"/>
        </w:rPr>
        <w:t>制作及安装质量符合行业标准，材质、工艺与投标文件中相关技术标准一致。</w:t>
      </w:r>
    </w:p>
    <w:p>
      <w:pPr>
        <w:pStyle w:val="11"/>
        <w:numPr>
          <w:ilvl w:val="0"/>
          <w:numId w:val="30"/>
        </w:numPr>
        <w:ind w:left="-283" w:leftChars="-135" w:firstLine="424" w:firstLineChars="202"/>
        <w:rPr>
          <w:rFonts w:ascii="宋体" w:eastAsia="宋体"/>
        </w:rPr>
      </w:pPr>
      <w:r>
        <w:rPr>
          <w:rFonts w:hint="eastAsia" w:ascii="宋体" w:eastAsia="宋体"/>
        </w:rPr>
        <w:t>所有安装牢固可靠；物料无损坏及明显瑕玼，灯箱工作正常。</w:t>
      </w:r>
    </w:p>
    <w:p>
      <w:pPr>
        <w:pStyle w:val="11"/>
        <w:numPr>
          <w:ilvl w:val="0"/>
          <w:numId w:val="30"/>
        </w:numPr>
        <w:ind w:left="-283" w:leftChars="-135" w:firstLine="424" w:firstLineChars="202"/>
        <w:rPr>
          <w:rFonts w:ascii="宋体" w:eastAsia="宋体"/>
        </w:rPr>
      </w:pPr>
      <w:r>
        <w:rPr>
          <w:rFonts w:hint="eastAsia" w:ascii="宋体" w:eastAsia="宋体"/>
        </w:rPr>
        <w:t>安装现场无任何物品及设施损坏；</w:t>
      </w:r>
    </w:p>
    <w:p>
      <w:pPr>
        <w:pStyle w:val="11"/>
        <w:numPr>
          <w:ilvl w:val="0"/>
          <w:numId w:val="30"/>
        </w:numPr>
        <w:ind w:left="-283" w:leftChars="-135" w:firstLine="424" w:firstLineChars="202"/>
        <w:rPr>
          <w:rFonts w:ascii="宋体" w:eastAsia="宋体"/>
        </w:rPr>
      </w:pPr>
      <w:r>
        <w:rPr>
          <w:rFonts w:hint="eastAsia" w:ascii="宋体" w:eastAsia="宋体"/>
        </w:rPr>
        <w:t>安装现场无垃圾遗留。</w:t>
      </w:r>
    </w:p>
    <w:p>
      <w:pPr>
        <w:pStyle w:val="11"/>
        <w:rPr>
          <w:rFonts w:ascii="宋体" w:eastAsia="宋体"/>
        </w:rPr>
      </w:pPr>
      <w:r>
        <w:rPr>
          <w:rFonts w:hint="eastAsia" w:ascii="宋体" w:eastAsia="宋体"/>
        </w:rPr>
        <w:t>八、保修</w:t>
      </w:r>
    </w:p>
    <w:p>
      <w:pPr>
        <w:pStyle w:val="11"/>
        <w:rPr>
          <w:rFonts w:ascii="宋体" w:eastAsia="宋体"/>
        </w:rPr>
      </w:pPr>
      <w:r>
        <w:rPr>
          <w:rFonts w:hint="eastAsia" w:ascii="宋体" w:eastAsia="宋体"/>
        </w:rPr>
        <w:t>1、工程保修期从甲方验收合格后算起，双方约定保修期为：本项目整体结构质保</w:t>
      </w:r>
      <w:r>
        <w:rPr>
          <w:rFonts w:ascii="宋体" w:eastAsia="宋体"/>
          <w:u w:val="single"/>
        </w:rPr>
        <w:t xml:space="preserve">   </w:t>
      </w:r>
      <w:r>
        <w:rPr>
          <w:rFonts w:hint="eastAsia" w:ascii="宋体" w:eastAsia="宋体"/>
        </w:rPr>
        <w:t>年，光源及电源质保</w:t>
      </w:r>
      <w:r>
        <w:rPr>
          <w:rFonts w:ascii="宋体" w:eastAsia="宋体"/>
          <w:u w:val="single"/>
        </w:rPr>
        <w:t xml:space="preserve">   </w:t>
      </w:r>
      <w:r>
        <w:rPr>
          <w:rFonts w:hint="eastAsia" w:ascii="宋体" w:eastAsia="宋体"/>
        </w:rPr>
        <w:t>年。</w:t>
      </w:r>
    </w:p>
    <w:p>
      <w:pPr>
        <w:pStyle w:val="11"/>
        <w:rPr>
          <w:rFonts w:ascii="宋体" w:eastAsia="宋体"/>
        </w:rPr>
      </w:pPr>
      <w:r>
        <w:rPr>
          <w:rFonts w:hint="eastAsia" w:ascii="宋体" w:eastAsia="宋体"/>
        </w:rPr>
        <w:t>2、保修期内因材质（包括但不限于所有零部件和外框等）、制作质量或安装质量原因造成的质量问题，均属于乙方的保修范围；如为人为破坏或其他不可抗逆因素造成的损坏不在保修范围之内。</w:t>
      </w:r>
    </w:p>
    <w:p>
      <w:pPr>
        <w:pStyle w:val="11"/>
        <w:rPr>
          <w:rFonts w:ascii="宋体" w:eastAsia="宋体"/>
        </w:rPr>
      </w:pPr>
      <w:r>
        <w:rPr>
          <w:rFonts w:hint="eastAsia" w:ascii="宋体" w:eastAsia="宋体"/>
        </w:rPr>
        <w:t>3、属于保修范围和内容的项目，乙方在灯箱出现故障后2小时内响应，48小时内完成免费修复，甲方不支付乙方任何因保修而产生的费用。</w:t>
      </w:r>
    </w:p>
    <w:p>
      <w:pPr>
        <w:pStyle w:val="11"/>
        <w:rPr>
          <w:rFonts w:ascii="宋体" w:eastAsia="宋体"/>
        </w:rPr>
      </w:pPr>
      <w:r>
        <w:rPr>
          <w:rFonts w:hint="eastAsia" w:ascii="宋体" w:eastAsia="宋体"/>
        </w:rPr>
        <w:t>4、保修期内人为原因造成的损坏或保修期后出现的损坏，乙方给予成本维修服务，承诺只收取基本材料费、人工费、交通费等。</w:t>
      </w:r>
    </w:p>
    <w:p>
      <w:pPr>
        <w:pStyle w:val="11"/>
        <w:rPr>
          <w:rFonts w:ascii="宋体" w:eastAsia="宋体"/>
        </w:rPr>
      </w:pPr>
      <w:r>
        <w:rPr>
          <w:rFonts w:hint="eastAsia" w:ascii="宋体" w:eastAsia="宋体"/>
        </w:rPr>
        <w:t>九、合同构成</w:t>
      </w:r>
    </w:p>
    <w:p>
      <w:pPr>
        <w:pStyle w:val="11"/>
        <w:ind w:firstLine="420" w:firstLineChars="200"/>
        <w:rPr>
          <w:rFonts w:ascii="宋体" w:eastAsia="宋体"/>
        </w:rPr>
      </w:pPr>
      <w:r>
        <w:rPr>
          <w:rFonts w:hint="eastAsia" w:ascii="宋体" w:eastAsia="宋体"/>
        </w:rPr>
        <w:t>下述文件是构成合同不可分割的部分，应一并阅读和理解。</w:t>
      </w:r>
    </w:p>
    <w:p>
      <w:pPr>
        <w:pStyle w:val="11"/>
        <w:numPr>
          <w:ilvl w:val="0"/>
          <w:numId w:val="31"/>
        </w:numPr>
        <w:tabs>
          <w:tab w:val="left" w:pos="426"/>
        </w:tabs>
        <w:ind w:firstLine="14"/>
        <w:rPr>
          <w:rFonts w:ascii="宋体" w:eastAsia="宋体"/>
        </w:rPr>
      </w:pPr>
      <w:r>
        <w:rPr>
          <w:rFonts w:hint="eastAsia" w:ascii="宋体" w:eastAsia="宋体"/>
        </w:rPr>
        <w:t>甲方相关管理制度；</w:t>
      </w:r>
    </w:p>
    <w:p>
      <w:pPr>
        <w:pStyle w:val="11"/>
        <w:numPr>
          <w:ilvl w:val="0"/>
          <w:numId w:val="31"/>
        </w:numPr>
        <w:tabs>
          <w:tab w:val="left" w:pos="426"/>
        </w:tabs>
        <w:ind w:firstLine="14"/>
        <w:rPr>
          <w:rFonts w:ascii="宋体" w:eastAsia="宋体"/>
        </w:rPr>
      </w:pPr>
      <w:r>
        <w:rPr>
          <w:rFonts w:hint="eastAsia" w:ascii="宋体" w:eastAsia="宋体"/>
        </w:rPr>
        <w:t>中标通知书；</w:t>
      </w:r>
    </w:p>
    <w:p>
      <w:pPr>
        <w:pStyle w:val="11"/>
        <w:numPr>
          <w:ilvl w:val="0"/>
          <w:numId w:val="31"/>
        </w:numPr>
        <w:tabs>
          <w:tab w:val="left" w:pos="426"/>
        </w:tabs>
        <w:ind w:firstLine="14"/>
        <w:rPr>
          <w:rFonts w:ascii="宋体" w:eastAsia="宋体"/>
        </w:rPr>
      </w:pPr>
      <w:r>
        <w:rPr>
          <w:rFonts w:hint="eastAsia" w:ascii="宋体" w:eastAsia="宋体"/>
        </w:rPr>
        <w:t>本合同书；</w:t>
      </w:r>
    </w:p>
    <w:p>
      <w:pPr>
        <w:pStyle w:val="11"/>
        <w:numPr>
          <w:ilvl w:val="0"/>
          <w:numId w:val="31"/>
        </w:numPr>
        <w:tabs>
          <w:tab w:val="left" w:pos="426"/>
        </w:tabs>
        <w:ind w:firstLine="14"/>
        <w:rPr>
          <w:rFonts w:ascii="宋体" w:eastAsia="宋体"/>
        </w:rPr>
      </w:pPr>
      <w:r>
        <w:rPr>
          <w:rFonts w:hint="eastAsia" w:ascii="宋体" w:eastAsia="宋体"/>
        </w:rPr>
        <w:t>招标文件（深圳会展中心管理有限责任公司</w:t>
      </w:r>
      <w:bookmarkStart w:id="54" w:name="_Hlk139642630"/>
      <w:r>
        <w:rPr>
          <w:rFonts w:hint="eastAsia" w:ascii="宋体" w:eastAsia="宋体"/>
        </w:rPr>
        <w:t>《深圳会展中心广告灯箱改造项目》招标文件</w:t>
      </w:r>
      <w:bookmarkEnd w:id="54"/>
      <w:r>
        <w:rPr>
          <w:rFonts w:hint="eastAsia" w:ascii="宋体" w:eastAsia="宋体"/>
        </w:rPr>
        <w:t>）；</w:t>
      </w:r>
    </w:p>
    <w:p>
      <w:pPr>
        <w:pStyle w:val="11"/>
        <w:numPr>
          <w:ilvl w:val="0"/>
          <w:numId w:val="31"/>
        </w:numPr>
        <w:tabs>
          <w:tab w:val="left" w:pos="426"/>
        </w:tabs>
        <w:ind w:firstLine="14"/>
        <w:rPr>
          <w:rFonts w:ascii="宋体" w:eastAsia="宋体"/>
        </w:rPr>
      </w:pPr>
      <w:r>
        <w:rPr>
          <w:rFonts w:hint="eastAsia" w:ascii="宋体" w:eastAsia="宋体"/>
        </w:rPr>
        <w:t>乙方投标书及其附录、投标澄清文件及其它补充资料（如果有）；</w:t>
      </w:r>
    </w:p>
    <w:p>
      <w:pPr>
        <w:pStyle w:val="11"/>
        <w:numPr>
          <w:ilvl w:val="0"/>
          <w:numId w:val="31"/>
        </w:numPr>
        <w:tabs>
          <w:tab w:val="left" w:pos="426"/>
        </w:tabs>
        <w:ind w:firstLine="14"/>
        <w:rPr>
          <w:rFonts w:ascii="宋体" w:eastAsia="宋体"/>
        </w:rPr>
      </w:pPr>
      <w:r>
        <w:rPr>
          <w:rFonts w:hint="eastAsia" w:ascii="宋体" w:eastAsia="宋体"/>
        </w:rPr>
        <w:t>施工组织方案和施工计划，以及针对紧急情况或意外事故的应急预案；</w:t>
      </w:r>
    </w:p>
    <w:p>
      <w:pPr>
        <w:pStyle w:val="11"/>
        <w:numPr>
          <w:ilvl w:val="0"/>
          <w:numId w:val="31"/>
        </w:numPr>
        <w:tabs>
          <w:tab w:val="left" w:pos="426"/>
        </w:tabs>
        <w:ind w:firstLine="14"/>
        <w:rPr>
          <w:rFonts w:ascii="宋体" w:eastAsia="宋体"/>
        </w:rPr>
      </w:pPr>
      <w:r>
        <w:rPr>
          <w:rFonts w:hint="eastAsia" w:ascii="宋体" w:eastAsia="宋体"/>
        </w:rPr>
        <w:t>经甲方确认的设计图纸及施工方案（施工图等）；</w:t>
      </w:r>
    </w:p>
    <w:p>
      <w:pPr>
        <w:pStyle w:val="11"/>
        <w:numPr>
          <w:ilvl w:val="0"/>
          <w:numId w:val="31"/>
        </w:numPr>
        <w:tabs>
          <w:tab w:val="left" w:pos="426"/>
        </w:tabs>
        <w:ind w:firstLine="14"/>
        <w:rPr>
          <w:rFonts w:ascii="宋体" w:eastAsia="宋体"/>
        </w:rPr>
      </w:pPr>
      <w:r>
        <w:rPr>
          <w:rFonts w:hint="eastAsia" w:ascii="宋体" w:eastAsia="宋体"/>
        </w:rPr>
        <w:t>项目报价一览表（含分项报价表）；</w:t>
      </w:r>
    </w:p>
    <w:p>
      <w:pPr>
        <w:pStyle w:val="11"/>
        <w:numPr>
          <w:ilvl w:val="0"/>
          <w:numId w:val="31"/>
        </w:numPr>
        <w:tabs>
          <w:tab w:val="left" w:pos="426"/>
        </w:tabs>
        <w:ind w:firstLine="14"/>
        <w:rPr>
          <w:rFonts w:ascii="宋体" w:eastAsia="宋体"/>
        </w:rPr>
      </w:pPr>
      <w:r>
        <w:rPr>
          <w:rFonts w:hint="eastAsia" w:ascii="宋体" w:eastAsia="宋体"/>
        </w:rPr>
        <w:t>合同其他附件（如果有）。</w:t>
      </w:r>
    </w:p>
    <w:p>
      <w:pPr>
        <w:pStyle w:val="11"/>
        <w:ind w:firstLine="420" w:firstLineChars="200"/>
        <w:rPr>
          <w:rFonts w:ascii="宋体" w:eastAsia="宋体"/>
        </w:rPr>
      </w:pPr>
      <w:r>
        <w:rPr>
          <w:rFonts w:ascii="宋体" w:eastAsia="宋体"/>
        </w:rPr>
        <w:t xml:space="preserve">  上述文件应认为是互为补充和解释的，若有不明确及不一致之处，以上面所列顺序在前及时间在后者为准。</w:t>
      </w:r>
    </w:p>
    <w:p>
      <w:pPr>
        <w:pStyle w:val="11"/>
        <w:rPr>
          <w:rFonts w:hint="eastAsia" w:ascii="宋体" w:eastAsia="宋体"/>
        </w:rPr>
      </w:pPr>
      <w:r>
        <w:rPr>
          <w:rFonts w:hint="eastAsia" w:ascii="宋体" w:eastAsia="宋体"/>
        </w:rPr>
        <w:t>十、本合同没列明部分详见《深圳会展中心广告灯箱改造项目》招标文件。</w:t>
      </w:r>
    </w:p>
    <w:p>
      <w:pPr>
        <w:pStyle w:val="11"/>
        <w:rPr>
          <w:rFonts w:ascii="宋体" w:eastAsia="宋体"/>
        </w:rPr>
      </w:pPr>
      <w:r>
        <w:rPr>
          <w:rFonts w:hint="eastAsia" w:ascii="宋体" w:eastAsia="宋体"/>
        </w:rPr>
        <w:t>十一、违约</w:t>
      </w:r>
    </w:p>
    <w:p>
      <w:pPr>
        <w:pStyle w:val="11"/>
        <w:rPr>
          <w:rFonts w:ascii="宋体" w:eastAsia="宋体"/>
        </w:rPr>
      </w:pPr>
      <w:r>
        <w:rPr>
          <w:rFonts w:hint="eastAsia" w:ascii="宋体" w:eastAsia="宋体"/>
        </w:rPr>
        <w:t>合同生效后，双方不得以任何理由擅自终止合同，如擅自终止合同，所造成的一切后果均由违约方承担。</w:t>
      </w:r>
    </w:p>
    <w:p>
      <w:pPr>
        <w:pStyle w:val="11"/>
        <w:rPr>
          <w:rFonts w:ascii="宋体" w:eastAsia="宋体"/>
        </w:rPr>
      </w:pPr>
      <w:r>
        <w:rPr>
          <w:rFonts w:hint="eastAsia" w:ascii="宋体" w:eastAsia="宋体"/>
        </w:rPr>
        <w:t>十二、争议的解决</w:t>
      </w:r>
    </w:p>
    <w:p>
      <w:pPr>
        <w:pStyle w:val="11"/>
        <w:rPr>
          <w:rFonts w:ascii="宋体" w:eastAsia="宋体"/>
        </w:rPr>
      </w:pPr>
      <w:r>
        <w:rPr>
          <w:rFonts w:hint="eastAsia" w:ascii="宋体" w:eastAsia="宋体"/>
        </w:rPr>
        <w:t>双方因本合同产生的争议，可先协商解决，无法协商的则向甲方所在地人民法院提请诉讼。</w:t>
      </w:r>
    </w:p>
    <w:p>
      <w:pPr>
        <w:pStyle w:val="11"/>
        <w:rPr>
          <w:rFonts w:ascii="宋体" w:eastAsia="宋体"/>
        </w:rPr>
      </w:pPr>
      <w:r>
        <w:rPr>
          <w:rFonts w:hint="eastAsia" w:ascii="宋体" w:eastAsia="宋体"/>
        </w:rPr>
        <w:t>十三、其他</w:t>
      </w:r>
    </w:p>
    <w:p>
      <w:pPr>
        <w:pStyle w:val="11"/>
        <w:rPr>
          <w:rFonts w:ascii="宋体" w:eastAsia="宋体"/>
        </w:rPr>
      </w:pPr>
      <w:r>
        <w:rPr>
          <w:rFonts w:hint="eastAsia" w:ascii="宋体" w:eastAsia="宋体"/>
        </w:rPr>
        <w:t>1、本合同的附件与本合同具有同等法律效力。</w:t>
      </w:r>
    </w:p>
    <w:p>
      <w:pPr>
        <w:pStyle w:val="11"/>
        <w:rPr>
          <w:rFonts w:ascii="宋体" w:eastAsia="宋体"/>
        </w:rPr>
      </w:pPr>
      <w:r>
        <w:rPr>
          <w:rFonts w:hint="eastAsia" w:ascii="宋体" w:eastAsia="宋体"/>
        </w:rPr>
        <w:t>2、本合同一式四份，双方各执二份，具同等法律效力，自甲乙双方签字或盖章之日起生效。</w:t>
      </w:r>
    </w:p>
    <w:p>
      <w:pPr>
        <w:pStyle w:val="11"/>
        <w:rPr>
          <w:rFonts w:ascii="宋体" w:eastAsia="宋体"/>
        </w:rPr>
      </w:pPr>
    </w:p>
    <w:p>
      <w:pPr>
        <w:pStyle w:val="11"/>
        <w:rPr>
          <w:rFonts w:ascii="宋体" w:eastAsia="宋体"/>
        </w:rPr>
      </w:pPr>
      <w:r>
        <w:rPr>
          <w:rFonts w:hint="eastAsia" w:ascii="宋体" w:eastAsia="宋体"/>
        </w:rPr>
        <w:t>甲方（公章）：深圳会展中心管理有限责任公司</w:t>
      </w:r>
      <w:r>
        <w:rPr>
          <w:rFonts w:ascii="宋体" w:eastAsia="宋体"/>
        </w:rPr>
        <w:tab/>
      </w:r>
      <w:r>
        <w:rPr>
          <w:rFonts w:hint="eastAsia" w:ascii="宋体" w:eastAsia="宋体"/>
        </w:rPr>
        <w:t xml:space="preserve">乙方（公章）：               </w:t>
      </w:r>
    </w:p>
    <w:p>
      <w:pPr>
        <w:pStyle w:val="11"/>
        <w:rPr>
          <w:rFonts w:ascii="宋体" w:eastAsia="宋体"/>
        </w:rPr>
      </w:pPr>
    </w:p>
    <w:p>
      <w:pPr>
        <w:pStyle w:val="11"/>
        <w:rPr>
          <w:rFonts w:ascii="宋体" w:eastAsia="宋体"/>
        </w:rPr>
      </w:pPr>
    </w:p>
    <w:p>
      <w:pPr>
        <w:pStyle w:val="11"/>
        <w:rPr>
          <w:rFonts w:ascii="宋体" w:eastAsia="宋体"/>
        </w:rPr>
      </w:pPr>
      <w:r>
        <w:rPr>
          <w:rFonts w:hint="eastAsia" w:ascii="宋体" w:eastAsia="宋体"/>
        </w:rPr>
        <w:t>授权代表：</w:t>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ascii="宋体" w:eastAsia="宋体"/>
        </w:rPr>
        <w:tab/>
      </w:r>
      <w:r>
        <w:rPr>
          <w:rFonts w:hint="eastAsia" w:ascii="宋体" w:eastAsia="宋体"/>
        </w:rPr>
        <w:t>授权代表：</w:t>
      </w:r>
    </w:p>
    <w:p>
      <w:pPr>
        <w:pStyle w:val="11"/>
        <w:rPr>
          <w:rFonts w:ascii="宋体" w:eastAsia="宋体"/>
        </w:rPr>
      </w:pPr>
    </w:p>
    <w:p>
      <w:pPr>
        <w:pStyle w:val="11"/>
        <w:rPr>
          <w:rFonts w:ascii="宋体" w:eastAsia="宋体"/>
        </w:rPr>
      </w:pPr>
    </w:p>
    <w:p>
      <w:pPr>
        <w:pStyle w:val="11"/>
        <w:rPr>
          <w:rFonts w:ascii="宋体" w:eastAsia="宋体"/>
        </w:rPr>
      </w:pPr>
      <w:r>
        <w:rPr>
          <w:rFonts w:hint="eastAsia" w:ascii="宋体" w:eastAsia="宋体"/>
        </w:rPr>
        <w:t>签订时间：   年     月    日</w:t>
      </w:r>
      <w:r>
        <w:rPr>
          <w:rFonts w:ascii="宋体" w:eastAsia="宋体"/>
        </w:rPr>
        <w:tab/>
      </w:r>
      <w:r>
        <w:rPr>
          <w:rFonts w:ascii="宋体" w:eastAsia="宋体"/>
        </w:rPr>
        <w:tab/>
      </w:r>
      <w:r>
        <w:rPr>
          <w:rFonts w:ascii="宋体" w:eastAsia="宋体"/>
        </w:rPr>
        <w:tab/>
      </w:r>
      <w:r>
        <w:rPr>
          <w:rFonts w:ascii="宋体" w:eastAsia="宋体"/>
        </w:rPr>
        <w:tab/>
      </w:r>
      <w:r>
        <w:rPr>
          <w:rFonts w:hint="eastAsia" w:ascii="宋体" w:eastAsia="宋体"/>
        </w:rPr>
        <w:t>签订时间：    年    月   日</w:t>
      </w: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p>
      <w:pPr>
        <w:pStyle w:val="11"/>
        <w:rPr>
          <w:rFonts w:ascii="宋体" w:eastAsia="宋体"/>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11"/>
              <w:rPr>
                <w:rFonts w:ascii="宋体" w:eastAsia="宋体"/>
              </w:rPr>
            </w:pPr>
          </w:p>
        </w:tc>
        <w:tc>
          <w:tcPr>
            <w:tcW w:w="3334" w:type="dxa"/>
          </w:tcPr>
          <w:p>
            <w:pPr>
              <w:pStyle w:val="11"/>
              <w:rPr>
                <w:rFonts w:ascii="宋体" w:eastAsia="宋体"/>
              </w:rPr>
            </w:pPr>
          </w:p>
        </w:tc>
      </w:tr>
    </w:tbl>
    <w:p>
      <w:pPr>
        <w:widowControl/>
        <w:jc w:val="left"/>
        <w:rPr>
          <w:b/>
          <w:sz w:val="32"/>
          <w:szCs w:val="32"/>
        </w:rPr>
      </w:pPr>
    </w:p>
    <w:p>
      <w:pPr>
        <w:spacing w:before="312" w:beforeLines="100" w:after="312" w:afterLines="100" w:line="360" w:lineRule="auto"/>
        <w:jc w:val="center"/>
        <w:outlineLvl w:val="0"/>
        <w:rPr>
          <w:rFonts w:ascii="仿宋" w:hAnsi="仿宋" w:eastAsia="仿宋"/>
          <w:sz w:val="32"/>
          <w:szCs w:val="32"/>
        </w:rPr>
      </w:pPr>
      <w:bookmarkStart w:id="55" w:name="_Toc106791267"/>
      <w:r>
        <w:rPr>
          <w:rFonts w:hint="eastAsia"/>
          <w:b/>
          <w:sz w:val="32"/>
          <w:szCs w:val="32"/>
        </w:rPr>
        <w:t>第五部分：参考附件</w:t>
      </w:r>
      <w:bookmarkEnd w:id="55"/>
    </w:p>
    <w:p>
      <w:pPr>
        <w:spacing w:line="0" w:lineRule="atLeast"/>
        <w:outlineLvl w:val="1"/>
        <w:rPr>
          <w:rFonts w:ascii="宋体" w:hAnsi="宋体"/>
        </w:rPr>
      </w:pPr>
      <w:bookmarkStart w:id="56" w:name="_Toc116550360"/>
      <w:r>
        <w:rPr>
          <w:rFonts w:hint="eastAsia" w:ascii="宋体" w:hAnsi="宋体"/>
          <w:szCs w:val="21"/>
        </w:rPr>
        <w:t>附件1：</w:t>
      </w:r>
      <w:r>
        <w:rPr>
          <w:rFonts w:hint="eastAsia" w:ascii="宋体" w:hAnsi="宋体"/>
        </w:rPr>
        <w:t>报名回函</w:t>
      </w:r>
      <w:bookmarkEnd w:id="56"/>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7" w:name="_Toc116550361"/>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8" w:name="_Toc116550362"/>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9"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59"/>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0" w:name="_Toc116550363"/>
      <w:r>
        <w:rPr>
          <w:rFonts w:hint="eastAsia" w:ascii="宋体" w:hAnsi="宋体"/>
          <w:szCs w:val="21"/>
        </w:rPr>
        <w:t>附件4：考察证明</w:t>
      </w:r>
      <w:bookmarkEnd w:id="60"/>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1"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2"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2"/>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1"/>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3" w:name="_Toc116550364"/>
      <w:r>
        <w:rPr>
          <w:rFonts w:hint="eastAsia" w:ascii="宋体" w:hAnsi="宋体"/>
          <w:szCs w:val="21"/>
        </w:rPr>
        <w:t>附件5：技术服务响应/偏离表</w:t>
      </w:r>
      <w:bookmarkEnd w:id="6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4" w:name="_Toc211248418"/>
      <w:r>
        <w:rPr>
          <w:rFonts w:hint="eastAsia" w:ascii="方正小标宋_GBK" w:hAnsi="方正小标宋_GBK" w:eastAsia="方正小标宋_GBK"/>
          <w:b/>
          <w:sz w:val="32"/>
          <w:szCs w:val="32"/>
        </w:rPr>
        <w:t>技术服务响应/偏离表</w:t>
      </w:r>
      <w:bookmarkEnd w:id="64"/>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5" w:name="_Hlk127434997"/>
      <w:bookmarkStart w:id="66" w:name="_Toc211243320"/>
      <w:r>
        <w:rPr>
          <w:rFonts w:hint="eastAsia" w:ascii="仿宋" w:hAnsi="仿宋" w:eastAsia="仿宋"/>
          <w:sz w:val="30"/>
          <w:szCs w:val="30"/>
        </w:rPr>
        <w:t>法定代表人或其授权委托人（签字或盖章）：</w:t>
      </w:r>
      <w:bookmarkEnd w:id="65"/>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6"/>
      <w:bookmarkStart w:id="67" w:name="_Toc236803114"/>
      <w:bookmarkStart w:id="68" w:name="_Toc246480945"/>
      <w:r>
        <w:rPr>
          <w:rFonts w:ascii="仿宋" w:hAnsi="仿宋" w:eastAsia="仿宋"/>
          <w:sz w:val="28"/>
          <w:szCs w:val="28"/>
        </w:rPr>
        <w:br w:type="page"/>
      </w:r>
    </w:p>
    <w:p>
      <w:pPr>
        <w:spacing w:line="0" w:lineRule="atLeast"/>
        <w:outlineLvl w:val="1"/>
        <w:rPr>
          <w:rFonts w:ascii="宋体" w:hAnsi="宋体"/>
          <w:szCs w:val="21"/>
        </w:rPr>
      </w:pPr>
      <w:bookmarkStart w:id="69" w:name="_Toc116550365"/>
      <w:r>
        <w:rPr>
          <w:rFonts w:hint="eastAsia" w:ascii="宋体" w:hAnsi="宋体"/>
          <w:szCs w:val="21"/>
        </w:rPr>
        <w:t>附件6：商务条款响应/偏离表</w:t>
      </w:r>
      <w:bookmarkEnd w:id="67"/>
      <w:bookmarkEnd w:id="68"/>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20"/>
      <w:r>
        <w:rPr>
          <w:rFonts w:hint="eastAsia" w:ascii="方正小标宋_GBK" w:hAnsi="方正小标宋_GBK" w:eastAsia="方正小标宋_GBK"/>
          <w:b/>
          <w:sz w:val="32"/>
          <w:szCs w:val="32"/>
        </w:rPr>
        <w:t>商务条款响应/偏离表</w:t>
      </w:r>
      <w:bookmarkEnd w:id="70"/>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1" w:name="_Toc395883088"/>
      <w:bookmarkStart w:id="72" w:name="_Toc478387764"/>
      <w:bookmarkStart w:id="73" w:name="_Toc236803111"/>
      <w:r>
        <w:rPr>
          <w:rFonts w:ascii="仿宋" w:hAnsi="仿宋" w:eastAsia="仿宋"/>
          <w:sz w:val="28"/>
          <w:szCs w:val="28"/>
        </w:rPr>
        <w:br w:type="page"/>
      </w:r>
    </w:p>
    <w:p>
      <w:pPr>
        <w:spacing w:line="0" w:lineRule="atLeast"/>
        <w:outlineLvl w:val="1"/>
        <w:rPr>
          <w:rFonts w:ascii="宋体" w:hAnsi="宋体"/>
          <w:szCs w:val="21"/>
        </w:rPr>
      </w:pPr>
      <w:bookmarkStart w:id="74" w:name="_Toc116550366"/>
      <w:r>
        <w:rPr>
          <w:rFonts w:hint="eastAsia" w:ascii="宋体" w:hAnsi="宋体"/>
          <w:szCs w:val="21"/>
        </w:rPr>
        <w:t>附件7：报价一览表（货物）</w:t>
      </w:r>
      <w:bookmarkEnd w:id="74"/>
      <w:r>
        <w:rPr>
          <w:rFonts w:hint="eastAsia" w:ascii="宋体" w:hAnsi="宋体"/>
          <w:color w:val="FF0000"/>
          <w:szCs w:val="21"/>
        </w:rPr>
        <w:t>（本项目不适用）</w:t>
      </w:r>
    </w:p>
    <w:bookmarkEnd w:id="71"/>
    <w:bookmarkEnd w:id="72"/>
    <w:bookmarkEnd w:id="73"/>
    <w:p>
      <w:pPr>
        <w:spacing w:before="120" w:after="240"/>
        <w:jc w:val="center"/>
        <w:rPr>
          <w:rFonts w:ascii="宋体" w:hAnsi="宋体"/>
          <w:b/>
          <w:sz w:val="32"/>
          <w:szCs w:val="32"/>
        </w:rPr>
      </w:pPr>
      <w:bookmarkStart w:id="75" w:name="_Toc211248412"/>
      <w:r>
        <w:rPr>
          <w:rFonts w:hint="eastAsia" w:ascii="方正小标宋_GBK" w:hAnsi="方正小标宋_GBK" w:eastAsia="方正小标宋_GBK"/>
          <w:b/>
          <w:sz w:val="32"/>
          <w:szCs w:val="32"/>
        </w:rPr>
        <w:t>报价一览表</w:t>
      </w:r>
      <w:bookmarkEnd w:id="75"/>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6" w:name="_Toc82095917"/>
      <w:bookmarkStart w:id="77"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6"/>
    <w:bookmarkEnd w:id="77"/>
    <w:p>
      <w:pPr>
        <w:spacing w:line="0" w:lineRule="atLeast"/>
        <w:outlineLvl w:val="1"/>
        <w:rPr>
          <w:rFonts w:ascii="宋体" w:hAnsi="宋体"/>
          <w:szCs w:val="21"/>
        </w:rPr>
      </w:pPr>
      <w:bookmarkStart w:id="78" w:name="_Toc116550367"/>
      <w:r>
        <w:rPr>
          <w:rFonts w:hint="eastAsia" w:ascii="宋体" w:hAnsi="宋体"/>
          <w:szCs w:val="21"/>
        </w:rPr>
        <w:t>附件8：报价一览表（服务）</w:t>
      </w:r>
      <w:bookmarkEnd w:id="78"/>
      <w:r>
        <w:rPr>
          <w:rFonts w:hint="eastAsia" w:ascii="宋体" w:hAnsi="宋体"/>
          <w:color w:val="FF0000"/>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9" w:name="_Toc116550368"/>
      <w:r>
        <w:rPr>
          <w:rFonts w:hint="eastAsia" w:ascii="宋体" w:hAnsi="宋体"/>
          <w:szCs w:val="21"/>
        </w:rPr>
        <w:t>附件9：报价一览表（工程）</w:t>
      </w:r>
      <w:bookmarkEnd w:id="79"/>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0" w:name="_Toc116550369"/>
      <w:r>
        <w:rPr>
          <w:rFonts w:hint="eastAsia" w:ascii="宋体" w:hAnsi="宋体"/>
          <w:szCs w:val="21"/>
        </w:rPr>
        <w:t>附件10：法定代表人证明书</w:t>
      </w:r>
      <w:bookmarkEnd w:id="8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508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cly82gAAAAoBAAAPAAAAAAAAAAEAIAAAACIAAABkcnMvZG93bnJldi54bWxQSwEC&#10;FAAUAAAACACHTuJAIBjiuSsCAABIBAAADgAAAAAAAAABACAAAAApAQAAZHJzL2Uyb0RvYy54bWxQ&#10;SwUGAAAAAAYABgBZAQAAxg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508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E5gy2wAAAAoBAAAPAAAAAAAAAAEAIAAAACIAAABkcnMvZG93bnJldi54bWxQSwEC&#10;FAAUAAAACACHTuJA9zxRjCoCAABIBAAADgAAAAAAAAABACAAAAAqAQAAZHJzL2Uyb0RvYy54bWxQ&#10;SwUGAAAAAAYABgBZAQAAx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1"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3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38"/>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38"/>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文本框 1492960480"/>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LLZcDXAAAABwEAAA8AAAAAAAAAAQAgAAAAIgAAAGRycy9kb3ducmV2Lnht&#10;bFBLAQIUABQAAAAIAIdO4kCKvvO7MwIAAFoEAAAOAAAAAAAAAAEAIAAAACYBAABkcnMvZTJvRG9j&#10;LnhtbFBLBQYAAAAABgAGAFkBAADL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文本框 1046990809"/>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NSa02gAAAAoBAAAPAAAAAAAAAAEAIAAAACIAAABkcnMvZG93bnJl&#10;di54bWxQSwECFAAUAAAACACHTuJAyjeOJDQCAABaBAAADgAAAAAAAAABACAAAAAp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2"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2"/>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3"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3"/>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4" w:name="_Toc32341"/>
      <w:r>
        <w:rPr>
          <w:rFonts w:ascii="仿宋" w:hAnsi="仿宋" w:eastAsia="仿宋"/>
          <w:sz w:val="28"/>
          <w:szCs w:val="28"/>
        </w:rPr>
        <w:br w:type="page"/>
      </w:r>
    </w:p>
    <w:p>
      <w:pPr>
        <w:spacing w:line="0" w:lineRule="atLeast"/>
        <w:outlineLvl w:val="1"/>
        <w:rPr>
          <w:rFonts w:ascii="宋体" w:hAnsi="宋体"/>
          <w:szCs w:val="21"/>
        </w:rPr>
      </w:pPr>
      <w:bookmarkStart w:id="85"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4"/>
      <w:bookmarkEnd w:id="85"/>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6" w:name="_Toc100848654"/>
      <w:bookmarkStart w:id="87" w:name="_Toc116550374"/>
      <w:r>
        <w:rPr>
          <w:rFonts w:hint="eastAsia" w:ascii="宋体" w:hAnsi="宋体"/>
        </w:rPr>
        <w:t>附件15：投标文件密码</w:t>
      </w:r>
      <w:bookmarkEnd w:id="86"/>
      <w:r>
        <w:rPr>
          <w:rFonts w:hint="eastAsia" w:ascii="宋体" w:hAnsi="宋体"/>
        </w:rPr>
        <w:t>单</w:t>
      </w:r>
      <w:bookmarkEnd w:id="87"/>
    </w:p>
    <w:p>
      <w:pPr>
        <w:spacing w:line="360" w:lineRule="auto"/>
        <w:jc w:val="center"/>
        <w:rPr>
          <w:rFonts w:ascii="宋体" w:hAnsi="宋体"/>
          <w:b/>
          <w:sz w:val="44"/>
          <w:szCs w:val="44"/>
        </w:rPr>
      </w:pPr>
    </w:p>
    <w:p>
      <w:pPr>
        <w:jc w:val="center"/>
        <w:rPr>
          <w:rFonts w:ascii="宋体" w:hAnsi="宋体"/>
          <w:b/>
          <w:color w:val="000000"/>
          <w:sz w:val="32"/>
          <w:szCs w:val="32"/>
        </w:rPr>
      </w:pPr>
      <w:bookmarkStart w:id="88"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88"/>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2"/>
        </w:numPr>
        <w:rPr>
          <w:rFonts w:ascii="仿宋" w:hAnsi="仿宋" w:eastAsia="仿宋"/>
          <w:sz w:val="28"/>
          <w:szCs w:val="28"/>
        </w:rPr>
      </w:pPr>
      <w:r>
        <w:rPr>
          <w:rFonts w:hint="eastAsia" w:ascii="仿宋" w:hAnsi="仿宋" w:eastAsia="仿宋"/>
          <w:color w:val="000000"/>
          <w:sz w:val="28"/>
          <w:szCs w:val="28"/>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2"/>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89"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89"/>
    </w:p>
    <w:p>
      <w:pPr>
        <w:pStyle w:val="11"/>
      </w:pPr>
    </w:p>
    <w:p>
      <w:pPr>
        <w:pStyle w:val="11"/>
      </w:pPr>
    </w:p>
    <w:p>
      <w:pPr>
        <w:pStyle w:val="11"/>
      </w:pPr>
    </w:p>
    <w:p>
      <w:pPr>
        <w:pStyle w:val="11"/>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573F02C"/>
    <w:multiLevelType w:val="singleLevel"/>
    <w:tmpl w:val="C573F02C"/>
    <w:lvl w:ilvl="0" w:tentative="0">
      <w:start w:val="1"/>
      <w:numFmt w:val="decimal"/>
      <w:suff w:val="nothing"/>
      <w:lvlText w:val="（%1）"/>
      <w:lvlJc w:val="left"/>
      <w:pPr>
        <w:ind w:left="210"/>
      </w:p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multilevel"/>
    <w:tmpl w:val="000000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FF6FBD"/>
    <w:multiLevelType w:val="singleLevel"/>
    <w:tmpl w:val="03FF6FBD"/>
    <w:lvl w:ilvl="0" w:tentative="0">
      <w:start w:val="1"/>
      <w:numFmt w:val="decimal"/>
      <w:suff w:val="nothing"/>
      <w:lvlText w:val="（%1）"/>
      <w:lvlJc w:val="left"/>
      <w:pPr>
        <w:ind w:left="210"/>
      </w:pPr>
    </w:lvl>
  </w:abstractNum>
  <w:abstractNum w:abstractNumId="10">
    <w:nsid w:val="0C6B94FE"/>
    <w:multiLevelType w:val="singleLevel"/>
    <w:tmpl w:val="0C6B94FE"/>
    <w:lvl w:ilvl="0" w:tentative="0">
      <w:start w:val="1"/>
      <w:numFmt w:val="decimal"/>
      <w:lvlText w:val="（%1）"/>
      <w:lvlJc w:val="left"/>
      <w:pPr>
        <w:ind w:left="420" w:hanging="420"/>
      </w:pPr>
    </w:lvl>
  </w:abstractNum>
  <w:abstractNum w:abstractNumId="11">
    <w:nsid w:val="0FE274C7"/>
    <w:multiLevelType w:val="singleLevel"/>
    <w:tmpl w:val="0FE274C7"/>
    <w:lvl w:ilvl="0" w:tentative="0">
      <w:start w:val="1"/>
      <w:numFmt w:val="decimal"/>
      <w:lvlText w:val="(%1)"/>
      <w:lvlJc w:val="left"/>
      <w:pPr>
        <w:ind w:left="425" w:hanging="425"/>
      </w:pPr>
      <w:rPr>
        <w:rFonts w:hint="eastAsia" w:ascii="宋体" w:hAnsi="宋体" w:eastAsia="宋体"/>
        <w:color w:val="auto"/>
      </w:r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430381"/>
    <w:multiLevelType w:val="multilevel"/>
    <w:tmpl w:val="1B430381"/>
    <w:lvl w:ilvl="0" w:tentative="0">
      <w:start w:val="1"/>
      <w:numFmt w:val="decimal"/>
      <w:lvlText w:val="（%1）"/>
      <w:lvlJc w:val="left"/>
      <w:pPr>
        <w:ind w:left="6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E10C89"/>
    <w:multiLevelType w:val="singleLevel"/>
    <w:tmpl w:val="28E10C89"/>
    <w:lvl w:ilvl="0" w:tentative="0">
      <w:start w:val="1"/>
      <w:numFmt w:val="decimal"/>
      <w:suff w:val="space"/>
      <w:lvlText w:val="%1."/>
      <w:lvlJc w:val="left"/>
    </w:lvl>
  </w:abstractNum>
  <w:abstractNum w:abstractNumId="20">
    <w:nsid w:val="3198525B"/>
    <w:multiLevelType w:val="multilevel"/>
    <w:tmpl w:val="319852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1546F7"/>
    <w:multiLevelType w:val="multilevel"/>
    <w:tmpl w:val="3B1546F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72607EB"/>
    <w:multiLevelType w:val="multilevel"/>
    <w:tmpl w:val="572607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78C6D2F"/>
    <w:multiLevelType w:val="multilevel"/>
    <w:tmpl w:val="578C6D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BB33035"/>
    <w:multiLevelType w:val="multilevel"/>
    <w:tmpl w:val="5BB3303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643052BC"/>
    <w:multiLevelType w:val="singleLevel"/>
    <w:tmpl w:val="643052BC"/>
    <w:lvl w:ilvl="0" w:tentative="0">
      <w:start w:val="1"/>
      <w:numFmt w:val="decimal"/>
      <w:suff w:val="nothing"/>
      <w:lvlText w:val="（%1）"/>
      <w:lvlJc w:val="left"/>
      <w:pPr>
        <w:ind w:left="210"/>
      </w:pPr>
    </w:lvl>
  </w:abstractNum>
  <w:abstractNum w:abstractNumId="35">
    <w:nsid w:val="6464252D"/>
    <w:multiLevelType w:val="multilevel"/>
    <w:tmpl w:val="646425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8">
    <w:nsid w:val="73886FF3"/>
    <w:multiLevelType w:val="multilevel"/>
    <w:tmpl w:val="73886F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6E0494F"/>
    <w:multiLevelType w:val="multilevel"/>
    <w:tmpl w:val="76E049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ED17433"/>
    <w:multiLevelType w:val="singleLevel"/>
    <w:tmpl w:val="7ED17433"/>
    <w:lvl w:ilvl="0" w:tentative="0">
      <w:start w:val="1"/>
      <w:numFmt w:val="decimal"/>
      <w:lvlText w:val="（%1）"/>
      <w:lvlJc w:val="left"/>
      <w:pPr>
        <w:ind w:left="420" w:hanging="420"/>
      </w:pPr>
      <w:rPr>
        <w:rFonts w:hint="eastAsia"/>
      </w:rPr>
    </w:lvl>
  </w:abstractNum>
  <w:num w:numId="1">
    <w:abstractNumId w:val="29"/>
  </w:num>
  <w:num w:numId="2">
    <w:abstractNumId w:val="37"/>
  </w:num>
  <w:num w:numId="3">
    <w:abstractNumId w:val="23"/>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5"/>
  </w:num>
  <w:num w:numId="9">
    <w:abstractNumId w:val="12"/>
  </w:num>
  <w:num w:numId="10">
    <w:abstractNumId w:val="40"/>
  </w:num>
  <w:num w:numId="11">
    <w:abstractNumId w:val="1"/>
  </w:num>
  <w:num w:numId="12">
    <w:abstractNumId w:val="32"/>
  </w:num>
  <w:num w:numId="13">
    <w:abstractNumId w:val="9"/>
  </w:num>
  <w:num w:numId="14">
    <w:abstractNumId w:val="34"/>
  </w:num>
  <w:num w:numId="15">
    <w:abstractNumId w:val="14"/>
  </w:num>
  <w:num w:numId="16">
    <w:abstractNumId w:val="39"/>
  </w:num>
  <w:num w:numId="17">
    <w:abstractNumId w:val="35"/>
  </w:num>
  <w:num w:numId="18">
    <w:abstractNumId w:val="3"/>
  </w:num>
  <w:num w:numId="19">
    <w:abstractNumId w:val="19"/>
  </w:num>
  <w:num w:numId="20">
    <w:abstractNumId w:val="7"/>
  </w:num>
  <w:num w:numId="21">
    <w:abstractNumId w:val="15"/>
  </w:num>
  <w:num w:numId="22">
    <w:abstractNumId w:val="10"/>
    <w:lvlOverride w:ilvl="0">
      <w:startOverride w:val="1"/>
    </w:lvlOverride>
  </w:num>
  <w:num w:numId="23">
    <w:abstractNumId w:val="11"/>
  </w:num>
  <w:num w:numId="24">
    <w:abstractNumId w:val="22"/>
  </w:num>
  <w:num w:numId="25">
    <w:abstractNumId w:val="0"/>
  </w:num>
  <w:num w:numId="26">
    <w:abstractNumId w:val="4"/>
  </w:num>
  <w:num w:numId="27">
    <w:abstractNumId w:val="38"/>
  </w:num>
  <w:num w:numId="28">
    <w:abstractNumId w:val="20"/>
  </w:num>
  <w:num w:numId="29">
    <w:abstractNumId w:val="24"/>
  </w:num>
  <w:num w:numId="30">
    <w:abstractNumId w:val="31"/>
  </w:num>
  <w:num w:numId="31">
    <w:abstractNumId w:val="33"/>
  </w:num>
  <w:num w:numId="32">
    <w:abstractNumId w:val="6"/>
  </w:num>
  <w:num w:numId="33">
    <w:abstractNumId w:val="5"/>
  </w:num>
  <w:num w:numId="34">
    <w:abstractNumId w:val="36"/>
  </w:num>
  <w:num w:numId="35">
    <w:abstractNumId w:val="26"/>
  </w:num>
  <w:num w:numId="36">
    <w:abstractNumId w:val="21"/>
  </w:num>
  <w:num w:numId="37">
    <w:abstractNumId w:val="17"/>
  </w:num>
  <w:num w:numId="38">
    <w:abstractNumId w:val="27"/>
  </w:num>
  <w:num w:numId="39">
    <w:abstractNumId w:val="16"/>
  </w:num>
  <w:num w:numId="40">
    <w:abstractNumId w:val="8"/>
  </w:num>
  <w:num w:numId="41">
    <w:abstractNumId w:val="2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ODBjZjMwYTM1YzllMWUwODQxNjViYWIwMGQ1MzkifQ=="/>
  </w:docVars>
  <w:rsids>
    <w:rsidRoot w:val="007C50B2"/>
    <w:rsid w:val="000071F5"/>
    <w:rsid w:val="00007FE7"/>
    <w:rsid w:val="000109CF"/>
    <w:rsid w:val="0001408F"/>
    <w:rsid w:val="00017D7C"/>
    <w:rsid w:val="00020D3D"/>
    <w:rsid w:val="000233B5"/>
    <w:rsid w:val="0002431D"/>
    <w:rsid w:val="000262A2"/>
    <w:rsid w:val="00030ED4"/>
    <w:rsid w:val="00031933"/>
    <w:rsid w:val="0005325D"/>
    <w:rsid w:val="00057011"/>
    <w:rsid w:val="0006307A"/>
    <w:rsid w:val="000667E9"/>
    <w:rsid w:val="00071803"/>
    <w:rsid w:val="00074891"/>
    <w:rsid w:val="00077160"/>
    <w:rsid w:val="00080360"/>
    <w:rsid w:val="00093AB1"/>
    <w:rsid w:val="00093F3A"/>
    <w:rsid w:val="00095512"/>
    <w:rsid w:val="000A18E2"/>
    <w:rsid w:val="000A2942"/>
    <w:rsid w:val="000B02A3"/>
    <w:rsid w:val="000B4283"/>
    <w:rsid w:val="000C0416"/>
    <w:rsid w:val="000C45B3"/>
    <w:rsid w:val="000C7053"/>
    <w:rsid w:val="000E3E7C"/>
    <w:rsid w:val="000F16F8"/>
    <w:rsid w:val="000F23B0"/>
    <w:rsid w:val="000F5DF9"/>
    <w:rsid w:val="001052B4"/>
    <w:rsid w:val="001107A5"/>
    <w:rsid w:val="001238C4"/>
    <w:rsid w:val="0012732B"/>
    <w:rsid w:val="0013213B"/>
    <w:rsid w:val="001356BD"/>
    <w:rsid w:val="0013663B"/>
    <w:rsid w:val="00137AB2"/>
    <w:rsid w:val="00141B72"/>
    <w:rsid w:val="001427DC"/>
    <w:rsid w:val="001476D4"/>
    <w:rsid w:val="001534EC"/>
    <w:rsid w:val="00162AA4"/>
    <w:rsid w:val="0017163D"/>
    <w:rsid w:val="001723D2"/>
    <w:rsid w:val="00174846"/>
    <w:rsid w:val="001752BF"/>
    <w:rsid w:val="00180E0D"/>
    <w:rsid w:val="001959E5"/>
    <w:rsid w:val="001978B2"/>
    <w:rsid w:val="001A1DE7"/>
    <w:rsid w:val="001A282A"/>
    <w:rsid w:val="001A6C5B"/>
    <w:rsid w:val="001C2895"/>
    <w:rsid w:val="001E204B"/>
    <w:rsid w:val="001E44D2"/>
    <w:rsid w:val="001F14F2"/>
    <w:rsid w:val="001F279E"/>
    <w:rsid w:val="0020628E"/>
    <w:rsid w:val="00206999"/>
    <w:rsid w:val="00220B1B"/>
    <w:rsid w:val="0022465E"/>
    <w:rsid w:val="00233E0E"/>
    <w:rsid w:val="00234E16"/>
    <w:rsid w:val="00252697"/>
    <w:rsid w:val="00253531"/>
    <w:rsid w:val="00254C5A"/>
    <w:rsid w:val="0028078C"/>
    <w:rsid w:val="00292E63"/>
    <w:rsid w:val="0029361C"/>
    <w:rsid w:val="002963F2"/>
    <w:rsid w:val="002A01CE"/>
    <w:rsid w:val="002A1B14"/>
    <w:rsid w:val="002B743A"/>
    <w:rsid w:val="002C49F2"/>
    <w:rsid w:val="002E38D8"/>
    <w:rsid w:val="003117BB"/>
    <w:rsid w:val="0031544F"/>
    <w:rsid w:val="003158DE"/>
    <w:rsid w:val="0032368E"/>
    <w:rsid w:val="003255E6"/>
    <w:rsid w:val="003300CC"/>
    <w:rsid w:val="0033126D"/>
    <w:rsid w:val="00332FDD"/>
    <w:rsid w:val="00337D03"/>
    <w:rsid w:val="003436BC"/>
    <w:rsid w:val="00354484"/>
    <w:rsid w:val="003545D1"/>
    <w:rsid w:val="003560A0"/>
    <w:rsid w:val="00356F92"/>
    <w:rsid w:val="0037679F"/>
    <w:rsid w:val="003823A8"/>
    <w:rsid w:val="00385154"/>
    <w:rsid w:val="003966F4"/>
    <w:rsid w:val="00397C1E"/>
    <w:rsid w:val="003A09E6"/>
    <w:rsid w:val="003A2E5E"/>
    <w:rsid w:val="003B01FB"/>
    <w:rsid w:val="003C2D02"/>
    <w:rsid w:val="003D0358"/>
    <w:rsid w:val="003D57E4"/>
    <w:rsid w:val="003E6092"/>
    <w:rsid w:val="003E66A3"/>
    <w:rsid w:val="003E7621"/>
    <w:rsid w:val="003F1E01"/>
    <w:rsid w:val="00404B0C"/>
    <w:rsid w:val="004235D9"/>
    <w:rsid w:val="00427D5D"/>
    <w:rsid w:val="00441F17"/>
    <w:rsid w:val="00460C20"/>
    <w:rsid w:val="004707D2"/>
    <w:rsid w:val="00471ED2"/>
    <w:rsid w:val="00476C96"/>
    <w:rsid w:val="004775EE"/>
    <w:rsid w:val="00492F1D"/>
    <w:rsid w:val="004A0594"/>
    <w:rsid w:val="004A0D13"/>
    <w:rsid w:val="004A0D6B"/>
    <w:rsid w:val="004A7C1F"/>
    <w:rsid w:val="004B0D64"/>
    <w:rsid w:val="004B0E1A"/>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0805"/>
    <w:rsid w:val="00565EDC"/>
    <w:rsid w:val="005733D1"/>
    <w:rsid w:val="005815FC"/>
    <w:rsid w:val="00587D41"/>
    <w:rsid w:val="005A1CFA"/>
    <w:rsid w:val="005A26F8"/>
    <w:rsid w:val="005A2CA3"/>
    <w:rsid w:val="005A480E"/>
    <w:rsid w:val="005A5B3E"/>
    <w:rsid w:val="005B03C2"/>
    <w:rsid w:val="005B1453"/>
    <w:rsid w:val="005B328D"/>
    <w:rsid w:val="005C5034"/>
    <w:rsid w:val="005C7CC8"/>
    <w:rsid w:val="005D123F"/>
    <w:rsid w:val="005D5BDB"/>
    <w:rsid w:val="005E43D8"/>
    <w:rsid w:val="005E4792"/>
    <w:rsid w:val="005F16B3"/>
    <w:rsid w:val="005F71F0"/>
    <w:rsid w:val="00604C0B"/>
    <w:rsid w:val="00606010"/>
    <w:rsid w:val="00606622"/>
    <w:rsid w:val="006115F6"/>
    <w:rsid w:val="00621681"/>
    <w:rsid w:val="00630585"/>
    <w:rsid w:val="006311FC"/>
    <w:rsid w:val="00632039"/>
    <w:rsid w:val="006333BC"/>
    <w:rsid w:val="006635D2"/>
    <w:rsid w:val="00664471"/>
    <w:rsid w:val="00664772"/>
    <w:rsid w:val="00681577"/>
    <w:rsid w:val="006815B1"/>
    <w:rsid w:val="00687753"/>
    <w:rsid w:val="006942FF"/>
    <w:rsid w:val="006A20F0"/>
    <w:rsid w:val="006A4FED"/>
    <w:rsid w:val="006B1729"/>
    <w:rsid w:val="006B3970"/>
    <w:rsid w:val="006B4923"/>
    <w:rsid w:val="006B74A2"/>
    <w:rsid w:val="006C4074"/>
    <w:rsid w:val="006C659A"/>
    <w:rsid w:val="006C7266"/>
    <w:rsid w:val="006C7574"/>
    <w:rsid w:val="006D22AD"/>
    <w:rsid w:val="006E0464"/>
    <w:rsid w:val="006E14E2"/>
    <w:rsid w:val="006E42A5"/>
    <w:rsid w:val="006E6992"/>
    <w:rsid w:val="006F0E4A"/>
    <w:rsid w:val="006F3293"/>
    <w:rsid w:val="0070433C"/>
    <w:rsid w:val="007115E1"/>
    <w:rsid w:val="007141D0"/>
    <w:rsid w:val="00714F2D"/>
    <w:rsid w:val="00715AB4"/>
    <w:rsid w:val="007164D8"/>
    <w:rsid w:val="00717FB9"/>
    <w:rsid w:val="007347D6"/>
    <w:rsid w:val="00747C85"/>
    <w:rsid w:val="00753833"/>
    <w:rsid w:val="007542A8"/>
    <w:rsid w:val="00754D7C"/>
    <w:rsid w:val="00754F77"/>
    <w:rsid w:val="007559E5"/>
    <w:rsid w:val="00760715"/>
    <w:rsid w:val="007672EE"/>
    <w:rsid w:val="0076763C"/>
    <w:rsid w:val="007744CB"/>
    <w:rsid w:val="0077621A"/>
    <w:rsid w:val="007764DC"/>
    <w:rsid w:val="00781DFA"/>
    <w:rsid w:val="00782E08"/>
    <w:rsid w:val="00790A8A"/>
    <w:rsid w:val="00791D15"/>
    <w:rsid w:val="007933D2"/>
    <w:rsid w:val="007A7558"/>
    <w:rsid w:val="007C02CE"/>
    <w:rsid w:val="007C2D71"/>
    <w:rsid w:val="007C3EB8"/>
    <w:rsid w:val="007C50B2"/>
    <w:rsid w:val="007E5BF2"/>
    <w:rsid w:val="007F33A9"/>
    <w:rsid w:val="008012FA"/>
    <w:rsid w:val="00803FA2"/>
    <w:rsid w:val="008117C1"/>
    <w:rsid w:val="00823E99"/>
    <w:rsid w:val="00824211"/>
    <w:rsid w:val="00836A41"/>
    <w:rsid w:val="008406D6"/>
    <w:rsid w:val="0084470A"/>
    <w:rsid w:val="00845DE7"/>
    <w:rsid w:val="00857F72"/>
    <w:rsid w:val="00866C0E"/>
    <w:rsid w:val="00867C56"/>
    <w:rsid w:val="00870B22"/>
    <w:rsid w:val="00874BB5"/>
    <w:rsid w:val="008874C3"/>
    <w:rsid w:val="00895D5D"/>
    <w:rsid w:val="008A0193"/>
    <w:rsid w:val="008B2C67"/>
    <w:rsid w:val="008B2EB7"/>
    <w:rsid w:val="008C44DE"/>
    <w:rsid w:val="008E05E5"/>
    <w:rsid w:val="008E3C54"/>
    <w:rsid w:val="008E3C92"/>
    <w:rsid w:val="008F03B4"/>
    <w:rsid w:val="008F638F"/>
    <w:rsid w:val="0090721F"/>
    <w:rsid w:val="009139BC"/>
    <w:rsid w:val="00915BDD"/>
    <w:rsid w:val="009179FB"/>
    <w:rsid w:val="00925560"/>
    <w:rsid w:val="00926702"/>
    <w:rsid w:val="00927979"/>
    <w:rsid w:val="00937F12"/>
    <w:rsid w:val="00943245"/>
    <w:rsid w:val="009441E9"/>
    <w:rsid w:val="0094528D"/>
    <w:rsid w:val="00953E6B"/>
    <w:rsid w:val="00960B05"/>
    <w:rsid w:val="00963D73"/>
    <w:rsid w:val="00964B2E"/>
    <w:rsid w:val="00976465"/>
    <w:rsid w:val="009779ED"/>
    <w:rsid w:val="0098029E"/>
    <w:rsid w:val="0098263B"/>
    <w:rsid w:val="00982922"/>
    <w:rsid w:val="00991233"/>
    <w:rsid w:val="009953F9"/>
    <w:rsid w:val="009A37EC"/>
    <w:rsid w:val="009A699B"/>
    <w:rsid w:val="009A6EF3"/>
    <w:rsid w:val="009A6FCC"/>
    <w:rsid w:val="009B0A6B"/>
    <w:rsid w:val="009B7189"/>
    <w:rsid w:val="009C0135"/>
    <w:rsid w:val="009C5B02"/>
    <w:rsid w:val="009E22E1"/>
    <w:rsid w:val="009E25C8"/>
    <w:rsid w:val="009E2781"/>
    <w:rsid w:val="009E3D67"/>
    <w:rsid w:val="009E7342"/>
    <w:rsid w:val="00A0064A"/>
    <w:rsid w:val="00A0267F"/>
    <w:rsid w:val="00A30228"/>
    <w:rsid w:val="00A304D0"/>
    <w:rsid w:val="00A31A55"/>
    <w:rsid w:val="00A34048"/>
    <w:rsid w:val="00A3423A"/>
    <w:rsid w:val="00A35983"/>
    <w:rsid w:val="00A35F31"/>
    <w:rsid w:val="00A4407E"/>
    <w:rsid w:val="00A46C1C"/>
    <w:rsid w:val="00A53489"/>
    <w:rsid w:val="00A639F5"/>
    <w:rsid w:val="00A761F1"/>
    <w:rsid w:val="00A8313A"/>
    <w:rsid w:val="00A848E6"/>
    <w:rsid w:val="00AA01BF"/>
    <w:rsid w:val="00AA0F85"/>
    <w:rsid w:val="00AA320E"/>
    <w:rsid w:val="00AA38D8"/>
    <w:rsid w:val="00AA56F4"/>
    <w:rsid w:val="00AA6BD5"/>
    <w:rsid w:val="00AB0184"/>
    <w:rsid w:val="00AB0A23"/>
    <w:rsid w:val="00AC1082"/>
    <w:rsid w:val="00AC7FB5"/>
    <w:rsid w:val="00AD0743"/>
    <w:rsid w:val="00AD193B"/>
    <w:rsid w:val="00AD414A"/>
    <w:rsid w:val="00AD731D"/>
    <w:rsid w:val="00AE1E1D"/>
    <w:rsid w:val="00AF0A7F"/>
    <w:rsid w:val="00AF1254"/>
    <w:rsid w:val="00AF348F"/>
    <w:rsid w:val="00AF730B"/>
    <w:rsid w:val="00B02F8D"/>
    <w:rsid w:val="00B049D6"/>
    <w:rsid w:val="00B1365B"/>
    <w:rsid w:val="00B21864"/>
    <w:rsid w:val="00B37A2F"/>
    <w:rsid w:val="00B40F3E"/>
    <w:rsid w:val="00B44E4F"/>
    <w:rsid w:val="00B522B7"/>
    <w:rsid w:val="00B534D7"/>
    <w:rsid w:val="00B552D1"/>
    <w:rsid w:val="00B634B5"/>
    <w:rsid w:val="00B65C5E"/>
    <w:rsid w:val="00B671B8"/>
    <w:rsid w:val="00B76BC6"/>
    <w:rsid w:val="00BA7AC7"/>
    <w:rsid w:val="00BC0C0B"/>
    <w:rsid w:val="00BC40BD"/>
    <w:rsid w:val="00BD120A"/>
    <w:rsid w:val="00BD666B"/>
    <w:rsid w:val="00BF4310"/>
    <w:rsid w:val="00BF52E8"/>
    <w:rsid w:val="00C01654"/>
    <w:rsid w:val="00C30244"/>
    <w:rsid w:val="00C5180D"/>
    <w:rsid w:val="00C53AB0"/>
    <w:rsid w:val="00C53D1D"/>
    <w:rsid w:val="00C5540E"/>
    <w:rsid w:val="00C60424"/>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2B91"/>
    <w:rsid w:val="00CF3F58"/>
    <w:rsid w:val="00CF673C"/>
    <w:rsid w:val="00D13594"/>
    <w:rsid w:val="00D21491"/>
    <w:rsid w:val="00D2411A"/>
    <w:rsid w:val="00D254D9"/>
    <w:rsid w:val="00D25686"/>
    <w:rsid w:val="00D26ABB"/>
    <w:rsid w:val="00D31623"/>
    <w:rsid w:val="00D4224E"/>
    <w:rsid w:val="00D43550"/>
    <w:rsid w:val="00D629CE"/>
    <w:rsid w:val="00D83CA2"/>
    <w:rsid w:val="00D83CC0"/>
    <w:rsid w:val="00D84553"/>
    <w:rsid w:val="00D8470E"/>
    <w:rsid w:val="00D955EB"/>
    <w:rsid w:val="00DB1C4E"/>
    <w:rsid w:val="00DB3AB8"/>
    <w:rsid w:val="00DB7D95"/>
    <w:rsid w:val="00DD544D"/>
    <w:rsid w:val="00DE54DF"/>
    <w:rsid w:val="00DE5E4C"/>
    <w:rsid w:val="00DE7DDC"/>
    <w:rsid w:val="00DF7993"/>
    <w:rsid w:val="00E029FE"/>
    <w:rsid w:val="00E107EC"/>
    <w:rsid w:val="00E11738"/>
    <w:rsid w:val="00E12957"/>
    <w:rsid w:val="00E15FA6"/>
    <w:rsid w:val="00E27F91"/>
    <w:rsid w:val="00E31BD7"/>
    <w:rsid w:val="00E33D43"/>
    <w:rsid w:val="00E4270D"/>
    <w:rsid w:val="00E45D07"/>
    <w:rsid w:val="00E677C6"/>
    <w:rsid w:val="00E70687"/>
    <w:rsid w:val="00E710FC"/>
    <w:rsid w:val="00E75726"/>
    <w:rsid w:val="00E83C8C"/>
    <w:rsid w:val="00E86CB7"/>
    <w:rsid w:val="00E928C6"/>
    <w:rsid w:val="00E97092"/>
    <w:rsid w:val="00EA0513"/>
    <w:rsid w:val="00EA0FAB"/>
    <w:rsid w:val="00EC35E9"/>
    <w:rsid w:val="00EC57A0"/>
    <w:rsid w:val="00ED39A2"/>
    <w:rsid w:val="00ED5B84"/>
    <w:rsid w:val="00ED6D11"/>
    <w:rsid w:val="00F00080"/>
    <w:rsid w:val="00F01837"/>
    <w:rsid w:val="00F01D21"/>
    <w:rsid w:val="00F03A68"/>
    <w:rsid w:val="00F03DDB"/>
    <w:rsid w:val="00F04E6A"/>
    <w:rsid w:val="00F112C6"/>
    <w:rsid w:val="00F11D72"/>
    <w:rsid w:val="00F1499F"/>
    <w:rsid w:val="00F210DC"/>
    <w:rsid w:val="00F2136A"/>
    <w:rsid w:val="00F256B7"/>
    <w:rsid w:val="00F309E8"/>
    <w:rsid w:val="00F313E2"/>
    <w:rsid w:val="00F36975"/>
    <w:rsid w:val="00F409B2"/>
    <w:rsid w:val="00F45FBC"/>
    <w:rsid w:val="00F467E3"/>
    <w:rsid w:val="00F47201"/>
    <w:rsid w:val="00F52228"/>
    <w:rsid w:val="00F525B8"/>
    <w:rsid w:val="00F53D25"/>
    <w:rsid w:val="00F64816"/>
    <w:rsid w:val="00F72A57"/>
    <w:rsid w:val="00F73354"/>
    <w:rsid w:val="00F775C3"/>
    <w:rsid w:val="00FA092E"/>
    <w:rsid w:val="00FA63B5"/>
    <w:rsid w:val="00FA6D58"/>
    <w:rsid w:val="00FC46C3"/>
    <w:rsid w:val="00FC6523"/>
    <w:rsid w:val="00FC7795"/>
    <w:rsid w:val="00FD52D3"/>
    <w:rsid w:val="00FE72DF"/>
    <w:rsid w:val="00FF2F91"/>
    <w:rsid w:val="01A35C44"/>
    <w:rsid w:val="021533E7"/>
    <w:rsid w:val="02B47C4D"/>
    <w:rsid w:val="044F212E"/>
    <w:rsid w:val="04C346AC"/>
    <w:rsid w:val="04D46768"/>
    <w:rsid w:val="053A1CC8"/>
    <w:rsid w:val="054144F3"/>
    <w:rsid w:val="06856661"/>
    <w:rsid w:val="06D21A79"/>
    <w:rsid w:val="06E23AB3"/>
    <w:rsid w:val="070D0B30"/>
    <w:rsid w:val="07416A2C"/>
    <w:rsid w:val="077B4608"/>
    <w:rsid w:val="07BB74B6"/>
    <w:rsid w:val="08493DEA"/>
    <w:rsid w:val="086E4EC9"/>
    <w:rsid w:val="0A3708BE"/>
    <w:rsid w:val="0B734A64"/>
    <w:rsid w:val="0B94142E"/>
    <w:rsid w:val="0D853AB5"/>
    <w:rsid w:val="0DD201F4"/>
    <w:rsid w:val="0DD8208D"/>
    <w:rsid w:val="0DDA54E4"/>
    <w:rsid w:val="0F4526B6"/>
    <w:rsid w:val="0F655282"/>
    <w:rsid w:val="0FA45DAA"/>
    <w:rsid w:val="11121A93"/>
    <w:rsid w:val="11586462"/>
    <w:rsid w:val="13651CF4"/>
    <w:rsid w:val="152B64B8"/>
    <w:rsid w:val="15740DA4"/>
    <w:rsid w:val="189A6E90"/>
    <w:rsid w:val="191305D5"/>
    <w:rsid w:val="195A6BC0"/>
    <w:rsid w:val="198922D1"/>
    <w:rsid w:val="1F053595"/>
    <w:rsid w:val="1FAE14F3"/>
    <w:rsid w:val="20EA05EC"/>
    <w:rsid w:val="227A4EED"/>
    <w:rsid w:val="228D0750"/>
    <w:rsid w:val="2332700B"/>
    <w:rsid w:val="243A23CD"/>
    <w:rsid w:val="25A5748F"/>
    <w:rsid w:val="25B51CAC"/>
    <w:rsid w:val="25D85A3C"/>
    <w:rsid w:val="25E5551C"/>
    <w:rsid w:val="25F42372"/>
    <w:rsid w:val="26E95967"/>
    <w:rsid w:val="284C6218"/>
    <w:rsid w:val="2966403A"/>
    <w:rsid w:val="29CA180D"/>
    <w:rsid w:val="2B9E3425"/>
    <w:rsid w:val="2BD75719"/>
    <w:rsid w:val="2BFA4386"/>
    <w:rsid w:val="2C9F7BCD"/>
    <w:rsid w:val="2CB21CBA"/>
    <w:rsid w:val="2CD3215C"/>
    <w:rsid w:val="2CD73EA3"/>
    <w:rsid w:val="2D845ED0"/>
    <w:rsid w:val="2DFB5253"/>
    <w:rsid w:val="2E905A1F"/>
    <w:rsid w:val="300A35B0"/>
    <w:rsid w:val="30381F4F"/>
    <w:rsid w:val="306D4966"/>
    <w:rsid w:val="30972831"/>
    <w:rsid w:val="30F967B5"/>
    <w:rsid w:val="33294694"/>
    <w:rsid w:val="33CB4649"/>
    <w:rsid w:val="34A05B77"/>
    <w:rsid w:val="375407E3"/>
    <w:rsid w:val="38AC36F6"/>
    <w:rsid w:val="3BE41159"/>
    <w:rsid w:val="3C460C63"/>
    <w:rsid w:val="3D3679ED"/>
    <w:rsid w:val="3E3717A4"/>
    <w:rsid w:val="3E502554"/>
    <w:rsid w:val="3EF44E2D"/>
    <w:rsid w:val="3FCC74D9"/>
    <w:rsid w:val="3FDF781F"/>
    <w:rsid w:val="408D7227"/>
    <w:rsid w:val="410E108A"/>
    <w:rsid w:val="41656FE2"/>
    <w:rsid w:val="416718EC"/>
    <w:rsid w:val="439D7A21"/>
    <w:rsid w:val="43D97719"/>
    <w:rsid w:val="44161370"/>
    <w:rsid w:val="447267E8"/>
    <w:rsid w:val="44E431E5"/>
    <w:rsid w:val="457A082E"/>
    <w:rsid w:val="45C04FF4"/>
    <w:rsid w:val="45C67A73"/>
    <w:rsid w:val="47BC609D"/>
    <w:rsid w:val="48556196"/>
    <w:rsid w:val="488A4FA7"/>
    <w:rsid w:val="492A4A83"/>
    <w:rsid w:val="495C1F5C"/>
    <w:rsid w:val="4A1043C2"/>
    <w:rsid w:val="4B502367"/>
    <w:rsid w:val="4B8B03E4"/>
    <w:rsid w:val="4C6360CC"/>
    <w:rsid w:val="4C692F3D"/>
    <w:rsid w:val="4C83577D"/>
    <w:rsid w:val="4DDF67CC"/>
    <w:rsid w:val="4EE12BFB"/>
    <w:rsid w:val="509C7DFC"/>
    <w:rsid w:val="50E0418D"/>
    <w:rsid w:val="50FA6A61"/>
    <w:rsid w:val="5144724C"/>
    <w:rsid w:val="51794BC1"/>
    <w:rsid w:val="53D25371"/>
    <w:rsid w:val="540F1FD2"/>
    <w:rsid w:val="561D19DF"/>
    <w:rsid w:val="562C577E"/>
    <w:rsid w:val="564A382F"/>
    <w:rsid w:val="56815988"/>
    <w:rsid w:val="57094BFE"/>
    <w:rsid w:val="57594B93"/>
    <w:rsid w:val="58254B7B"/>
    <w:rsid w:val="594A6990"/>
    <w:rsid w:val="596D67DA"/>
    <w:rsid w:val="59AE7E5C"/>
    <w:rsid w:val="5A894305"/>
    <w:rsid w:val="5C02145B"/>
    <w:rsid w:val="5D84155C"/>
    <w:rsid w:val="5D8B4952"/>
    <w:rsid w:val="5DAA3B58"/>
    <w:rsid w:val="5F4F1CB1"/>
    <w:rsid w:val="60A60070"/>
    <w:rsid w:val="625D7EA2"/>
    <w:rsid w:val="640C25AF"/>
    <w:rsid w:val="65B17A4E"/>
    <w:rsid w:val="66535AA5"/>
    <w:rsid w:val="6801232B"/>
    <w:rsid w:val="683A303D"/>
    <w:rsid w:val="683D737B"/>
    <w:rsid w:val="68446002"/>
    <w:rsid w:val="68E97B63"/>
    <w:rsid w:val="6A5B2F9C"/>
    <w:rsid w:val="6B1E605C"/>
    <w:rsid w:val="6C5E0507"/>
    <w:rsid w:val="6E080427"/>
    <w:rsid w:val="6E3F209B"/>
    <w:rsid w:val="6E3F653F"/>
    <w:rsid w:val="6E405E13"/>
    <w:rsid w:val="6E82642B"/>
    <w:rsid w:val="6EF2535F"/>
    <w:rsid w:val="6F3166BE"/>
    <w:rsid w:val="6F450416"/>
    <w:rsid w:val="6FD827A7"/>
    <w:rsid w:val="70243465"/>
    <w:rsid w:val="718B5302"/>
    <w:rsid w:val="72AF58B1"/>
    <w:rsid w:val="74783A1C"/>
    <w:rsid w:val="74AB354D"/>
    <w:rsid w:val="74B05132"/>
    <w:rsid w:val="76C52AAF"/>
    <w:rsid w:val="772A35DE"/>
    <w:rsid w:val="777F175A"/>
    <w:rsid w:val="77C96E79"/>
    <w:rsid w:val="781407E3"/>
    <w:rsid w:val="797A042B"/>
    <w:rsid w:val="798425C1"/>
    <w:rsid w:val="79BF662E"/>
    <w:rsid w:val="7A1563A6"/>
    <w:rsid w:val="7B2952F2"/>
    <w:rsid w:val="7BAD6A46"/>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AC97F-59FD-4437-BFB4-72E11ACBC46D}">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3569</Words>
  <Characters>20348</Characters>
  <Lines>169</Lines>
  <Paragraphs>47</Paragraphs>
  <TotalTime>7</TotalTime>
  <ScaleCrop>false</ScaleCrop>
  <LinksUpToDate>false</LinksUpToDate>
  <CharactersWithSpaces>23870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2023-11-22T09:30:00Z</dcterms:created>
  <dc:creator>Tony Young</dc:creator>
  <cp:lastModifiedBy>黄奕璋</cp:lastModifiedBy>
  <dcterms:modified xsi:type="dcterms:W3CDTF">2023-12-08T01:10:18Z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