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39555177"/>
      <w:bookmarkStart w:id="1" w:name="_Hlk116548958"/>
      <w:r>
        <w:rPr>
          <w:rFonts w:hint="eastAsia" w:ascii="方正小标宋简体" w:hAnsi="方正小标宋_GBK" w:eastAsia="方正小标宋简体" w:cs="方正小标宋_GBK"/>
          <w:b/>
          <w:sz w:val="32"/>
          <w:szCs w:val="32"/>
        </w:rPr>
        <w:t>深圳会展中心展馆运营信息管理系统软件</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维护使用服务</w:t>
      </w:r>
      <w:bookmarkEnd w:id="0"/>
      <w:r>
        <w:rPr>
          <w:rFonts w:hint="eastAsia" w:ascii="方正小标宋简体" w:hAnsi="方正小标宋_GBK" w:eastAsia="方正小标宋简体" w:cs="方正小标宋_GBK"/>
          <w:b/>
          <w:sz w:val="32"/>
          <w:szCs w:val="32"/>
        </w:rPr>
        <w:t>项目</w:t>
      </w:r>
      <w:bookmarkEnd w:id="1"/>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5"/>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2023年1</w:t>
      </w:r>
      <w:r>
        <w:rPr>
          <w:rFonts w:hint="eastAsia" w:ascii="方正小标宋简体" w:hAnsi="方正小标宋_GBK" w:eastAsia="方正小标宋简体" w:cs="方正小标宋_GBK"/>
          <w:b/>
          <w:sz w:val="32"/>
          <w:szCs w:val="32"/>
          <w:lang w:val="en-US" w:eastAsia="zh-CN"/>
        </w:rPr>
        <w:t>2</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_Toc17089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_Toc17089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_Toc3230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_Toc3230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_Toc21272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_Toc21272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_Toc23398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_Toc23398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_Toc6009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_Toc6009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_Toc27583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_Toc27583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_Toc32544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_Toc32544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_Toc22352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_Toc22352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_Toc3829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_Toc3829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_Toc473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_Toc473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_Toc3170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_Toc3170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_Toc28959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_Toc28959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_Toc27663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_Toc27663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_Toc7478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_Toc7478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_Toc2959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_Toc2959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_Toc17419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_Toc17419 \h </w:instrText>
      </w:r>
      <w:r>
        <w:fldChar w:fldCharType="separate"/>
      </w:r>
      <w:r>
        <w:t>13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_Toc13617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_Toc13617 \h </w:instrText>
      </w:r>
      <w:r>
        <w:fldChar w:fldCharType="separate"/>
      </w:r>
      <w:r>
        <w:t>13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_Toc25186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_Toc25186 \h </w:instrText>
      </w:r>
      <w:r>
        <w:fldChar w:fldCharType="separate"/>
      </w:r>
      <w:r>
        <w:t>14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_Toc10130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_Toc10130 \h </w:instrText>
      </w:r>
      <w:r>
        <w:fldChar w:fldCharType="separate"/>
      </w:r>
      <w:r>
        <w:t>15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_Toc17830 </w:instrText>
      </w:r>
      <w:r>
        <w:rPr>
          <w:rFonts w:hint="eastAsia" w:ascii="宋体" w:hAnsi="宋体" w:cs="仿宋"/>
          <w:szCs w:val="21"/>
        </w:rPr>
        <w:fldChar w:fldCharType="separate"/>
      </w:r>
      <w:r>
        <w:rPr>
          <w:rFonts w:hint="eastAsia" w:ascii="宋体" w:hAnsi="宋体"/>
          <w:szCs w:val="21"/>
        </w:rPr>
        <w:t>附件4：考察证明 （本项目不适用）</w:t>
      </w:r>
      <w:r>
        <w:tab/>
      </w:r>
      <w:r>
        <w:fldChar w:fldCharType="begin"/>
      </w:r>
      <w:r>
        <w:instrText xml:space="preserve"> PAGEREF _Toc17830 \h </w:instrText>
      </w:r>
      <w:r>
        <w:fldChar w:fldCharType="separate"/>
      </w:r>
      <w:r>
        <w:t>16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_Toc26287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_Toc26287 \h </w:instrText>
      </w:r>
      <w:r>
        <w:fldChar w:fldCharType="separate"/>
      </w:r>
      <w:r>
        <w:t>17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_Toc1331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_Toc1331 \h </w:instrText>
      </w:r>
      <w:r>
        <w:fldChar w:fldCharType="separate"/>
      </w:r>
      <w:r>
        <w:t>18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_Toc2686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_Toc2686 \h </w:instrText>
      </w:r>
      <w:r>
        <w:fldChar w:fldCharType="separate"/>
      </w:r>
      <w:r>
        <w:t>19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_Toc26376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_Toc26376 \h </w:instrText>
      </w:r>
      <w:r>
        <w:fldChar w:fldCharType="separate"/>
      </w:r>
      <w:r>
        <w:t>20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_Toc8026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_Toc8026 \h </w:instrText>
      </w:r>
      <w:r>
        <w:fldChar w:fldCharType="separate"/>
      </w:r>
      <w:r>
        <w:t>21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_Toc4871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_Toc4871 \h </w:instrText>
      </w:r>
      <w:r>
        <w:fldChar w:fldCharType="separate"/>
      </w:r>
      <w:r>
        <w:t>22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_Toc3781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_Toc3781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_Toc20777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_Toc20777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_Toc31570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_Toc31570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_Toc12877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_Toc12877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_Toc4268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_Toc4268 \h </w:instrText>
      </w:r>
      <w:r>
        <w:fldChar w:fldCharType="separate"/>
      </w:r>
      <w:r>
        <w:t>27</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2" w:name="_Toc17089"/>
      <w:r>
        <w:rPr>
          <w:rFonts w:hint="eastAsia" w:ascii="宋体" w:hAnsi="宋体"/>
          <w:b/>
          <w:sz w:val="32"/>
          <w:szCs w:val="32"/>
        </w:rPr>
        <w:t>第一部分 项目要求</w:t>
      </w:r>
      <w:bookmarkEnd w:id="2"/>
    </w:p>
    <w:p>
      <w:pPr>
        <w:numPr>
          <w:ilvl w:val="0"/>
          <w:numId w:val="1"/>
        </w:numPr>
        <w:spacing w:before="156" w:beforeLines="50" w:line="360" w:lineRule="auto"/>
        <w:outlineLvl w:val="1"/>
        <w:rPr>
          <w:rFonts w:ascii="宋体" w:hAnsi="宋体"/>
          <w:b/>
          <w:szCs w:val="21"/>
        </w:rPr>
      </w:pPr>
      <w:bookmarkStart w:id="3" w:name="_Toc3230"/>
      <w:r>
        <w:rPr>
          <w:rFonts w:hint="eastAsia" w:ascii="宋体" w:hAnsi="宋体"/>
          <w:b/>
          <w:szCs w:val="21"/>
        </w:rPr>
        <w:t>投标人须知</w:t>
      </w:r>
      <w:bookmarkEnd w:id="3"/>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s="宋体"/>
                <w:szCs w:val="21"/>
              </w:rPr>
            </w:pPr>
            <w:r>
              <w:rPr>
                <w:rFonts w:hint="eastAsia" w:ascii="宋体" w:hAnsi="宋体" w:cs="宋体"/>
                <w:szCs w:val="21"/>
              </w:rPr>
              <w:t>名称：深圳会展中心管理有限责任公司</w:t>
            </w:r>
          </w:p>
          <w:p>
            <w:pPr>
              <w:wordWrap w:val="0"/>
              <w:autoSpaceDE w:val="0"/>
              <w:autoSpaceDN w:val="0"/>
              <w:adjustRightInd w:val="0"/>
              <w:snapToGrid w:val="0"/>
              <w:rPr>
                <w:rFonts w:ascii="宋体" w:hAnsi="宋体" w:cs="宋体"/>
                <w:szCs w:val="21"/>
              </w:rPr>
            </w:pPr>
            <w:r>
              <w:rPr>
                <w:rFonts w:hint="eastAsia" w:ascii="宋体" w:hAnsi="宋体" w:cs="宋体"/>
                <w:szCs w:val="21"/>
              </w:rPr>
              <w:t>联系地址：深圳市福田区福华三路深圳会展中心</w:t>
            </w:r>
          </w:p>
          <w:p>
            <w:pPr>
              <w:wordWrap w:val="0"/>
              <w:autoSpaceDE w:val="0"/>
              <w:autoSpaceDN w:val="0"/>
              <w:adjustRightInd w:val="0"/>
              <w:snapToGrid w:val="0"/>
              <w:rPr>
                <w:rFonts w:ascii="宋体" w:hAnsi="宋体" w:cs="宋体"/>
                <w:szCs w:val="21"/>
              </w:rPr>
            </w:pPr>
            <w:r>
              <w:rPr>
                <w:rFonts w:hint="eastAsia" w:ascii="宋体" w:hAnsi="宋体" w:cs="宋体"/>
                <w:szCs w:val="21"/>
              </w:rPr>
              <w:t>联系人：刘徐华</w:t>
            </w:r>
          </w:p>
          <w:p>
            <w:pPr>
              <w:wordWrap w:val="0"/>
              <w:autoSpaceDE w:val="0"/>
              <w:autoSpaceDN w:val="0"/>
              <w:adjustRightInd w:val="0"/>
              <w:snapToGrid w:val="0"/>
              <w:rPr>
                <w:rFonts w:ascii="宋体" w:hAnsi="宋体" w:cs="宋体"/>
                <w:szCs w:val="21"/>
              </w:rPr>
            </w:pPr>
            <w:r>
              <w:rPr>
                <w:rFonts w:hint="eastAsia" w:ascii="宋体" w:hAnsi="宋体" w:cs="宋体"/>
                <w:szCs w:val="21"/>
              </w:rPr>
              <w:t>电话：0755-82848826</w:t>
            </w:r>
          </w:p>
          <w:p>
            <w:pPr>
              <w:wordWrap w:val="0"/>
              <w:autoSpaceDE w:val="0"/>
              <w:autoSpaceDN w:val="0"/>
              <w:adjustRightInd w:val="0"/>
              <w:snapToGrid w:val="0"/>
              <w:rPr>
                <w:rFonts w:ascii="宋体" w:hAnsi="宋体" w:cs="宋体"/>
                <w:szCs w:val="21"/>
              </w:rPr>
            </w:pPr>
            <w:r>
              <w:rPr>
                <w:rFonts w:hint="eastAsia" w:ascii="宋体" w:hAnsi="宋体" w:cs="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cs="宋体"/>
                <w:szCs w:val="21"/>
              </w:rPr>
              <w:t>邮箱：</w:t>
            </w:r>
            <w:r>
              <w:fldChar w:fldCharType="begin"/>
            </w:r>
            <w:r>
              <w:instrText xml:space="preserve"> HYPERLINK "mailto:*@qq.com" </w:instrText>
            </w:r>
            <w:r>
              <w:fldChar w:fldCharType="separate"/>
            </w:r>
            <w:r>
              <w:rPr>
                <w:rFonts w:hint="eastAsia" w:ascii="宋体" w:hAnsi="宋体" w:cs="宋体"/>
                <w:szCs w:val="21"/>
              </w:rPr>
              <w:t>liuxh@c</w:t>
            </w:r>
            <w:r>
              <w:rPr>
                <w:rFonts w:hint="eastAsia" w:ascii="宋体" w:hAnsi="宋体" w:cs="宋体"/>
                <w:szCs w:val="21"/>
              </w:rPr>
              <w:fldChar w:fldCharType="end"/>
            </w:r>
            <w:r>
              <w:rPr>
                <w:rFonts w:hint="eastAsia" w:ascii="宋体" w:hAnsi="宋体" w:cs="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spacing w:line="360" w:lineRule="auto"/>
              <w:rPr>
                <w:rFonts w:ascii="宋体" w:hAnsi="宋体"/>
                <w:szCs w:val="21"/>
              </w:rPr>
            </w:pPr>
            <w:r>
              <w:rPr>
                <w:rFonts w:hint="eastAsia" w:ascii="宋体" w:hAnsi="宋体"/>
                <w:szCs w:val="21"/>
              </w:rPr>
              <w:t>深圳会展中心展馆运营信息管理系统软件维护使用服务项目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拟将深圳会展中心展馆运营信息管理系统委托专业公司实施维护，以保证持续、高效、安全运行。</w:t>
            </w:r>
            <w:r>
              <w:rPr>
                <w:rFonts w:ascii="宋体" w:hAnsi="宋体"/>
                <w:i/>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w:t>
            </w:r>
            <w:r>
              <w:rPr>
                <w:rFonts w:ascii="宋体" w:hAnsi="宋体"/>
                <w:szCs w:val="21"/>
              </w:rPr>
              <w:t>/工期</w:t>
            </w:r>
          </w:p>
        </w:tc>
        <w:tc>
          <w:tcPr>
            <w:tcW w:w="7029" w:type="dxa"/>
            <w:vAlign w:val="center"/>
          </w:tcPr>
          <w:p>
            <w:pPr>
              <w:autoSpaceDE w:val="0"/>
              <w:autoSpaceDN w:val="0"/>
              <w:adjustRightInd w:val="0"/>
              <w:snapToGrid w:val="0"/>
              <w:rPr>
                <w:rFonts w:ascii="宋体" w:hAnsi="宋体"/>
                <w:szCs w:val="21"/>
                <w:highlight w:val="none"/>
              </w:rPr>
            </w:pPr>
            <w:r>
              <w:rPr>
                <w:rFonts w:ascii="宋体" w:hAnsi="宋体"/>
                <w:color w:val="auto"/>
                <w:szCs w:val="21"/>
                <w:highlight w:val="none"/>
              </w:rPr>
              <w:t>3</w:t>
            </w:r>
            <w:r>
              <w:rPr>
                <w:rFonts w:hint="eastAsia"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12</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w:t>
            </w:r>
            <w:bookmarkStart w:id="99" w:name="_GoBack"/>
            <w:bookmarkEnd w:id="99"/>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https://cg.szcec.com/sharing/my4rqcDWG，</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https://cg.szcec.com/sharing/TU0gWm9Fx，</w:t>
            </w:r>
            <w:r>
              <w:rPr>
                <w:rFonts w:hint="eastAsia" w:ascii="宋体" w:hAnsi="宋体"/>
                <w:szCs w:val="21"/>
              </w:rPr>
              <w:t>并致电确认</w:t>
            </w:r>
            <w:bookmarkStart w:id="4" w:name="_Toc478392822"/>
            <w:bookmarkStart w:id="5" w:name="_Toc478393187"/>
            <w:bookmarkStart w:id="6"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7"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7"/>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403520287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https://cg.szcec.com/sharing/b24wmrAXW</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8" w:name="_Toc82685543"/>
      <w:bookmarkEnd w:id="8"/>
      <w:bookmarkStart w:id="9" w:name="_Toc82684590"/>
      <w:bookmarkEnd w:id="9"/>
      <w:bookmarkStart w:id="10" w:name="_Toc82684704"/>
      <w:bookmarkEnd w:id="10"/>
      <w:bookmarkStart w:id="11" w:name="_Toc82591927"/>
      <w:bookmarkEnd w:id="11"/>
      <w:bookmarkStart w:id="12" w:name="_Toc82685540"/>
      <w:bookmarkEnd w:id="12"/>
      <w:bookmarkStart w:id="13" w:name="_Toc82591928"/>
      <w:bookmarkEnd w:id="13"/>
      <w:bookmarkStart w:id="14" w:name="_Toc82684703"/>
      <w:bookmarkEnd w:id="14"/>
      <w:bookmarkStart w:id="15" w:name="_Toc82684706"/>
      <w:bookmarkEnd w:id="15"/>
      <w:bookmarkStart w:id="16" w:name="_Toc82684589"/>
      <w:bookmarkEnd w:id="16"/>
      <w:bookmarkStart w:id="17" w:name="_Toc82684591"/>
      <w:bookmarkEnd w:id="17"/>
      <w:bookmarkStart w:id="18" w:name="_Toc82684705"/>
      <w:bookmarkEnd w:id="18"/>
      <w:bookmarkStart w:id="19" w:name="_Toc82685542"/>
      <w:bookmarkEnd w:id="19"/>
      <w:bookmarkStart w:id="20" w:name="_Toc82684588"/>
      <w:bookmarkEnd w:id="20"/>
      <w:bookmarkStart w:id="21" w:name="_Toc82591926"/>
      <w:bookmarkEnd w:id="21"/>
      <w:bookmarkStart w:id="22" w:name="_Toc82685541"/>
      <w:bookmarkEnd w:id="22"/>
      <w:bookmarkStart w:id="23" w:name="_Toc82591925"/>
      <w:bookmarkEnd w:id="23"/>
      <w:bookmarkStart w:id="24" w:name="_Toc21272"/>
      <w:r>
        <w:rPr>
          <w:rFonts w:hint="eastAsia" w:ascii="宋体" w:hAnsi="宋体"/>
          <w:b/>
          <w:szCs w:val="21"/>
        </w:rPr>
        <w:t>特别说明</w:t>
      </w:r>
      <w:bookmarkEnd w:id="24"/>
    </w:p>
    <w:p>
      <w:pPr>
        <w:pStyle w:val="25"/>
        <w:numPr>
          <w:ilvl w:val="0"/>
          <w:numId w:val="9"/>
        </w:numPr>
        <w:spacing w:line="360" w:lineRule="auto"/>
        <w:ind w:left="0" w:firstLine="420" w:firstLineChars="0"/>
        <w:rPr>
          <w:rFonts w:ascii="宋体" w:hAnsi="宋体" w:eastAsia="宋体" w:cs="宋体"/>
          <w:szCs w:val="21"/>
        </w:rPr>
      </w:pPr>
      <w:bookmarkStart w:id="25" w:name="_Toc45028463"/>
      <w:bookmarkStart w:id="26" w:name="_Toc517278751"/>
      <w:bookmarkStart w:id="27"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5"/>
    <w:bookmarkEnd w:id="26"/>
    <w:bookmarkEnd w:id="27"/>
    <w:p>
      <w:pPr>
        <w:numPr>
          <w:ilvl w:val="0"/>
          <w:numId w:val="1"/>
        </w:numPr>
        <w:spacing w:line="560" w:lineRule="exact"/>
        <w:outlineLvl w:val="1"/>
        <w:rPr>
          <w:rFonts w:ascii="宋体" w:hAnsi="宋体"/>
          <w:b/>
          <w:szCs w:val="21"/>
        </w:rPr>
      </w:pPr>
      <w:bookmarkStart w:id="28" w:name="_Toc82684708"/>
      <w:bookmarkEnd w:id="28"/>
      <w:bookmarkStart w:id="29" w:name="_Toc82591930"/>
      <w:bookmarkEnd w:id="29"/>
      <w:bookmarkStart w:id="30" w:name="_Toc82684593"/>
      <w:bookmarkEnd w:id="30"/>
      <w:bookmarkStart w:id="31" w:name="_Toc82591989"/>
      <w:bookmarkEnd w:id="31"/>
      <w:bookmarkStart w:id="32" w:name="_Toc82591986"/>
      <w:bookmarkEnd w:id="32"/>
      <w:bookmarkStart w:id="33" w:name="_Toc82591987"/>
      <w:bookmarkEnd w:id="33"/>
      <w:bookmarkStart w:id="34" w:name="_Toc82591985"/>
      <w:bookmarkEnd w:id="34"/>
      <w:bookmarkStart w:id="35" w:name="_Toc82685545"/>
      <w:bookmarkEnd w:id="35"/>
      <w:bookmarkStart w:id="36" w:name="_Toc82591988"/>
      <w:bookmarkEnd w:id="36"/>
      <w:bookmarkStart w:id="37" w:name="_Toc23398"/>
      <w:r>
        <w:rPr>
          <w:rFonts w:hint="eastAsia" w:ascii="宋体" w:hAnsi="宋体"/>
          <w:b/>
          <w:szCs w:val="21"/>
        </w:rPr>
        <w:t>投标文件编制</w:t>
      </w:r>
      <w:bookmarkEnd w:id="37"/>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A3"/>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8" w:name="_Toc6009"/>
      <w:r>
        <w:rPr>
          <w:rFonts w:hint="eastAsia" w:ascii="宋体" w:hAnsi="宋体"/>
          <w:b/>
          <w:szCs w:val="21"/>
        </w:rPr>
        <w:t>项目要求</w:t>
      </w:r>
      <w:bookmarkEnd w:id="38"/>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仿宋_GB2312"/>
                <w:szCs w:val="21"/>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应包含税率、税额、税前及税后总金额。</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投标报价包括但不限于</w:t>
            </w:r>
            <w:r>
              <w:rPr>
                <w:rFonts w:hint="eastAsia" w:ascii="宋体" w:hAnsi="宋体"/>
                <w:szCs w:val="21"/>
              </w:rPr>
              <w:t>安装费、调试费、人工费、管理费、维保费及增值税费等</w:t>
            </w:r>
            <w:r>
              <w:rPr>
                <w:rFonts w:hint="eastAsia" w:ascii="宋体" w:hAnsi="宋体" w:cs="仿宋_GB2312"/>
                <w:szCs w:val="21"/>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本项目采购三年（1</w:t>
            </w:r>
            <w:r>
              <w:rPr>
                <w:rFonts w:ascii="宋体" w:hAnsi="宋体" w:cs="宋体"/>
                <w:szCs w:val="21"/>
              </w:rPr>
              <w:t>+1+1</w:t>
            </w:r>
            <w:r>
              <w:rPr>
                <w:rFonts w:hint="eastAsia" w:ascii="宋体" w:hAnsi="宋体" w:cs="宋体"/>
                <w:szCs w:val="21"/>
              </w:rPr>
              <w:t>模式）总控制金额不超过人民币</w:t>
            </w:r>
            <w:r>
              <w:rPr>
                <w:rFonts w:ascii="宋体" w:hAnsi="宋体"/>
                <w:szCs w:val="21"/>
                <w:highlight w:val="yellow"/>
              </w:rPr>
              <w:t>36</w:t>
            </w:r>
            <w:r>
              <w:rPr>
                <w:rFonts w:ascii="宋体" w:hAnsi="宋体" w:cs="宋体"/>
                <w:szCs w:val="21"/>
              </w:rPr>
              <w:t>万元（含税）</w:t>
            </w:r>
            <w:r>
              <w:rPr>
                <w:rFonts w:hint="eastAsia" w:ascii="宋体" w:hAnsi="宋体" w:cs="宋体"/>
                <w:szCs w:val="21"/>
              </w:rPr>
              <w:t>，每年控制金额不超12万元（含税），报价超过上述控制金额的投标文件作废标处理。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sz w:val="22"/>
              </w:rPr>
              <w:t>（</w:t>
            </w:r>
            <w:r>
              <w:rPr>
                <w:rFonts w:hint="eastAsia" w:ascii="宋体" w:hAnsi="宋体" w:cs="宋体"/>
                <w:szCs w:val="21"/>
              </w:rPr>
              <w:t>1）采用1</w:t>
            </w:r>
            <w:r>
              <w:rPr>
                <w:rFonts w:ascii="宋体" w:hAnsi="宋体" w:cs="宋体"/>
                <w:szCs w:val="21"/>
              </w:rPr>
              <w:t>+1+1</w:t>
            </w:r>
            <w:r>
              <w:rPr>
                <w:rFonts w:hint="eastAsia" w:ascii="宋体" w:hAnsi="宋体" w:cs="宋体"/>
                <w:szCs w:val="21"/>
              </w:rPr>
              <w:t>合同模式，年度软件维护、使用费及托管费按年度进行结算。</w:t>
            </w:r>
          </w:p>
          <w:p>
            <w:pPr>
              <w:widowControl/>
              <w:numPr>
                <w:ilvl w:val="255"/>
                <w:numId w:val="0"/>
              </w:numPr>
              <w:ind w:right="28"/>
              <w:jc w:val="left"/>
              <w:rPr>
                <w:rFonts w:ascii="宋体" w:hAnsi="宋体" w:cs="宋体"/>
                <w:szCs w:val="21"/>
              </w:rPr>
            </w:pPr>
            <w:r>
              <w:rPr>
                <w:rFonts w:hint="eastAsia" w:ascii="宋体" w:hAnsi="宋体" w:cs="宋体"/>
                <w:szCs w:val="21"/>
              </w:rPr>
              <w:t>（2）合同签订后，预付每年费用的2</w:t>
            </w:r>
            <w:r>
              <w:rPr>
                <w:rFonts w:ascii="宋体" w:hAnsi="宋体" w:cs="宋体"/>
                <w:szCs w:val="21"/>
              </w:rPr>
              <w:t>4%</w:t>
            </w:r>
            <w:r>
              <w:rPr>
                <w:rFonts w:hint="eastAsia" w:ascii="宋体" w:hAnsi="宋体" w:cs="宋体"/>
                <w:szCs w:val="21"/>
              </w:rPr>
              <w:t>，每年支付尾款前投标人须按合同规定实施完成全部工作并通过验收且完成罚金、违约金等清算（如有）后，支付该年维保费尾款及下一年度2</w:t>
            </w:r>
            <w:r>
              <w:rPr>
                <w:rFonts w:ascii="宋体" w:hAnsi="宋体" w:cs="宋体"/>
                <w:szCs w:val="21"/>
              </w:rPr>
              <w:t>4%</w:t>
            </w:r>
            <w:r>
              <w:rPr>
                <w:rFonts w:hint="eastAsia" w:ascii="宋体" w:hAnsi="宋体" w:cs="宋体"/>
                <w:szCs w:val="21"/>
              </w:rPr>
              <w:t>预付款，支付时投标人需提供有效增值税专用发票。</w:t>
            </w:r>
          </w:p>
          <w:p>
            <w:pPr>
              <w:widowControl/>
              <w:numPr>
                <w:ilvl w:val="255"/>
                <w:numId w:val="0"/>
              </w:numPr>
              <w:ind w:right="28"/>
              <w:jc w:val="left"/>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cs="宋体"/>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szCs w:val="21"/>
              </w:rPr>
              <w:t>投标人对在服务过程中所接触或获知一切资料数据及商业秘密负有保密义务。未经对方同意，任何一方不得以任何形式向第三方泄露本项目资料或在项目中接触到的资料，不得将其用于履行本合同之外的其他用途。投标人因违反本条约定而给招标人造成损失的，应当赔偿全部损失。本项目的保密义务不因本合同的变更、终止、期满或完成而解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rPr>
            </w:pPr>
            <w:r>
              <w:rPr>
                <w:rFonts w:hint="eastAsia" w:ascii="宋体" w:cs="宋体"/>
              </w:rPr>
              <w:t>知识产权要求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cs="宋体"/>
                <w:szCs w:val="21"/>
              </w:rPr>
              <w:t>投标人针对本项目采购范围内实施的成果，</w:t>
            </w:r>
            <w:r>
              <w:rPr>
                <w:rFonts w:hint="eastAsia" w:ascii="宋体" w:hAnsi="宋体"/>
                <w:sz w:val="22"/>
              </w:rPr>
              <w:t>标准软件的知识产权归厂家所有，该软件的使用权归客户所有</w:t>
            </w:r>
            <w:r>
              <w:rPr>
                <w:rFonts w:hint="eastAsia" w:ascii="宋体" w:hAnsi="宋体" w:cs="宋体"/>
                <w:szCs w:val="21"/>
              </w:rPr>
              <w:t>。投标人所提供的服务及相关资料须不涉及侵权第三方权益。若因侵犯第三方合法权利（包括但不限于著作权、商标权、专利权、专有技术、使用权或商业秘密）所带来的法律责任以及造成的损失均由投标人自行承担，招标人不承担任何责任。若因此造成招标人损失的，投标人还须承担损失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eastAsia="宋体" w:cs="宋体"/>
                <w:lang w:val="en-US" w:eastAsia="zh-CN"/>
              </w:rPr>
            </w:pPr>
            <w:r>
              <w:rPr>
                <w:rFonts w:hint="eastAsia" w:ascii="宋体" w:cs="宋体"/>
                <w:lang w:val="en-US" w:eastAsia="zh-CN"/>
              </w:rPr>
              <w:t>服务期</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lang w:val="en-US" w:eastAsia="zh-CN"/>
              </w:rPr>
              <w:t>本项目采用</w:t>
            </w:r>
            <w:r>
              <w:rPr>
                <w:rFonts w:hint="eastAsia" w:ascii="宋体" w:hAnsi="宋体" w:cs="宋体"/>
                <w:szCs w:val="21"/>
              </w:rPr>
              <w:t>1</w:t>
            </w:r>
            <w:r>
              <w:rPr>
                <w:rFonts w:ascii="宋体" w:hAnsi="宋体" w:cs="宋体"/>
                <w:szCs w:val="21"/>
              </w:rPr>
              <w:t>+1+1</w:t>
            </w:r>
            <w:r>
              <w:rPr>
                <w:rFonts w:hint="eastAsia" w:ascii="宋体" w:hAnsi="宋体" w:cs="宋体"/>
                <w:szCs w:val="21"/>
              </w:rPr>
              <w:t>合同模式</w:t>
            </w:r>
            <w:r>
              <w:rPr>
                <w:rFonts w:hint="eastAsia" w:ascii="宋体" w:hAnsi="宋体" w:cs="宋体"/>
                <w:szCs w:val="21"/>
                <w:lang w:eastAsia="zh-CN"/>
              </w:rPr>
              <w:t>，</w:t>
            </w:r>
            <w:r>
              <w:rPr>
                <w:rFonts w:hint="eastAsia" w:ascii="宋体" w:hAnsi="宋体" w:cs="宋体"/>
                <w:szCs w:val="21"/>
              </w:rPr>
              <w:t>每</w:t>
            </w:r>
            <w:r>
              <w:rPr>
                <w:rFonts w:hint="eastAsia" w:ascii="宋体" w:hAnsi="宋体" w:cs="宋体"/>
                <w:color w:val="000000" w:themeColor="text1"/>
                <w:szCs w:val="21"/>
                <w14:textFill>
                  <w14:solidFill>
                    <w14:schemeClr w14:val="tx1"/>
                  </w14:solidFill>
                </w14:textFill>
              </w:rPr>
              <w:t>年度服务结</w:t>
            </w:r>
            <w:r>
              <w:rPr>
                <w:rFonts w:hint="eastAsia" w:ascii="宋体" w:hAnsi="宋体" w:cs="宋体"/>
                <w:szCs w:val="21"/>
              </w:rPr>
              <w:t>束前一个月，投标人应主动向招标人申请对其本年度服务情况进行评审，招标人根据该年度服务质量、各项承诺兑现情况等因素进行考核评估，如考核达到优良（</w:t>
            </w:r>
            <w:r>
              <w:rPr>
                <w:rFonts w:hint="eastAsia" w:ascii="宋体" w:hAnsi="宋体" w:cs="宋体"/>
                <w:color w:val="000000" w:themeColor="text1"/>
                <w:szCs w:val="21"/>
                <w14:textFill>
                  <w14:solidFill>
                    <w14:schemeClr w14:val="tx1"/>
                  </w14:solidFill>
                </w14:textFill>
              </w:rPr>
              <w:t>即考核评分达到80分或以上），则执行第二年合同，如考核未达到优良，招标人有权在该年服务期满时终止合同。第二、三年度合同执行方式参考以上办法。具体考核方法见附件《服务机构履约评价表》。</w:t>
            </w:r>
          </w:p>
          <w:p>
            <w:pPr>
              <w:tabs>
                <w:tab w:val="left" w:pos="531"/>
              </w:tabs>
              <w:snapToGrid w:val="0"/>
              <w:rPr>
                <w:rFonts w:hint="eastAsia"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rPr>
            </w:pPr>
            <w:r>
              <w:rPr>
                <w:rFonts w:hint="eastAsia" w:ascii="宋体" w:hAnsi="宋体"/>
                <w:szCs w:val="21"/>
              </w:rPr>
              <w:t>EventPivot场馆管理系统和EVENTINFINITY搭建报馆及现场服务订单系统软件升级和更新。</w:t>
            </w:r>
            <w:r>
              <w:rPr>
                <w:rFonts w:hint="eastAsia" w:cs="宋体"/>
                <w:color w:val="000000"/>
                <w:kern w:val="0"/>
                <w:szCs w:val="21"/>
              </w:rPr>
              <w:t>负责对系统运行状况进行检查，包括但不限于软件系统的所有功能、数据库、接口、服务器、设备等进行日常巡检。</w:t>
            </w:r>
          </w:p>
          <w:p>
            <w:pPr>
              <w:numPr>
                <w:ilvl w:val="0"/>
                <w:numId w:val="12"/>
              </w:numPr>
              <w:tabs>
                <w:tab w:val="left" w:pos="531"/>
              </w:tabs>
              <w:snapToGrid w:val="0"/>
              <w:rPr>
                <w:rFonts w:hint="eastAsia" w:ascii="宋体" w:hAnsi="宋体"/>
                <w:szCs w:val="21"/>
              </w:rPr>
            </w:pPr>
            <w:r>
              <w:rPr>
                <w:rFonts w:hint="eastAsia" w:ascii="宋体" w:hAnsi="宋体"/>
                <w:szCs w:val="21"/>
              </w:rPr>
              <w:t>EventPivot场馆管理系统和EVENTINFINITY搭建报馆及现场服务订单系统托管服务。</w:t>
            </w:r>
            <w:r>
              <w:rPr>
                <w:rFonts w:hint="eastAsia" w:cs="宋体"/>
                <w:color w:val="000000"/>
                <w:kern w:val="0"/>
                <w:szCs w:val="21"/>
              </w:rPr>
              <w:t>在使用过程中，对操作系统、数据库、中间件及软件配置等进</w:t>
            </w:r>
            <w:r>
              <w:rPr>
                <w:rFonts w:hint="eastAsia" w:ascii="宋体" w:hAnsi="宋体"/>
                <w:szCs w:val="21"/>
              </w:rPr>
              <w:t>行调整和优化，确保系统性能及安全性。</w:t>
            </w:r>
          </w:p>
          <w:p>
            <w:pPr>
              <w:numPr>
                <w:ilvl w:val="0"/>
                <w:numId w:val="12"/>
              </w:numPr>
              <w:tabs>
                <w:tab w:val="left" w:pos="531"/>
              </w:tabs>
              <w:snapToGrid w:val="0"/>
              <w:rPr>
                <w:rFonts w:hint="eastAsia" w:ascii="宋体" w:hAnsi="宋体"/>
                <w:szCs w:val="21"/>
              </w:rPr>
            </w:pPr>
            <w:r>
              <w:rPr>
                <w:rFonts w:hint="eastAsia" w:ascii="宋体" w:hAnsi="宋体"/>
                <w:szCs w:val="21"/>
              </w:rPr>
              <w:t>通过电子邮件、电话或电话会议持形式提供EventPivot场馆管理系统和eventinfinity搭建报馆及现场服务订单系统的软件问题解决、软件更改安装和软件改进。</w:t>
            </w:r>
          </w:p>
          <w:p>
            <w:pPr>
              <w:numPr>
                <w:ilvl w:val="0"/>
                <w:numId w:val="12"/>
              </w:numPr>
              <w:tabs>
                <w:tab w:val="left" w:pos="531"/>
              </w:tabs>
              <w:snapToGrid w:val="0"/>
              <w:rPr>
                <w:rFonts w:hint="eastAsia" w:ascii="宋体" w:hAnsi="宋体"/>
                <w:szCs w:val="21"/>
              </w:rPr>
            </w:pPr>
            <w:r>
              <w:rPr>
                <w:rFonts w:hint="eastAsia" w:ascii="宋体" w:hAnsi="宋体"/>
                <w:szCs w:val="21"/>
              </w:rPr>
              <w:t>根据采购人管理需要，相应调整系统结构或系统表单。</w:t>
            </w:r>
          </w:p>
          <w:p>
            <w:pPr>
              <w:numPr>
                <w:ilvl w:val="0"/>
                <w:numId w:val="12"/>
              </w:numPr>
              <w:tabs>
                <w:tab w:val="left" w:pos="531"/>
              </w:tabs>
              <w:snapToGrid w:val="0"/>
              <w:rPr>
                <w:rFonts w:hint="eastAsia" w:ascii="宋体" w:hAnsi="宋体"/>
                <w:szCs w:val="21"/>
              </w:rPr>
            </w:pPr>
            <w:r>
              <w:rPr>
                <w:rFonts w:hint="eastAsia" w:ascii="宋体" w:hAnsi="宋体"/>
                <w:szCs w:val="21"/>
              </w:rPr>
              <w:t>根据采购人的业务类型、服务条款等变化，相应调整系统设置、增减系统/表单内容。</w:t>
            </w:r>
          </w:p>
          <w:p>
            <w:pPr>
              <w:numPr>
                <w:ilvl w:val="0"/>
                <w:numId w:val="12"/>
              </w:numPr>
              <w:tabs>
                <w:tab w:val="left" w:pos="531"/>
              </w:tabs>
              <w:snapToGrid w:val="0"/>
              <w:rPr>
                <w:rFonts w:hint="eastAsia" w:ascii="宋体" w:hAnsi="宋体"/>
                <w:szCs w:val="21"/>
              </w:rPr>
            </w:pPr>
            <w:r>
              <w:rPr>
                <w:rFonts w:hint="eastAsia" w:ascii="宋体" w:hAnsi="宋体"/>
                <w:szCs w:val="21"/>
              </w:rPr>
              <w:t>根据采购人公司领导要求，生成相应报表。</w:t>
            </w:r>
          </w:p>
          <w:p>
            <w:pPr>
              <w:numPr>
                <w:ilvl w:val="0"/>
                <w:numId w:val="12"/>
              </w:numPr>
              <w:tabs>
                <w:tab w:val="left" w:pos="531"/>
              </w:tabs>
              <w:snapToGrid w:val="0"/>
              <w:rPr>
                <w:rFonts w:hint="eastAsia" w:ascii="宋体" w:hAnsi="宋体"/>
                <w:szCs w:val="21"/>
              </w:rPr>
            </w:pPr>
            <w:r>
              <w:rPr>
                <w:rFonts w:hint="eastAsia" w:ascii="宋体" w:hAnsi="宋体"/>
                <w:szCs w:val="21"/>
              </w:rPr>
              <w:t>配合采购人集团公司的安全管控，提升系统安全性，配合采购人上级公司对系统的攻防安全演练。</w:t>
            </w:r>
          </w:p>
          <w:p>
            <w:pPr>
              <w:numPr>
                <w:ilvl w:val="0"/>
                <w:numId w:val="12"/>
              </w:numPr>
              <w:tabs>
                <w:tab w:val="left" w:pos="531"/>
              </w:tabs>
              <w:snapToGrid w:val="0"/>
              <w:rPr>
                <w:rFonts w:hint="eastAsia" w:ascii="宋体" w:hAnsi="宋体"/>
                <w:szCs w:val="21"/>
              </w:rPr>
            </w:pPr>
            <w:r>
              <w:rPr>
                <w:rFonts w:hint="eastAsia" w:ascii="宋体" w:hAnsi="宋体"/>
                <w:szCs w:val="21"/>
              </w:rPr>
              <w:t>根据优先级，及时解决软件应用过程中的应用问题，进行故障诊断与修复。因系统异常造成业务中断，运维工程师在30分钟内响应，并积极解决系统问题。</w:t>
            </w:r>
          </w:p>
          <w:p>
            <w:pPr>
              <w:numPr>
                <w:ilvl w:val="0"/>
                <w:numId w:val="12"/>
              </w:numPr>
              <w:tabs>
                <w:tab w:val="left" w:pos="531"/>
              </w:tabs>
              <w:snapToGrid w:val="0"/>
              <w:rPr>
                <w:rFonts w:hint="eastAsia" w:ascii="宋体" w:hAnsi="宋体"/>
                <w:szCs w:val="21"/>
              </w:rPr>
            </w:pPr>
            <w:r>
              <w:rPr>
                <w:rFonts w:hint="eastAsia" w:ascii="宋体" w:hAnsi="宋体"/>
                <w:szCs w:val="21"/>
              </w:rPr>
              <w:t>确保系统安全，需要备份系统的数据和应用。</w:t>
            </w:r>
          </w:p>
          <w:p>
            <w:pPr>
              <w:numPr>
                <w:ilvl w:val="0"/>
                <w:numId w:val="12"/>
              </w:numPr>
              <w:tabs>
                <w:tab w:val="left" w:pos="531"/>
              </w:tabs>
              <w:snapToGrid w:val="0"/>
              <w:rPr>
                <w:rFonts w:hint="eastAsia" w:ascii="宋体" w:hAnsi="宋体"/>
                <w:szCs w:val="21"/>
              </w:rPr>
            </w:pPr>
            <w:r>
              <w:rPr>
                <w:rFonts w:hint="eastAsia" w:ascii="宋体" w:hAnsi="宋体"/>
                <w:szCs w:val="21"/>
              </w:rPr>
              <w:t>（10）提供专职的远程技术运维人员,积极对接并协助解决系统问题。出具阶段性运维报告。</w:t>
            </w:r>
          </w:p>
          <w:p>
            <w:pPr>
              <w:numPr>
                <w:ilvl w:val="0"/>
                <w:numId w:val="12"/>
              </w:numPr>
              <w:tabs>
                <w:tab w:val="left" w:pos="531"/>
              </w:tabs>
              <w:snapToGrid w:val="0"/>
            </w:pPr>
            <w:r>
              <w:rPr>
                <w:rFonts w:hint="eastAsia" w:ascii="宋体" w:hAnsi="宋体"/>
                <w:szCs w:val="21"/>
              </w:rPr>
              <w:t>（11）如招标人委托第三方安全检测机构发现系统存在安全漏洞，中标人要及时配合进行漏洞修补。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pPr>
            <w:r>
              <w:rPr>
                <w:rFonts w:hint="eastAsia" w:ascii="宋体" w:hAnsi="宋体"/>
                <w:szCs w:val="21"/>
              </w:rPr>
              <w:t>效果及服务承诺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rPr>
            </w:pPr>
            <w:r>
              <w:rPr>
                <w:rFonts w:hint="eastAsia"/>
              </w:rPr>
              <w:t>（1）提供专职人员对系统进行每月1次全面检查及软件维护工作，并对每次检查和技术支持做好相应记录，并提供月度维保报告（含系统安全检查报告）。</w:t>
            </w:r>
          </w:p>
          <w:p>
            <w:pPr>
              <w:tabs>
                <w:tab w:val="left" w:pos="531"/>
              </w:tabs>
              <w:snapToGrid w:val="0"/>
              <w:rPr>
                <w:rFonts w:hint="eastAsia"/>
              </w:rPr>
            </w:pPr>
            <w:r>
              <w:rPr>
                <w:rFonts w:hint="eastAsia"/>
              </w:rPr>
              <w:t>（2）投标人提供的技术支持和服务的内容包括电话支持、现场服务、电子邮件支持、因特网支持和提供系统应急策略等内容。</w:t>
            </w:r>
          </w:p>
          <w:p>
            <w:pPr>
              <w:tabs>
                <w:tab w:val="left" w:pos="531"/>
              </w:tabs>
              <w:snapToGrid w:val="0"/>
              <w:rPr>
                <w:rFonts w:hint="eastAsia"/>
              </w:rPr>
            </w:pPr>
            <w:r>
              <w:rPr>
                <w:rFonts w:hint="eastAsia"/>
              </w:rPr>
              <w:t>（3）对远程技术支持无法解决的问题，提供现场技术服务。</w:t>
            </w:r>
          </w:p>
          <w:p>
            <w:pPr>
              <w:tabs>
                <w:tab w:val="left" w:pos="531"/>
              </w:tabs>
              <w:snapToGrid w:val="0"/>
              <w:rPr>
                <w:rFonts w:hint="eastAsia"/>
              </w:rPr>
            </w:pPr>
            <w:r>
              <w:rPr>
                <w:rFonts w:hint="eastAsia"/>
              </w:rPr>
              <w:t>（4）对于软件重要功能灾难性问题导致招标人生产系统出现严重的业务中断的情况提供7天24小时技术支持服务或应急方案，并在每2小时为招标人提供一次进展报告，直到问题解决。</w:t>
            </w:r>
          </w:p>
          <w:p>
            <w:pPr>
              <w:tabs>
                <w:tab w:val="left" w:pos="531"/>
              </w:tabs>
              <w:snapToGrid w:val="0"/>
              <w:rPr>
                <w:rFonts w:hint="eastAsia"/>
              </w:rPr>
            </w:pPr>
            <w:r>
              <w:rPr>
                <w:rFonts w:hint="eastAsia"/>
              </w:rPr>
              <w:t>（5）一旦中标人无法提供以上承诺之服务，每发生一次失误，本软件维护和技术支持合同在有效期应免费向客户延长15天。</w:t>
            </w:r>
          </w:p>
          <w:p>
            <w:pPr>
              <w:tabs>
                <w:tab w:val="left" w:pos="531"/>
              </w:tabs>
              <w:snapToGrid w:val="0"/>
              <w:rPr>
                <w:rFonts w:hint="eastAsia"/>
              </w:rPr>
            </w:pPr>
            <w:r>
              <w:rPr>
                <w:rFonts w:hint="eastAsia"/>
              </w:rPr>
              <w:t>（6）在发生事故时，当中标人没有向招标人提供解决方案、修正补丁或其他解决方法，并且招标人也没有合理机会去评定这些解决方法的有效性时，招标人可在10日个工作日内向中标人发出服务失误通知。</w:t>
            </w:r>
          </w:p>
          <w:p>
            <w:pPr>
              <w:tabs>
                <w:tab w:val="left" w:pos="531"/>
              </w:tabs>
              <w:snapToGrid w:val="0"/>
              <w:rPr>
                <w:rFonts w:hint="eastAsia"/>
              </w:rPr>
            </w:pPr>
            <w:r>
              <w:rPr>
                <w:rFonts w:hint="eastAsia"/>
              </w:rPr>
              <w:t>（7）在协议期内，针对软件或者其文档资料中产生及确定的错误，乙方将合理地免费为甲方提供更正方案或其他解决方法。</w:t>
            </w:r>
          </w:p>
          <w:p>
            <w:pPr>
              <w:tabs>
                <w:tab w:val="left" w:pos="531"/>
              </w:tabs>
              <w:snapToGrid w:val="0"/>
              <w:rPr>
                <w:rFonts w:hint="eastAsia"/>
              </w:rPr>
            </w:pPr>
            <w:r>
              <w:rPr>
                <w:rFonts w:hint="eastAsia"/>
              </w:rPr>
              <w:t>（8）投标人提供针对本项目的服务方案及服务承诺，服务方案需包含应急预案。</w:t>
            </w:r>
          </w:p>
          <w:p>
            <w:pPr>
              <w:tabs>
                <w:tab w:val="left" w:pos="531"/>
              </w:tabs>
              <w:snapToGrid w:val="0"/>
            </w:pPr>
          </w:p>
        </w:tc>
        <w:tc>
          <w:tcPr>
            <w:tcW w:w="78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szCs w:val="21"/>
              </w:rPr>
            </w:pPr>
            <w:r>
              <w:rPr>
                <w:rFonts w:hint="eastAsia" w:ascii="宋体" w:hAnsi="宋体"/>
                <w:szCs w:val="21"/>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ascii="宋体" w:hAnsi="宋体"/>
                <w:szCs w:val="21"/>
              </w:rPr>
              <w:t>（1）投标人须为本项目安排专职、专业的负责人跟进，并为本项目提供专门的服务团队，专门服务人员不少于3人。核心成员如项目负责人、技术负责人不得随意更换，如需更换需征得招标人同意。</w:t>
            </w:r>
          </w:p>
          <w:p>
            <w:pPr>
              <w:tabs>
                <w:tab w:val="left" w:pos="531"/>
              </w:tabs>
              <w:snapToGrid w:val="0"/>
              <w:rPr>
                <w:rFonts w:ascii="宋体" w:hAnsi="宋体"/>
                <w:szCs w:val="21"/>
              </w:rPr>
            </w:pPr>
            <w:r>
              <w:rPr>
                <w:rFonts w:hint="eastAsia" w:ascii="宋体" w:hAnsi="宋体"/>
                <w:szCs w:val="21"/>
              </w:rPr>
              <w:t>（2）投标人提供的本项目服务团队需及时响应项目需求，并建立合理、完善的项目对接管理流程及方式。</w:t>
            </w:r>
          </w:p>
        </w:tc>
        <w:tc>
          <w:tcPr>
            <w:tcW w:w="78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szCs w:val="21"/>
              </w:rPr>
            </w:pPr>
            <w:r>
              <w:rPr>
                <w:rFonts w:hint="eastAsia" w:ascii="宋体" w:hAnsi="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szCs w:val="21"/>
              </w:rPr>
            </w:pPr>
            <w:r>
              <w:rPr>
                <w:rFonts w:hint="eastAsia"/>
              </w:rPr>
              <w:t>每一年维保服务结束后，中标人应主动联系招标人申请验收。提供验收报告内容包括但不限于年内维保记录、半年内系统故障及解决情况、系统升级及更新情况、托管服务内容、软件改进内容等。</w:t>
            </w:r>
          </w:p>
        </w:tc>
        <w:tc>
          <w:tcPr>
            <w:tcW w:w="784"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Cs w:val="21"/>
                <w:lang w:val="en-US" w:eastAsia="zh-CN"/>
              </w:rPr>
            </w:pPr>
            <w:r>
              <w:rPr>
                <w:rFonts w:hint="eastAsia" w:ascii="宋体" w:hAnsi="宋体"/>
                <w:szCs w:val="21"/>
                <w:lang w:val="en-US" w:eastAsia="zh-CN"/>
              </w:rPr>
              <w:t>不可偏离</w:t>
            </w:r>
          </w:p>
        </w:tc>
      </w:tr>
    </w:tbl>
    <w:p>
      <w:pPr>
        <w:numPr>
          <w:ilvl w:val="0"/>
          <w:numId w:val="1"/>
        </w:numPr>
        <w:jc w:val="left"/>
        <w:outlineLvl w:val="1"/>
        <w:rPr>
          <w:rFonts w:ascii="宋体" w:hAnsi="宋体"/>
          <w:b/>
          <w:szCs w:val="21"/>
        </w:rPr>
      </w:pPr>
      <w:bookmarkStart w:id="39" w:name="_Toc82591996"/>
      <w:bookmarkEnd w:id="39"/>
      <w:bookmarkStart w:id="40" w:name="_Toc82684715"/>
      <w:bookmarkEnd w:id="40"/>
      <w:bookmarkStart w:id="41" w:name="_Toc82685552"/>
      <w:bookmarkEnd w:id="41"/>
      <w:bookmarkStart w:id="42" w:name="_Toc82684600"/>
      <w:bookmarkEnd w:id="42"/>
      <w:bookmarkStart w:id="43" w:name="_Toc27583"/>
      <w:r>
        <w:rPr>
          <w:rFonts w:hint="eastAsia" w:ascii="宋体" w:hAnsi="宋体"/>
          <w:b/>
          <w:szCs w:val="21"/>
        </w:rPr>
        <w:t>其他项目说明资料</w:t>
      </w:r>
      <w:bookmarkEnd w:id="43"/>
    </w:p>
    <w:p>
      <w:pPr>
        <w:spacing w:line="560" w:lineRule="exact"/>
        <w:jc w:val="center"/>
        <w:rPr>
          <w:rFonts w:hint="eastAsia" w:ascii="方正小标宋简体" w:hAnsi="方正小标宋简体" w:eastAsia="方正小标宋简体" w:cs="方正小标宋简体"/>
          <w:bCs/>
          <w:kern w:val="0"/>
          <w:sz w:val="44"/>
          <w:szCs w:val="44"/>
        </w:rPr>
      </w:pPr>
    </w:p>
    <w:p>
      <w:pPr>
        <w:spacing w:line="560" w:lineRule="exact"/>
        <w:jc w:val="center"/>
        <w:rPr>
          <w:rFonts w:hint="eastAsia" w:ascii="方正小标宋简体" w:hAnsi="方正小标宋简体" w:eastAsia="方正小标宋简体" w:cs="方正小标宋简体"/>
          <w:bCs/>
          <w:kern w:val="0"/>
          <w:sz w:val="44"/>
          <w:szCs w:val="44"/>
        </w:rPr>
      </w:pPr>
    </w:p>
    <w:p>
      <w:pPr>
        <w:spacing w:line="560" w:lineRule="exact"/>
        <w:jc w:val="center"/>
        <w:rPr>
          <w:rFonts w:hint="eastAsia" w:ascii="方正小标宋简体" w:hAnsi="方正小标宋简体" w:eastAsia="方正小标宋简体" w:cs="方正小标宋简体"/>
          <w:bCs/>
          <w:kern w:val="0"/>
          <w:sz w:val="44"/>
          <w:szCs w:val="44"/>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供应商履约评价表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（一般服务类适用）</w:t>
      </w:r>
    </w:p>
    <w:p>
      <w:pPr>
        <w:jc w:val="center"/>
        <w:rPr>
          <w:rFonts w:ascii="宋体" w:hAnsi="宋体" w:cs="宋体"/>
          <w:b/>
          <w:kern w:val="0"/>
          <w:sz w:val="15"/>
          <w:szCs w:val="32"/>
        </w:rPr>
      </w:pPr>
    </w:p>
    <w:tbl>
      <w:tblPr>
        <w:tblStyle w:val="17"/>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宋体" w:hAnsi="宋体"/>
                <w:szCs w:val="21"/>
              </w:rPr>
            </w:pPr>
            <w:r>
              <w:rPr>
                <w:rFonts w:ascii="宋体" w:hAnsi="宋体"/>
                <w:szCs w:val="21"/>
              </w:rPr>
              <w:t>合同名称</w:t>
            </w:r>
          </w:p>
        </w:tc>
        <w:tc>
          <w:tcPr>
            <w:tcW w:w="3826" w:type="dxa"/>
            <w:gridSpan w:val="3"/>
            <w:tcBorders>
              <w:tl2br w:val="nil"/>
              <w:tr2bl w:val="nil"/>
            </w:tcBorders>
            <w:vAlign w:val="center"/>
          </w:tcPr>
          <w:p>
            <w:pPr>
              <w:jc w:val="center"/>
              <w:rPr>
                <w:rFonts w:ascii="宋体" w:hAnsi="宋体"/>
                <w:szCs w:val="21"/>
              </w:rPr>
            </w:pPr>
            <w:r>
              <w:rPr>
                <w:rFonts w:hint="eastAsia" w:ascii="宋体" w:hAnsi="宋体"/>
                <w:szCs w:val="21"/>
              </w:rPr>
              <w:t>深圳会展中心展馆运营信息管理系统软件维护使用服务合同</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36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cs="宋体"/>
                <w:sz w:val="20"/>
              </w:rPr>
            </w:pPr>
            <w:r>
              <w:rPr>
                <w:rFonts w:hint="eastAsia" w:ascii="宋体" w:hAnsi="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工作效率</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胜任能力</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配合程度</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沟通主动性</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沟通能力</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职业操守</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工作态度</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widowControl/>
              <w:jc w:val="left"/>
              <w:rPr>
                <w:rFonts w:ascii="宋体" w:hAnsi="宋体" w:cs="宋体"/>
                <w:szCs w:val="21"/>
              </w:rPr>
            </w:pPr>
            <w:r>
              <w:rPr>
                <w:rFonts w:hint="eastAsia" w:ascii="宋体" w:hAnsi="宋体" w:cs="宋体"/>
                <w:szCs w:val="21"/>
              </w:rPr>
              <w:t>职业道德</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cs="宋体"/>
                <w:szCs w:val="21"/>
              </w:rPr>
            </w:pPr>
          </w:p>
        </w:tc>
        <w:tc>
          <w:tcPr>
            <w:tcW w:w="708" w:type="dxa"/>
            <w:vMerge w:val="continue"/>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ascii="黑体" w:hAnsi="宋体" w:eastAsia="黑体" w:cs="宋体"/>
                <w:sz w:val="24"/>
              </w:rPr>
            </w:pPr>
            <w:r>
              <w:rPr>
                <w:rFonts w:hint="eastAsia" w:ascii="黑体" w:hAnsi="宋体" w:eastAsia="黑体" w:cs="宋体"/>
                <w:sz w:val="24"/>
              </w:rPr>
              <w:t>服务细则（</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专用条款</w:t>
            </w:r>
          </w:p>
        </w:tc>
        <w:tc>
          <w:tcPr>
            <w:tcW w:w="708" w:type="dxa"/>
            <w:vMerge w:val="restart"/>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ascii="宋体" w:hAnsi="宋体" w:cs="宋体" w:eastAsiaTheme="minorEastAsia"/>
                <w:szCs w:val="21"/>
              </w:rPr>
            </w:pPr>
            <w:r>
              <w:rPr>
                <w:rFonts w:hint="eastAsia"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cs="宋体"/>
                <w:color w:val="000000"/>
                <w:kern w:val="0"/>
                <w:sz w:val="22"/>
              </w:rPr>
              <w:t>服务响应是否及时、故障解决率是否高</w:t>
            </w:r>
          </w:p>
        </w:tc>
        <w:tc>
          <w:tcPr>
            <w:tcW w:w="425" w:type="dxa"/>
            <w:tcBorders>
              <w:tl2br w:val="nil"/>
              <w:tr2bl w:val="nil"/>
            </w:tcBorders>
            <w:vAlign w:val="center"/>
          </w:tcPr>
          <w:p>
            <w:pPr>
              <w:spacing w:line="260" w:lineRule="exact"/>
              <w:jc w:val="center"/>
              <w:rPr>
                <w:rFonts w:ascii="宋体" w:hAnsi="宋体" w:cs="宋体" w:eastAsiaTheme="minorEastAsia"/>
                <w:szCs w:val="21"/>
              </w:rPr>
            </w:pPr>
            <w:r>
              <w:rPr>
                <w:rFonts w:hint="eastAsia" w:ascii="宋体" w:hAnsi="宋体" w:cs="宋体"/>
                <w:szCs w:val="21"/>
              </w:rPr>
              <w:t>7</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cs="宋体"/>
                <w:color w:val="000000"/>
                <w:kern w:val="0"/>
                <w:szCs w:val="21"/>
              </w:rPr>
              <w:t>提供的服务包括但不限于运维过程中出现的故障，是否能及时有效的解决；对各种隐患漏洞，是否能及时发现排除，是否出现未能及时解决故障或排除隐患；对于技术咨询，是否按要求回复等</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5"/>
              <w:numPr>
                <w:ilvl w:val="0"/>
                <w:numId w:val="13"/>
              </w:numPr>
              <w:spacing w:line="260" w:lineRule="exact"/>
              <w:ind w:left="84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如有则直接评定为不合格</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6"/>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spacing w:line="360" w:lineRule="auto"/>
        <w:jc w:val="center"/>
        <w:outlineLvl w:val="0"/>
        <w:rPr>
          <w:rFonts w:ascii="宋体" w:hAnsi="宋体"/>
          <w:b/>
          <w:sz w:val="32"/>
          <w:szCs w:val="32"/>
        </w:rPr>
      </w:pPr>
      <w:bookmarkStart w:id="44" w:name="_Toc32544"/>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22352"/>
      <w:bookmarkStart w:id="47" w:name="_Hlk104908581"/>
      <w:bookmarkStart w:id="48" w:name="_Hlk104908397"/>
      <w:r>
        <w:rPr>
          <w:rFonts w:hint="eastAsia"/>
          <w:b/>
        </w:rPr>
        <w:t>开标阶段</w:t>
      </w:r>
      <w:bookmarkEnd w:id="45"/>
      <w:bookmarkEnd w:id="46"/>
    </w:p>
    <w:bookmarkEnd w:id="47"/>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3829"/>
      <w:bookmarkStart w:id="50" w:name="_Toc104994642"/>
      <w:r>
        <w:rPr>
          <w:rFonts w:hint="eastAsia"/>
          <w:b/>
        </w:rPr>
        <w:t>评标阶段</w:t>
      </w:r>
      <w:bookmarkEnd w:id="49"/>
      <w:bookmarkEnd w:id="50"/>
    </w:p>
    <w:p>
      <w:pPr>
        <w:pStyle w:val="25"/>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widowControl/>
        <w:numPr>
          <w:ilvl w:val="0"/>
          <w:numId w:val="15"/>
        </w:numPr>
        <w:spacing w:line="360" w:lineRule="auto"/>
        <w:ind w:left="416" w:leftChars="198" w:firstLine="2" w:firstLineChars="0"/>
        <w:jc w:val="left"/>
        <w:rPr>
          <w:rFonts w:ascii="仿宋_GB2312" w:hAnsi="宋体" w:eastAsia="仿宋_GB2312"/>
        </w:rPr>
      </w:pPr>
      <w:r>
        <w:rPr>
          <w:rFonts w:hint="eastAsia" w:ascii="宋体" w:hAnsi="宋体"/>
          <w:szCs w:val="21"/>
        </w:rPr>
        <w:t>本项目第一中标候选供应商、备选供应商的确定及评标报告的出具。</w:t>
      </w:r>
      <w:bookmarkEnd w:id="48"/>
      <w:r>
        <w:br w:type="page"/>
      </w:r>
    </w:p>
    <w:p>
      <w:pPr>
        <w:pStyle w:val="13"/>
        <w:rPr>
          <w:rFonts w:ascii="宋体"/>
          <w:b/>
          <w:sz w:val="28"/>
        </w:rPr>
      </w:pPr>
    </w:p>
    <w:p>
      <w:pPr>
        <w:spacing w:line="360" w:lineRule="auto"/>
        <w:jc w:val="center"/>
        <w:outlineLvl w:val="0"/>
        <w:rPr>
          <w:rFonts w:ascii="宋体" w:hAnsi="宋体"/>
          <w:b/>
          <w:sz w:val="32"/>
          <w:szCs w:val="32"/>
        </w:rPr>
      </w:pPr>
      <w:bookmarkStart w:id="51" w:name="_Toc47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3170"/>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ascii="宋体" w:hAnsi="宋体"/>
                <w:color w:val="FF0000"/>
                <w:szCs w:val="21"/>
              </w:rPr>
              <w:t>30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ascii="宋体" w:hAnsi="宋体"/>
                <w:color w:val="FF0000"/>
                <w:szCs w:val="21"/>
              </w:rPr>
              <w:t>30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ascii="宋体" w:hAnsi="宋体"/>
                <w:color w:val="FF0000"/>
                <w:szCs w:val="21"/>
              </w:rPr>
              <w:t>4</w:t>
            </w:r>
            <w:r>
              <w:rPr>
                <w:rFonts w:hint="eastAsia" w:ascii="宋体" w:hAnsi="宋体"/>
                <w:color w:val="FF0000"/>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6"/>
        </w:numPr>
        <w:spacing w:before="156" w:beforeLines="50"/>
        <w:jc w:val="left"/>
        <w:outlineLvl w:val="2"/>
        <w:rPr>
          <w:rStyle w:val="32"/>
          <w:rFonts w:ascii="宋体" w:hAnsi="宋体"/>
          <w:b/>
          <w:szCs w:val="21"/>
        </w:rPr>
      </w:pPr>
      <w:bookmarkStart w:id="53" w:name="_Toc28959"/>
      <w:r>
        <w:rPr>
          <w:rStyle w:val="32"/>
          <w:rFonts w:hint="eastAsia" w:ascii="宋体" w:hAnsi="宋体"/>
          <w:b/>
          <w:bCs/>
          <w:szCs w:val="21"/>
        </w:rPr>
        <w:t>符合性检查</w:t>
      </w:r>
      <w:bookmarkEnd w:id="53"/>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r>
              <w:rPr>
                <w:rFonts w:ascii="宋体" w:hAnsi="宋体" w:cs="仿宋"/>
                <w:szCs w:val="21"/>
              </w:rPr>
              <w:t xml:space="preserve"> </w:t>
            </w:r>
          </w:p>
          <w:p>
            <w:pPr>
              <w:numPr>
                <w:ilvl w:val="0"/>
                <w:numId w:val="17"/>
              </w:numPr>
              <w:tabs>
                <w:tab w:val="left" w:pos="531"/>
              </w:tabs>
              <w:snapToGrid w:val="0"/>
              <w:ind w:left="420" w:hanging="42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7"/>
              </w:numPr>
              <w:tabs>
                <w:tab w:val="left" w:pos="531"/>
              </w:tabs>
              <w:snapToGrid w:val="0"/>
              <w:ind w:left="420" w:hanging="420"/>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本项目三年总报价是否高于</w:t>
            </w:r>
            <w:r>
              <w:rPr>
                <w:rFonts w:ascii="宋体" w:hAnsi="宋体"/>
                <w:color w:val="FF0000"/>
                <w:szCs w:val="21"/>
                <w:highlight w:val="yellow"/>
              </w:rPr>
              <w:t>36</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w:t>
            </w:r>
            <w:r>
              <w:rPr>
                <w:rFonts w:hint="eastAsia" w:ascii="宋体" w:hAnsi="宋体" w:cs="宋体"/>
                <w:szCs w:val="21"/>
              </w:rPr>
              <w:t>每年控制金额不超12万元（含税），</w:t>
            </w:r>
            <w:r>
              <w:rPr>
                <w:rFonts w:hint="eastAsia" w:ascii="宋体" w:hAnsi="宋体" w:cs="仿宋"/>
                <w:szCs w:val="21"/>
              </w:rPr>
              <w:t>超过上述控制金额的视为无效报价。</w:t>
            </w:r>
          </w:p>
        </w:tc>
      </w:tr>
    </w:tbl>
    <w:p>
      <w:pPr>
        <w:numPr>
          <w:ilvl w:val="0"/>
          <w:numId w:val="16"/>
        </w:numPr>
        <w:spacing w:before="156" w:beforeLines="50"/>
        <w:jc w:val="left"/>
        <w:outlineLvl w:val="2"/>
        <w:rPr>
          <w:rStyle w:val="32"/>
          <w:rFonts w:ascii="宋体" w:hAnsi="宋体"/>
          <w:b/>
          <w:bCs/>
          <w:szCs w:val="21"/>
        </w:rPr>
      </w:pPr>
      <w:bookmarkStart w:id="54" w:name="_Toc27663"/>
      <w:bookmarkStart w:id="55" w:name="_Toc114675512"/>
      <w:r>
        <w:rPr>
          <w:rStyle w:val="32"/>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6" w:name="_Toc7478"/>
      <w:bookmarkStart w:id="57" w:name="_Toc114675513"/>
      <w:r>
        <w:rPr>
          <w:rStyle w:val="32"/>
          <w:rFonts w:hint="eastAsia" w:ascii="宋体" w:hAnsi="宋体"/>
          <w:b/>
          <w:bCs/>
          <w:szCs w:val="21"/>
        </w:rPr>
        <w:t>综合评议指标表</w:t>
      </w:r>
      <w:bookmarkEnd w:id="56"/>
      <w:bookmarkEnd w:id="57"/>
    </w:p>
    <w:p>
      <w:pPr>
        <w:pStyle w:val="2"/>
      </w:pPr>
    </w:p>
    <w:p>
      <w:pPr>
        <w:pStyle w:val="2"/>
        <w:ind w:left="0"/>
      </w:pPr>
    </w:p>
    <w:tbl>
      <w:tblPr>
        <w:tblStyle w:val="17"/>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szCs w:val="21"/>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项目负责人及团队评议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804" w:type="dxa"/>
            <w:tcBorders>
              <w:tl2br w:val="nil"/>
              <w:tr2bl w:val="nil"/>
            </w:tcBorders>
            <w:tcMar>
              <w:top w:w="15" w:type="dxa"/>
              <w:left w:w="15" w:type="dxa"/>
              <w:bottom w:w="15" w:type="dxa"/>
              <w:right w:w="15" w:type="dxa"/>
            </w:tcMar>
            <w:vAlign w:val="center"/>
          </w:tcPr>
          <w:p>
            <w:pPr>
              <w:numPr>
                <w:ilvl w:val="255"/>
                <w:numId w:val="0"/>
              </w:numPr>
              <w:tabs>
                <w:tab w:val="left" w:pos="531"/>
              </w:tabs>
              <w:snapToGrid w:val="0"/>
              <w:rPr>
                <w:rFonts w:ascii="宋体" w:hAnsi="宋体"/>
                <w:szCs w:val="21"/>
              </w:rPr>
            </w:pPr>
            <w:r>
              <w:rPr>
                <w:rFonts w:hint="eastAsia" w:ascii="宋体" w:hAnsi="宋体"/>
                <w:szCs w:val="21"/>
              </w:rPr>
              <w:t>（1）根据各投标人指定的项目负责人工作经验（如工作年限、以负责人身份参与项目的规模情况等）进行综合评议，优得10分、良得6分、一般得2分，其他情况不得分。</w:t>
            </w:r>
          </w:p>
          <w:p>
            <w:pPr>
              <w:numPr>
                <w:ilvl w:val="255"/>
                <w:numId w:val="0"/>
              </w:numPr>
              <w:tabs>
                <w:tab w:val="left" w:pos="531"/>
              </w:tabs>
              <w:snapToGrid w:val="0"/>
              <w:rPr>
                <w:rFonts w:ascii="宋体" w:hAnsi="宋体"/>
                <w:szCs w:val="21"/>
              </w:rPr>
            </w:pPr>
            <w:r>
              <w:rPr>
                <w:rFonts w:hint="eastAsia" w:ascii="宋体" w:hAnsi="宋体"/>
                <w:szCs w:val="21"/>
              </w:rPr>
              <w:t>（2）证明文件：</w:t>
            </w:r>
          </w:p>
          <w:p>
            <w:pPr>
              <w:numPr>
                <w:ilvl w:val="255"/>
                <w:numId w:val="0"/>
              </w:numPr>
              <w:tabs>
                <w:tab w:val="left" w:pos="531"/>
              </w:tabs>
              <w:snapToGrid w:val="0"/>
              <w:rPr>
                <w:rFonts w:ascii="宋体" w:hAnsi="宋体"/>
              </w:rPr>
            </w:pPr>
            <w:r>
              <w:rPr>
                <w:rFonts w:hint="eastAsia" w:ascii="宋体" w:hAnsi="宋体"/>
                <w:szCs w:val="21"/>
              </w:rPr>
              <w:t>投标人需提供可证明上述评分内容的证明材料如毕业证书、劳动合同、负责人简历、以负责人身份参与的合同关键页</w:t>
            </w:r>
            <w:r>
              <w:rPr>
                <w:rFonts w:hint="eastAsia" w:ascii="宋体" w:hAnsi="宋体"/>
                <w:color w:val="auto"/>
                <w:szCs w:val="21"/>
              </w:rPr>
              <w:t>复印件</w:t>
            </w:r>
            <w:r>
              <w:rPr>
                <w:rFonts w:hint="eastAsia" w:ascii="宋体" w:hAnsi="宋体"/>
                <w:color w:val="auto"/>
                <w:szCs w:val="21"/>
                <w:lang w:eastAsia="zh-CN"/>
              </w:rPr>
              <w:t>、</w:t>
            </w:r>
            <w:r>
              <w:rPr>
                <w:rFonts w:hint="eastAsia" w:ascii="宋体" w:hAnsi="宋体"/>
                <w:color w:val="auto"/>
                <w:szCs w:val="21"/>
                <w:lang w:val="en-US" w:eastAsia="zh-CN"/>
              </w:rPr>
              <w:t>投标人为其缴纳的社保证明</w:t>
            </w:r>
            <w:r>
              <w:rPr>
                <w:rFonts w:hint="eastAsia" w:ascii="宋体" w:hAnsi="宋体"/>
                <w:color w:val="auto"/>
                <w:szCs w:val="21"/>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以往绩效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20</w:t>
            </w:r>
            <w:r>
              <w:rPr>
                <w:rFonts w:hint="eastAsia" w:ascii="宋体" w:hAnsi="宋体"/>
                <w:szCs w:val="21"/>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pPr>
            <w:r>
              <w:rPr>
                <w:rFonts w:hint="eastAsia"/>
              </w:rPr>
              <w:t>（1）根据投标人所提供2020年1月1日至招标公告发布之日（以合同签订时间为准）在中国大陆地区EventPivot场馆管理系统和eventinfinity搭建报馆及现场服务订单系统软件项目业绩数量进行评议，合同数量越多得分越高。第一名得20分，第二名得</w:t>
            </w:r>
            <w:r>
              <w:t>1</w:t>
            </w:r>
            <w:r>
              <w:rPr>
                <w:rFonts w:hint="eastAsia"/>
              </w:rPr>
              <w:t>5分，第三名得10分，第四名得5分，其他不得分。</w:t>
            </w:r>
          </w:p>
          <w:p>
            <w:pPr>
              <w:tabs>
                <w:tab w:val="left" w:pos="531"/>
              </w:tabs>
              <w:snapToGrid w:val="0"/>
              <w:jc w:val="left"/>
              <w:rPr>
                <w:lang w:val="zh-CN"/>
              </w:rPr>
            </w:pPr>
            <w:r>
              <w:rPr>
                <w:rFonts w:hint="eastAsia"/>
                <w:lang w:val="zh-CN"/>
              </w:rPr>
              <w:t>（</w:t>
            </w:r>
            <w:r>
              <w:rPr>
                <w:rFonts w:hint="eastAsia"/>
              </w:rPr>
              <w:t>2</w:t>
            </w:r>
            <w:r>
              <w:rPr>
                <w:rFonts w:hint="eastAsia"/>
                <w:lang w:val="zh-CN"/>
              </w:rPr>
              <w:t>）证明文件：</w:t>
            </w:r>
          </w:p>
          <w:p>
            <w:pPr>
              <w:pStyle w:val="2"/>
              <w:ind w:left="0"/>
            </w:pPr>
            <w:r>
              <w:rPr>
                <w:rFonts w:hint="eastAsia"/>
              </w:rPr>
              <w:t>投标人须提供相关合同关键页（包含但不限于：项目名称、业主方名称、服务内容、签订时间、甲乙双方盖章等信息）并加盖投标人公章。</w:t>
            </w:r>
            <w: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ascii="宋体" w:hAnsi="宋体"/>
                <w:szCs w:val="21"/>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2" w:hRule="atLeast"/>
          <w:tblCellSpacing w:w="0" w:type="dxa"/>
        </w:trPr>
        <w:tc>
          <w:tcPr>
            <w:tcW w:w="704"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方案内容</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0分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hAnsi="宋体"/>
              </w:rPr>
            </w:pPr>
            <w:r>
              <w:rPr>
                <w:rFonts w:hint="eastAsia" w:ascii="宋体" w:hAnsi="宋体"/>
                <w:szCs w:val="21"/>
              </w:rPr>
              <w:t>根据投标人提供的项目服务方案</w:t>
            </w:r>
            <w:r>
              <w:rPr>
                <w:rFonts w:hint="eastAsia"/>
              </w:rPr>
              <w:t>进行综合评议，服务方案应包括但不限于系统的维护、故障处置、应急预案、重大活动保障等。优得15-20分，良得10-14分；一般得1-9分。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0" w:hRule="atLeast"/>
          <w:tblCellSpacing w:w="0" w:type="dxa"/>
        </w:trPr>
        <w:tc>
          <w:tcPr>
            <w:tcW w:w="704" w:type="dxa"/>
            <w:tcBorders>
              <w:tl2br w:val="nil"/>
              <w:tr2bl w:val="nil"/>
            </w:tcBorders>
            <w:vAlign w:val="center"/>
          </w:tcPr>
          <w:p>
            <w:pPr>
              <w:pStyle w:val="25"/>
              <w:numPr>
                <w:ilvl w:val="0"/>
                <w:numId w:val="19"/>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ascii="宋体" w:hAnsi="宋体"/>
                <w:szCs w:val="21"/>
              </w:rPr>
              <w:t>10</w:t>
            </w:r>
            <w:r>
              <w:rPr>
                <w:rFonts w:hint="eastAsia" w:ascii="宋体" w:hAnsi="宋体"/>
                <w:szCs w:val="21"/>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cs="宋体"/>
                <w:bCs/>
                <w:szCs w:val="21"/>
              </w:rPr>
              <w:t>根据各投标人提供的《售后服务承诺书》</w:t>
            </w:r>
            <w:r>
              <w:rPr>
                <w:rFonts w:hint="eastAsia" w:ascii="宋体" w:hAnsi="宋体" w:cs="宋体"/>
                <w:kern w:val="0"/>
                <w:szCs w:val="21"/>
              </w:rPr>
              <w:t>，包含服务时间、保障措施和系统安全等，进行综合比较评议。优得8</w:t>
            </w:r>
            <w:r>
              <w:rPr>
                <w:rFonts w:ascii="宋体" w:hAnsi="宋体" w:cs="宋体"/>
                <w:kern w:val="0"/>
                <w:szCs w:val="21"/>
              </w:rPr>
              <w:t>-</w:t>
            </w:r>
            <w:r>
              <w:rPr>
                <w:rFonts w:hint="eastAsia" w:ascii="宋体" w:hAnsi="宋体" w:cs="宋体"/>
                <w:kern w:val="0"/>
                <w:szCs w:val="21"/>
              </w:rPr>
              <w:t>10分；良得</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分；一般得1-</w:t>
            </w:r>
            <w:r>
              <w:rPr>
                <w:rFonts w:ascii="宋体" w:hAnsi="宋体" w:cs="宋体"/>
                <w:kern w:val="0"/>
                <w:szCs w:val="21"/>
              </w:rPr>
              <w:t>3</w:t>
            </w:r>
            <w:r>
              <w:rPr>
                <w:rFonts w:hint="eastAsia" w:ascii="宋体" w:hAnsi="宋体" w:cs="宋体"/>
                <w:kern w:val="0"/>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w:t>
            </w:r>
            <w:r>
              <w:rPr>
                <w:b/>
                <w:bCs/>
              </w:rPr>
              <w:t>4</w:t>
            </w:r>
            <w:r>
              <w:rPr>
                <w:rFonts w:hint="eastAsia"/>
                <w:b/>
                <w:bCs/>
              </w:rPr>
              <w:t>0分）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ascii="宋体" w:hAnsi="宋体"/>
                <w:szCs w:val="21"/>
              </w:rPr>
              <w:t>40</w:t>
            </w:r>
          </w:p>
        </w:tc>
        <w:tc>
          <w:tcPr>
            <w:tcW w:w="7513" w:type="dxa"/>
            <w:gridSpan w:val="2"/>
            <w:tcBorders>
              <w:tl2br w:val="nil"/>
              <w:tr2bl w:val="nil"/>
            </w:tcBorders>
            <w:vAlign w:val="center"/>
          </w:tcPr>
          <w:p>
            <w:pPr>
              <w:spacing w:line="240" w:lineRule="atLeast"/>
              <w:jc w:val="left"/>
              <w:rPr>
                <w:rFonts w:ascii="宋体" w:hAnsi="宋体"/>
                <w:szCs w:val="21"/>
              </w:rPr>
            </w:pPr>
            <w:r>
              <w:rPr>
                <w:rFonts w:hint="eastAsia" w:ascii="宋体" w:hAnsi="宋体"/>
              </w:rPr>
              <w:t>评标基准价：</w:t>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numPr>
                <w:ilvl w:val="255"/>
                <w:numId w:val="0"/>
              </w:numPr>
              <w:snapToGrid w:val="0"/>
              <w:jc w:val="left"/>
              <w:rPr>
                <w:rFonts w:ascii="宋体" w:hAnsi="宋体" w:cs="宋体"/>
                <w:kern w:val="0"/>
                <w:szCs w:val="21"/>
              </w:rPr>
            </w:pPr>
            <w:r>
              <w:rPr>
                <w:rFonts w:hint="eastAsia" w:ascii="宋体" w:hAnsi="宋体" w:cs="宋体"/>
                <w:kern w:val="0"/>
                <w:szCs w:val="21"/>
              </w:rPr>
              <w:t>价格分计算公式：</w:t>
            </w:r>
          </w:p>
          <w:p>
            <w:pPr>
              <w:spacing w:line="240" w:lineRule="atLeast"/>
              <w:rPr>
                <w:rFonts w:ascii="宋体" w:hAnsi="宋体"/>
                <w:szCs w:val="21"/>
              </w:rPr>
            </w:pPr>
            <w:r>
              <w:rPr>
                <w:rFonts w:hint="eastAsia" w:ascii="宋体" w:hAnsi="宋体"/>
                <w:szCs w:val="21"/>
              </w:rPr>
              <w:t>价格得分=（1-|投标报价-基准价|÷基准价）×价格权重分</w:t>
            </w:r>
          </w:p>
          <w:p>
            <w:pPr>
              <w:spacing w:line="240" w:lineRule="atLeast"/>
              <w:jc w:val="left"/>
              <w:rPr>
                <w:rFonts w:ascii="宋体" w:cs="宋体"/>
                <w:kern w:val="0"/>
                <w:szCs w:val="21"/>
              </w:rPr>
            </w:pPr>
            <w:r>
              <w:rPr>
                <w:rFonts w:hint="eastAsia" w:ascii="宋体" w:hAns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0"/>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1"/>
        </w:numPr>
        <w:spacing w:line="360" w:lineRule="auto"/>
        <w:ind w:firstLine="420" w:firstLineChars="200"/>
        <w:rPr>
          <w:rFonts w:ascii="宋体" w:hAnsi="宋体"/>
          <w:szCs w:val="21"/>
        </w:rPr>
      </w:pPr>
      <w:r>
        <w:rPr>
          <w:rFonts w:hint="eastAsia" w:ascii="宋体" w:hAnsi="宋体"/>
          <w:szCs w:val="21"/>
        </w:rPr>
        <w:t>若分项报价与总价不一致，以总价为准。</w:t>
      </w:r>
    </w:p>
    <w:p>
      <w:pPr>
        <w:numPr>
          <w:ilvl w:val="0"/>
          <w:numId w:val="21"/>
        </w:numPr>
        <w:spacing w:line="360" w:lineRule="auto"/>
        <w:ind w:firstLine="420" w:firstLineChars="200"/>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2959"/>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highlight w:val="yellow"/>
        </w:rPr>
      </w:pPr>
      <w:bookmarkStart w:id="59" w:name="_Hlk139555828"/>
      <w:bookmarkStart w:id="60" w:name="_Hlk116549198"/>
      <w:r>
        <w:rPr>
          <w:rFonts w:hint="eastAsia" w:ascii="方正小标宋简体" w:hAnsi="方正小标宋简体" w:eastAsia="方正小标宋简体" w:cs="方正小标宋简体"/>
          <w:bCs/>
          <w:kern w:val="0"/>
          <w:sz w:val="28"/>
          <w:szCs w:val="28"/>
          <w:highlight w:val="yellow"/>
        </w:rPr>
        <w:t>深圳会展中心展馆运营信息管理系统软件</w:t>
      </w: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highlight w:val="yellow"/>
        </w:rPr>
        <w:t>维护使用服务</w:t>
      </w:r>
      <w:bookmarkEnd w:id="59"/>
      <w:r>
        <w:rPr>
          <w:rFonts w:hint="eastAsia" w:ascii="方正小标宋简体" w:hAnsi="方正小标宋简体" w:eastAsia="方正小标宋简体" w:cs="方正小标宋简体"/>
          <w:bCs/>
          <w:kern w:val="0"/>
          <w:sz w:val="28"/>
          <w:szCs w:val="28"/>
        </w:rPr>
        <w:t>合同</w:t>
      </w:r>
    </w:p>
    <w:bookmarkEnd w:id="60"/>
    <w:p>
      <w:pPr>
        <w:jc w:val="center"/>
        <w:rPr>
          <w:rFonts w:ascii="宋体" w:hAnsi="宋体"/>
          <w:szCs w:val="21"/>
        </w:rPr>
      </w:pPr>
      <w:bookmarkStart w:id="61" w:name="_Hlk116549211"/>
      <w:r>
        <w:rPr>
          <w:rFonts w:hint="eastAsia" w:ascii="方正小标宋简体" w:hAnsi="方正小标宋简体" w:eastAsia="方正小标宋简体" w:cs="方正小标宋简体"/>
          <w:bCs/>
          <w:kern w:val="0"/>
          <w:sz w:val="28"/>
          <w:szCs w:val="28"/>
        </w:rPr>
        <w:t>（仅供参考）</w:t>
      </w:r>
    </w:p>
    <w:bookmarkEnd w:id="61"/>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sz w:val="22"/>
          <w:highlight w:val="yellow"/>
        </w:rPr>
        <w:t>软件维护、技术支持和托管</w:t>
      </w:r>
      <w:r>
        <w:rPr>
          <w:rFonts w:hint="eastAsia" w:ascii="宋体" w:hAnsi="宋体" w:cs="Arial"/>
          <w:sz w:val="21"/>
          <w:szCs w:val="21"/>
        </w:rPr>
        <w:t>服务，甲乙双方经协商一致，签订本合同，双方保证严格遵守和执行。</w:t>
      </w:r>
    </w:p>
    <w:p>
      <w:pPr>
        <w:pStyle w:val="2"/>
        <w:numPr>
          <w:ilvl w:val="0"/>
          <w:numId w:val="2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rPr>
          <w:rFonts w:ascii="宋体" w:hAnsi="宋体" w:cs="仿宋"/>
          <w:szCs w:val="21"/>
          <w:highlight w:val="yellow"/>
        </w:rPr>
      </w:pPr>
      <w:r>
        <w:rPr>
          <w:rFonts w:hint="eastAsia" w:ascii="宋体" w:hAnsi="宋体" w:cs="仿宋"/>
          <w:szCs w:val="21"/>
        </w:rPr>
        <w:t>项目名称：</w:t>
      </w:r>
      <w:r>
        <w:rPr>
          <w:rFonts w:hint="eastAsia" w:ascii="宋体" w:hAnsi="宋体" w:cs="仿宋"/>
          <w:szCs w:val="21"/>
          <w:highlight w:val="yellow"/>
        </w:rPr>
        <w:t>深圳会展中心展馆运营信息管理系统软件</w:t>
      </w:r>
    </w:p>
    <w:p>
      <w:pPr>
        <w:rPr>
          <w:rFonts w:ascii="宋体" w:hAnsi="宋体" w:cs="仿宋"/>
          <w:szCs w:val="21"/>
        </w:rPr>
      </w:pPr>
      <w:r>
        <w:rPr>
          <w:rFonts w:hint="eastAsia" w:ascii="宋体" w:hAnsi="宋体" w:cs="仿宋"/>
          <w:szCs w:val="21"/>
          <w:highlight w:val="yellow"/>
        </w:rPr>
        <w:t>维护使用服务项目</w:t>
      </w:r>
    </w:p>
    <w:p>
      <w:pPr>
        <w:pStyle w:val="2"/>
        <w:spacing w:after="0" w:line="360" w:lineRule="auto"/>
        <w:ind w:left="0" w:firstLine="420" w:firstLineChars="200"/>
        <w:rPr>
          <w:rFonts w:ascii="宋体" w:hAnsi="宋体" w:cs="仿宋"/>
          <w:spacing w:val="0"/>
          <w:kern w:val="2"/>
          <w:sz w:val="21"/>
          <w:szCs w:val="21"/>
        </w:rPr>
      </w:pP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widowControl/>
        <w:jc w:val="left"/>
        <w:rPr>
          <w:rFonts w:ascii="宋体" w:hAnsi="宋体" w:cs="仿宋"/>
          <w:b/>
          <w:bCs/>
          <w:spacing w:val="-5"/>
          <w:kern w:val="0"/>
          <w:szCs w:val="21"/>
        </w:rPr>
      </w:pPr>
      <w:r>
        <w:rPr>
          <w:rFonts w:ascii="宋体" w:hAnsi="宋体" w:cs="仿宋"/>
          <w:b/>
          <w:bCs/>
          <w:szCs w:val="21"/>
        </w:rPr>
        <w:br w:type="page"/>
      </w:r>
    </w:p>
    <w:p>
      <w:pPr>
        <w:pStyle w:val="2"/>
        <w:spacing w:line="360" w:lineRule="auto"/>
        <w:ind w:left="0"/>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2" w:name="_Toc17419"/>
      <w:r>
        <w:rPr>
          <w:rFonts w:hint="eastAsia"/>
          <w:b/>
          <w:sz w:val="32"/>
          <w:szCs w:val="32"/>
        </w:rPr>
        <w:t>第五部分：参考附件</w:t>
      </w:r>
      <w:bookmarkEnd w:id="62"/>
    </w:p>
    <w:p>
      <w:pPr>
        <w:spacing w:line="0" w:lineRule="atLeast"/>
        <w:outlineLvl w:val="1"/>
        <w:rPr>
          <w:rFonts w:ascii="宋体" w:hAnsi="宋体"/>
        </w:rPr>
      </w:pPr>
      <w:bookmarkStart w:id="63" w:name="_Toc13617"/>
      <w:r>
        <w:rPr>
          <w:rFonts w:hint="eastAsia" w:ascii="宋体" w:hAnsi="宋体"/>
          <w:szCs w:val="21"/>
        </w:rPr>
        <w:t>附件1：</w:t>
      </w:r>
      <w:r>
        <w:rPr>
          <w:rFonts w:hint="eastAsia" w:ascii="宋体" w:hAnsi="宋体"/>
        </w:rPr>
        <w:t>报名回函</w:t>
      </w:r>
      <w:bookmarkEnd w:id="63"/>
      <w:r>
        <w:rPr>
          <w:rFonts w:hint="eastAsia" w:ascii="宋体" w:hAnsi="宋体"/>
        </w:rPr>
        <w:t xml:space="preserve"> </w:t>
      </w:r>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4" w:name="_Toc25186"/>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5" w:name="_Toc10130"/>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7" w:name="_Toc17830"/>
      <w:r>
        <w:rPr>
          <w:rFonts w:hint="eastAsia" w:ascii="宋体" w:hAnsi="宋体"/>
          <w:szCs w:val="21"/>
        </w:rPr>
        <w:t>附件4：考察证明 （本项目不适用）</w:t>
      </w:r>
      <w:bookmarkEnd w:id="67"/>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26287"/>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36803114"/>
      <w:bookmarkStart w:id="75" w:name="_Toc246480945"/>
      <w:r>
        <w:rPr>
          <w:rFonts w:ascii="仿宋" w:hAnsi="仿宋" w:eastAsia="仿宋"/>
          <w:sz w:val="28"/>
          <w:szCs w:val="28"/>
        </w:rPr>
        <w:br w:type="page"/>
      </w:r>
    </w:p>
    <w:p>
      <w:pPr>
        <w:spacing w:line="0" w:lineRule="atLeast"/>
        <w:outlineLvl w:val="1"/>
        <w:rPr>
          <w:rFonts w:ascii="宋体" w:hAnsi="宋体"/>
          <w:szCs w:val="21"/>
        </w:rPr>
      </w:pPr>
      <w:bookmarkStart w:id="76" w:name="_Toc1331"/>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478387764"/>
      <w:bookmarkStart w:id="79" w:name="_Toc395883088"/>
      <w:bookmarkStart w:id="80" w:name="_Toc236803111"/>
      <w:r>
        <w:rPr>
          <w:rFonts w:ascii="仿宋" w:hAnsi="仿宋" w:eastAsia="仿宋"/>
          <w:sz w:val="28"/>
          <w:szCs w:val="28"/>
        </w:rPr>
        <w:br w:type="page"/>
      </w:r>
    </w:p>
    <w:p>
      <w:pPr>
        <w:spacing w:line="0" w:lineRule="atLeast"/>
        <w:outlineLvl w:val="1"/>
        <w:rPr>
          <w:rFonts w:ascii="宋体" w:hAnsi="宋体"/>
          <w:szCs w:val="21"/>
        </w:rPr>
      </w:pPr>
      <w:bookmarkStart w:id="81" w:name="_Toc2686"/>
      <w:r>
        <w:rPr>
          <w:rFonts w:hint="eastAsia" w:ascii="宋体" w:hAnsi="宋体"/>
          <w:szCs w:val="21"/>
        </w:rPr>
        <w:t>附件7：报价一览表（货物）</w:t>
      </w:r>
      <w:r>
        <w:rPr>
          <w:rFonts w:hint="eastAsia" w:ascii="宋体" w:hAnsi="宋体"/>
          <w:color w:val="FF0000"/>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3" w:name="_Toc82095917"/>
      <w:bookmarkStart w:id="84"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26376"/>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8026"/>
      <w:r>
        <w:rPr>
          <w:rFonts w:hint="eastAsia" w:ascii="宋体" w:hAnsi="宋体"/>
          <w:szCs w:val="21"/>
        </w:rPr>
        <w:t>附件9：报价一览表（工程）</w:t>
      </w:r>
      <w:r>
        <w:rPr>
          <w:rFonts w:hint="eastAsia" w:ascii="宋体" w:hAnsi="宋体"/>
          <w:color w:val="FF0000"/>
          <w:szCs w:val="21"/>
        </w:rPr>
        <w:t>（本项目不适用）</w:t>
      </w:r>
      <w:bookmarkEnd w:id="8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4871"/>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8" w:name="_Toc3781"/>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2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2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2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spacing w:line="0" w:lineRule="atLeast"/>
        <w:outlineLvl w:val="1"/>
        <w:rPr>
          <w:rFonts w:ascii="宋体" w:hAnsi="宋体"/>
          <w:szCs w:val="21"/>
        </w:rPr>
      </w:pPr>
      <w:bookmarkStart w:id="89" w:name="_Toc20777"/>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3157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1287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3" w:name="_Toc100848654"/>
      <w:bookmarkStart w:id="94" w:name="_Toc4268"/>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3"/>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3"/>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6"/>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7" w:name="_Hlk116546063"/>
    <w:bookmarkStart w:id="98" w:name="_Hlk116546062"/>
    <w:r>
      <w:rPr>
        <w:rFonts w:hint="eastAsia" w:ascii="宋体" w:hAnsi="宋体" w:cs="宋体"/>
        <w:bCs/>
      </w:rPr>
      <w:t>版本发布日期：</w:t>
    </w:r>
    <w:r>
      <w:rPr>
        <w:rFonts w:hint="eastAsia" w:ascii="宋体" w:hAnsi="宋体" w:cs="宋体"/>
        <w:bCs/>
        <w:u w:val="single"/>
      </w:rPr>
      <w:t>2023年3月6日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9752E"/>
    <w:multiLevelType w:val="singleLevel"/>
    <w:tmpl w:val="A109752E"/>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E10C89"/>
    <w:multiLevelType w:val="singleLevel"/>
    <w:tmpl w:val="28E10C89"/>
    <w:lvl w:ilvl="0" w:tentative="0">
      <w:start w:val="1"/>
      <w:numFmt w:val="decimal"/>
      <w:suff w:val="space"/>
      <w:lvlText w:val="%1."/>
      <w:lvlJc w:val="left"/>
    </w:lvl>
  </w:abstractNum>
  <w:abstractNum w:abstractNumId="1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7">
    <w:nsid w:val="739433F9"/>
    <w:multiLevelType w:val="singleLevel"/>
    <w:tmpl w:val="739433F9"/>
    <w:lvl w:ilvl="0" w:tentative="0">
      <w:start w:val="1"/>
      <w:numFmt w:val="decimal"/>
      <w:suff w:val="space"/>
      <w:lvlText w:val="%1."/>
      <w:lvlJc w:val="left"/>
    </w:lvl>
  </w:abstractNum>
  <w:abstractNum w:abstractNumId="28">
    <w:nsid w:val="750E760B"/>
    <w:multiLevelType w:val="multilevel"/>
    <w:tmpl w:val="750E760B"/>
    <w:lvl w:ilvl="0" w:tentative="0">
      <w:start w:val="1"/>
      <w:numFmt w:val="decimal"/>
      <w:lvlText w:val="（%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B4A4E0C"/>
    <w:multiLevelType w:val="singleLevel"/>
    <w:tmpl w:val="7B4A4E0C"/>
    <w:lvl w:ilvl="0" w:tentative="0">
      <w:start w:val="1"/>
      <w:numFmt w:val="decimal"/>
      <w:lvlText w:val="（%1）"/>
      <w:lvlJc w:val="left"/>
      <w:pPr>
        <w:ind w:left="420" w:hanging="420"/>
      </w:pPr>
      <w:rPr>
        <w:rFonts w:hint="eastAsia"/>
      </w:rPr>
    </w:lvl>
  </w:abstractNum>
  <w:abstractNum w:abstractNumId="31">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6"/>
  </w:num>
  <w:num w:numId="3">
    <w:abstractNumId w:val="1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8"/>
  </w:num>
  <w:num w:numId="9">
    <w:abstractNumId w:val="8"/>
  </w:num>
  <w:num w:numId="10">
    <w:abstractNumId w:val="30"/>
  </w:num>
  <w:num w:numId="11">
    <w:abstractNumId w:val="31"/>
  </w:num>
  <w:num w:numId="12">
    <w:abstractNumId w:val="28"/>
  </w:num>
  <w:num w:numId="13">
    <w:abstractNumId w:val="29"/>
  </w:num>
  <w:num w:numId="14">
    <w:abstractNumId w:val="2"/>
  </w:num>
  <w:num w:numId="15">
    <w:abstractNumId w:val="14"/>
  </w:num>
  <w:num w:numId="16">
    <w:abstractNumId w:val="6"/>
  </w:num>
  <w:num w:numId="17">
    <w:abstractNumId w:val="27"/>
  </w:num>
  <w:num w:numId="18">
    <w:abstractNumId w:val="10"/>
  </w:num>
  <w:num w:numId="19">
    <w:abstractNumId w:val="16"/>
  </w:num>
  <w:num w:numId="20">
    <w:abstractNumId w:val="3"/>
  </w:num>
  <w:num w:numId="21">
    <w:abstractNumId w:val="0"/>
  </w:num>
  <w:num w:numId="22">
    <w:abstractNumId w:val="19"/>
  </w:num>
  <w:num w:numId="23">
    <w:abstractNumId w:val="5"/>
  </w:num>
  <w:num w:numId="24">
    <w:abstractNumId w:val="4"/>
  </w:num>
  <w:num w:numId="25">
    <w:abstractNumId w:val="25"/>
  </w:num>
  <w:num w:numId="26">
    <w:abstractNumId w:val="20"/>
  </w:num>
  <w:num w:numId="27">
    <w:abstractNumId w:val="15"/>
  </w:num>
  <w:num w:numId="28">
    <w:abstractNumId w:val="12"/>
  </w:num>
  <w:num w:numId="29">
    <w:abstractNumId w:val="21"/>
  </w:num>
  <w:num w:numId="30">
    <w:abstractNumId w:val="11"/>
  </w:num>
  <w:num w:numId="31">
    <w:abstractNumId w:val="7"/>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07480"/>
    <w:rsid w:val="000109CF"/>
    <w:rsid w:val="0001408F"/>
    <w:rsid w:val="00020D3D"/>
    <w:rsid w:val="0002431D"/>
    <w:rsid w:val="000262A2"/>
    <w:rsid w:val="00030ED4"/>
    <w:rsid w:val="000452BA"/>
    <w:rsid w:val="00052526"/>
    <w:rsid w:val="0005325D"/>
    <w:rsid w:val="0006307A"/>
    <w:rsid w:val="00071803"/>
    <w:rsid w:val="00074891"/>
    <w:rsid w:val="00077160"/>
    <w:rsid w:val="00080360"/>
    <w:rsid w:val="00093F3A"/>
    <w:rsid w:val="00095512"/>
    <w:rsid w:val="000A2942"/>
    <w:rsid w:val="000B5E7A"/>
    <w:rsid w:val="000C0416"/>
    <w:rsid w:val="000C45B3"/>
    <w:rsid w:val="000C7053"/>
    <w:rsid w:val="000E3E7C"/>
    <w:rsid w:val="000E525B"/>
    <w:rsid w:val="000F16F8"/>
    <w:rsid w:val="000F23B0"/>
    <w:rsid w:val="00104C44"/>
    <w:rsid w:val="001052B4"/>
    <w:rsid w:val="001107A5"/>
    <w:rsid w:val="001238C4"/>
    <w:rsid w:val="0012732B"/>
    <w:rsid w:val="0013213B"/>
    <w:rsid w:val="00133C7B"/>
    <w:rsid w:val="001356BD"/>
    <w:rsid w:val="0013663B"/>
    <w:rsid w:val="00137AB2"/>
    <w:rsid w:val="00141B72"/>
    <w:rsid w:val="001427DC"/>
    <w:rsid w:val="0014698B"/>
    <w:rsid w:val="00151C50"/>
    <w:rsid w:val="00156227"/>
    <w:rsid w:val="00162AA4"/>
    <w:rsid w:val="0017163D"/>
    <w:rsid w:val="001723D2"/>
    <w:rsid w:val="00173A9E"/>
    <w:rsid w:val="00174846"/>
    <w:rsid w:val="00180160"/>
    <w:rsid w:val="00180A4D"/>
    <w:rsid w:val="00180E0D"/>
    <w:rsid w:val="0018170D"/>
    <w:rsid w:val="001959E5"/>
    <w:rsid w:val="001978B2"/>
    <w:rsid w:val="001A282A"/>
    <w:rsid w:val="001A409A"/>
    <w:rsid w:val="001A6C5B"/>
    <w:rsid w:val="001B28EE"/>
    <w:rsid w:val="001D605B"/>
    <w:rsid w:val="001D65B4"/>
    <w:rsid w:val="001E204B"/>
    <w:rsid w:val="001E44D2"/>
    <w:rsid w:val="001F14F2"/>
    <w:rsid w:val="001F279E"/>
    <w:rsid w:val="001F579D"/>
    <w:rsid w:val="0020628E"/>
    <w:rsid w:val="00206999"/>
    <w:rsid w:val="00213020"/>
    <w:rsid w:val="0022465E"/>
    <w:rsid w:val="00230DCB"/>
    <w:rsid w:val="00233E0E"/>
    <w:rsid w:val="00252697"/>
    <w:rsid w:val="00253531"/>
    <w:rsid w:val="00292E63"/>
    <w:rsid w:val="00293423"/>
    <w:rsid w:val="002963F2"/>
    <w:rsid w:val="002A1B14"/>
    <w:rsid w:val="002B743A"/>
    <w:rsid w:val="002C49F2"/>
    <w:rsid w:val="002F140D"/>
    <w:rsid w:val="003138CD"/>
    <w:rsid w:val="003158DE"/>
    <w:rsid w:val="00316428"/>
    <w:rsid w:val="0032368E"/>
    <w:rsid w:val="003255E6"/>
    <w:rsid w:val="003300CC"/>
    <w:rsid w:val="00337D03"/>
    <w:rsid w:val="00337EE5"/>
    <w:rsid w:val="003436BC"/>
    <w:rsid w:val="00344289"/>
    <w:rsid w:val="0034674E"/>
    <w:rsid w:val="0035230E"/>
    <w:rsid w:val="00354484"/>
    <w:rsid w:val="003545D1"/>
    <w:rsid w:val="00356F92"/>
    <w:rsid w:val="00362661"/>
    <w:rsid w:val="0037679F"/>
    <w:rsid w:val="003823A8"/>
    <w:rsid w:val="00397C1E"/>
    <w:rsid w:val="003A09E6"/>
    <w:rsid w:val="003A3103"/>
    <w:rsid w:val="003B01FB"/>
    <w:rsid w:val="003D0358"/>
    <w:rsid w:val="003E55E9"/>
    <w:rsid w:val="003E6092"/>
    <w:rsid w:val="003E66A3"/>
    <w:rsid w:val="003E7621"/>
    <w:rsid w:val="003F1E01"/>
    <w:rsid w:val="004235D9"/>
    <w:rsid w:val="00427D5D"/>
    <w:rsid w:val="00432C74"/>
    <w:rsid w:val="00434E45"/>
    <w:rsid w:val="00441F17"/>
    <w:rsid w:val="00453707"/>
    <w:rsid w:val="004607EA"/>
    <w:rsid w:val="004707D2"/>
    <w:rsid w:val="00471ED2"/>
    <w:rsid w:val="00476C96"/>
    <w:rsid w:val="004775EE"/>
    <w:rsid w:val="00481F99"/>
    <w:rsid w:val="00492F1D"/>
    <w:rsid w:val="004A0594"/>
    <w:rsid w:val="004A0D6B"/>
    <w:rsid w:val="004A7C1F"/>
    <w:rsid w:val="004A7C40"/>
    <w:rsid w:val="004A7DC8"/>
    <w:rsid w:val="004B0D64"/>
    <w:rsid w:val="004B24F9"/>
    <w:rsid w:val="004B7B79"/>
    <w:rsid w:val="004D1901"/>
    <w:rsid w:val="004D58FC"/>
    <w:rsid w:val="004D5AC3"/>
    <w:rsid w:val="004D5CB6"/>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733AE"/>
    <w:rsid w:val="005815FC"/>
    <w:rsid w:val="00582E7C"/>
    <w:rsid w:val="005A26F8"/>
    <w:rsid w:val="005A480E"/>
    <w:rsid w:val="005B03C2"/>
    <w:rsid w:val="005B1453"/>
    <w:rsid w:val="005B328D"/>
    <w:rsid w:val="005C5034"/>
    <w:rsid w:val="005D123F"/>
    <w:rsid w:val="005D3A0B"/>
    <w:rsid w:val="005E43D8"/>
    <w:rsid w:val="005E4792"/>
    <w:rsid w:val="005F16B3"/>
    <w:rsid w:val="005F4E27"/>
    <w:rsid w:val="005F71F0"/>
    <w:rsid w:val="00604C0B"/>
    <w:rsid w:val="00606010"/>
    <w:rsid w:val="006115F6"/>
    <w:rsid w:val="00621681"/>
    <w:rsid w:val="00622CAA"/>
    <w:rsid w:val="00626B0D"/>
    <w:rsid w:val="00630585"/>
    <w:rsid w:val="006311FC"/>
    <w:rsid w:val="00632039"/>
    <w:rsid w:val="006333BC"/>
    <w:rsid w:val="00660960"/>
    <w:rsid w:val="006635D2"/>
    <w:rsid w:val="00664471"/>
    <w:rsid w:val="00665D09"/>
    <w:rsid w:val="00681577"/>
    <w:rsid w:val="006815B1"/>
    <w:rsid w:val="00687753"/>
    <w:rsid w:val="00687C87"/>
    <w:rsid w:val="006909C8"/>
    <w:rsid w:val="006942FF"/>
    <w:rsid w:val="00694893"/>
    <w:rsid w:val="006A4FED"/>
    <w:rsid w:val="006B1729"/>
    <w:rsid w:val="006B3970"/>
    <w:rsid w:val="006B4923"/>
    <w:rsid w:val="006C4074"/>
    <w:rsid w:val="006C659A"/>
    <w:rsid w:val="006C7266"/>
    <w:rsid w:val="006C7574"/>
    <w:rsid w:val="006D5E6A"/>
    <w:rsid w:val="006E0464"/>
    <w:rsid w:val="006E42A5"/>
    <w:rsid w:val="006E4FCB"/>
    <w:rsid w:val="006E5C66"/>
    <w:rsid w:val="006E6992"/>
    <w:rsid w:val="006F0E4A"/>
    <w:rsid w:val="006F3293"/>
    <w:rsid w:val="0070433C"/>
    <w:rsid w:val="007115E1"/>
    <w:rsid w:val="00712087"/>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77C59"/>
    <w:rsid w:val="00781DFA"/>
    <w:rsid w:val="00782E08"/>
    <w:rsid w:val="00790A8A"/>
    <w:rsid w:val="007933D2"/>
    <w:rsid w:val="007C02CE"/>
    <w:rsid w:val="007C22F6"/>
    <w:rsid w:val="007C3EB8"/>
    <w:rsid w:val="007C50B2"/>
    <w:rsid w:val="007C741D"/>
    <w:rsid w:val="008000EB"/>
    <w:rsid w:val="00803FA2"/>
    <w:rsid w:val="008117C1"/>
    <w:rsid w:val="008134DA"/>
    <w:rsid w:val="00823E99"/>
    <w:rsid w:val="0084470A"/>
    <w:rsid w:val="00845DE7"/>
    <w:rsid w:val="00856E0D"/>
    <w:rsid w:val="00857F72"/>
    <w:rsid w:val="00866C0E"/>
    <w:rsid w:val="00867C56"/>
    <w:rsid w:val="00870B22"/>
    <w:rsid w:val="00874BB5"/>
    <w:rsid w:val="00876830"/>
    <w:rsid w:val="00895D5D"/>
    <w:rsid w:val="008A0193"/>
    <w:rsid w:val="008A3B7C"/>
    <w:rsid w:val="008B2C67"/>
    <w:rsid w:val="008C44DE"/>
    <w:rsid w:val="008E05E5"/>
    <w:rsid w:val="008E5A97"/>
    <w:rsid w:val="008F03B4"/>
    <w:rsid w:val="0090691D"/>
    <w:rsid w:val="0090721F"/>
    <w:rsid w:val="0091320F"/>
    <w:rsid w:val="009158FF"/>
    <w:rsid w:val="00915BDD"/>
    <w:rsid w:val="0092096B"/>
    <w:rsid w:val="009220C4"/>
    <w:rsid w:val="00922825"/>
    <w:rsid w:val="0092480B"/>
    <w:rsid w:val="00926702"/>
    <w:rsid w:val="00927979"/>
    <w:rsid w:val="00932BF3"/>
    <w:rsid w:val="00937A2D"/>
    <w:rsid w:val="00937F12"/>
    <w:rsid w:val="009419AD"/>
    <w:rsid w:val="00943245"/>
    <w:rsid w:val="0094528D"/>
    <w:rsid w:val="00960B05"/>
    <w:rsid w:val="00963D73"/>
    <w:rsid w:val="00976465"/>
    <w:rsid w:val="0098029E"/>
    <w:rsid w:val="0098263B"/>
    <w:rsid w:val="00982922"/>
    <w:rsid w:val="009861A0"/>
    <w:rsid w:val="00991233"/>
    <w:rsid w:val="00991982"/>
    <w:rsid w:val="009A37EC"/>
    <w:rsid w:val="009A699B"/>
    <w:rsid w:val="009A6EF3"/>
    <w:rsid w:val="009B14CD"/>
    <w:rsid w:val="009B7189"/>
    <w:rsid w:val="009C0135"/>
    <w:rsid w:val="009C4CF2"/>
    <w:rsid w:val="009D1C89"/>
    <w:rsid w:val="009D7A17"/>
    <w:rsid w:val="009E19A2"/>
    <w:rsid w:val="009E25C8"/>
    <w:rsid w:val="009E2781"/>
    <w:rsid w:val="009E3D67"/>
    <w:rsid w:val="009E47FF"/>
    <w:rsid w:val="009E7342"/>
    <w:rsid w:val="009F6110"/>
    <w:rsid w:val="009F7496"/>
    <w:rsid w:val="00A0064A"/>
    <w:rsid w:val="00A0267F"/>
    <w:rsid w:val="00A30228"/>
    <w:rsid w:val="00A31A55"/>
    <w:rsid w:val="00A3423A"/>
    <w:rsid w:val="00A35983"/>
    <w:rsid w:val="00A35F31"/>
    <w:rsid w:val="00A4407E"/>
    <w:rsid w:val="00A46C1C"/>
    <w:rsid w:val="00A639F5"/>
    <w:rsid w:val="00A669DF"/>
    <w:rsid w:val="00A761F1"/>
    <w:rsid w:val="00A8313A"/>
    <w:rsid w:val="00A850C8"/>
    <w:rsid w:val="00AA01BF"/>
    <w:rsid w:val="00AA0F85"/>
    <w:rsid w:val="00AA320E"/>
    <w:rsid w:val="00AA38D8"/>
    <w:rsid w:val="00AA56F4"/>
    <w:rsid w:val="00AA6BD5"/>
    <w:rsid w:val="00AB0184"/>
    <w:rsid w:val="00AB0A23"/>
    <w:rsid w:val="00AC1082"/>
    <w:rsid w:val="00AC7FB5"/>
    <w:rsid w:val="00AD0743"/>
    <w:rsid w:val="00AE1DE1"/>
    <w:rsid w:val="00AE1E1D"/>
    <w:rsid w:val="00AF0A7F"/>
    <w:rsid w:val="00AF1254"/>
    <w:rsid w:val="00AF348F"/>
    <w:rsid w:val="00AF730B"/>
    <w:rsid w:val="00B02F8D"/>
    <w:rsid w:val="00B049D6"/>
    <w:rsid w:val="00B06FAB"/>
    <w:rsid w:val="00B1365B"/>
    <w:rsid w:val="00B13EAB"/>
    <w:rsid w:val="00B167D6"/>
    <w:rsid w:val="00B21864"/>
    <w:rsid w:val="00B3435D"/>
    <w:rsid w:val="00B37A2F"/>
    <w:rsid w:val="00B40F3E"/>
    <w:rsid w:val="00B43617"/>
    <w:rsid w:val="00B44E4F"/>
    <w:rsid w:val="00B522B7"/>
    <w:rsid w:val="00B56A9E"/>
    <w:rsid w:val="00B65C5E"/>
    <w:rsid w:val="00B671B8"/>
    <w:rsid w:val="00B70F23"/>
    <w:rsid w:val="00B76BC6"/>
    <w:rsid w:val="00B80485"/>
    <w:rsid w:val="00BA7AC7"/>
    <w:rsid w:val="00BC0C0B"/>
    <w:rsid w:val="00BC40BD"/>
    <w:rsid w:val="00BC70A1"/>
    <w:rsid w:val="00BD0430"/>
    <w:rsid w:val="00BD120A"/>
    <w:rsid w:val="00BD666B"/>
    <w:rsid w:val="00BF52E8"/>
    <w:rsid w:val="00C0096A"/>
    <w:rsid w:val="00C01654"/>
    <w:rsid w:val="00C12D06"/>
    <w:rsid w:val="00C15CC0"/>
    <w:rsid w:val="00C27C87"/>
    <w:rsid w:val="00C30244"/>
    <w:rsid w:val="00C3055B"/>
    <w:rsid w:val="00C404CE"/>
    <w:rsid w:val="00C5180D"/>
    <w:rsid w:val="00C53AB0"/>
    <w:rsid w:val="00C53D1D"/>
    <w:rsid w:val="00C53E9E"/>
    <w:rsid w:val="00C57330"/>
    <w:rsid w:val="00C61FB2"/>
    <w:rsid w:val="00C6530D"/>
    <w:rsid w:val="00C72E08"/>
    <w:rsid w:val="00C76FD5"/>
    <w:rsid w:val="00C84C10"/>
    <w:rsid w:val="00C84C31"/>
    <w:rsid w:val="00C9321B"/>
    <w:rsid w:val="00C9460F"/>
    <w:rsid w:val="00C95195"/>
    <w:rsid w:val="00CB0006"/>
    <w:rsid w:val="00CB1DEF"/>
    <w:rsid w:val="00CC0F76"/>
    <w:rsid w:val="00CC3011"/>
    <w:rsid w:val="00CC73DA"/>
    <w:rsid w:val="00CD24C8"/>
    <w:rsid w:val="00CD4DCE"/>
    <w:rsid w:val="00CE24CE"/>
    <w:rsid w:val="00CE2F3E"/>
    <w:rsid w:val="00CE34F4"/>
    <w:rsid w:val="00CE5F16"/>
    <w:rsid w:val="00CF3F58"/>
    <w:rsid w:val="00D05E1F"/>
    <w:rsid w:val="00D13594"/>
    <w:rsid w:val="00D176E7"/>
    <w:rsid w:val="00D2411A"/>
    <w:rsid w:val="00D36CF5"/>
    <w:rsid w:val="00D4224E"/>
    <w:rsid w:val="00D43550"/>
    <w:rsid w:val="00D479A1"/>
    <w:rsid w:val="00D629CE"/>
    <w:rsid w:val="00D72F7E"/>
    <w:rsid w:val="00D75A8C"/>
    <w:rsid w:val="00D83CA2"/>
    <w:rsid w:val="00D83CC0"/>
    <w:rsid w:val="00D84553"/>
    <w:rsid w:val="00D8470E"/>
    <w:rsid w:val="00D955EB"/>
    <w:rsid w:val="00DA5E3E"/>
    <w:rsid w:val="00DB03C3"/>
    <w:rsid w:val="00DB1C4E"/>
    <w:rsid w:val="00DB7D95"/>
    <w:rsid w:val="00DD544D"/>
    <w:rsid w:val="00DD6F7C"/>
    <w:rsid w:val="00DE54DF"/>
    <w:rsid w:val="00DE5E4C"/>
    <w:rsid w:val="00DE7DDC"/>
    <w:rsid w:val="00DF1681"/>
    <w:rsid w:val="00DF4E76"/>
    <w:rsid w:val="00E107EC"/>
    <w:rsid w:val="00E11738"/>
    <w:rsid w:val="00E12957"/>
    <w:rsid w:val="00E16B17"/>
    <w:rsid w:val="00E27F91"/>
    <w:rsid w:val="00E27F99"/>
    <w:rsid w:val="00E31BD7"/>
    <w:rsid w:val="00E45D07"/>
    <w:rsid w:val="00E677C6"/>
    <w:rsid w:val="00E70687"/>
    <w:rsid w:val="00E710FC"/>
    <w:rsid w:val="00E75726"/>
    <w:rsid w:val="00E80533"/>
    <w:rsid w:val="00E85051"/>
    <w:rsid w:val="00E86CB7"/>
    <w:rsid w:val="00E928C6"/>
    <w:rsid w:val="00E93BE0"/>
    <w:rsid w:val="00EA0513"/>
    <w:rsid w:val="00EB1F3A"/>
    <w:rsid w:val="00EB3FCD"/>
    <w:rsid w:val="00EC0594"/>
    <w:rsid w:val="00EC57A0"/>
    <w:rsid w:val="00EC7121"/>
    <w:rsid w:val="00ED255F"/>
    <w:rsid w:val="00ED2BA1"/>
    <w:rsid w:val="00ED6D11"/>
    <w:rsid w:val="00EE19E1"/>
    <w:rsid w:val="00EE6AEE"/>
    <w:rsid w:val="00EF7340"/>
    <w:rsid w:val="00F00080"/>
    <w:rsid w:val="00F01837"/>
    <w:rsid w:val="00F01D21"/>
    <w:rsid w:val="00F03A68"/>
    <w:rsid w:val="00F04E6A"/>
    <w:rsid w:val="00F112C6"/>
    <w:rsid w:val="00F112E8"/>
    <w:rsid w:val="00F1499F"/>
    <w:rsid w:val="00F20815"/>
    <w:rsid w:val="00F210DC"/>
    <w:rsid w:val="00F2136A"/>
    <w:rsid w:val="00F256B7"/>
    <w:rsid w:val="00F309E8"/>
    <w:rsid w:val="00F313E2"/>
    <w:rsid w:val="00F33021"/>
    <w:rsid w:val="00F36975"/>
    <w:rsid w:val="00F467E3"/>
    <w:rsid w:val="00F47201"/>
    <w:rsid w:val="00F525B8"/>
    <w:rsid w:val="00F53D25"/>
    <w:rsid w:val="00F63022"/>
    <w:rsid w:val="00F63F85"/>
    <w:rsid w:val="00F64816"/>
    <w:rsid w:val="00F73354"/>
    <w:rsid w:val="00F761B9"/>
    <w:rsid w:val="00F97E07"/>
    <w:rsid w:val="00FA092E"/>
    <w:rsid w:val="00FA63B5"/>
    <w:rsid w:val="00FA6D58"/>
    <w:rsid w:val="00FD52D3"/>
    <w:rsid w:val="00FE72DF"/>
    <w:rsid w:val="00FF2F91"/>
    <w:rsid w:val="02B47C4D"/>
    <w:rsid w:val="03C00B8B"/>
    <w:rsid w:val="04450729"/>
    <w:rsid w:val="044A5297"/>
    <w:rsid w:val="04D46768"/>
    <w:rsid w:val="04F90B5F"/>
    <w:rsid w:val="053A1CC8"/>
    <w:rsid w:val="06856661"/>
    <w:rsid w:val="06F878F3"/>
    <w:rsid w:val="077B4608"/>
    <w:rsid w:val="07BB74B6"/>
    <w:rsid w:val="07D7576E"/>
    <w:rsid w:val="08493DEA"/>
    <w:rsid w:val="086329D2"/>
    <w:rsid w:val="086E4EC9"/>
    <w:rsid w:val="0A2B67A6"/>
    <w:rsid w:val="0B734A64"/>
    <w:rsid w:val="0CDE01F2"/>
    <w:rsid w:val="0D15073F"/>
    <w:rsid w:val="0DD201F4"/>
    <w:rsid w:val="0E0950A0"/>
    <w:rsid w:val="0EB52604"/>
    <w:rsid w:val="0F4526B6"/>
    <w:rsid w:val="10091618"/>
    <w:rsid w:val="1069089E"/>
    <w:rsid w:val="12B6043C"/>
    <w:rsid w:val="14064B27"/>
    <w:rsid w:val="152B64B8"/>
    <w:rsid w:val="15740DA4"/>
    <w:rsid w:val="16F75359"/>
    <w:rsid w:val="19410B0E"/>
    <w:rsid w:val="195A6BC0"/>
    <w:rsid w:val="1AD9097B"/>
    <w:rsid w:val="1C5670DA"/>
    <w:rsid w:val="1CCB1486"/>
    <w:rsid w:val="1DD338E7"/>
    <w:rsid w:val="1F7074E6"/>
    <w:rsid w:val="227A4EED"/>
    <w:rsid w:val="228D0750"/>
    <w:rsid w:val="235E4C74"/>
    <w:rsid w:val="23FE4289"/>
    <w:rsid w:val="24514C80"/>
    <w:rsid w:val="2468416E"/>
    <w:rsid w:val="24786106"/>
    <w:rsid w:val="25A5748F"/>
    <w:rsid w:val="25BE1EBF"/>
    <w:rsid w:val="25D85A3C"/>
    <w:rsid w:val="267E19B6"/>
    <w:rsid w:val="26B50F2D"/>
    <w:rsid w:val="26E95967"/>
    <w:rsid w:val="275A6EE0"/>
    <w:rsid w:val="283E36F2"/>
    <w:rsid w:val="29944E53"/>
    <w:rsid w:val="2A1D36D7"/>
    <w:rsid w:val="2A6B5EDE"/>
    <w:rsid w:val="2B9E3425"/>
    <w:rsid w:val="2BD84FDD"/>
    <w:rsid w:val="2BFA4386"/>
    <w:rsid w:val="2CC674D5"/>
    <w:rsid w:val="2CD73EA3"/>
    <w:rsid w:val="2D346784"/>
    <w:rsid w:val="2D845ED0"/>
    <w:rsid w:val="2DEB6E54"/>
    <w:rsid w:val="2E773FAF"/>
    <w:rsid w:val="2E8B5A44"/>
    <w:rsid w:val="2EAB6E76"/>
    <w:rsid w:val="2F3E25B3"/>
    <w:rsid w:val="300E04CA"/>
    <w:rsid w:val="30381F4F"/>
    <w:rsid w:val="323445E9"/>
    <w:rsid w:val="34A05B77"/>
    <w:rsid w:val="35982BA3"/>
    <w:rsid w:val="35A116A2"/>
    <w:rsid w:val="361D4C9C"/>
    <w:rsid w:val="37097428"/>
    <w:rsid w:val="378C4C32"/>
    <w:rsid w:val="38AC36F6"/>
    <w:rsid w:val="3AAD7F79"/>
    <w:rsid w:val="3B687265"/>
    <w:rsid w:val="3B991A52"/>
    <w:rsid w:val="3BB26AC4"/>
    <w:rsid w:val="3C35255B"/>
    <w:rsid w:val="3C84453B"/>
    <w:rsid w:val="3CD55128"/>
    <w:rsid w:val="3D3679ED"/>
    <w:rsid w:val="3EE00B5B"/>
    <w:rsid w:val="408D7227"/>
    <w:rsid w:val="40CB28E7"/>
    <w:rsid w:val="41407E51"/>
    <w:rsid w:val="414262A4"/>
    <w:rsid w:val="416718EC"/>
    <w:rsid w:val="439D7A21"/>
    <w:rsid w:val="43C22CFA"/>
    <w:rsid w:val="43D97719"/>
    <w:rsid w:val="43DF6938"/>
    <w:rsid w:val="447267E8"/>
    <w:rsid w:val="44E431E5"/>
    <w:rsid w:val="46B30DE6"/>
    <w:rsid w:val="492A4A83"/>
    <w:rsid w:val="495C1F5C"/>
    <w:rsid w:val="4AF77150"/>
    <w:rsid w:val="4B8B03E4"/>
    <w:rsid w:val="4D9A3F67"/>
    <w:rsid w:val="4DDF67CC"/>
    <w:rsid w:val="4E272A07"/>
    <w:rsid w:val="4EE12BFB"/>
    <w:rsid w:val="50FA6A61"/>
    <w:rsid w:val="51794BC1"/>
    <w:rsid w:val="524D7654"/>
    <w:rsid w:val="53D25371"/>
    <w:rsid w:val="53E7436C"/>
    <w:rsid w:val="540F1FD2"/>
    <w:rsid w:val="561F6663"/>
    <w:rsid w:val="57315BF2"/>
    <w:rsid w:val="573B3AD1"/>
    <w:rsid w:val="57594B93"/>
    <w:rsid w:val="57AA0F2E"/>
    <w:rsid w:val="57E20B0F"/>
    <w:rsid w:val="57E73733"/>
    <w:rsid w:val="594A6990"/>
    <w:rsid w:val="5A2E0F40"/>
    <w:rsid w:val="5A3323F9"/>
    <w:rsid w:val="5A897139"/>
    <w:rsid w:val="5C9A63B5"/>
    <w:rsid w:val="5C9B2386"/>
    <w:rsid w:val="5CA86B90"/>
    <w:rsid w:val="5E8307E5"/>
    <w:rsid w:val="5EDB5839"/>
    <w:rsid w:val="60475C3F"/>
    <w:rsid w:val="60785544"/>
    <w:rsid w:val="60A60070"/>
    <w:rsid w:val="618D3417"/>
    <w:rsid w:val="61A26997"/>
    <w:rsid w:val="622C21AB"/>
    <w:rsid w:val="62D00ABF"/>
    <w:rsid w:val="640C25AF"/>
    <w:rsid w:val="64C926DF"/>
    <w:rsid w:val="6541126B"/>
    <w:rsid w:val="6613173B"/>
    <w:rsid w:val="681F0814"/>
    <w:rsid w:val="6834507D"/>
    <w:rsid w:val="683A303D"/>
    <w:rsid w:val="68E5359A"/>
    <w:rsid w:val="68E97B63"/>
    <w:rsid w:val="6A2178BD"/>
    <w:rsid w:val="6A5B2F9C"/>
    <w:rsid w:val="6B1E605C"/>
    <w:rsid w:val="6B5C220A"/>
    <w:rsid w:val="6C5E0507"/>
    <w:rsid w:val="6C6B5505"/>
    <w:rsid w:val="6DF67C63"/>
    <w:rsid w:val="6E3F209B"/>
    <w:rsid w:val="6F0C4369"/>
    <w:rsid w:val="6F795A80"/>
    <w:rsid w:val="6F8D7D7D"/>
    <w:rsid w:val="723F4B69"/>
    <w:rsid w:val="725336E8"/>
    <w:rsid w:val="7315327A"/>
    <w:rsid w:val="74783A1C"/>
    <w:rsid w:val="747C4F92"/>
    <w:rsid w:val="74AB354D"/>
    <w:rsid w:val="74B05132"/>
    <w:rsid w:val="76C52AAF"/>
    <w:rsid w:val="76E063E5"/>
    <w:rsid w:val="772A35DE"/>
    <w:rsid w:val="781B5752"/>
    <w:rsid w:val="78C20D4E"/>
    <w:rsid w:val="79476440"/>
    <w:rsid w:val="798425C1"/>
    <w:rsid w:val="79A35F22"/>
    <w:rsid w:val="79BF662E"/>
    <w:rsid w:val="7A751935"/>
    <w:rsid w:val="7B2952F2"/>
    <w:rsid w:val="7CF46BD3"/>
    <w:rsid w:val="7CF858E0"/>
    <w:rsid w:val="7E594C49"/>
    <w:rsid w:val="7EE54F63"/>
    <w:rsid w:val="7F73766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7"/>
    <w:unhideWhenUsed/>
    <w:qFormat/>
    <w:uiPriority w:val="99"/>
    <w:pPr>
      <w:jc w:val="left"/>
    </w:pPr>
  </w:style>
  <w:style w:type="paragraph" w:styleId="5">
    <w:name w:val="Body Text Indent"/>
    <w:basedOn w:val="1"/>
    <w:link w:val="39"/>
    <w:semiHidden/>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3"/>
    <w:semiHidden/>
    <w:unhideWhenUsed/>
    <w:qFormat/>
    <w:uiPriority w:val="99"/>
    <w:rPr>
      <w:b/>
      <w:bCs/>
    </w:rPr>
  </w:style>
  <w:style w:type="paragraph" w:styleId="16">
    <w:name w:val="Body Text First Indent 2"/>
    <w:basedOn w:val="5"/>
    <w:link w:val="40"/>
    <w:semiHidden/>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0"/>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4"/>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正文文本缩进 字符"/>
    <w:basedOn w:val="19"/>
    <w:link w:val="5"/>
    <w:semiHidden/>
    <w:qFormat/>
    <w:uiPriority w:val="99"/>
    <w:rPr>
      <w:kern w:val="2"/>
      <w:sz w:val="21"/>
      <w:szCs w:val="24"/>
    </w:rPr>
  </w:style>
  <w:style w:type="character" w:customStyle="1" w:styleId="40">
    <w:name w:val="正文文本首行缩进 2 字符"/>
    <w:basedOn w:val="39"/>
    <w:link w:val="16"/>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61131-2D42-45E4-AC00-E549EB0ECF5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3036</Words>
  <Characters>17307</Characters>
  <Lines>144</Lines>
  <Paragraphs>40</Paragraphs>
  <TotalTime>34</TotalTime>
  <ScaleCrop>false</ScaleCrop>
  <LinksUpToDate>false</LinksUpToDate>
  <CharactersWithSpaces>20303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2023-12-06T08:55:00Z</dcterms:created>
  <dc:creator>Tony Young</dc:creator>
  <cp:lastModifiedBy>lxh</cp:lastModifiedBy>
  <cp:lastPrinted>2023-12-12T09:19:00Z</cp:lastPrinted>
  <dcterms:modified xsi:type="dcterms:W3CDTF">2023-12-18T02:24:39Z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