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项目名称：</w:t>
      </w:r>
      <w:bookmarkStart w:id="0" w:name="_Hlk116548958"/>
      <w:r>
        <w:rPr>
          <w:rFonts w:hint="eastAsia" w:ascii="宋体" w:hAnsi="宋体" w:eastAsia="宋体" w:cs="宋体"/>
          <w:b/>
          <w:sz w:val="32"/>
          <w:szCs w:val="32"/>
          <w:lang w:val="en-US" w:eastAsia="zh-CN"/>
        </w:rPr>
        <w:t>深圳会展中心</w:t>
      </w:r>
      <w:r>
        <w:rPr>
          <w:rFonts w:hint="eastAsia" w:ascii="宋体" w:hAnsi="宋体" w:eastAsia="宋体" w:cs="宋体"/>
          <w:b/>
          <w:bCs/>
          <w:sz w:val="32"/>
          <w:szCs w:val="32"/>
          <w:lang w:val="en-US" w:eastAsia="zh-CN"/>
        </w:rPr>
        <w:t>CIS信息管理系统开发及运维</w:t>
      </w:r>
      <w:r>
        <w:rPr>
          <w:rFonts w:hint="eastAsia" w:ascii="宋体" w:hAnsi="宋体" w:eastAsia="宋体" w:cs="宋体"/>
          <w:b/>
          <w:sz w:val="32"/>
          <w:szCs w:val="32"/>
        </w:rPr>
        <w:t>项目</w:t>
      </w:r>
      <w:bookmarkEnd w:id="0"/>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0"/>
          <w:szCs w:val="30"/>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0"/>
          <w:szCs w:val="30"/>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0"/>
          <w:szCs w:val="30"/>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0"/>
          <w:szCs w:val="30"/>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0"/>
          <w:szCs w:val="30"/>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0"/>
          <w:szCs w:val="30"/>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0"/>
          <w:szCs w:val="30"/>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0"/>
          <w:szCs w:val="30"/>
          <w:highlight w:val="green"/>
          <w14:textFill>
            <w14:solidFill>
              <w14:schemeClr w14:val="tx1">
                <w14:lumMod w14:val="95000"/>
                <w14:lumOff w14:val="5000"/>
              </w14:schemeClr>
            </w14:solidFill>
          </w14:textFill>
        </w:rPr>
      </w:pPr>
    </w:p>
    <w:p>
      <w:pPr>
        <w:jc w:val="center"/>
        <w:rPr>
          <w:rFonts w:ascii="方正小标宋_GBK" w:hAnsi="方正小标宋_GBK" w:eastAsia="方正小标宋_GBK"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3</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12</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8"/>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8"/>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18"/>
          <w:rFonts w:ascii="宋体" w:hAnsi="宋体"/>
          <w:b/>
        </w:rPr>
        <w:t>第一部分 项目要求</w:t>
      </w:r>
      <w:r>
        <w:tab/>
      </w:r>
      <w:r>
        <w:fldChar w:fldCharType="begin"/>
      </w:r>
      <w:r>
        <w:instrText xml:space="preserve"> PAGEREF _Toc116550344 \h </w:instrText>
      </w:r>
      <w:r>
        <w:fldChar w:fldCharType="separate"/>
      </w:r>
      <w:r>
        <w:t>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18"/>
          <w:rFonts w:ascii="宋体" w:hAnsi="宋体" w:cs="仿宋"/>
          <w:bCs/>
        </w:rPr>
        <w:t>一、</w:t>
      </w:r>
      <w:r>
        <w:rPr>
          <w:rStyle w:val="18"/>
          <w:rFonts w:ascii="宋体" w:hAnsi="宋体"/>
        </w:rPr>
        <w:t xml:space="preserve"> 投标人须知</w:t>
      </w:r>
      <w:r>
        <w:tab/>
      </w:r>
      <w:r>
        <w:fldChar w:fldCharType="begin"/>
      </w:r>
      <w:r>
        <w:instrText xml:space="preserve"> PAGEREF _Toc116550345 \h </w:instrText>
      </w:r>
      <w:r>
        <w:fldChar w:fldCharType="separate"/>
      </w:r>
      <w:r>
        <w:t>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18"/>
          <w:rFonts w:ascii="宋体" w:hAnsi="宋体" w:cs="仿宋"/>
          <w:bCs/>
        </w:rPr>
        <w:t>二、</w:t>
      </w:r>
      <w:r>
        <w:rPr>
          <w:rStyle w:val="18"/>
          <w:rFonts w:ascii="宋体" w:hAnsi="宋体"/>
        </w:rPr>
        <w:t xml:space="preserve"> 特别说明</w:t>
      </w:r>
      <w:r>
        <w:tab/>
      </w:r>
      <w:r>
        <w:fldChar w:fldCharType="begin"/>
      </w:r>
      <w:r>
        <w:instrText xml:space="preserve"> PAGEREF _Toc116550346 \h </w:instrText>
      </w:r>
      <w:r>
        <w:fldChar w:fldCharType="separate"/>
      </w:r>
      <w:r>
        <w:t>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18"/>
          <w:rFonts w:ascii="宋体" w:hAnsi="宋体" w:cs="仿宋"/>
          <w:bCs/>
        </w:rPr>
        <w:t>三、</w:t>
      </w:r>
      <w:r>
        <w:rPr>
          <w:rStyle w:val="18"/>
          <w:rFonts w:ascii="宋体" w:hAnsi="宋体"/>
        </w:rPr>
        <w:t xml:space="preserve"> 投标文件编制</w:t>
      </w:r>
      <w:r>
        <w:tab/>
      </w:r>
      <w:r>
        <w:fldChar w:fldCharType="begin"/>
      </w:r>
      <w:r>
        <w:instrText xml:space="preserve"> PAGEREF _Toc116550347 \h </w:instrText>
      </w:r>
      <w:r>
        <w:fldChar w:fldCharType="separate"/>
      </w:r>
      <w:r>
        <w:t>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18"/>
          <w:rFonts w:ascii="宋体" w:hAnsi="宋体" w:cs="仿宋"/>
          <w:bCs/>
        </w:rPr>
        <w:t>四、</w:t>
      </w:r>
      <w:r>
        <w:rPr>
          <w:rStyle w:val="18"/>
          <w:rFonts w:ascii="宋体" w:hAnsi="宋体"/>
        </w:rPr>
        <w:t xml:space="preserve"> 项目要求</w:t>
      </w:r>
      <w:r>
        <w:tab/>
      </w:r>
      <w:r>
        <w:fldChar w:fldCharType="begin"/>
      </w:r>
      <w:r>
        <w:instrText xml:space="preserve"> PAGEREF _Toc116550348 \h </w:instrText>
      </w:r>
      <w:r>
        <w:fldChar w:fldCharType="separate"/>
      </w:r>
      <w:r>
        <w:t>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18"/>
          <w:rFonts w:ascii="宋体" w:hAnsi="宋体" w:cs="仿宋"/>
          <w:bCs/>
        </w:rPr>
        <w:t>五、</w:t>
      </w:r>
      <w:r>
        <w:rPr>
          <w:rStyle w:val="18"/>
          <w:rFonts w:ascii="宋体" w:hAnsi="宋体"/>
        </w:rPr>
        <w:t xml:space="preserve"> 其他项目说明资料</w:t>
      </w:r>
      <w:r>
        <w:tab/>
      </w:r>
      <w:r>
        <w:fldChar w:fldCharType="begin"/>
      </w:r>
      <w:r>
        <w:instrText xml:space="preserve"> PAGEREF _Toc116550349 \h </w:instrText>
      </w:r>
      <w:r>
        <w:fldChar w:fldCharType="separate"/>
      </w:r>
      <w:r>
        <w:t>5</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18"/>
          <w:rFonts w:ascii="宋体" w:hAnsi="宋体"/>
          <w:b/>
        </w:rPr>
        <w:t>第二部分：开标评标流程</w:t>
      </w:r>
      <w:r>
        <w:tab/>
      </w:r>
      <w:r>
        <w:fldChar w:fldCharType="begin"/>
      </w:r>
      <w:r>
        <w:instrText xml:space="preserve"> PAGEREF _Toc116550350 \h </w:instrText>
      </w:r>
      <w:r>
        <w:fldChar w:fldCharType="separate"/>
      </w:r>
      <w:r>
        <w:t>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18"/>
          <w:rFonts w:ascii="宋体" w:hAnsi="宋体" w:cs="仿宋"/>
          <w:bCs/>
        </w:rPr>
        <w:t>六、</w:t>
      </w:r>
      <w:r>
        <w:rPr>
          <w:rStyle w:val="18"/>
        </w:rPr>
        <w:t xml:space="preserve"> 开标阶段</w:t>
      </w:r>
      <w:r>
        <w:tab/>
      </w:r>
      <w:r>
        <w:fldChar w:fldCharType="begin"/>
      </w:r>
      <w:r>
        <w:instrText xml:space="preserve"> PAGEREF _Toc116550351 \h </w:instrText>
      </w:r>
      <w:r>
        <w:fldChar w:fldCharType="separate"/>
      </w:r>
      <w:r>
        <w:t>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18"/>
          <w:rFonts w:ascii="宋体" w:hAnsi="宋体" w:cs="仿宋"/>
          <w:bCs/>
        </w:rPr>
        <w:t>七、</w:t>
      </w:r>
      <w:r>
        <w:rPr>
          <w:rStyle w:val="18"/>
        </w:rPr>
        <w:t xml:space="preserve"> 评标阶段</w:t>
      </w:r>
      <w:r>
        <w:tab/>
      </w:r>
      <w:r>
        <w:fldChar w:fldCharType="begin"/>
      </w:r>
      <w:r>
        <w:instrText xml:space="preserve"> PAGEREF _Toc116550352 \h </w:instrText>
      </w:r>
      <w:r>
        <w:fldChar w:fldCharType="separate"/>
      </w:r>
      <w:r>
        <w:t>6</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18"/>
          <w:rFonts w:ascii="宋体" w:hAnsi="宋体"/>
          <w:b/>
        </w:rPr>
        <w:t>第三部分：评审办法</w:t>
      </w:r>
      <w:r>
        <w:tab/>
      </w:r>
      <w:r>
        <w:fldChar w:fldCharType="begin"/>
      </w:r>
      <w:r>
        <w:instrText xml:space="preserve"> PAGEREF _Toc116550353 \h </w:instrText>
      </w:r>
      <w:r>
        <w:fldChar w:fldCharType="separate"/>
      </w:r>
      <w:r>
        <w:t>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18"/>
          <w:rFonts w:ascii="宋体" w:hAnsi="宋体" w:cs="仿宋"/>
          <w:bCs/>
        </w:rPr>
        <w:t>八、</w:t>
      </w:r>
      <w:r>
        <w:rPr>
          <w:rStyle w:val="18"/>
          <w:rFonts w:ascii="宋体" w:hAnsi="宋体"/>
          <w:bCs/>
        </w:rPr>
        <w:t xml:space="preserve"> 评审办法</w:t>
      </w:r>
      <w:r>
        <w:tab/>
      </w:r>
      <w:r>
        <w:fldChar w:fldCharType="begin"/>
      </w:r>
      <w:r>
        <w:instrText xml:space="preserve"> PAGEREF _Toc116550354 \h </w:instrText>
      </w:r>
      <w:r>
        <w:fldChar w:fldCharType="separate"/>
      </w:r>
      <w:r>
        <w:t>7</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18"/>
          <w:rFonts w:ascii="宋体" w:hAnsi="宋体"/>
        </w:rPr>
        <w:t>（一）</w:t>
      </w:r>
      <w:r>
        <w:rPr>
          <w:rFonts w:asciiTheme="minorHAnsi" w:hAnsiTheme="minorHAnsi" w:eastAsiaTheme="minorEastAsia" w:cstheme="minorBidi"/>
          <w:szCs w:val="22"/>
        </w:rPr>
        <w:tab/>
      </w:r>
      <w:r>
        <w:rPr>
          <w:rStyle w:val="18"/>
          <w:rFonts w:ascii="宋体" w:hAnsi="宋体"/>
          <w:bCs/>
        </w:rPr>
        <w:t>符合性检查</w:t>
      </w:r>
      <w:r>
        <w:tab/>
      </w:r>
      <w:r>
        <w:fldChar w:fldCharType="begin"/>
      </w:r>
      <w:r>
        <w:instrText xml:space="preserve"> PAGEREF _Toc116550355 \h </w:instrText>
      </w:r>
      <w:r>
        <w:fldChar w:fldCharType="separate"/>
      </w:r>
      <w:r>
        <w:t>7</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18"/>
          <w:rFonts w:ascii="宋体" w:hAnsi="宋体"/>
          <w:bCs/>
        </w:rPr>
        <w:t>（二）</w:t>
      </w:r>
      <w:r>
        <w:rPr>
          <w:rFonts w:asciiTheme="minorHAnsi" w:hAnsiTheme="minorHAnsi" w:eastAsiaTheme="minorEastAsia" w:cstheme="minorBidi"/>
          <w:szCs w:val="22"/>
        </w:rPr>
        <w:tab/>
      </w:r>
      <w:r>
        <w:rPr>
          <w:rStyle w:val="18"/>
          <w:rFonts w:ascii="宋体" w:hAnsi="宋体"/>
          <w:bCs/>
        </w:rPr>
        <w:t>不可偏离项检查</w:t>
      </w:r>
      <w:r>
        <w:tab/>
      </w:r>
      <w:r>
        <w:fldChar w:fldCharType="begin"/>
      </w:r>
      <w:r>
        <w:instrText xml:space="preserve"> PAGEREF _Toc116550356 \h </w:instrText>
      </w:r>
      <w:r>
        <w:fldChar w:fldCharType="separate"/>
      </w:r>
      <w:r>
        <w:t>7</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18"/>
          <w:rFonts w:ascii="宋体" w:hAnsi="宋体"/>
          <w:bCs/>
        </w:rPr>
        <w:t>（三）</w:t>
      </w:r>
      <w:r>
        <w:rPr>
          <w:rFonts w:asciiTheme="minorHAnsi" w:hAnsiTheme="minorHAnsi" w:eastAsiaTheme="minorEastAsia" w:cstheme="minorBidi"/>
          <w:szCs w:val="22"/>
        </w:rPr>
        <w:tab/>
      </w:r>
      <w:r>
        <w:rPr>
          <w:rStyle w:val="18"/>
          <w:rFonts w:ascii="宋体" w:hAnsi="宋体"/>
          <w:bCs/>
        </w:rPr>
        <w:t>综合评议指标表</w:t>
      </w:r>
      <w:r>
        <w:tab/>
      </w:r>
      <w:r>
        <w:fldChar w:fldCharType="begin"/>
      </w:r>
      <w:r>
        <w:instrText xml:space="preserve"> PAGEREF _Toc116550357 \h </w:instrText>
      </w:r>
      <w:r>
        <w:fldChar w:fldCharType="separate"/>
      </w:r>
      <w:r>
        <w:t>7</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"_Toc116550358" </w:instrText>
      </w:r>
      <w:r>
        <w:fldChar w:fldCharType="separate"/>
      </w:r>
      <w:r>
        <w:rPr>
          <w:rStyle w:val="18"/>
          <w:rFonts w:ascii="宋体" w:hAnsi="宋体"/>
          <w:b/>
        </w:rPr>
        <w:t>第四部分：合同条款及格式</w:t>
      </w:r>
      <w:r>
        <w:tab/>
      </w:r>
      <w:r>
        <w:fldChar w:fldCharType="begin"/>
      </w:r>
      <w:r>
        <w:instrText xml:space="preserve"> PAGEREF _Toc116550358 \h </w:instrText>
      </w:r>
      <w:r>
        <w:fldChar w:fldCharType="separate"/>
      </w:r>
      <w:r>
        <w:t>10</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"_Toc116550359" </w:instrText>
      </w:r>
      <w:r>
        <w:fldChar w:fldCharType="separate"/>
      </w:r>
      <w:r>
        <w:rPr>
          <w:rStyle w:val="18"/>
          <w:b/>
        </w:rPr>
        <w:t>第五部分：参考附件</w:t>
      </w:r>
      <w:r>
        <w:tab/>
      </w:r>
      <w:r>
        <w:fldChar w:fldCharType="begin"/>
      </w:r>
      <w:r>
        <w:instrText xml:space="preserve"> PAGEREF _Toc116550359 \h </w:instrText>
      </w:r>
      <w:r>
        <w:fldChar w:fldCharType="separate"/>
      </w:r>
      <w:r>
        <w:t>16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18"/>
          <w:rFonts w:ascii="宋体" w:hAnsi="宋体"/>
        </w:rPr>
        <w:t>附件1：报名回函</w:t>
      </w:r>
      <w:r>
        <w:tab/>
      </w:r>
      <w:r>
        <w:fldChar w:fldCharType="begin"/>
      </w:r>
      <w:r>
        <w:instrText xml:space="preserve"> PAGEREF _Toc116550360 \h </w:instrText>
      </w:r>
      <w:r>
        <w:fldChar w:fldCharType="separate"/>
      </w:r>
      <w:r>
        <w:t>16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18"/>
          <w:rFonts w:ascii="宋体" w:hAnsi="宋体"/>
        </w:rPr>
        <w:t>附件2：投标函</w:t>
      </w:r>
      <w:r>
        <w:tab/>
      </w:r>
      <w:r>
        <w:fldChar w:fldCharType="begin"/>
      </w:r>
      <w:r>
        <w:instrText xml:space="preserve"> PAGEREF _Toc116550361 \h </w:instrText>
      </w:r>
      <w:r>
        <w:fldChar w:fldCharType="separate"/>
      </w:r>
      <w:r>
        <w:t>17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18"/>
          <w:rFonts w:ascii="宋体" w:hAnsi="宋体"/>
        </w:rPr>
        <w:t>附件3：投标一览表</w:t>
      </w:r>
      <w:r>
        <w:tab/>
      </w:r>
      <w:r>
        <w:fldChar w:fldCharType="begin"/>
      </w:r>
      <w:r>
        <w:instrText xml:space="preserve"> PAGEREF _Toc116550362 \h </w:instrText>
      </w:r>
      <w:r>
        <w:fldChar w:fldCharType="separate"/>
      </w:r>
      <w:r>
        <w:t>18</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18"/>
          <w:rFonts w:ascii="宋体" w:hAnsi="宋体"/>
        </w:rPr>
        <w:t>附件4：考察证明（本项目不适用）</w:t>
      </w:r>
      <w:r>
        <w:tab/>
      </w:r>
      <w:r>
        <w:fldChar w:fldCharType="begin"/>
      </w:r>
      <w:r>
        <w:instrText xml:space="preserve"> PAGEREF _Toc116550363 \h </w:instrText>
      </w:r>
      <w:r>
        <w:fldChar w:fldCharType="separate"/>
      </w:r>
      <w:r>
        <w:t>19</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18"/>
          <w:rFonts w:ascii="宋体" w:hAnsi="宋体"/>
        </w:rPr>
        <w:t>附件5：技术服务响应/偏离表</w:t>
      </w:r>
      <w:r>
        <w:tab/>
      </w:r>
      <w:r>
        <w:fldChar w:fldCharType="begin"/>
      </w:r>
      <w:r>
        <w:instrText xml:space="preserve"> PAGEREF _Toc116550364 \h </w:instrText>
      </w:r>
      <w:r>
        <w:fldChar w:fldCharType="separate"/>
      </w:r>
      <w:r>
        <w:t>20</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18"/>
          <w:rFonts w:ascii="宋体" w:hAnsi="宋体"/>
        </w:rPr>
        <w:t>附件6：商务条款响应/偏离表</w:t>
      </w:r>
      <w:r>
        <w:tab/>
      </w:r>
      <w:r>
        <w:fldChar w:fldCharType="begin"/>
      </w:r>
      <w:r>
        <w:instrText xml:space="preserve"> PAGEREF _Toc116550365 \h </w:instrText>
      </w:r>
      <w:r>
        <w:fldChar w:fldCharType="separate"/>
      </w:r>
      <w:r>
        <w:t>21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18"/>
          <w:rFonts w:ascii="宋体" w:hAnsi="宋体"/>
        </w:rPr>
        <w:t>附件7：报价一览表（货物）（本项目不适用）</w:t>
      </w:r>
      <w:r>
        <w:tab/>
      </w:r>
      <w:r>
        <w:fldChar w:fldCharType="begin"/>
      </w:r>
      <w:r>
        <w:instrText xml:space="preserve"> PAGEREF _Toc116550366 \h </w:instrText>
      </w:r>
      <w:r>
        <w:fldChar w:fldCharType="separate"/>
      </w:r>
      <w:r>
        <w:t>22</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18"/>
          <w:rFonts w:ascii="宋体" w:hAnsi="宋体"/>
        </w:rPr>
        <w:t>附件8：报价一览表（服务）</w:t>
      </w:r>
      <w:r>
        <w:tab/>
      </w:r>
      <w:r>
        <w:fldChar w:fldCharType="begin"/>
      </w:r>
      <w:r>
        <w:instrText xml:space="preserve"> PAGEREF _Toc116550367 \h </w:instrText>
      </w:r>
      <w:r>
        <w:fldChar w:fldCharType="separate"/>
      </w:r>
      <w:r>
        <w:t>23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18"/>
          <w:rFonts w:ascii="宋体" w:hAnsi="宋体"/>
        </w:rPr>
        <w:t>附件9：报价一览表（工程）（本项目不适用）</w:t>
      </w:r>
      <w:r>
        <w:tab/>
      </w:r>
      <w:r>
        <w:fldChar w:fldCharType="begin"/>
      </w:r>
      <w:r>
        <w:instrText xml:space="preserve"> PAGEREF _Toc116550368 \h </w:instrText>
      </w:r>
      <w:r>
        <w:fldChar w:fldCharType="separate"/>
      </w:r>
      <w:r>
        <w:t>24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18"/>
          <w:rFonts w:ascii="宋体" w:hAnsi="宋体"/>
        </w:rPr>
        <w:t>附件10：法定代表人证明书</w:t>
      </w:r>
      <w:r>
        <w:tab/>
      </w:r>
      <w:r>
        <w:fldChar w:fldCharType="begin"/>
      </w:r>
      <w:r>
        <w:instrText xml:space="preserve"> PAGEREF _Toc116550369 \h </w:instrText>
      </w:r>
      <w:r>
        <w:fldChar w:fldCharType="separate"/>
      </w:r>
      <w:r>
        <w:t>25</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18"/>
          <w:rFonts w:ascii="宋体" w:hAnsi="宋体"/>
        </w:rPr>
        <w:t>附件11：法人授权委托证明书</w:t>
      </w:r>
      <w:r>
        <w:tab/>
      </w:r>
      <w:r>
        <w:fldChar w:fldCharType="begin"/>
      </w:r>
      <w:r>
        <w:instrText xml:space="preserve"> PAGEREF _Toc116550370 \h </w:instrText>
      </w:r>
      <w:r>
        <w:fldChar w:fldCharType="separate"/>
      </w:r>
      <w:r>
        <w:t>26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18"/>
          <w:rFonts w:ascii="宋体" w:hAnsi="宋体"/>
        </w:rPr>
        <w:t>附件12：经营业绩一览表</w:t>
      </w:r>
      <w:r>
        <w:tab/>
      </w:r>
      <w:r>
        <w:fldChar w:fldCharType="begin"/>
      </w:r>
      <w:r>
        <w:instrText xml:space="preserve"> PAGEREF _Toc116550371 \h </w:instrText>
      </w:r>
      <w:r>
        <w:fldChar w:fldCharType="separate"/>
      </w:r>
      <w:r>
        <w:t>27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18"/>
          <w:rFonts w:ascii="宋体" w:hAnsi="宋体"/>
        </w:rPr>
        <w:t>附件13：售后服务承诺书（质量保证服务承诺书）</w:t>
      </w:r>
      <w:r>
        <w:tab/>
      </w:r>
      <w:r>
        <w:fldChar w:fldCharType="begin"/>
      </w:r>
      <w:r>
        <w:instrText xml:space="preserve"> PAGEREF _Toc116550372 \h </w:instrText>
      </w:r>
      <w:r>
        <w:fldChar w:fldCharType="separate"/>
      </w:r>
      <w:r>
        <w:t>28</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18"/>
          <w:rFonts w:ascii="宋体" w:hAnsi="宋体"/>
        </w:rPr>
        <w:t>附件14：履约情况及社会信誉承诺书</w:t>
      </w:r>
      <w:r>
        <w:tab/>
      </w:r>
      <w:r>
        <w:fldChar w:fldCharType="begin"/>
      </w:r>
      <w:r>
        <w:instrText xml:space="preserve"> PAGEREF _Toc116550373 \h </w:instrText>
      </w:r>
      <w:r>
        <w:fldChar w:fldCharType="separate"/>
      </w:r>
      <w:r>
        <w:t>29</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18"/>
          <w:rFonts w:ascii="宋体" w:hAnsi="宋体"/>
        </w:rPr>
        <w:t>附件15：投标文件密码单</w:t>
      </w:r>
      <w:r>
        <w:tab/>
      </w:r>
      <w:r>
        <w:fldChar w:fldCharType="begin"/>
      </w:r>
      <w:r>
        <w:instrText xml:space="preserve"> PAGEREF _Toc116550374 \h </w:instrText>
      </w:r>
      <w:r>
        <w:fldChar w:fldCharType="separate"/>
      </w:r>
      <w:r>
        <w:t>30</w:t>
      </w:r>
      <w:r>
        <w:fldChar w:fldCharType="end"/>
      </w:r>
      <w: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fmt="decimal"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1" w:name="_Toc116550344"/>
      <w:r>
        <w:rPr>
          <w:rFonts w:hint="eastAsia" w:ascii="宋体" w:hAnsi="宋体"/>
          <w:b/>
          <w:sz w:val="32"/>
          <w:szCs w:val="32"/>
        </w:rPr>
        <w:t>第一部分 项目要求</w:t>
      </w:r>
      <w:bookmarkEnd w:id="1"/>
    </w:p>
    <w:p>
      <w:pPr>
        <w:numPr>
          <w:ilvl w:val="0"/>
          <w:numId w:val="1"/>
        </w:numPr>
        <w:spacing w:before="156" w:beforeLines="50" w:line="360" w:lineRule="auto"/>
        <w:outlineLvl w:val="1"/>
        <w:rPr>
          <w:rFonts w:ascii="宋体" w:hAnsi="宋体"/>
          <w:b/>
          <w:szCs w:val="21"/>
        </w:rPr>
      </w:pPr>
      <w:bookmarkStart w:id="2" w:name="_Toc116550345"/>
      <w:r>
        <w:rPr>
          <w:rFonts w:hint="eastAsia" w:ascii="宋体" w:hAnsi="宋体"/>
          <w:b/>
          <w:szCs w:val="21"/>
        </w:rPr>
        <w:t>投标人须知</w:t>
      </w:r>
      <w:bookmarkEnd w:id="2"/>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hint="eastAsia" w:ascii="宋体" w:hAnsi="宋体" w:eastAsia="宋体"/>
                <w:szCs w:val="21"/>
                <w:lang w:val="en-US" w:eastAsia="zh-CN"/>
              </w:rPr>
            </w:pPr>
            <w:r>
              <w:rPr>
                <w:rFonts w:hint="eastAsia" w:ascii="宋体" w:hAnsi="宋体"/>
                <w:szCs w:val="21"/>
              </w:rPr>
              <w:t>联系人：</w:t>
            </w:r>
            <w:r>
              <w:rPr>
                <w:rFonts w:hint="eastAsia" w:ascii="宋体" w:hAnsi="宋体"/>
                <w:szCs w:val="21"/>
                <w:lang w:val="en-US" w:eastAsia="zh-CN"/>
              </w:rPr>
              <w:t>区宛翔</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电话：0755-8284</w:t>
            </w:r>
            <w:r>
              <w:rPr>
                <w:rFonts w:hint="eastAsia" w:ascii="宋体" w:hAnsi="宋体"/>
                <w:szCs w:val="21"/>
                <w:lang w:val="en-US" w:eastAsia="zh-CN"/>
              </w:rPr>
              <w:t>8795</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传真：0755-8284</w:t>
            </w:r>
            <w:r>
              <w:rPr>
                <w:rFonts w:hint="eastAsia" w:ascii="宋体" w:hAnsi="宋体"/>
                <w:szCs w:val="21"/>
                <w:lang w:val="en-US" w:eastAsia="zh-CN"/>
              </w:rPr>
              <w:t>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lang w:val="en-US" w:eastAsia="zh-CN"/>
              </w:rPr>
              <w:t>ouwx</w:t>
            </w:r>
            <w:r>
              <w:rPr>
                <w:rFonts w:hint="eastAsia" w:ascii="宋体" w:hAnsi="宋体"/>
                <w:szCs w:val="21"/>
              </w:rPr>
              <w:t>@</w:t>
            </w:r>
            <w:r>
              <w:rPr>
                <w:rFonts w:hint="eastAsia" w:ascii="宋体" w:hAnsi="宋体"/>
                <w:szCs w:val="21"/>
                <w:lang w:val="en-US" w:eastAsia="zh-CN"/>
              </w:rPr>
              <w:t>c</w:t>
            </w:r>
            <w:r>
              <w:rPr>
                <w:rFonts w:hint="eastAsia" w:ascii="宋体" w:hAnsi="宋体"/>
                <w:szCs w:val="21"/>
              </w:rPr>
              <w:fldChar w:fldCharType="end"/>
            </w:r>
            <w:r>
              <w:rPr>
                <w:rFonts w:hint="eastAsia" w:ascii="宋体" w:hAnsi="宋体"/>
                <w:szCs w:val="21"/>
                <w:lang w:val="en-US" w:eastAsia="zh-CN"/>
              </w:rPr>
              <w:t>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s="宋体"/>
                <w:b w:val="0"/>
                <w:bCs w:val="0"/>
                <w:sz w:val="21"/>
                <w:szCs w:val="21"/>
                <w:lang w:val="en-US" w:eastAsia="zh-CN"/>
              </w:rPr>
              <w:t>深圳会展中心CIS信息管理系统开发及运维项目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color w:val="auto"/>
                <w:szCs w:val="21"/>
                <w:highlight w:val="none"/>
                <w:lang w:eastAsia="zh-Hans"/>
              </w:rPr>
              <w:t>服务</w:t>
            </w:r>
            <w:r>
              <w:rPr>
                <w:rFonts w:hint="eastAsia" w:ascii="宋体" w:hAnsi="宋体"/>
                <w:color w:val="auto"/>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FF0000"/>
                <w:szCs w:val="21"/>
                <w:highlight w:val="yellow"/>
              </w:rPr>
            </w:pPr>
            <w:r>
              <w:rPr>
                <w:rFonts w:hint="eastAsia" w:ascii="宋体" w:hAnsi="宋体" w:cs="仿宋_GB2312"/>
                <w:b w:val="0"/>
                <w:bCs w:val="0"/>
                <w:sz w:val="21"/>
                <w:szCs w:val="21"/>
                <w:lang w:val="en-US" w:eastAsia="zh-CN"/>
              </w:rPr>
              <w:t>CIS信息管理系统</w:t>
            </w:r>
            <w:r>
              <w:rPr>
                <w:rFonts w:hint="eastAsia" w:ascii="宋体" w:hAnsi="宋体" w:eastAsia="宋体" w:cs="仿宋_GB2312"/>
                <w:color w:val="auto"/>
                <w:szCs w:val="21"/>
                <w:highlight w:val="none"/>
                <w:lang w:val="en-US" w:eastAsia="zh-CN"/>
              </w:rPr>
              <w:t>自</w:t>
            </w:r>
            <w:r>
              <w:rPr>
                <w:rFonts w:hint="eastAsia" w:ascii="宋体" w:hAnsi="宋体" w:eastAsia="宋体" w:cs="仿宋_GB2312"/>
                <w:color w:val="auto"/>
                <w:szCs w:val="21"/>
                <w:highlight w:val="none"/>
              </w:rPr>
              <w:t>201</w:t>
            </w:r>
            <w:r>
              <w:rPr>
                <w:rFonts w:hint="eastAsia" w:ascii="宋体" w:hAnsi="宋体" w:eastAsia="宋体" w:cs="仿宋_GB2312"/>
                <w:color w:val="auto"/>
                <w:szCs w:val="21"/>
                <w:highlight w:val="none"/>
                <w:lang w:val="en-US" w:eastAsia="zh-CN"/>
              </w:rPr>
              <w:t>7</w:t>
            </w:r>
            <w:r>
              <w:rPr>
                <w:rFonts w:hint="eastAsia" w:ascii="宋体" w:hAnsi="宋体" w:eastAsia="宋体" w:cs="仿宋_GB2312"/>
                <w:color w:val="auto"/>
                <w:szCs w:val="21"/>
                <w:highlight w:val="none"/>
              </w:rPr>
              <w:t>年开发到正式启用至今，已有</w:t>
            </w:r>
            <w:r>
              <w:rPr>
                <w:rFonts w:hint="eastAsia" w:ascii="宋体" w:hAnsi="宋体" w:eastAsia="宋体" w:cs="仿宋_GB2312"/>
                <w:color w:val="auto"/>
                <w:szCs w:val="21"/>
                <w:highlight w:val="none"/>
                <w:lang w:val="en-US" w:eastAsia="zh-CN"/>
              </w:rPr>
              <w:t>6</w:t>
            </w:r>
            <w:r>
              <w:rPr>
                <w:rFonts w:hint="eastAsia" w:ascii="宋体" w:hAnsi="宋体" w:eastAsia="宋体" w:cs="仿宋_GB2312"/>
                <w:color w:val="auto"/>
                <w:szCs w:val="21"/>
                <w:highlight w:val="none"/>
              </w:rPr>
              <w:t>年时间。</w:t>
            </w:r>
            <w:r>
              <w:rPr>
                <w:rFonts w:hint="eastAsia" w:ascii="宋体" w:hAnsi="宋体" w:eastAsia="宋体" w:cs="仿宋_GB2312"/>
                <w:sz w:val="21"/>
                <w:szCs w:val="21"/>
                <w:lang w:val="en-US" w:eastAsia="zh-CN"/>
              </w:rPr>
              <w:t>随着各业务部门需求的变化和服务要求的提升，原有CIS系统相关功能模块已无法满足要求。</w:t>
            </w:r>
            <w:r>
              <w:rPr>
                <w:rFonts w:hint="eastAsia" w:ascii="宋体" w:hAnsi="宋体" w:eastAsia="宋体" w:cs="仿宋_GB2312"/>
                <w:szCs w:val="21"/>
              </w:rPr>
              <w:t>拟对</w:t>
            </w:r>
            <w:r>
              <w:rPr>
                <w:rFonts w:hint="eastAsia" w:ascii="宋体" w:hAnsi="宋体" w:cs="仿宋_GB2312"/>
                <w:b w:val="0"/>
                <w:bCs w:val="0"/>
                <w:sz w:val="21"/>
                <w:szCs w:val="21"/>
                <w:lang w:val="en-US" w:eastAsia="zh-CN"/>
              </w:rPr>
              <w:t>CIS信息管理系统</w:t>
            </w:r>
            <w:r>
              <w:rPr>
                <w:rFonts w:hint="eastAsia" w:ascii="宋体" w:hAnsi="宋体" w:eastAsia="宋体" w:cs="仿宋_GB2312"/>
                <w:szCs w:val="21"/>
              </w:rPr>
              <w:t>进行</w:t>
            </w:r>
            <w:r>
              <w:rPr>
                <w:rFonts w:hint="eastAsia" w:ascii="宋体" w:hAnsi="宋体" w:eastAsia="宋体" w:cs="仿宋_GB2312"/>
                <w:szCs w:val="21"/>
                <w:lang w:val="en-US" w:eastAsia="zh-CN"/>
              </w:rPr>
              <w:t>升级改造工作</w:t>
            </w:r>
            <w:r>
              <w:rPr>
                <w:rFonts w:hint="eastAsia" w:ascii="宋体" w:hAnsi="宋体" w:eastAsia="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hint="eastAsia" w:ascii="宋体" w:hAnsi="宋体" w:eastAsia="宋体"/>
                <w:szCs w:val="21"/>
                <w:highlight w:val="yellow"/>
                <w:lang w:val="en-US" w:eastAsia="zh-CN"/>
              </w:rPr>
            </w:pPr>
            <w:r>
              <w:rPr>
                <w:rFonts w:hint="eastAsia" w:ascii="宋体" w:hAnsi="宋体" w:eastAsia="宋体" w:cs="Times New Roman"/>
                <w:color w:val="auto"/>
                <w:szCs w:val="21"/>
                <w:highlight w:val="none"/>
                <w:lang w:val="en-US" w:eastAsia="zh-CN"/>
              </w:rPr>
              <w:t>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color w:val="auto"/>
                <w:szCs w:val="21"/>
                <w:highlight w:val="none"/>
                <w:u w:val="none"/>
                <w:lang w:val="en-US" w:eastAsia="zh-CN"/>
              </w:rPr>
              <w:t>30</w:t>
            </w:r>
            <w:r>
              <w:rPr>
                <w:rFonts w:hint="eastAsia" w:ascii="宋体" w:hAnsi="宋体"/>
                <w:color w:val="auto"/>
                <w:szCs w:val="21"/>
                <w:highlight w:val="none"/>
                <w:u w:val="none"/>
              </w:rPr>
              <w:t>天（</w:t>
            </w:r>
            <w:r>
              <w:rPr>
                <w:rFonts w:hint="eastAsia" w:ascii="宋体" w:hAnsi="宋体"/>
                <w:color w:val="auto"/>
                <w:szCs w:val="21"/>
                <w:highlight w:val="none"/>
                <w:u w:val="none"/>
                <w:lang w:val="en-US" w:eastAsia="zh-CN"/>
              </w:rPr>
              <w:t>自接到中标通知之日起30个自然日内交付并验收通过</w:t>
            </w:r>
            <w:r>
              <w:rPr>
                <w:rFonts w:hint="eastAsia" w:ascii="宋体" w:hAnsi="宋体"/>
                <w:color w:val="auto"/>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12</w:t>
            </w:r>
            <w:r>
              <w:rPr>
                <w:rFonts w:ascii="宋体" w:hAnsi="宋体"/>
                <w:b/>
                <w:bCs/>
                <w:szCs w:val="21"/>
                <w:highlight w:val="yellow"/>
              </w:rPr>
              <w:t>-</w:t>
            </w:r>
            <w:r>
              <w:rPr>
                <w:rFonts w:hint="eastAsia" w:ascii="宋体" w:hAnsi="宋体"/>
                <w:b/>
                <w:bCs/>
                <w:szCs w:val="21"/>
                <w:highlight w:val="yellow"/>
                <w:lang w:val="en-US" w:eastAsia="zh-CN"/>
              </w:rPr>
              <w:t>19</w:t>
            </w:r>
            <w:r>
              <w:rPr>
                <w:rFonts w:ascii="宋体" w:hAnsi="宋体"/>
                <w:b/>
                <w:bCs/>
                <w:szCs w:val="21"/>
                <w:highlight w:val="yellow"/>
              </w:rPr>
              <w:t xml:space="preserve"> </w:t>
            </w:r>
            <w:r>
              <w:rPr>
                <w:rFonts w:hint="eastAsia" w:ascii="宋体" w:hAnsi="宋体"/>
                <w:b/>
                <w:bCs/>
                <w:szCs w:val="21"/>
                <w:highlight w:val="yellow"/>
                <w:lang w:val="en-US" w:eastAsia="zh-CN"/>
              </w:rPr>
              <w:t xml:space="preserve"> 9</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
                <w:bCs/>
                <w:szCs w:val="21"/>
                <w:highlight w:val="yellow"/>
              </w:rPr>
              <w:t>https://cg.szcec.com/sharing/1y13pRBMu</w:t>
            </w:r>
            <w:bookmarkStart w:id="3" w:name="_Hlk139381862"/>
            <w:r>
              <w:rPr>
                <w:rFonts w:hint="eastAsia" w:ascii="宋体" w:hAnsi="宋体"/>
                <w:bCs/>
                <w:szCs w:val="21"/>
              </w:rPr>
              <w:t>(文件上传成功后会以绿色</w:t>
            </w:r>
            <w:r>
              <w:rPr>
                <w:rFonts w:hint="eastAsia" w:ascii="MS Gothic" w:hAnsi="MS Gothic" w:eastAsia="MS Gothic" w:cs="MS Gothic"/>
                <w:b/>
                <w:bCs/>
                <w:color w:val="00B050"/>
                <w:sz w:val="20"/>
                <w:szCs w:val="20"/>
                <w:shd w:val="clear" w:color="auto" w:fill="FFFFFF"/>
              </w:rPr>
              <w:t>✓</w:t>
            </w:r>
            <w:r>
              <w:rPr>
                <w:rFonts w:hint="eastAsia" w:ascii="宋体" w:hAnsi="宋体"/>
                <w:szCs w:val="21"/>
              </w:rPr>
              <w:t>标记</w:t>
            </w:r>
            <w:r>
              <w:rPr>
                <w:rFonts w:ascii="宋体" w:hAnsi="宋体"/>
                <w:bCs/>
                <w:szCs w:val="21"/>
              </w:rPr>
              <w:t>)</w:t>
            </w:r>
            <w:bookmarkEnd w:id="3"/>
            <w:r>
              <w:rPr>
                <w:rFonts w:hint="eastAsia" w:ascii="宋体" w:hAnsi="宋体"/>
                <w:bCs/>
              </w:rPr>
              <w:t>，</w:t>
            </w:r>
            <w:r>
              <w:rPr>
                <w:rFonts w:hint="eastAsia" w:ascii="宋体" w:hAnsi="宋体"/>
                <w:bCs/>
                <w:szCs w:val="21"/>
              </w:rPr>
              <w:t>或致电确认。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18"/>
                <w:rFonts w:ascii="宋体" w:hAnsi="宋体"/>
                <w:szCs w:val="21"/>
              </w:rPr>
              <w:t>https://www.szcec.com/News/index/id/256.html</w:t>
            </w:r>
            <w:r>
              <w:rPr>
                <w:rStyle w:val="18"/>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autoSpaceDE w:val="0"/>
              <w:autoSpaceDN w:val="0"/>
              <w:adjustRightInd w:val="0"/>
              <w:snapToGrid w:val="0"/>
              <w:jc w:val="left"/>
              <w:rPr>
                <w:rFonts w:hint="eastAsia"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12</w:t>
            </w:r>
            <w:r>
              <w:rPr>
                <w:rFonts w:ascii="宋体" w:hAnsi="宋体"/>
                <w:b/>
                <w:bCs/>
                <w:szCs w:val="21"/>
                <w:highlight w:val="yellow"/>
              </w:rPr>
              <w:t>-</w:t>
            </w:r>
            <w:r>
              <w:rPr>
                <w:rFonts w:hint="eastAsia" w:ascii="宋体" w:hAnsi="宋体"/>
                <w:b/>
                <w:bCs/>
                <w:szCs w:val="21"/>
                <w:highlight w:val="yellow"/>
                <w:lang w:val="en-US" w:eastAsia="zh-CN"/>
              </w:rPr>
              <w:t>24</w:t>
            </w:r>
            <w:r>
              <w:rPr>
                <w:rFonts w:ascii="宋体" w:hAnsi="宋体"/>
                <w:b/>
                <w:bCs/>
                <w:szCs w:val="21"/>
                <w:highlight w:val="yellow"/>
              </w:rPr>
              <w:t xml:space="preserve"> </w:t>
            </w:r>
            <w:r>
              <w:rPr>
                <w:rFonts w:hint="eastAsia" w:ascii="宋体" w:hAnsi="宋体"/>
                <w:b/>
                <w:bCs/>
                <w:szCs w:val="21"/>
                <w:highlight w:val="yellow"/>
                <w:lang w:val="en-US" w:eastAsia="zh-CN"/>
              </w:rPr>
              <w:t xml:space="preserve"> 9</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12</w:t>
            </w:r>
            <w:r>
              <w:rPr>
                <w:rFonts w:ascii="宋体" w:hAnsi="宋体"/>
                <w:b/>
                <w:bCs/>
                <w:szCs w:val="21"/>
                <w:highlight w:val="yellow"/>
              </w:rPr>
              <w:t>-</w:t>
            </w:r>
            <w:r>
              <w:rPr>
                <w:rFonts w:hint="eastAsia" w:ascii="宋体" w:hAnsi="宋体"/>
                <w:b/>
                <w:bCs/>
                <w:szCs w:val="21"/>
                <w:highlight w:val="yellow"/>
                <w:lang w:val="en-US" w:eastAsia="zh-CN"/>
              </w:rPr>
              <w:t>24</w:t>
            </w:r>
            <w:r>
              <w:rPr>
                <w:rFonts w:ascii="宋体" w:hAnsi="宋体"/>
                <w:b/>
                <w:bCs/>
                <w:szCs w:val="21"/>
                <w:highlight w:val="yellow"/>
              </w:rPr>
              <w:t xml:space="preserve"> </w:t>
            </w:r>
            <w:r>
              <w:rPr>
                <w:rFonts w:hint="eastAsia" w:ascii="宋体" w:hAnsi="宋体"/>
                <w:b/>
                <w:bCs/>
                <w:szCs w:val="21"/>
                <w:highlight w:val="yellow"/>
                <w:lang w:val="en-US" w:eastAsia="zh-CN"/>
              </w:rPr>
              <w:t xml:space="preserve"> 9</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12</w:t>
            </w:r>
            <w:r>
              <w:rPr>
                <w:rFonts w:ascii="宋体" w:hAnsi="宋体"/>
                <w:b/>
                <w:bCs/>
                <w:szCs w:val="21"/>
                <w:highlight w:val="yellow"/>
              </w:rPr>
              <w:t>-</w:t>
            </w:r>
            <w:r>
              <w:rPr>
                <w:rFonts w:hint="eastAsia" w:ascii="宋体" w:hAnsi="宋体"/>
                <w:b/>
                <w:bCs/>
                <w:szCs w:val="21"/>
                <w:highlight w:val="yellow"/>
                <w:lang w:val="en-US" w:eastAsia="zh-CN"/>
              </w:rPr>
              <w:t>25</w:t>
            </w:r>
            <w:r>
              <w:rPr>
                <w:rFonts w:ascii="宋体" w:hAnsi="宋体"/>
                <w:b/>
                <w:bCs/>
                <w:szCs w:val="21"/>
                <w:highlight w:val="yellow"/>
              </w:rPr>
              <w:t xml:space="preserve"> </w:t>
            </w:r>
            <w:r>
              <w:rPr>
                <w:rFonts w:hint="eastAsia" w:ascii="宋体" w:hAnsi="宋体"/>
                <w:b/>
                <w:bCs/>
                <w:szCs w:val="21"/>
                <w:highlight w:val="yellow"/>
                <w:lang w:val="en-US" w:eastAsia="zh-CN"/>
              </w:rPr>
              <w:t xml:space="preserve"> 9</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12</w:t>
            </w:r>
            <w:r>
              <w:rPr>
                <w:rFonts w:ascii="宋体" w:hAnsi="宋体"/>
                <w:b/>
                <w:bCs/>
                <w:szCs w:val="21"/>
                <w:highlight w:val="yellow"/>
              </w:rPr>
              <w:t>-</w:t>
            </w:r>
            <w:r>
              <w:rPr>
                <w:rFonts w:hint="eastAsia" w:ascii="宋体" w:hAnsi="宋体"/>
                <w:b/>
                <w:bCs/>
                <w:szCs w:val="21"/>
                <w:highlight w:val="yellow"/>
                <w:lang w:val="en-US" w:eastAsia="zh-CN"/>
              </w:rPr>
              <w:t>29</w:t>
            </w:r>
            <w:r>
              <w:rPr>
                <w:rFonts w:ascii="宋体" w:hAnsi="宋体"/>
                <w:b/>
                <w:bCs/>
                <w:szCs w:val="21"/>
                <w:highlight w:val="yellow"/>
              </w:rPr>
              <w:t xml:space="preserve"> </w:t>
            </w:r>
            <w:r>
              <w:rPr>
                <w:rFonts w:hint="eastAsia" w:ascii="宋体" w:hAnsi="宋体"/>
                <w:b/>
                <w:bCs/>
                <w:szCs w:val="21"/>
                <w:highlight w:val="yellow"/>
                <w:lang w:val="en-US" w:eastAsia="zh-CN"/>
              </w:rPr>
              <w:t xml:space="preserve"> 14</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
                <w:bCs/>
                <w:szCs w:val="21"/>
                <w:highlight w:val="yellow"/>
              </w:rPr>
              <w:t>https://cg.szcec.com/sharing/XchTLUMqz</w:t>
            </w:r>
            <w:r>
              <w:rPr>
                <w:rFonts w:hint="eastAsia" w:ascii="宋体" w:hAnsi="宋体"/>
                <w:bCs/>
                <w:szCs w:val="21"/>
              </w:rPr>
              <w:t>(文件上传成功后会以绿色</w:t>
            </w:r>
            <w:r>
              <w:rPr>
                <w:rFonts w:hint="eastAsia" w:ascii="MS Gothic" w:hAnsi="MS Gothic" w:eastAsia="MS Gothic" w:cs="MS Gothic"/>
                <w:b/>
                <w:bCs/>
                <w:color w:val="00B050"/>
                <w:sz w:val="20"/>
                <w:szCs w:val="20"/>
                <w:shd w:val="clear" w:color="auto" w:fill="FFFFFF"/>
              </w:rPr>
              <w:t>✓</w:t>
            </w:r>
            <w:r>
              <w:rPr>
                <w:rFonts w:hint="eastAsia" w:ascii="宋体" w:hAnsi="宋体"/>
                <w:szCs w:val="21"/>
              </w:rPr>
              <w:t>标记</w:t>
            </w:r>
            <w:r>
              <w:rPr>
                <w:rFonts w:ascii="宋体" w:hAnsi="宋体"/>
                <w:bCs/>
                <w:szCs w:val="21"/>
              </w:rPr>
              <w:t>)</w:t>
            </w:r>
            <w:r>
              <w:rPr>
                <w:rFonts w:hint="eastAsia" w:ascii="宋体" w:hAnsi="宋体"/>
                <w:bCs/>
              </w:rPr>
              <w:t>，</w:t>
            </w:r>
            <w:r>
              <w:rPr>
                <w:rFonts w:hint="eastAsia" w:ascii="宋体" w:hAnsi="宋体"/>
                <w:bCs/>
                <w:szCs w:val="21"/>
              </w:rPr>
              <w:t>或致电确认</w:t>
            </w:r>
            <w:bookmarkStart w:id="4" w:name="_Toc478393187"/>
            <w:bookmarkStart w:id="5" w:name="_Toc478392822"/>
            <w:bookmarkStart w:id="6" w:name="_Toc478110532"/>
            <w:r>
              <w:rPr>
                <w:rFonts w:hint="eastAsia" w:ascii="宋体" w:hAnsi="宋体"/>
                <w:szCs w:val="21"/>
              </w:rPr>
              <w:t>。</w:t>
            </w:r>
            <w:r>
              <w:rPr>
                <w:rFonts w:hint="eastAsia" w:ascii="宋体" w:hAnsi="宋体"/>
              </w:rPr>
              <w:t>注意事项如下：</w:t>
            </w:r>
          </w:p>
          <w:p>
            <w:pPr>
              <w:pStyle w:val="22"/>
              <w:numPr>
                <w:ilvl w:val="0"/>
                <w:numId w:val="3"/>
              </w:numPr>
              <w:ind w:left="0" w:firstLine="0" w:firstLineChars="0"/>
              <w:rPr>
                <w:rFonts w:ascii="宋体" w:hAnsi="宋体" w:eastAsia="宋体"/>
                <w:szCs w:val="21"/>
              </w:rPr>
            </w:pPr>
            <w:bookmarkStart w:id="7"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7"/>
            <w:r>
              <w:rPr>
                <w:rFonts w:hint="eastAsia" w:ascii="宋体" w:hAnsi="宋体" w:eastAsia="宋体"/>
                <w:szCs w:val="21"/>
              </w:rPr>
              <w:t>。</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4"/>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4</w:t>
            </w:r>
            <w:r>
              <w:rPr>
                <w:rFonts w:ascii="宋体" w:hAnsi="宋体"/>
                <w:b/>
                <w:bCs/>
                <w:szCs w:val="21"/>
                <w:highlight w:val="yellow"/>
              </w:rPr>
              <w:t>-</w:t>
            </w:r>
            <w:r>
              <w:rPr>
                <w:rFonts w:hint="eastAsia" w:ascii="宋体" w:hAnsi="宋体"/>
                <w:b/>
                <w:bCs/>
                <w:szCs w:val="21"/>
                <w:highlight w:val="yellow"/>
                <w:lang w:val="en-US" w:eastAsia="zh-CN"/>
              </w:rPr>
              <w:t>1</w:t>
            </w:r>
            <w:r>
              <w:rPr>
                <w:rFonts w:ascii="宋体" w:hAnsi="宋体"/>
                <w:b/>
                <w:bCs/>
                <w:szCs w:val="21"/>
                <w:highlight w:val="yellow"/>
              </w:rPr>
              <w:t>-</w:t>
            </w:r>
            <w:r>
              <w:rPr>
                <w:rFonts w:hint="eastAsia" w:ascii="宋体" w:hAnsi="宋体"/>
                <w:b/>
                <w:bCs/>
                <w:szCs w:val="21"/>
                <w:highlight w:val="yellow"/>
                <w:lang w:val="en-US" w:eastAsia="zh-CN"/>
              </w:rPr>
              <w:t>3</w:t>
            </w:r>
            <w:r>
              <w:rPr>
                <w:rFonts w:ascii="宋体" w:hAnsi="宋体"/>
                <w:b/>
                <w:bCs/>
                <w:szCs w:val="21"/>
                <w:highlight w:val="yellow"/>
              </w:rPr>
              <w:t xml:space="preserve"> </w:t>
            </w:r>
            <w:r>
              <w:rPr>
                <w:rFonts w:hint="eastAsia" w:ascii="宋体" w:hAnsi="宋体"/>
                <w:b/>
                <w:bCs/>
                <w:szCs w:val="21"/>
                <w:highlight w:val="yellow"/>
                <w:lang w:val="en-US" w:eastAsia="zh-CN"/>
              </w:rPr>
              <w:t xml:space="preserve"> 9</w:t>
            </w:r>
            <w:r>
              <w:rPr>
                <w:rFonts w:ascii="宋体" w:hAnsi="宋体"/>
                <w:b/>
                <w:bCs/>
                <w:szCs w:val="21"/>
                <w:highlight w:val="yellow"/>
              </w:rPr>
              <w:t>:</w:t>
            </w:r>
            <w:r>
              <w:rPr>
                <w:rFonts w:hint="eastAsia" w:ascii="宋体" w:hAnsi="宋体"/>
                <w:b/>
                <w:bCs/>
                <w:szCs w:val="21"/>
                <w:highlight w:val="yellow"/>
                <w:lang w:val="en-US" w:eastAsia="zh-CN"/>
              </w:rPr>
              <w:t>30</w:t>
            </w:r>
            <w:r>
              <w:rPr>
                <w:rFonts w:hint="eastAsia" w:ascii="宋体" w:hAnsi="宋体"/>
                <w:b/>
                <w:bCs/>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腾讯会议号：</w:t>
            </w:r>
            <w:r>
              <w:rPr>
                <w:rFonts w:hint="eastAsia" w:ascii="宋体" w:hAnsi="宋体"/>
                <w:b/>
                <w:bCs/>
                <w:szCs w:val="21"/>
                <w:highlight w:val="yellow"/>
                <w:lang w:val="en-US" w:eastAsia="zh-CN"/>
              </w:rPr>
              <w:t>390-402-902</w:t>
            </w: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ascii="宋体" w:hAnsi="宋体"/>
                <w:b/>
                <w:bCs/>
                <w:szCs w:val="21"/>
                <w:highlight w:val="yellow"/>
              </w:rPr>
              <w:t>https://cg.szcec.com/sharing/BTxsdzSFC</w:t>
            </w:r>
            <w:bookmarkStart w:id="99" w:name="_GoBack"/>
            <w:bookmarkEnd w:id="99"/>
            <w:r>
              <w:rPr>
                <w:rFonts w:hint="eastAsia" w:ascii="宋体" w:hAnsi="宋体"/>
                <w:bCs/>
                <w:szCs w:val="21"/>
              </w:rPr>
              <w:t>(文件上传成功后会以绿色</w:t>
            </w:r>
            <w:r>
              <w:rPr>
                <w:rFonts w:hint="eastAsia" w:ascii="MS Gothic" w:hAnsi="MS Gothic" w:eastAsia="MS Gothic" w:cs="MS Gothic"/>
                <w:b/>
                <w:bCs/>
                <w:color w:val="00B050"/>
                <w:sz w:val="20"/>
                <w:szCs w:val="20"/>
                <w:shd w:val="clear" w:color="auto" w:fill="FFFFFF"/>
              </w:rPr>
              <w:t>✓</w:t>
            </w:r>
            <w:r>
              <w:rPr>
                <w:rFonts w:hint="eastAsia" w:ascii="宋体" w:hAnsi="宋体"/>
                <w:szCs w:val="21"/>
              </w:rPr>
              <w:t>标记</w:t>
            </w:r>
            <w:r>
              <w:rPr>
                <w:rFonts w:ascii="宋体" w:hAnsi="宋体"/>
                <w:bCs/>
                <w:szCs w:val="21"/>
              </w:rPr>
              <w:t>)</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是否接受</w:t>
            </w:r>
          </w:p>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auto"/>
                <w:szCs w:val="21"/>
                <w:highlight w:val="none"/>
              </w:rPr>
            </w:pPr>
            <w:r>
              <w:rPr>
                <w:rFonts w:hint="eastAsia" w:ascii="宋体" w:hAnsi="宋体" w:cstheme="minorBidi"/>
                <w:color w:val="auto"/>
                <w:szCs w:val="21"/>
                <w:highlight w:val="none"/>
              </w:rPr>
              <w:sym w:font="Wingdings 2" w:char="0052"/>
            </w:r>
            <w:r>
              <w:rPr>
                <w:rFonts w:hint="eastAsia" w:ascii="宋体" w:hAnsi="宋体" w:cstheme="minorBidi"/>
                <w:color w:val="auto"/>
                <w:szCs w:val="21"/>
                <w:highlight w:val="none"/>
              </w:rPr>
              <w:t>不接受</w:t>
            </w:r>
          </w:p>
          <w:p>
            <w:pPr>
              <w:autoSpaceDE w:val="0"/>
              <w:autoSpaceDN w:val="0"/>
              <w:adjustRightInd w:val="0"/>
              <w:snapToGrid w:val="0"/>
              <w:rPr>
                <w:rFonts w:ascii="宋体" w:hAnsi="宋体"/>
                <w:color w:val="auto"/>
                <w:kern w:val="0"/>
                <w:szCs w:val="21"/>
                <w:highlight w:val="none"/>
              </w:rPr>
            </w:pPr>
            <w:r>
              <w:rPr>
                <w:rFonts w:hint="eastAsia" w:ascii="宋体" w:hAnsi="宋体" w:cstheme="minorBidi"/>
                <w:color w:val="auto"/>
                <w:szCs w:val="21"/>
                <w:highlight w:val="none"/>
              </w:rPr>
              <w:sym w:font="Wingdings 2" w:char="00A3"/>
            </w:r>
            <w:r>
              <w:rPr>
                <w:rFonts w:hint="eastAsia" w:ascii="宋体" w:hAnsi="宋体" w:cstheme="minorBidi"/>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8"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rPr>
                <w:rFonts w:ascii="宋体" w:hAnsi="宋体" w:cstheme="minorBidi"/>
                <w:kern w:val="0"/>
                <w:szCs w:val="21"/>
                <w:highlight w:val="none"/>
              </w:rPr>
            </w:pPr>
            <w:r>
              <w:rPr>
                <w:rFonts w:hint="eastAsia" w:ascii="宋体" w:hAnsi="宋体" w:cstheme="minorBidi"/>
                <w:color w:val="auto"/>
                <w:szCs w:val="21"/>
                <w:highlight w:val="none"/>
              </w:rPr>
              <w:sym w:font="Wingdings 2" w:char="0052"/>
            </w:r>
            <w:r>
              <w:rPr>
                <w:rFonts w:hint="eastAsia" w:ascii="宋体" w:hAnsi="宋体" w:cstheme="minorBidi"/>
                <w:kern w:val="0"/>
                <w:szCs w:val="21"/>
                <w:highlight w:val="none"/>
              </w:rPr>
              <w:t>不组织,投标人可在本项目招标公告发布后至报名（文件获取）时间截止前自行踏勘。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kern w:val="0"/>
                <w:szCs w:val="21"/>
                <w:highlight w:val="none"/>
              </w:rPr>
            </w:pPr>
            <w:r>
              <w:rPr>
                <w:rFonts w:hint="eastAsia" w:ascii="宋体" w:hAnsi="宋体" w:cstheme="minorBidi"/>
                <w:kern w:val="0"/>
                <w:szCs w:val="21"/>
                <w:highlight w:val="none"/>
              </w:rPr>
              <w:t>□组织，踏勘要求：</w:t>
            </w:r>
          </w:p>
          <w:p>
            <w:pPr>
              <w:pStyle w:val="22"/>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highlight w:val="none"/>
              </w:rPr>
              <w:t>投标人</w:t>
            </w:r>
            <w:r>
              <w:rPr>
                <w:rFonts w:hint="eastAsia" w:ascii="宋体" w:hAnsi="宋体" w:eastAsia="宋体"/>
                <w:kern w:val="0"/>
                <w:szCs w:val="21"/>
              </w:rPr>
              <w:t>是否必须参加：</w:t>
            </w:r>
          </w:p>
          <w:p>
            <w:pPr>
              <w:pStyle w:val="22"/>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22"/>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招标人定于202×-××-×× ××: ××邀请投标人人员察看现场并讲解项目需求；投标人应指派符合要求的人员参加本项目的现场踏勘。</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rPr>
              <w:t>投标人须至少提前一天与踏勘联系人预约。否则，将可能导致投标人不能进入踏勘现场的不利后果。</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p>
          <w:p>
            <w:pPr>
              <w:pStyle w:val="22"/>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电话：0755-8284××××，手机：XXXXX</w:t>
            </w:r>
          </w:p>
          <w:p>
            <w:pPr>
              <w:pStyle w:val="22"/>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r>
              <w:rPr>
                <w:rFonts w:ascii="宋体" w:hAnsi="宋体" w:cs="Segoe UI Symbol"/>
                <w:kern w:val="0"/>
                <w:szCs w:val="21"/>
              </w:rPr>
              <w:t xml:space="preserve"> </w:t>
            </w:r>
          </w:p>
          <w:p>
            <w:pPr>
              <w:pStyle w:val="22"/>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eastAsia="宋体" w:cs="Segoe UI Symbol"/>
                <w:color w:val="auto"/>
                <w:kern w:val="0"/>
                <w:szCs w:val="21"/>
                <w:highlight w:val="none"/>
              </w:rPr>
              <w:t>不要求</w:t>
            </w:r>
          </w:p>
          <w:p>
            <w:pPr>
              <w:pStyle w:val="22"/>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履约保证金金额：人民币</w:t>
            </w:r>
            <w:r>
              <w:rPr>
                <w:rFonts w:hint="eastAsia" w:ascii="宋体" w:hAnsi="宋体" w:eastAsia="宋体" w:cs="Segoe UI Symbol"/>
                <w:kern w:val="0"/>
                <w:szCs w:val="21"/>
                <w:u w:val="single"/>
              </w:rPr>
              <w:t xml:space="preserve"> </w:t>
            </w:r>
            <w:r>
              <w:rPr>
                <w:rFonts w:ascii="宋体" w:hAnsi="宋体" w:eastAsia="宋体" w:cs="Segoe UI Symbol"/>
                <w:kern w:val="0"/>
                <w:szCs w:val="21"/>
                <w:u w:val="single"/>
              </w:rPr>
              <w:t>/</w:t>
            </w:r>
            <w:r>
              <w:rPr>
                <w:rFonts w:hint="eastAsia" w:ascii="宋体" w:hAnsi="宋体" w:eastAsia="宋体" w:cs="Segoe UI Symbol"/>
                <w:kern w:val="0"/>
                <w:szCs w:val="21"/>
                <w:u w:val="single"/>
              </w:rPr>
              <w:t xml:space="preserve"> </w:t>
            </w:r>
            <w:r>
              <w:rPr>
                <w:rFonts w:hint="eastAsia" w:ascii="宋体" w:hAnsi="宋体" w:eastAsia="宋体" w:cs="Segoe UI Symbol"/>
                <w:kern w:val="0"/>
                <w:szCs w:val="21"/>
              </w:rPr>
              <w:t>元</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□银行转账</w:t>
            </w:r>
            <w:r>
              <w:rPr>
                <w:rFonts w:ascii="宋体" w:hAnsi="宋体" w:eastAsia="宋体" w:cs="Segoe UI Symbol"/>
                <w:kern w:val="0"/>
                <w:szCs w:val="21"/>
              </w:rPr>
              <w:t xml:space="preserve">  </w:t>
            </w:r>
            <w:r>
              <w:rPr>
                <w:rFonts w:hint="eastAsia" w:ascii="宋体" w:hAnsi="宋体" w:eastAsia="宋体" w:cs="Segoe UI Symbol"/>
                <w:kern w:val="0"/>
                <w:szCs w:val="21"/>
              </w:rPr>
              <w:t>□现金</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投标人保证金</w:t>
            </w:r>
            <w:r>
              <w:rPr>
                <w:rFonts w:ascii="宋体" w:hAnsi="宋体" w:eastAsia="宋体" w:cs="Segoe UI Symbol"/>
                <w:kern w:val="0"/>
                <w:szCs w:val="21"/>
              </w:rPr>
              <w:t>收款</w:t>
            </w:r>
            <w:r>
              <w:rPr>
                <w:rFonts w:hint="eastAsia" w:ascii="宋体" w:hAnsi="宋体" w:eastAsia="宋体" w:cs="Segoe UI Symbol"/>
                <w:kern w:val="0"/>
                <w:szCs w:val="21"/>
              </w:rPr>
              <w:t>银行账户信息（选用“银行转账</w:t>
            </w:r>
            <w:r>
              <w:rPr>
                <w:rFonts w:ascii="宋体" w:hAnsi="宋体" w:eastAsia="宋体" w:cs="Segoe UI Symbol"/>
                <w:kern w:val="0"/>
                <w:szCs w:val="21"/>
              </w:rPr>
              <w:t>”</w:t>
            </w:r>
            <w:r>
              <w:rPr>
                <w:rFonts w:hint="eastAsia" w:ascii="宋体" w:hAnsi="宋体" w:eastAsia="宋体" w:cs="Segoe UI Symbol"/>
                <w:kern w:val="0"/>
                <w:szCs w:val="21"/>
              </w:rPr>
              <w:t>方式须填</w:t>
            </w:r>
            <w:r>
              <w:rPr>
                <w:rFonts w:ascii="宋体" w:hAnsi="宋体" w:eastAsia="宋体" w:cs="Segoe UI Symbol"/>
                <w:kern w:val="0"/>
                <w:szCs w:val="21"/>
              </w:rPr>
              <w:t>）</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收款单位：</w:t>
            </w:r>
            <w:r>
              <w:rPr>
                <w:rFonts w:hint="eastAsia" w:ascii="宋体" w:hAnsi="宋体" w:cs="Segoe UI Symbol"/>
                <w:kern w:val="0"/>
                <w:szCs w:val="21"/>
                <w:u w:val="single"/>
              </w:rPr>
              <w:t>深圳会展中心管理有限责任公司</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autoSpaceDE w:val="0"/>
              <w:autoSpaceDN w:val="0"/>
              <w:adjustRightInd w:val="0"/>
              <w:snapToGrid w:val="0"/>
              <w:ind w:left="819" w:leftChars="390" w:firstLine="1"/>
              <w:jc w:val="left"/>
              <w:rPr>
                <w:rFonts w:ascii="宋体" w:hAnsi="宋体" w:cs="Segoe UI Symbol"/>
                <w:kern w:val="0"/>
                <w:szCs w:val="21"/>
                <w:u w:val="single"/>
              </w:rPr>
            </w:pPr>
            <w:r>
              <w:rPr>
                <w:rFonts w:hint="eastAsia" w:ascii="宋体" w:hAnsi="宋体" w:cs="Segoe UI Symbol"/>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autoSpaceDE w:val="0"/>
              <w:autoSpaceDN w:val="0"/>
              <w:adjustRightInd w:val="0"/>
              <w:snapToGrid w:val="0"/>
              <w:jc w:val="left"/>
              <w:rPr>
                <w:rFonts w:ascii="宋体" w:hAnsi="宋体"/>
                <w:color w:val="auto"/>
                <w:szCs w:val="21"/>
                <w:highlight w:val="none"/>
                <w:u w:val="single"/>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szCs w:val="21"/>
        </w:rPr>
      </w:pPr>
      <w:bookmarkStart w:id="8" w:name="_Toc82685541"/>
      <w:bookmarkEnd w:id="8"/>
      <w:bookmarkStart w:id="9" w:name="_Toc82684590"/>
      <w:bookmarkEnd w:id="9"/>
      <w:bookmarkStart w:id="10" w:name="_Toc82684703"/>
      <w:bookmarkEnd w:id="10"/>
      <w:bookmarkStart w:id="11" w:name="_Toc82591926"/>
      <w:bookmarkEnd w:id="11"/>
      <w:bookmarkStart w:id="12" w:name="_Toc82684591"/>
      <w:bookmarkEnd w:id="12"/>
      <w:bookmarkStart w:id="13" w:name="_Toc82684706"/>
      <w:bookmarkEnd w:id="13"/>
      <w:bookmarkStart w:id="14" w:name="_Toc82591927"/>
      <w:bookmarkEnd w:id="14"/>
      <w:bookmarkStart w:id="15" w:name="_Toc82684589"/>
      <w:bookmarkEnd w:id="15"/>
      <w:bookmarkStart w:id="16" w:name="_Toc82685542"/>
      <w:bookmarkEnd w:id="16"/>
      <w:bookmarkStart w:id="17" w:name="_Toc82684588"/>
      <w:bookmarkEnd w:id="17"/>
      <w:bookmarkStart w:id="18" w:name="_Toc82684705"/>
      <w:bookmarkEnd w:id="18"/>
      <w:bookmarkStart w:id="19" w:name="_Toc82685543"/>
      <w:bookmarkEnd w:id="19"/>
      <w:bookmarkStart w:id="20" w:name="_Toc82685540"/>
      <w:bookmarkEnd w:id="20"/>
      <w:bookmarkStart w:id="21" w:name="_Toc82684704"/>
      <w:bookmarkEnd w:id="21"/>
      <w:bookmarkStart w:id="22" w:name="_Toc82591925"/>
      <w:bookmarkEnd w:id="22"/>
      <w:bookmarkStart w:id="23" w:name="_Toc82591928"/>
      <w:bookmarkEnd w:id="23"/>
      <w:bookmarkStart w:id="24" w:name="_Toc116550346"/>
      <w:r>
        <w:rPr>
          <w:rFonts w:hint="eastAsia" w:ascii="宋体" w:hAnsi="宋体"/>
          <w:b/>
          <w:szCs w:val="21"/>
        </w:rPr>
        <w:t>特别说明</w:t>
      </w:r>
      <w:bookmarkEnd w:id="24"/>
    </w:p>
    <w:p>
      <w:pPr>
        <w:pStyle w:val="22"/>
        <w:numPr>
          <w:ilvl w:val="0"/>
          <w:numId w:val="9"/>
        </w:numPr>
        <w:spacing w:line="360" w:lineRule="auto"/>
        <w:ind w:left="0" w:firstLine="420" w:firstLineChars="0"/>
        <w:rPr>
          <w:rFonts w:ascii="宋体" w:hAnsi="宋体" w:eastAsia="宋体" w:cs="宋体"/>
          <w:szCs w:val="21"/>
        </w:rPr>
      </w:pPr>
      <w:bookmarkStart w:id="25" w:name="_Toc517278751"/>
      <w:bookmarkStart w:id="26" w:name="_Toc45028463"/>
      <w:bookmarkStart w:id="27" w:name="_Toc478387747"/>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5"/>
    <w:bookmarkEnd w:id="26"/>
    <w:bookmarkEnd w:id="27"/>
    <w:p>
      <w:pPr>
        <w:numPr>
          <w:ilvl w:val="0"/>
          <w:numId w:val="1"/>
        </w:numPr>
        <w:spacing w:line="560" w:lineRule="exact"/>
        <w:outlineLvl w:val="1"/>
        <w:rPr>
          <w:rFonts w:ascii="宋体" w:hAnsi="宋体"/>
          <w:b/>
          <w:szCs w:val="21"/>
        </w:rPr>
      </w:pPr>
      <w:bookmarkStart w:id="28" w:name="_Toc82591985"/>
      <w:bookmarkEnd w:id="28"/>
      <w:bookmarkStart w:id="29" w:name="_Toc82684593"/>
      <w:bookmarkEnd w:id="29"/>
      <w:bookmarkStart w:id="30" w:name="_Toc82684708"/>
      <w:bookmarkEnd w:id="30"/>
      <w:bookmarkStart w:id="31" w:name="_Toc82685545"/>
      <w:bookmarkEnd w:id="31"/>
      <w:bookmarkStart w:id="32" w:name="_Toc82591986"/>
      <w:bookmarkEnd w:id="32"/>
      <w:bookmarkStart w:id="33" w:name="_Toc82591987"/>
      <w:bookmarkEnd w:id="33"/>
      <w:bookmarkStart w:id="34" w:name="_Toc82591988"/>
      <w:bookmarkEnd w:id="34"/>
      <w:bookmarkStart w:id="35" w:name="_Toc82591989"/>
      <w:bookmarkEnd w:id="35"/>
      <w:bookmarkStart w:id="36" w:name="_Toc82591930"/>
      <w:bookmarkEnd w:id="36"/>
      <w:bookmarkStart w:id="37" w:name="_Toc116550347"/>
      <w:r>
        <w:rPr>
          <w:rFonts w:hint="eastAsia" w:ascii="宋体" w:hAnsi="宋体"/>
          <w:b/>
          <w:szCs w:val="21"/>
        </w:rPr>
        <w:t>投标文件编制</w:t>
      </w:r>
      <w:bookmarkEnd w:id="37"/>
    </w:p>
    <w:tbl>
      <w:tblPr>
        <w:tblStyle w:val="14"/>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1"/>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8" w:name="_Toc116550348"/>
      <w:r>
        <w:rPr>
          <w:rFonts w:hint="eastAsia" w:ascii="宋体" w:hAnsi="宋体"/>
          <w:b/>
          <w:szCs w:val="21"/>
        </w:rPr>
        <w:t>项目要求</w:t>
      </w:r>
      <w:bookmarkEnd w:id="38"/>
    </w:p>
    <w:tbl>
      <w:tblPr>
        <w:tblStyle w:val="14"/>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highlight w:val="none"/>
              </w:rPr>
            </w:pPr>
            <w:r>
              <w:rPr>
                <w:rFonts w:hint="eastAsia" w:ascii="宋体" w:hAnsi="宋体" w:cs="宋体"/>
                <w:b/>
                <w:szCs w:val="21"/>
                <w:highlight w:val="none"/>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highlight w:val="none"/>
              </w:rPr>
            </w:pPr>
            <w:r>
              <w:rPr>
                <w:rFonts w:hint="eastAsia" w:ascii="宋体" w:hAnsi="宋体" w:cs="宋体"/>
                <w:b/>
                <w:szCs w:val="21"/>
                <w:highlight w:val="none"/>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highlight w:val="none"/>
              </w:rPr>
            </w:pPr>
            <w:r>
              <w:rPr>
                <w:rFonts w:hint="eastAsia" w:ascii="宋体" w:hAnsi="宋体" w:cs="宋体"/>
                <w:b/>
                <w:szCs w:val="21"/>
                <w:highlight w:val="none"/>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highlight w:val="none"/>
              </w:rPr>
            </w:pPr>
            <w:r>
              <w:rPr>
                <w:rFonts w:hint="eastAsia" w:ascii="宋体" w:hAnsi="宋体" w:cs="宋体"/>
                <w:b/>
                <w:szCs w:val="21"/>
                <w:highlight w:val="none"/>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highlight w:val="none"/>
              </w:rPr>
            </w:pPr>
            <w:r>
              <w:rPr>
                <w:rFonts w:hint="eastAsia" w:ascii="宋体" w:hAnsi="宋体" w:cs="宋体"/>
                <w:b/>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360" w:lineRule="auto"/>
              <w:ind w:left="-1" w:leftChars="0"/>
              <w:rPr>
                <w:rFonts w:ascii="宋体"/>
                <w:highlight w:val="none"/>
              </w:rPr>
            </w:pP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1</w:t>
            </w:r>
            <w:r>
              <w:rPr>
                <w:rFonts w:hint="eastAsia" w:ascii="宋体" w:hAnsi="宋体" w:cs="仿宋_GB2312"/>
                <w:szCs w:val="21"/>
                <w:highlight w:val="none"/>
                <w:lang w:eastAsia="zh-CN"/>
              </w:rPr>
              <w:t>）</w:t>
            </w:r>
            <w:r>
              <w:rPr>
                <w:rFonts w:hint="eastAsia" w:ascii="宋体" w:hAnsi="宋体" w:cs="仿宋_GB2312"/>
                <w:szCs w:val="21"/>
                <w:highlight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0"/>
              </w:numPr>
              <w:tabs>
                <w:tab w:val="left" w:pos="531"/>
              </w:tabs>
              <w:snapToGrid w:val="0"/>
              <w:spacing w:line="360" w:lineRule="auto"/>
              <w:ind w:left="-1" w:leftChars="0"/>
              <w:rPr>
                <w:color w:val="auto"/>
                <w:highlight w:val="none"/>
              </w:rPr>
            </w:pP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2</w:t>
            </w:r>
            <w:r>
              <w:rPr>
                <w:rFonts w:hint="eastAsia" w:ascii="宋体" w:hAnsi="宋体" w:cs="仿宋_GB2312"/>
                <w:szCs w:val="21"/>
                <w:highlight w:val="none"/>
                <w:lang w:eastAsia="zh-CN"/>
              </w:rPr>
              <w:t>）</w:t>
            </w:r>
            <w:r>
              <w:rPr>
                <w:rFonts w:hint="eastAsia" w:ascii="宋体" w:hAnsi="宋体" w:cs="仿宋_GB2312"/>
                <w:szCs w:val="21"/>
                <w:highlight w:val="none"/>
              </w:rPr>
              <w:t>投标人代表必须是投标单位的法定代表人或持有法定代表人亲自签署的法人授权委托证明书的人员。（提供法定代表人证明书、法人授权委托证明书及法定代表人、被委托人身份证扫描件并加盖投标人公章；如</w:t>
            </w:r>
            <w:r>
              <w:rPr>
                <w:rFonts w:hint="eastAsia" w:ascii="宋体" w:hAnsi="宋体" w:cs="仿宋_GB2312"/>
                <w:szCs w:val="21"/>
                <w:highlight w:val="none"/>
                <w:lang w:val="en-US" w:eastAsia="zh-CN"/>
              </w:rPr>
              <w:t>投标人</w:t>
            </w:r>
            <w:r>
              <w:rPr>
                <w:rFonts w:hint="eastAsia" w:ascii="宋体" w:hAnsi="宋体" w:cs="仿宋_GB2312"/>
                <w:szCs w:val="21"/>
                <w:highlight w:val="none"/>
              </w:rPr>
              <w:t>法定代表人为本项目授权代表，则仅提供法定代表人证明书及身份证复印件，各证明书须加盖公章，身份证原件备查）。</w:t>
            </w:r>
          </w:p>
          <w:p>
            <w:pPr>
              <w:numPr>
                <w:ilvl w:val="-1"/>
                <w:numId w:val="0"/>
              </w:numPr>
              <w:tabs>
                <w:tab w:val="left" w:pos="531"/>
              </w:tabs>
              <w:snapToGrid w:val="0"/>
              <w:ind w:left="0" w:firstLine="0"/>
              <w:rPr>
                <w:rFonts w:ascii="宋体" w:hAnsi="宋体" w:cs="宋体"/>
                <w:color w:val="FF0000"/>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highlight w:val="none"/>
              </w:rPr>
            </w:pPr>
            <w:r>
              <w:rPr>
                <w:rFonts w:hint="eastAsia" w:ascii="宋体" w:hAnsi="宋体" w:cs="宋体"/>
                <w:snapToGrid/>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360" w:lineRule="auto"/>
              <w:ind w:left="-1" w:firstLine="0"/>
              <w:rPr>
                <w:rFonts w:hint="eastAsia" w:ascii="宋体" w:hAnsi="宋体" w:cs="仿宋_GB2312"/>
                <w:szCs w:val="21"/>
                <w:highlight w:val="none"/>
              </w:rPr>
            </w:pP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1</w:t>
            </w:r>
            <w:r>
              <w:rPr>
                <w:rFonts w:hint="eastAsia" w:ascii="宋体" w:hAnsi="宋体" w:cs="仿宋_GB2312"/>
                <w:szCs w:val="21"/>
                <w:highlight w:val="none"/>
                <w:lang w:eastAsia="zh-CN"/>
              </w:rPr>
              <w:t>）</w:t>
            </w:r>
            <w:r>
              <w:rPr>
                <w:rFonts w:hint="eastAsia" w:ascii="宋体" w:hAnsi="宋体" w:cs="仿宋_GB2312"/>
                <w:szCs w:val="21"/>
                <w:highlight w:val="none"/>
              </w:rPr>
              <w:t>报价以人民币为结算币种，《投标一览表》</w:t>
            </w:r>
            <w:r>
              <w:rPr>
                <w:rFonts w:hint="eastAsia" w:ascii="宋体" w:hAnsi="宋体" w:cs="仿宋_GB2312"/>
                <w:color w:val="auto"/>
                <w:szCs w:val="21"/>
                <w:highlight w:val="none"/>
              </w:rPr>
              <w:t>应包含税率、税额、</w:t>
            </w:r>
            <w:r>
              <w:rPr>
                <w:rFonts w:hint="eastAsia" w:ascii="宋体" w:hAnsi="宋体" w:cs="仿宋_GB2312"/>
                <w:szCs w:val="21"/>
                <w:highlight w:val="none"/>
                <w:lang w:val="en-US" w:eastAsia="zh-CN"/>
              </w:rPr>
              <w:t>未税</w:t>
            </w:r>
            <w:r>
              <w:rPr>
                <w:rFonts w:hint="eastAsia" w:ascii="宋体" w:hAnsi="宋体" w:cs="仿宋_GB2312"/>
                <w:szCs w:val="21"/>
                <w:highlight w:val="none"/>
              </w:rPr>
              <w:t>及</w:t>
            </w:r>
            <w:r>
              <w:rPr>
                <w:rFonts w:hint="eastAsia" w:ascii="宋体" w:hAnsi="宋体" w:cs="仿宋_GB2312"/>
                <w:szCs w:val="21"/>
                <w:highlight w:val="none"/>
                <w:lang w:val="en-US" w:eastAsia="zh-CN"/>
              </w:rPr>
              <w:t>含税</w:t>
            </w:r>
            <w:r>
              <w:rPr>
                <w:rFonts w:hint="eastAsia" w:ascii="宋体" w:hAnsi="宋体" w:cs="仿宋_GB2312"/>
                <w:szCs w:val="21"/>
                <w:highlight w:val="none"/>
              </w:rPr>
              <w:t>总金额。</w:t>
            </w:r>
          </w:p>
          <w:p>
            <w:pPr>
              <w:numPr>
                <w:ilvl w:val="0"/>
                <w:numId w:val="0"/>
              </w:numPr>
              <w:tabs>
                <w:tab w:val="left" w:pos="531"/>
              </w:tabs>
              <w:snapToGrid w:val="0"/>
              <w:spacing w:line="360" w:lineRule="auto"/>
              <w:ind w:left="-1" w:firstLine="0"/>
              <w:rPr>
                <w:rFonts w:hint="eastAsia" w:ascii="宋体" w:hAnsi="宋体" w:cs="仿宋_GB2312"/>
                <w:szCs w:val="21"/>
                <w:highlight w:val="none"/>
              </w:rPr>
            </w:pP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2</w:t>
            </w:r>
            <w:r>
              <w:rPr>
                <w:rFonts w:hint="eastAsia" w:ascii="宋体" w:hAnsi="宋体" w:cs="仿宋_GB2312"/>
                <w:szCs w:val="21"/>
                <w:highlight w:val="none"/>
                <w:lang w:eastAsia="zh-CN"/>
              </w:rPr>
              <w:t>）</w:t>
            </w:r>
            <w:r>
              <w:rPr>
                <w:rFonts w:hint="eastAsia" w:ascii="宋体" w:hAnsi="宋体" w:cs="仿宋_GB2312"/>
                <w:szCs w:val="21"/>
                <w:highlight w:val="none"/>
              </w:rPr>
              <w:t>投标报价不得出现可选择性的报价,含有备选方案的报价将导致废标。</w:t>
            </w:r>
          </w:p>
          <w:p>
            <w:pPr>
              <w:numPr>
                <w:ilvl w:val="0"/>
                <w:numId w:val="0"/>
              </w:numPr>
              <w:tabs>
                <w:tab w:val="left" w:pos="531"/>
              </w:tabs>
              <w:snapToGrid w:val="0"/>
              <w:spacing w:line="360" w:lineRule="auto"/>
              <w:ind w:left="-1" w:leftChars="0"/>
              <w:rPr>
                <w:rFonts w:hint="eastAsia" w:ascii="宋体" w:hAnsi="宋体" w:eastAsia="宋体" w:cs="仿宋_GB2312"/>
                <w:szCs w:val="21"/>
                <w:highlight w:val="none"/>
              </w:rPr>
            </w:pP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lang w:val="en-US" w:eastAsia="zh-CN"/>
              </w:rPr>
              <w:t>3</w:t>
            </w: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rPr>
              <w:t>投标报价包括但不限于</w:t>
            </w:r>
            <w:r>
              <w:rPr>
                <w:rFonts w:hint="eastAsia" w:ascii="宋体" w:hAnsi="宋体" w:eastAsia="宋体" w:cs="仿宋_GB2312"/>
                <w:szCs w:val="21"/>
                <w:highlight w:val="none"/>
                <w:lang w:val="en-US" w:eastAsia="zh-CN"/>
              </w:rPr>
              <w:t>开发</w:t>
            </w:r>
            <w:r>
              <w:rPr>
                <w:rFonts w:hint="eastAsia" w:ascii="宋体" w:hAnsi="宋体" w:eastAsia="宋体" w:cs="仿宋_GB2312"/>
                <w:szCs w:val="21"/>
                <w:highlight w:val="none"/>
              </w:rPr>
              <w:t>费、</w:t>
            </w:r>
            <w:r>
              <w:rPr>
                <w:rFonts w:hint="eastAsia" w:ascii="宋体" w:hAnsi="宋体" w:eastAsia="宋体" w:cs="仿宋_GB2312"/>
                <w:szCs w:val="21"/>
                <w:highlight w:val="none"/>
                <w:lang w:val="en-US" w:eastAsia="zh-CN"/>
              </w:rPr>
              <w:t>实施调试</w:t>
            </w:r>
            <w:r>
              <w:rPr>
                <w:rFonts w:hint="eastAsia" w:ascii="宋体" w:hAnsi="宋体" w:eastAsia="宋体" w:cs="仿宋_GB2312"/>
                <w:szCs w:val="21"/>
                <w:highlight w:val="none"/>
              </w:rPr>
              <w:t>费、</w:t>
            </w:r>
            <w:r>
              <w:rPr>
                <w:rFonts w:hint="eastAsia" w:ascii="宋体" w:hAnsi="宋体" w:eastAsia="宋体" w:cs="仿宋_GB2312"/>
                <w:szCs w:val="21"/>
                <w:highlight w:val="none"/>
                <w:lang w:val="en-US" w:eastAsia="zh-CN"/>
              </w:rPr>
              <w:t>人工</w:t>
            </w:r>
            <w:r>
              <w:rPr>
                <w:rFonts w:hint="eastAsia" w:ascii="宋体" w:hAnsi="宋体" w:eastAsia="宋体" w:cs="仿宋_GB2312"/>
                <w:szCs w:val="21"/>
                <w:highlight w:val="none"/>
              </w:rPr>
              <w:t>费</w:t>
            </w: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lang w:val="en-US" w:eastAsia="zh-CN"/>
              </w:rPr>
              <w:t>餐费、交通费</w:t>
            </w:r>
            <w:r>
              <w:rPr>
                <w:rFonts w:hint="eastAsia" w:ascii="宋体" w:hAnsi="宋体" w:eastAsia="宋体" w:cs="仿宋_GB2312"/>
                <w:szCs w:val="21"/>
                <w:highlight w:val="none"/>
              </w:rPr>
              <w:t>及增值税费等完成本项目所需的全部费用。招标人不再支付任何费用。</w:t>
            </w:r>
          </w:p>
          <w:p>
            <w:pPr>
              <w:numPr>
                <w:ilvl w:val="-1"/>
                <w:numId w:val="0"/>
              </w:numPr>
              <w:tabs>
                <w:tab w:val="left" w:pos="531"/>
              </w:tabs>
              <w:snapToGrid w:val="0"/>
              <w:ind w:left="0" w:firstLine="0"/>
              <w:rPr>
                <w:color w:val="FF0000"/>
                <w:highlight w:val="none"/>
              </w:rPr>
            </w:pP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lang w:val="en-US" w:eastAsia="zh-CN"/>
              </w:rPr>
              <w:t>4</w:t>
            </w: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rPr>
              <w:t>本次投标费用由投标人自理</w:t>
            </w:r>
            <w:r>
              <w:rPr>
                <w:rFonts w:hint="eastAsia" w:ascii="宋体" w:hAnsi="宋体" w:eastAsia="宋体" w:cs="仿宋_GB2312"/>
                <w:szCs w:val="21"/>
                <w:highlight w:val="none"/>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highlight w:val="none"/>
              </w:rPr>
            </w:pPr>
            <w:r>
              <w:rPr>
                <w:rFonts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highlight w:val="none"/>
              </w:rPr>
            </w:pPr>
            <w:r>
              <w:rPr>
                <w:rFonts w:hint="eastAsia" w:ascii="宋体" w:hAnsi="宋体" w:cs="宋体"/>
                <w:snapToGrid/>
                <w:spacing w:val="0"/>
                <w:kern w:val="2"/>
                <w:sz w:val="21"/>
                <w:szCs w:val="21"/>
                <w:highlight w:val="none"/>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color w:val="FF0000"/>
                <w:szCs w:val="21"/>
                <w:highlight w:val="none"/>
              </w:rPr>
            </w:pPr>
            <w:r>
              <w:rPr>
                <w:rFonts w:hint="eastAsia" w:ascii="宋体" w:hAnsi="宋体" w:cs="仿宋_GB2312"/>
                <w:szCs w:val="21"/>
                <w:highlight w:val="none"/>
              </w:rPr>
              <w:t>本项目采购控制金额为人民币</w:t>
            </w:r>
            <w:r>
              <w:rPr>
                <w:rFonts w:hint="eastAsia" w:ascii="宋体" w:hAnsi="宋体" w:cs="仿宋_GB2312"/>
                <w:szCs w:val="21"/>
                <w:highlight w:val="none"/>
                <w:lang w:val="en-US" w:eastAsia="zh-CN"/>
              </w:rPr>
              <w:t>35</w:t>
            </w:r>
            <w:r>
              <w:rPr>
                <w:rFonts w:hint="eastAsia" w:ascii="宋体" w:hAnsi="宋体" w:cs="仿宋_GB2312"/>
                <w:szCs w:val="21"/>
                <w:highlight w:val="none"/>
              </w:rPr>
              <w:t>万元（含税），报价超过上述控制金额的投标文件作废标处理。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highlight w:val="none"/>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highlight w:val="none"/>
              </w:rPr>
            </w:pPr>
            <w:r>
              <w:rPr>
                <w:rFonts w:hint="eastAsia" w:ascii="宋体" w:hAnsi="宋体" w:cs="宋体"/>
                <w:snapToGrid/>
                <w:spacing w:val="0"/>
                <w:kern w:val="2"/>
                <w:sz w:val="21"/>
                <w:szCs w:val="21"/>
                <w:highlight w:val="none"/>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360" w:lineRule="auto"/>
              <w:ind w:left="-1"/>
              <w:rPr>
                <w:rFonts w:hint="eastAsia" w:ascii="宋体" w:hAnsi="宋体" w:cs="仿宋_GB2312"/>
                <w:szCs w:val="21"/>
                <w:highlight w:val="none"/>
              </w:rPr>
            </w:pP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1</w:t>
            </w:r>
            <w:r>
              <w:rPr>
                <w:rFonts w:hint="eastAsia" w:ascii="宋体" w:hAnsi="宋体" w:cs="仿宋_GB2312"/>
                <w:szCs w:val="21"/>
                <w:highlight w:val="none"/>
                <w:lang w:eastAsia="zh-CN"/>
              </w:rPr>
              <w:t>）</w:t>
            </w:r>
            <w:r>
              <w:rPr>
                <w:rFonts w:hint="eastAsia" w:ascii="宋体" w:hAnsi="宋体" w:cs="仿宋_GB2312"/>
                <w:szCs w:val="21"/>
                <w:highlight w:val="none"/>
              </w:rPr>
              <w:t>合同签订后，支付合同总金额的</w:t>
            </w:r>
            <w:r>
              <w:rPr>
                <w:rFonts w:hint="eastAsia" w:ascii="宋体" w:hAnsi="宋体" w:cs="仿宋_GB2312"/>
                <w:szCs w:val="21"/>
                <w:highlight w:val="none"/>
                <w:lang w:val="en-US" w:eastAsia="zh-CN"/>
              </w:rPr>
              <w:t>3</w:t>
            </w:r>
            <w:r>
              <w:rPr>
                <w:rFonts w:hint="eastAsia" w:ascii="宋体" w:hAnsi="宋体" w:cs="仿宋_GB2312"/>
                <w:szCs w:val="21"/>
                <w:highlight w:val="none"/>
              </w:rPr>
              <w:t>0%。</w:t>
            </w:r>
          </w:p>
          <w:p>
            <w:pPr>
              <w:numPr>
                <w:ilvl w:val="0"/>
                <w:numId w:val="0"/>
              </w:numPr>
              <w:tabs>
                <w:tab w:val="left" w:pos="531"/>
              </w:tabs>
              <w:snapToGrid w:val="0"/>
              <w:spacing w:line="360" w:lineRule="auto"/>
              <w:ind w:left="-1"/>
              <w:rPr>
                <w:rFonts w:hint="eastAsia" w:ascii="宋体" w:hAnsi="宋体" w:cs="仿宋_GB2312"/>
                <w:szCs w:val="21"/>
                <w:highlight w:val="none"/>
              </w:rPr>
            </w:pP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2</w:t>
            </w:r>
            <w:r>
              <w:rPr>
                <w:rFonts w:hint="eastAsia" w:ascii="宋体" w:hAnsi="宋体" w:cs="仿宋_GB2312"/>
                <w:szCs w:val="21"/>
                <w:highlight w:val="none"/>
                <w:lang w:eastAsia="zh-CN"/>
              </w:rPr>
              <w:t>）</w:t>
            </w:r>
            <w:r>
              <w:rPr>
                <w:rFonts w:hint="eastAsia" w:ascii="宋体" w:hAnsi="宋体" w:cs="仿宋_GB2312"/>
                <w:szCs w:val="21"/>
                <w:highlight w:val="none"/>
              </w:rPr>
              <w:t>项目</w:t>
            </w:r>
            <w:r>
              <w:rPr>
                <w:rFonts w:hint="eastAsia" w:ascii="宋体" w:hAnsi="宋体" w:cs="仿宋_GB2312"/>
                <w:szCs w:val="21"/>
                <w:highlight w:val="none"/>
                <w:lang w:val="en-US" w:eastAsia="zh-CN"/>
              </w:rPr>
              <w:t>交付且</w:t>
            </w:r>
            <w:r>
              <w:rPr>
                <w:rFonts w:hint="eastAsia" w:ascii="宋体" w:hAnsi="宋体" w:cs="仿宋_GB2312"/>
                <w:szCs w:val="21"/>
                <w:highlight w:val="none"/>
              </w:rPr>
              <w:t>验收合格后，支付合同总金额的</w:t>
            </w:r>
            <w:r>
              <w:rPr>
                <w:rFonts w:hint="eastAsia" w:ascii="宋体" w:hAnsi="宋体" w:cs="仿宋_GB2312"/>
                <w:szCs w:val="21"/>
                <w:highlight w:val="none"/>
                <w:lang w:val="en-US" w:eastAsia="zh-CN"/>
              </w:rPr>
              <w:t>6</w:t>
            </w:r>
            <w:r>
              <w:rPr>
                <w:rFonts w:hint="eastAsia" w:ascii="宋体" w:hAnsi="宋体" w:cs="仿宋_GB2312"/>
                <w:szCs w:val="21"/>
                <w:highlight w:val="none"/>
              </w:rPr>
              <w:t>0%。</w:t>
            </w:r>
          </w:p>
          <w:p>
            <w:pPr>
              <w:numPr>
                <w:ilvl w:val="-1"/>
                <w:numId w:val="0"/>
              </w:numPr>
              <w:tabs>
                <w:tab w:val="left" w:pos="531"/>
              </w:tabs>
              <w:snapToGrid w:val="0"/>
              <w:spacing w:line="360" w:lineRule="auto"/>
              <w:ind w:left="0" w:firstLine="0"/>
              <w:rPr>
                <w:rFonts w:hint="eastAsia" w:ascii="宋体" w:hAnsi="宋体" w:cs="仿宋_GB2312"/>
                <w:szCs w:val="21"/>
                <w:highlight w:val="none"/>
              </w:rPr>
            </w:pP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3</w:t>
            </w: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质保期满</w:t>
            </w:r>
            <w:r>
              <w:rPr>
                <w:rFonts w:hint="eastAsia" w:ascii="宋体" w:hAnsi="宋体" w:cs="仿宋_GB2312"/>
                <w:szCs w:val="21"/>
                <w:highlight w:val="none"/>
              </w:rPr>
              <w:t>后，招标人书面确认无任何遗留问题</w:t>
            </w:r>
            <w:r>
              <w:rPr>
                <w:rFonts w:hint="eastAsia" w:ascii="宋体" w:hAnsi="宋体" w:cs="宋体"/>
                <w:color w:val="auto"/>
                <w:highlight w:val="none"/>
              </w:rPr>
              <w:t>且完成罚金、违约金等清算后，一次性支付剩余款项（不计利息）。</w:t>
            </w:r>
          </w:p>
          <w:p>
            <w:pPr>
              <w:numPr>
                <w:ilvl w:val="0"/>
                <w:numId w:val="0"/>
              </w:numPr>
              <w:tabs>
                <w:tab w:val="left" w:pos="531"/>
              </w:tabs>
              <w:snapToGrid w:val="0"/>
              <w:spacing w:line="360" w:lineRule="auto"/>
              <w:ind w:left="-1"/>
              <w:rPr>
                <w:rFonts w:hint="eastAsia" w:ascii="宋体" w:hAnsi="宋体" w:cs="仿宋_GB2312"/>
                <w:szCs w:val="21"/>
                <w:highlight w:val="none"/>
              </w:rPr>
            </w:pP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4</w:t>
            </w:r>
            <w:r>
              <w:rPr>
                <w:rFonts w:hint="eastAsia" w:ascii="宋体" w:hAnsi="宋体" w:cs="仿宋_GB2312"/>
                <w:szCs w:val="21"/>
                <w:highlight w:val="none"/>
                <w:lang w:eastAsia="zh-CN"/>
              </w:rPr>
              <w:t>）</w:t>
            </w:r>
            <w:r>
              <w:rPr>
                <w:rFonts w:hint="eastAsia" w:ascii="宋体" w:hAnsi="宋体" w:cs="仿宋_GB2312"/>
                <w:szCs w:val="21"/>
                <w:highlight w:val="none"/>
              </w:rPr>
              <w:t>招标人在办理合同款项支付前，</w:t>
            </w:r>
            <w:r>
              <w:rPr>
                <w:rFonts w:hint="eastAsia" w:ascii="宋体" w:hAnsi="宋体" w:cs="仿宋_GB2312"/>
                <w:szCs w:val="21"/>
                <w:highlight w:val="none"/>
                <w:lang w:val="en-US" w:eastAsia="zh-CN"/>
              </w:rPr>
              <w:t>投标人</w:t>
            </w:r>
            <w:r>
              <w:rPr>
                <w:rFonts w:hint="eastAsia" w:ascii="宋体" w:hAnsi="宋体" w:cs="仿宋_GB2312"/>
                <w:szCs w:val="21"/>
                <w:highlight w:val="none"/>
              </w:rPr>
              <w:t>需提供</w:t>
            </w:r>
            <w:r>
              <w:rPr>
                <w:rFonts w:hint="eastAsia" w:ascii="宋体" w:hAnsi="宋体" w:cs="仿宋_GB2312"/>
                <w:szCs w:val="21"/>
                <w:highlight w:val="none"/>
                <w:lang w:val="en-US" w:eastAsia="zh-CN"/>
              </w:rPr>
              <w:t>等额、有效</w:t>
            </w:r>
            <w:r>
              <w:rPr>
                <w:rFonts w:hint="eastAsia" w:ascii="宋体" w:hAnsi="宋体" w:cs="仿宋_GB2312"/>
                <w:szCs w:val="21"/>
                <w:highlight w:val="none"/>
              </w:rPr>
              <w:t>的增值税发票。</w:t>
            </w:r>
          </w:p>
          <w:p>
            <w:pPr>
              <w:numPr>
                <w:ilvl w:val="0"/>
                <w:numId w:val="0"/>
              </w:numPr>
              <w:tabs>
                <w:tab w:val="left" w:pos="531"/>
              </w:tabs>
              <w:snapToGrid w:val="0"/>
              <w:spacing w:line="360" w:lineRule="auto"/>
              <w:ind w:left="-1"/>
              <w:rPr>
                <w:rFonts w:hint="eastAsia" w:ascii="宋体" w:hAnsi="宋体" w:cs="仿宋_GB2312"/>
                <w:szCs w:val="21"/>
                <w:highlight w:val="none"/>
              </w:rPr>
            </w:pP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5</w:t>
            </w:r>
            <w:r>
              <w:rPr>
                <w:rFonts w:hint="eastAsia" w:ascii="宋体" w:hAnsi="宋体" w:cs="仿宋_GB2312"/>
                <w:szCs w:val="21"/>
                <w:highlight w:val="none"/>
                <w:lang w:eastAsia="zh-CN"/>
              </w:rPr>
              <w:t>）</w:t>
            </w:r>
            <w:r>
              <w:rPr>
                <w:rFonts w:hint="eastAsia" w:ascii="宋体" w:hAnsi="宋体" w:cs="仿宋_GB2312"/>
                <w:szCs w:val="21"/>
                <w:highlight w:val="none"/>
              </w:rPr>
              <w:t>对属于本项目采购范围但未实际发生或实施的项目内容，相应费用按实予以扣减。</w:t>
            </w:r>
          </w:p>
          <w:p>
            <w:pPr>
              <w:numPr>
                <w:ilvl w:val="0"/>
                <w:numId w:val="0"/>
              </w:numPr>
              <w:tabs>
                <w:tab w:val="left" w:pos="531"/>
              </w:tabs>
              <w:snapToGrid w:val="0"/>
              <w:spacing w:line="360" w:lineRule="auto"/>
              <w:ind w:left="-1"/>
              <w:rPr>
                <w:rFonts w:hint="eastAsia" w:ascii="宋体" w:hAnsi="宋体" w:cs="仿宋_GB2312"/>
                <w:szCs w:val="21"/>
                <w:highlight w:val="none"/>
              </w:rPr>
            </w:pP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6</w:t>
            </w:r>
            <w:r>
              <w:rPr>
                <w:rFonts w:hint="eastAsia" w:ascii="宋体" w:hAnsi="宋体" w:cs="仿宋_GB2312"/>
                <w:szCs w:val="21"/>
                <w:highlight w:val="none"/>
                <w:lang w:eastAsia="zh-CN"/>
              </w:rPr>
              <w:t>）</w:t>
            </w:r>
            <w:r>
              <w:rPr>
                <w:rFonts w:hint="eastAsia" w:ascii="宋体" w:hAnsi="宋体" w:cs="宋体"/>
                <w:color w:val="auto"/>
                <w:highlight w:val="none"/>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highlight w:val="none"/>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highlight w:val="none"/>
              </w:rPr>
            </w:pPr>
            <w:r>
              <w:rPr>
                <w:rFonts w:hint="eastAsia" w:ascii="宋体" w:hAnsi="宋体" w:cs="宋体"/>
                <w:snapToGrid/>
                <w:spacing w:val="0"/>
                <w:kern w:val="2"/>
                <w:sz w:val="21"/>
                <w:szCs w:val="21"/>
                <w:highlight w:val="none"/>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交付时间</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360" w:lineRule="auto"/>
              <w:ind w:left="-1"/>
              <w:rPr>
                <w:rFonts w:hint="eastAsia" w:ascii="宋体" w:hAnsi="宋体" w:eastAsia="宋体" w:cs="仿宋_GB2312"/>
                <w:color w:val="auto"/>
                <w:szCs w:val="21"/>
                <w:highlight w:val="none"/>
              </w:rPr>
            </w:pPr>
            <w:r>
              <w:rPr>
                <w:rFonts w:hint="eastAsia" w:ascii="宋体" w:hAnsi="宋体" w:eastAsia="宋体" w:cs="仿宋_GB2312"/>
                <w:szCs w:val="21"/>
                <w:highlight w:val="none"/>
              </w:rPr>
              <w:t>本项目交付期限</w:t>
            </w:r>
            <w:r>
              <w:rPr>
                <w:rFonts w:hint="eastAsia" w:ascii="宋体" w:hAnsi="宋体" w:cs="仿宋_GB2312"/>
                <w:szCs w:val="21"/>
                <w:highlight w:val="none"/>
                <w:lang w:val="en-US" w:eastAsia="zh-CN"/>
              </w:rPr>
              <w:t>自</w:t>
            </w:r>
            <w:r>
              <w:rPr>
                <w:rFonts w:hint="eastAsia" w:ascii="宋体" w:hAnsi="宋体"/>
                <w:color w:val="auto"/>
                <w:szCs w:val="21"/>
                <w:highlight w:val="none"/>
                <w:u w:val="none"/>
                <w:lang w:val="en-US" w:eastAsia="zh-CN"/>
              </w:rPr>
              <w:t>接到中标通知之日</w:t>
            </w:r>
            <w:r>
              <w:rPr>
                <w:rFonts w:hint="eastAsia" w:ascii="宋体" w:hAnsi="宋体" w:cs="仿宋_GB2312"/>
                <w:szCs w:val="21"/>
                <w:highlight w:val="none"/>
                <w:lang w:val="en-US" w:eastAsia="zh-CN"/>
              </w:rPr>
              <w:t>起</w:t>
            </w:r>
            <w:r>
              <w:rPr>
                <w:rFonts w:hint="eastAsia" w:ascii="宋体" w:hAnsi="宋体" w:eastAsia="宋体" w:cs="仿宋_GB2312"/>
                <w:szCs w:val="21"/>
                <w:highlight w:val="none"/>
              </w:rPr>
              <w:t>30个自然日</w:t>
            </w:r>
            <w:r>
              <w:rPr>
                <w:rFonts w:hint="eastAsia" w:ascii="宋体" w:hAnsi="宋体" w:cs="仿宋_GB2312"/>
                <w:szCs w:val="21"/>
                <w:highlight w:val="none"/>
                <w:lang w:eastAsia="zh-CN"/>
              </w:rPr>
              <w:t>，</w:t>
            </w:r>
            <w:r>
              <w:rPr>
                <w:rFonts w:hint="eastAsia" w:ascii="宋体" w:hAnsi="宋体" w:eastAsia="宋体" w:cs="仿宋_GB2312"/>
                <w:szCs w:val="21"/>
                <w:highlight w:val="none"/>
              </w:rPr>
              <w:t>完成需求调研、设计、编码、测试、部署上线及初步验收合格。</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highlight w:val="none"/>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highlight w:val="none"/>
                <w:lang w:val="en-US" w:eastAsia="zh-CN"/>
              </w:rPr>
            </w:pPr>
            <w:r>
              <w:rPr>
                <w:rFonts w:hint="eastAsia" w:ascii="宋体" w:hAnsi="宋体" w:cs="宋体"/>
                <w:snapToGrid/>
                <w:spacing w:val="0"/>
                <w:kern w:val="2"/>
                <w:sz w:val="21"/>
                <w:szCs w:val="21"/>
                <w:highlight w:val="none"/>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highlight w:val="none"/>
              </w:rPr>
            </w:pPr>
            <w:r>
              <w:rPr>
                <w:rFonts w:hint="eastAsia" w:ascii="宋体" w:hAnsi="宋体" w:cs="宋体"/>
                <w:szCs w:val="21"/>
                <w:highlight w:val="none"/>
              </w:rPr>
              <w:t>知识产权</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360" w:lineRule="auto"/>
              <w:ind w:left="-1"/>
              <w:rPr>
                <w:rFonts w:hint="eastAsia" w:ascii="宋体" w:hAnsi="宋体" w:cs="仿宋_GB2312"/>
                <w:szCs w:val="21"/>
                <w:highlight w:val="none"/>
              </w:rPr>
            </w:pP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1</w:t>
            </w:r>
            <w:r>
              <w:rPr>
                <w:rFonts w:hint="eastAsia" w:ascii="宋体" w:hAnsi="宋体" w:cs="仿宋_GB2312"/>
                <w:szCs w:val="21"/>
                <w:highlight w:val="none"/>
                <w:lang w:eastAsia="zh-CN"/>
              </w:rPr>
              <w:t>）</w:t>
            </w:r>
            <w:r>
              <w:rPr>
                <w:rFonts w:hint="eastAsia" w:ascii="宋体" w:hAnsi="宋体" w:cs="仿宋_GB2312"/>
                <w:szCs w:val="21"/>
                <w:highlight w:val="none"/>
              </w:rPr>
              <w:t>投标人在本项目实施过程中所产生的技术成果，其知识产权归招标人所有。</w:t>
            </w:r>
          </w:p>
          <w:p>
            <w:pPr>
              <w:numPr>
                <w:ilvl w:val="0"/>
                <w:numId w:val="0"/>
              </w:numPr>
              <w:tabs>
                <w:tab w:val="left" w:pos="531"/>
              </w:tabs>
              <w:snapToGrid w:val="0"/>
              <w:spacing w:line="360" w:lineRule="auto"/>
              <w:ind w:left="-1"/>
              <w:rPr>
                <w:rFonts w:hint="eastAsia" w:ascii="宋体" w:hAnsi="宋体" w:cs="仿宋_GB2312"/>
                <w:szCs w:val="21"/>
                <w:highlight w:val="none"/>
              </w:rPr>
            </w:pP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2</w:t>
            </w:r>
            <w:r>
              <w:rPr>
                <w:rFonts w:hint="eastAsia" w:ascii="宋体" w:hAnsi="宋体" w:cs="仿宋_GB2312"/>
                <w:szCs w:val="21"/>
                <w:highlight w:val="none"/>
                <w:lang w:eastAsia="zh-CN"/>
              </w:rPr>
              <w:t>）</w:t>
            </w:r>
            <w:r>
              <w:rPr>
                <w:rFonts w:hint="eastAsia" w:ascii="宋体" w:hAnsi="宋体" w:cs="仿宋_GB2312"/>
                <w:szCs w:val="21"/>
                <w:highlight w:val="none"/>
              </w:rPr>
              <w:t>投标人不得有模仿、抄袭等侵权行为。招标人在使用项目成果的任何一部分时，免受第三方提出的涉及知识产权的诉讼或索偿，若由此导致的任何责任与风险均由投标人承担。</w:t>
            </w:r>
          </w:p>
          <w:p>
            <w:pPr>
              <w:numPr>
                <w:ilvl w:val="0"/>
                <w:numId w:val="0"/>
              </w:numPr>
              <w:tabs>
                <w:tab w:val="left" w:pos="531"/>
              </w:tabs>
              <w:snapToGrid w:val="0"/>
              <w:spacing w:line="360" w:lineRule="auto"/>
              <w:ind w:left="-1"/>
              <w:rPr>
                <w:rFonts w:hint="eastAsia" w:ascii="宋体" w:hAnsi="宋体" w:cs="仿宋_GB2312"/>
                <w:szCs w:val="21"/>
                <w:highlight w:val="none"/>
              </w:rPr>
            </w:pP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3</w:t>
            </w:r>
            <w:r>
              <w:rPr>
                <w:rFonts w:hint="eastAsia" w:ascii="宋体" w:hAnsi="宋体" w:cs="仿宋_GB2312"/>
                <w:szCs w:val="21"/>
                <w:highlight w:val="none"/>
                <w:lang w:eastAsia="zh-CN"/>
              </w:rPr>
              <w:t>）</w:t>
            </w:r>
            <w:r>
              <w:rPr>
                <w:rFonts w:hint="eastAsia" w:ascii="宋体" w:hAnsi="宋体" w:cs="仿宋_GB2312"/>
                <w:szCs w:val="21"/>
                <w:highlight w:val="none"/>
              </w:rPr>
              <w:t>若本项目应用到投标人所持有的专有技术的，投标人应在本项目相应文件中或项目实施过程中事先声明并提交相关证明。</w:t>
            </w:r>
          </w:p>
          <w:p>
            <w:pPr>
              <w:numPr>
                <w:ilvl w:val="0"/>
                <w:numId w:val="0"/>
              </w:numPr>
              <w:tabs>
                <w:tab w:val="left" w:pos="531"/>
              </w:tabs>
              <w:snapToGrid w:val="0"/>
              <w:spacing w:line="360" w:lineRule="auto"/>
              <w:ind w:left="-1"/>
              <w:rPr>
                <w:rFonts w:hint="eastAsia" w:ascii="宋体" w:hAnsi="宋体" w:eastAsia="宋体" w:cs="仿宋_GB2312"/>
                <w:szCs w:val="21"/>
                <w:highlight w:val="none"/>
                <w:lang w:val="en-US" w:eastAsia="zh-CN"/>
              </w:rPr>
            </w:pP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4</w:t>
            </w:r>
            <w:r>
              <w:rPr>
                <w:rFonts w:hint="eastAsia" w:ascii="宋体" w:hAnsi="宋体" w:cs="仿宋_GB2312"/>
                <w:szCs w:val="21"/>
                <w:highlight w:val="none"/>
                <w:lang w:eastAsia="zh-CN"/>
              </w:rPr>
              <w:t>）</w:t>
            </w:r>
            <w:r>
              <w:rPr>
                <w:rFonts w:hint="eastAsia" w:ascii="宋体" w:hAnsi="宋体" w:cs="仿宋_GB2312"/>
                <w:szCs w:val="21"/>
                <w:highlight w:val="none"/>
              </w:rPr>
              <w:t>招标人拥有上述专有技术的免费使用权，且在本系统使用生命周期内，享有投标人免费提供版本升级的权利。</w:t>
            </w:r>
          </w:p>
          <w:p>
            <w:pPr>
              <w:numPr>
                <w:ilvl w:val="0"/>
                <w:numId w:val="0"/>
              </w:numPr>
              <w:tabs>
                <w:tab w:val="left" w:pos="531"/>
              </w:tabs>
              <w:snapToGrid w:val="0"/>
              <w:spacing w:line="360" w:lineRule="auto"/>
              <w:ind w:left="-1"/>
              <w:rPr>
                <w:rFonts w:hint="eastAsia" w:ascii="宋体" w:hAnsi="宋体" w:eastAsia="宋体" w:cs="仿宋_GB2312"/>
                <w:szCs w:val="21"/>
                <w:highlight w:val="none"/>
                <w:lang w:val="en-US" w:eastAsia="zh-CN"/>
              </w:rPr>
            </w:pP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5</w:t>
            </w:r>
            <w:r>
              <w:rPr>
                <w:rFonts w:hint="eastAsia" w:ascii="宋体" w:hAnsi="宋体" w:cs="仿宋_GB2312"/>
                <w:szCs w:val="21"/>
                <w:highlight w:val="none"/>
                <w:lang w:eastAsia="zh-CN"/>
              </w:rPr>
              <w:t>）</w:t>
            </w:r>
            <w:r>
              <w:rPr>
                <w:rFonts w:hint="eastAsia" w:ascii="宋体" w:hAnsi="宋体" w:cs="仿宋_GB2312"/>
                <w:szCs w:val="21"/>
                <w:highlight w:val="none"/>
              </w:rPr>
              <w:t>投标人在本项目中所使用的任何第三方产品（包括软件、硬件），均须保证使用的合法性。若在本项目的实施过程中，发生任何与第三方涉及知识产权方面的纠纷或诉讼，投标人需自行承担相关责任，并退还招标人已支付款项；同时，招标人有权单方面解除本合同，并保留进一步追究损失赔偿的权利。</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highlight w:val="none"/>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highlight w:val="none"/>
              </w:rPr>
            </w:pPr>
            <w:r>
              <w:rPr>
                <w:rFonts w:hint="eastAsia" w:ascii="宋体" w:hAnsi="宋体" w:cs="宋体"/>
                <w:b/>
                <w:szCs w:val="21"/>
                <w:highlight w:val="none"/>
              </w:rPr>
              <w:t>（二）技术</w:t>
            </w:r>
            <w:r>
              <w:rPr>
                <w:rFonts w:ascii="宋体" w:hAnsi="宋体" w:cs="宋体"/>
                <w:b/>
                <w:szCs w:val="21"/>
                <w:highlight w:val="none"/>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highlight w:val="none"/>
              </w:rPr>
            </w:pPr>
            <w:r>
              <w:rPr>
                <w:rFonts w:hint="eastAsia" w:ascii="宋体" w:hAnsi="宋体" w:cs="宋体"/>
                <w:b/>
                <w:szCs w:val="21"/>
                <w:highlight w:val="none"/>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highlight w:val="none"/>
              </w:rPr>
            </w:pPr>
            <w:r>
              <w:rPr>
                <w:rFonts w:hint="eastAsia" w:ascii="宋体" w:hAnsi="宋体" w:cs="宋体"/>
                <w:b/>
                <w:szCs w:val="21"/>
                <w:highlight w:val="none"/>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highlight w:val="none"/>
              </w:rPr>
            </w:pPr>
            <w:r>
              <w:rPr>
                <w:rFonts w:hint="eastAsia" w:ascii="宋体" w:hAnsi="宋体" w:cs="宋体"/>
                <w:b/>
                <w:szCs w:val="21"/>
                <w:highlight w:val="none"/>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highlight w:val="none"/>
              </w:rPr>
            </w:pPr>
            <w:r>
              <w:rPr>
                <w:rFonts w:hint="eastAsia" w:ascii="宋体" w:hAnsi="宋体" w:cs="宋体"/>
                <w:b/>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highlight w:val="none"/>
              </w:rPr>
            </w:pPr>
            <w:r>
              <w:rPr>
                <w:rFonts w:hint="eastAsia" w:ascii="宋体" w:hAnsi="宋体" w:cs="宋体"/>
                <w:snapToGrid/>
                <w:spacing w:val="0"/>
                <w:kern w:val="2"/>
                <w:sz w:val="21"/>
                <w:szCs w:val="21"/>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highlight w:val="none"/>
              </w:rPr>
            </w:pPr>
            <w:r>
              <w:rPr>
                <w:rFonts w:hint="eastAsia" w:ascii="宋体" w:hAnsi="宋体"/>
                <w:szCs w:val="21"/>
                <w:highlight w:val="none"/>
              </w:rPr>
              <w:t>总体要求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360" w:lineRule="auto"/>
              <w:ind w:left="-1"/>
              <w:rPr>
                <w:rFonts w:hint="eastAsia" w:ascii="宋体" w:hAnsi="宋体" w:cs="仿宋_GB2312"/>
                <w:color w:val="auto"/>
                <w:szCs w:val="21"/>
                <w:highlight w:val="none"/>
              </w:rPr>
            </w:pPr>
            <w:r>
              <w:rPr>
                <w:rFonts w:hint="eastAsia" w:ascii="宋体" w:hAnsi="宋体" w:eastAsia="宋体" w:cs="仿宋_GB2312"/>
                <w:szCs w:val="21"/>
                <w:highlight w:val="none"/>
                <w:lang w:val="en-US" w:eastAsia="zh-CN"/>
              </w:rPr>
              <w:t>投</w:t>
            </w:r>
            <w:r>
              <w:rPr>
                <w:rFonts w:hint="eastAsia" w:ascii="宋体" w:hAnsi="宋体" w:eastAsia="宋体" w:cs="仿宋_GB2312"/>
                <w:szCs w:val="21"/>
                <w:highlight w:val="none"/>
              </w:rPr>
              <w:t>标人</w:t>
            </w:r>
            <w:r>
              <w:rPr>
                <w:rFonts w:hint="eastAsia" w:ascii="宋体" w:hAnsi="宋体" w:cs="仿宋_GB2312"/>
                <w:szCs w:val="21"/>
                <w:highlight w:val="none"/>
                <w:lang w:val="en-US" w:eastAsia="zh-CN"/>
              </w:rPr>
              <w:t>需根据项目需求</w:t>
            </w:r>
            <w:r>
              <w:rPr>
                <w:rFonts w:hint="eastAsia" w:ascii="宋体" w:hAnsi="宋体" w:eastAsia="宋体" w:cs="仿宋_GB2312"/>
                <w:szCs w:val="21"/>
                <w:highlight w:val="none"/>
              </w:rPr>
              <w:t>提供完整合理的项目方案，内容应包含但不限于对项目的总体理解、对项目需求的分析，提出针对性的规划和后续拓展思路等。</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FF0000"/>
                <w:szCs w:val="21"/>
                <w:highlight w:val="none"/>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highlight w:val="none"/>
              </w:rPr>
            </w:pPr>
            <w:r>
              <w:rPr>
                <w:rFonts w:hint="eastAsia" w:ascii="宋体" w:hAnsi="宋体" w:cs="宋体"/>
                <w:snapToGrid/>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highlight w:val="none"/>
              </w:rPr>
            </w:pPr>
            <w:r>
              <w:rPr>
                <w:rFonts w:hint="eastAsia" w:ascii="宋体" w:hAnsi="宋体"/>
                <w:szCs w:val="21"/>
                <w:highlight w:val="none"/>
              </w:rPr>
              <w:t>系统</w:t>
            </w:r>
            <w:r>
              <w:rPr>
                <w:rFonts w:hint="eastAsia" w:ascii="宋体" w:hAnsi="宋体"/>
                <w:szCs w:val="21"/>
                <w:highlight w:val="none"/>
                <w:lang w:val="en-US" w:eastAsia="zh-CN"/>
              </w:rPr>
              <w:t>升级改造服务</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360" w:lineRule="auto"/>
              <w:ind w:left="-1"/>
              <w:rPr>
                <w:rFonts w:hint="eastAsia" w:ascii="宋体" w:hAnsi="宋体" w:cs="仿宋_GB2312"/>
                <w:b/>
                <w:bCs/>
                <w:szCs w:val="21"/>
                <w:highlight w:val="none"/>
                <w:lang w:val="en-US" w:eastAsia="zh-CN"/>
              </w:rPr>
            </w:pPr>
            <w:r>
              <w:rPr>
                <w:rFonts w:hint="eastAsia" w:ascii="宋体" w:hAnsi="宋体" w:cs="仿宋_GB2312"/>
                <w:b/>
                <w:bCs/>
                <w:sz w:val="21"/>
                <w:szCs w:val="21"/>
                <w:highlight w:val="none"/>
                <w:lang w:val="en-US" w:eastAsia="zh-CN"/>
              </w:rPr>
              <w:t>（1）</w:t>
            </w:r>
            <w:r>
              <w:rPr>
                <w:rFonts w:hint="eastAsia" w:ascii="宋体" w:hAnsi="宋体" w:eastAsia="宋体" w:cs="仿宋_GB2312"/>
                <w:b/>
                <w:bCs/>
                <w:szCs w:val="21"/>
                <w:highlight w:val="none"/>
              </w:rPr>
              <w:t>CIS展商中文主页及各分页</w:t>
            </w:r>
            <w:r>
              <w:rPr>
                <w:rFonts w:hint="eastAsia" w:ascii="宋体" w:hAnsi="宋体" w:cs="仿宋_GB2312"/>
                <w:b/>
                <w:bCs/>
                <w:szCs w:val="21"/>
                <w:highlight w:val="none"/>
                <w:lang w:val="en-US" w:eastAsia="zh-CN"/>
              </w:rPr>
              <w:t>模块修改</w:t>
            </w:r>
          </w:p>
          <w:p>
            <w:pPr>
              <w:numPr>
                <w:ilvl w:val="0"/>
                <w:numId w:val="0"/>
              </w:numPr>
              <w:tabs>
                <w:tab w:val="left" w:pos="531"/>
              </w:tabs>
              <w:snapToGrid w:val="0"/>
              <w:spacing w:line="360" w:lineRule="auto"/>
              <w:ind w:left="-1"/>
              <w:rPr>
                <w:rFonts w:hint="eastAsia" w:ascii="宋体" w:hAnsi="宋体" w:cs="仿宋_GB2312"/>
                <w:szCs w:val="21"/>
                <w:highlight w:val="none"/>
                <w:lang w:val="en-US" w:eastAsia="zh-CN"/>
              </w:rPr>
            </w:pPr>
            <w:r>
              <w:rPr>
                <w:rFonts w:hint="eastAsia" w:ascii="宋体" w:hAnsi="宋体" w:eastAsia="宋体" w:cs="仿宋_GB2312"/>
                <w:szCs w:val="21"/>
                <w:highlight w:val="none"/>
                <w:lang w:val="en-US" w:eastAsia="zh-CN"/>
              </w:rPr>
              <w:t>根据实际业务情况对现有CIS前端（展商端中文版、展商端英文版）进行功能结构调整，相似业务进行合并，页面功能进行重新划分，以及涉及到的后台功能及业务同步调整。</w:t>
            </w:r>
            <w:r>
              <w:rPr>
                <w:rFonts w:hint="eastAsia" w:ascii="宋体" w:hAnsi="宋体" w:cs="仿宋_GB2312"/>
                <w:szCs w:val="21"/>
                <w:highlight w:val="none"/>
                <w:lang w:val="en-US" w:eastAsia="zh-CN"/>
              </w:rPr>
              <w:t>包括</w:t>
            </w:r>
            <w:r>
              <w:rPr>
                <w:rFonts w:hint="eastAsia" w:ascii="宋体" w:hAnsi="宋体" w:eastAsia="宋体" w:cs="仿宋_GB2312"/>
                <w:szCs w:val="21"/>
                <w:highlight w:val="none"/>
                <w:lang w:val="en-US" w:eastAsia="zh-CN"/>
              </w:rPr>
              <w:t>论坛报名、各类活动报名，优秀产品奖、优秀展示奖、优创展区、新产品新技术发布、媒体线索表、响应采访需求等</w:t>
            </w:r>
            <w:r>
              <w:rPr>
                <w:rFonts w:hint="eastAsia" w:ascii="宋体" w:hAnsi="宋体" w:cs="仿宋_GB2312"/>
                <w:szCs w:val="21"/>
                <w:highlight w:val="none"/>
                <w:lang w:val="en-US" w:eastAsia="zh-CN"/>
              </w:rPr>
              <w:t>。</w:t>
            </w:r>
          </w:p>
          <w:p>
            <w:pPr>
              <w:numPr>
                <w:ilvl w:val="0"/>
                <w:numId w:val="0"/>
              </w:numPr>
              <w:tabs>
                <w:tab w:val="left" w:pos="531"/>
              </w:tabs>
              <w:snapToGrid w:val="0"/>
              <w:spacing w:line="360" w:lineRule="auto"/>
              <w:ind w:left="-1"/>
              <w:rPr>
                <w:rFonts w:hint="eastAsia" w:ascii="宋体" w:hAnsi="宋体" w:cs="仿宋_GB2312"/>
                <w:b/>
                <w:bCs/>
                <w:sz w:val="21"/>
                <w:szCs w:val="21"/>
                <w:highlight w:val="none"/>
                <w:lang w:val="en-US" w:eastAsia="zh-CN"/>
              </w:rPr>
            </w:pPr>
            <w:r>
              <w:rPr>
                <w:rFonts w:hint="eastAsia" w:ascii="宋体" w:hAnsi="宋体" w:cs="仿宋_GB2312"/>
                <w:b/>
                <w:bCs/>
                <w:sz w:val="21"/>
                <w:szCs w:val="21"/>
                <w:highlight w:val="none"/>
                <w:lang w:val="en-US" w:eastAsia="zh-CN"/>
              </w:rPr>
              <w:t>（2）</w:t>
            </w:r>
            <w:r>
              <w:rPr>
                <w:rFonts w:hint="eastAsia" w:ascii="宋体" w:hAnsi="宋体" w:eastAsia="宋体" w:cs="仿宋_GB2312"/>
                <w:b/>
                <w:bCs/>
                <w:szCs w:val="21"/>
                <w:highlight w:val="none"/>
                <w:lang w:val="en-US" w:eastAsia="zh-CN"/>
              </w:rPr>
              <w:t>CIS展商中文版</w:t>
            </w:r>
            <w:r>
              <w:rPr>
                <w:rFonts w:hint="eastAsia" w:ascii="宋体" w:hAnsi="宋体" w:cs="仿宋_GB2312"/>
                <w:b/>
                <w:bCs/>
                <w:sz w:val="21"/>
                <w:szCs w:val="21"/>
                <w:highlight w:val="none"/>
                <w:lang w:val="en-US" w:eastAsia="zh-CN"/>
              </w:rPr>
              <w:t>登录及首页模块</w:t>
            </w:r>
            <w:r>
              <w:rPr>
                <w:rFonts w:hint="eastAsia" w:ascii="宋体" w:hAnsi="宋体" w:cs="仿宋_GB2312"/>
                <w:b/>
                <w:bCs/>
                <w:szCs w:val="21"/>
                <w:highlight w:val="none"/>
                <w:lang w:val="en-US" w:eastAsia="zh-CN"/>
              </w:rPr>
              <w:t>修改</w:t>
            </w:r>
          </w:p>
          <w:p>
            <w:pPr>
              <w:numPr>
                <w:ilvl w:val="0"/>
                <w:numId w:val="0"/>
              </w:numPr>
              <w:tabs>
                <w:tab w:val="left" w:pos="531"/>
              </w:tabs>
              <w:snapToGrid w:val="0"/>
              <w:spacing w:line="360" w:lineRule="auto"/>
              <w:ind w:left="-1"/>
              <w:rPr>
                <w:rFonts w:hint="eastAsia" w:ascii="宋体" w:hAnsi="宋体" w:cs="仿宋_GB2312"/>
                <w:b w:val="0"/>
                <w:bCs w:val="0"/>
                <w:sz w:val="21"/>
                <w:szCs w:val="21"/>
                <w:highlight w:val="none"/>
                <w:lang w:val="en-US" w:eastAsia="zh-CN"/>
              </w:rPr>
            </w:pPr>
            <w:r>
              <w:rPr>
                <w:rFonts w:hint="eastAsia" w:ascii="宋体" w:hAnsi="宋体" w:eastAsia="宋体" w:cs="仿宋_GB2312"/>
                <w:b w:val="0"/>
                <w:bCs w:val="0"/>
                <w:sz w:val="21"/>
                <w:szCs w:val="21"/>
                <w:highlight w:val="none"/>
                <w:lang w:val="en-US" w:eastAsia="zh-CN"/>
              </w:rPr>
              <w:t>（</w:t>
            </w:r>
            <w:r>
              <w:rPr>
                <w:rFonts w:hint="eastAsia" w:ascii="宋体" w:hAnsi="宋体" w:cs="仿宋_GB2312"/>
                <w:b w:val="0"/>
                <w:bCs w:val="0"/>
                <w:sz w:val="21"/>
                <w:szCs w:val="21"/>
                <w:highlight w:val="none"/>
                <w:lang w:val="en-US" w:eastAsia="zh-CN"/>
              </w:rPr>
              <w:t>2.</w:t>
            </w:r>
            <w:r>
              <w:rPr>
                <w:rFonts w:hint="eastAsia" w:ascii="宋体" w:hAnsi="宋体" w:eastAsia="宋体" w:cs="仿宋_GB2312"/>
                <w:b w:val="0"/>
                <w:bCs w:val="0"/>
                <w:sz w:val="21"/>
                <w:szCs w:val="21"/>
                <w:highlight w:val="none"/>
                <w:lang w:val="en-US" w:eastAsia="zh-CN"/>
              </w:rPr>
              <w:t>1）需在</w:t>
            </w:r>
            <w:r>
              <w:rPr>
                <w:rFonts w:hint="eastAsia" w:ascii="宋体" w:hAnsi="宋体" w:cs="仿宋_GB2312"/>
                <w:b w:val="0"/>
                <w:bCs w:val="0"/>
                <w:sz w:val="21"/>
                <w:szCs w:val="21"/>
                <w:highlight w:val="none"/>
                <w:lang w:val="en-US" w:eastAsia="zh-CN"/>
              </w:rPr>
              <w:t>CIS系统</w:t>
            </w:r>
            <w:r>
              <w:rPr>
                <w:rFonts w:hint="eastAsia" w:ascii="宋体" w:hAnsi="宋体" w:eastAsia="宋体" w:cs="仿宋_GB2312"/>
                <w:b w:val="0"/>
                <w:bCs w:val="0"/>
                <w:sz w:val="21"/>
                <w:szCs w:val="21"/>
                <w:highlight w:val="none"/>
                <w:lang w:val="en-US" w:eastAsia="zh-CN"/>
              </w:rPr>
              <w:t>中文版前端</w:t>
            </w:r>
            <w:r>
              <w:rPr>
                <w:rFonts w:hint="eastAsia" w:ascii="宋体" w:hAnsi="宋体" w:cs="仿宋_GB2312"/>
                <w:b w:val="0"/>
                <w:bCs w:val="0"/>
                <w:sz w:val="21"/>
                <w:szCs w:val="21"/>
                <w:highlight w:val="none"/>
                <w:lang w:val="en-US" w:eastAsia="zh-CN"/>
              </w:rPr>
              <w:t>首页</w:t>
            </w:r>
            <w:r>
              <w:rPr>
                <w:rFonts w:hint="eastAsia" w:ascii="宋体" w:hAnsi="宋体" w:eastAsia="宋体" w:cs="仿宋_GB2312"/>
                <w:b w:val="0"/>
                <w:bCs w:val="0"/>
                <w:sz w:val="21"/>
                <w:szCs w:val="21"/>
                <w:highlight w:val="none"/>
                <w:lang w:val="en-US" w:eastAsia="zh-CN"/>
              </w:rPr>
              <w:t>中挂入展商手册及其他重要资料</w:t>
            </w:r>
            <w:r>
              <w:rPr>
                <w:rFonts w:hint="eastAsia" w:ascii="宋体" w:hAnsi="宋体" w:cs="仿宋_GB2312"/>
                <w:b w:val="0"/>
                <w:bCs w:val="0"/>
                <w:sz w:val="21"/>
                <w:szCs w:val="21"/>
                <w:highlight w:val="none"/>
                <w:lang w:val="en-US" w:eastAsia="zh-CN"/>
              </w:rPr>
              <w:t>,修改如下（二选一）：</w:t>
            </w:r>
          </w:p>
          <w:p>
            <w:pPr>
              <w:numPr>
                <w:ilvl w:val="0"/>
                <w:numId w:val="0"/>
              </w:numPr>
              <w:tabs>
                <w:tab w:val="left" w:pos="531"/>
              </w:tabs>
              <w:snapToGrid w:val="0"/>
              <w:spacing w:line="360" w:lineRule="auto"/>
              <w:ind w:left="-1"/>
              <w:rPr>
                <w:rFonts w:hint="eastAsia" w:ascii="宋体" w:hAnsi="宋体" w:cs="仿宋_GB2312"/>
                <w:b w:val="0"/>
                <w:bCs w:val="0"/>
                <w:sz w:val="21"/>
                <w:szCs w:val="21"/>
                <w:highlight w:val="none"/>
                <w:lang w:val="en-US" w:eastAsia="zh-CN"/>
              </w:rPr>
            </w:pPr>
            <w:r>
              <w:rPr>
                <w:rFonts w:hint="eastAsia" w:ascii="宋体" w:hAnsi="宋体" w:cs="仿宋_GB2312"/>
                <w:b w:val="0"/>
                <w:bCs w:val="0"/>
                <w:sz w:val="21"/>
                <w:szCs w:val="21"/>
                <w:highlight w:val="none"/>
                <w:lang w:val="en-US" w:eastAsia="zh-CN"/>
              </w:rPr>
              <w:t>（2.1.1）首页或分页左栏增设国际展区栏，用于下载《参展商手册》等展区资料，并配文字说明功能。</w:t>
            </w:r>
          </w:p>
          <w:p>
            <w:pPr>
              <w:numPr>
                <w:ilvl w:val="0"/>
                <w:numId w:val="0"/>
              </w:numPr>
              <w:tabs>
                <w:tab w:val="left" w:pos="531"/>
              </w:tabs>
              <w:snapToGrid w:val="0"/>
              <w:spacing w:line="360" w:lineRule="auto"/>
              <w:ind w:left="-1"/>
              <w:rPr>
                <w:rFonts w:hint="eastAsia" w:ascii="宋体" w:hAnsi="宋体" w:eastAsia="宋体" w:cs="仿宋_GB2312"/>
                <w:b w:val="0"/>
                <w:bCs w:val="0"/>
                <w:sz w:val="21"/>
                <w:szCs w:val="21"/>
                <w:highlight w:val="none"/>
                <w:lang w:val="en-US" w:eastAsia="zh-CN"/>
              </w:rPr>
            </w:pPr>
            <w:r>
              <w:rPr>
                <w:rFonts w:hint="eastAsia" w:ascii="宋体" w:hAnsi="宋体" w:cs="仿宋_GB2312"/>
                <w:b w:val="0"/>
                <w:bCs w:val="0"/>
                <w:sz w:val="21"/>
                <w:szCs w:val="21"/>
                <w:highlight w:val="none"/>
                <w:lang w:val="en-US" w:eastAsia="zh-CN"/>
              </w:rPr>
              <w:t>（2.1.2）将“参展须知”加入横栏，参考柏林会展中心BECO系统，嵌入通用展商手册，方便展商查找相关信息。其余资讯在“国际展区”专栏获取。</w:t>
            </w:r>
          </w:p>
          <w:p>
            <w:pPr>
              <w:numPr>
                <w:ilvl w:val="0"/>
                <w:numId w:val="0"/>
              </w:numPr>
              <w:tabs>
                <w:tab w:val="left" w:pos="531"/>
              </w:tabs>
              <w:snapToGrid w:val="0"/>
              <w:spacing w:line="360" w:lineRule="auto"/>
              <w:ind w:left="-1"/>
              <w:rPr>
                <w:rFonts w:hint="eastAsia" w:ascii="宋体" w:hAnsi="宋体" w:eastAsia="宋体" w:cs="仿宋_GB2312"/>
                <w:b w:val="0"/>
                <w:bCs w:val="0"/>
                <w:sz w:val="21"/>
                <w:szCs w:val="21"/>
                <w:highlight w:val="none"/>
                <w:lang w:val="en-US" w:eastAsia="zh-CN"/>
              </w:rPr>
            </w:pPr>
            <w:r>
              <w:rPr>
                <w:rFonts w:hint="eastAsia" w:ascii="宋体" w:hAnsi="宋体" w:eastAsia="宋体" w:cs="仿宋_GB2312"/>
                <w:b w:val="0"/>
                <w:bCs w:val="0"/>
                <w:sz w:val="21"/>
                <w:szCs w:val="21"/>
                <w:highlight w:val="none"/>
                <w:lang w:val="en-US" w:eastAsia="zh-CN"/>
              </w:rPr>
              <w:t>（</w:t>
            </w:r>
            <w:r>
              <w:rPr>
                <w:rFonts w:hint="eastAsia" w:ascii="宋体" w:hAnsi="宋体" w:cs="仿宋_GB2312"/>
                <w:b w:val="0"/>
                <w:bCs w:val="0"/>
                <w:sz w:val="21"/>
                <w:szCs w:val="21"/>
                <w:highlight w:val="none"/>
                <w:lang w:val="en-US" w:eastAsia="zh-CN"/>
              </w:rPr>
              <w:t>2.2</w:t>
            </w:r>
            <w:r>
              <w:rPr>
                <w:rFonts w:hint="eastAsia" w:ascii="宋体" w:hAnsi="宋体" w:eastAsia="宋体" w:cs="仿宋_GB2312"/>
                <w:b w:val="0"/>
                <w:bCs w:val="0"/>
                <w:sz w:val="21"/>
                <w:szCs w:val="21"/>
                <w:highlight w:val="none"/>
                <w:lang w:val="en-US" w:eastAsia="zh-CN"/>
              </w:rPr>
              <w:t>）登录页面：需将“Exhibitor Login”调整靠前，“Visitor Login”</w:t>
            </w:r>
            <w:r>
              <w:rPr>
                <w:rFonts w:hint="eastAsia" w:ascii="宋体" w:hAnsi="宋体" w:cs="仿宋_GB2312"/>
                <w:b w:val="0"/>
                <w:bCs w:val="0"/>
                <w:sz w:val="21"/>
                <w:szCs w:val="21"/>
                <w:highlight w:val="none"/>
                <w:lang w:val="en-US" w:eastAsia="zh-CN"/>
              </w:rPr>
              <w:t>调整</w:t>
            </w:r>
            <w:r>
              <w:rPr>
                <w:rFonts w:hint="eastAsia" w:ascii="宋体" w:hAnsi="宋体" w:eastAsia="宋体" w:cs="仿宋_GB2312"/>
                <w:b w:val="0"/>
                <w:bCs w:val="0"/>
                <w:sz w:val="21"/>
                <w:szCs w:val="21"/>
                <w:highlight w:val="none"/>
                <w:lang w:val="en-US" w:eastAsia="zh-CN"/>
              </w:rPr>
              <w:t>靠后。</w:t>
            </w:r>
          </w:p>
          <w:p>
            <w:pPr>
              <w:numPr>
                <w:ilvl w:val="0"/>
                <w:numId w:val="0"/>
              </w:numPr>
              <w:tabs>
                <w:tab w:val="left" w:pos="531"/>
              </w:tabs>
              <w:snapToGrid w:val="0"/>
              <w:spacing w:line="360" w:lineRule="auto"/>
              <w:ind w:left="-1"/>
              <w:rPr>
                <w:rFonts w:hint="eastAsia" w:ascii="宋体" w:hAnsi="宋体" w:cs="仿宋_GB2312"/>
                <w:b/>
                <w:bCs/>
                <w:sz w:val="21"/>
                <w:szCs w:val="21"/>
                <w:highlight w:val="none"/>
                <w:lang w:val="en-US" w:eastAsia="zh-CN"/>
              </w:rPr>
            </w:pPr>
            <w:r>
              <w:rPr>
                <w:rFonts w:hint="eastAsia" w:ascii="宋体" w:hAnsi="宋体" w:cs="仿宋_GB2312"/>
                <w:b/>
                <w:bCs/>
                <w:sz w:val="21"/>
                <w:szCs w:val="21"/>
                <w:highlight w:val="none"/>
                <w:lang w:val="en-US" w:eastAsia="zh-CN"/>
              </w:rPr>
              <w:t>（3）</w:t>
            </w:r>
            <w:r>
              <w:rPr>
                <w:rFonts w:hint="eastAsia" w:ascii="宋体" w:hAnsi="宋体" w:eastAsia="宋体" w:cs="仿宋_GB2312"/>
                <w:b/>
                <w:bCs/>
                <w:sz w:val="21"/>
                <w:szCs w:val="21"/>
                <w:highlight w:val="none"/>
                <w:lang w:val="en-US" w:eastAsia="zh-CN"/>
              </w:rPr>
              <w:t>CIS展商英文版</w:t>
            </w:r>
            <w:r>
              <w:rPr>
                <w:rFonts w:hint="eastAsia" w:ascii="宋体" w:hAnsi="宋体" w:cs="仿宋_GB2312"/>
                <w:b/>
                <w:bCs/>
                <w:sz w:val="21"/>
                <w:szCs w:val="21"/>
                <w:highlight w:val="none"/>
                <w:lang w:val="en-US" w:eastAsia="zh-CN"/>
              </w:rPr>
              <w:t>模块修改</w:t>
            </w:r>
          </w:p>
          <w:p>
            <w:pPr>
              <w:numPr>
                <w:ilvl w:val="0"/>
                <w:numId w:val="0"/>
              </w:numPr>
              <w:tabs>
                <w:tab w:val="left" w:pos="531"/>
              </w:tabs>
              <w:snapToGrid w:val="0"/>
              <w:spacing w:line="360" w:lineRule="auto"/>
              <w:ind w:left="-1"/>
              <w:rPr>
                <w:rFonts w:hint="eastAsia" w:ascii="宋体" w:hAnsi="宋体" w:cs="仿宋_GB2312"/>
                <w:b w:val="0"/>
                <w:bCs w:val="0"/>
                <w:sz w:val="21"/>
                <w:szCs w:val="21"/>
                <w:highlight w:val="none"/>
                <w:lang w:val="en-US" w:eastAsia="zh-CN"/>
              </w:rPr>
            </w:pPr>
            <w:r>
              <w:rPr>
                <w:rFonts w:hint="eastAsia" w:ascii="宋体" w:hAnsi="宋体" w:cs="仿宋_GB2312"/>
                <w:b w:val="0"/>
                <w:bCs w:val="0"/>
                <w:sz w:val="21"/>
                <w:szCs w:val="21"/>
                <w:highlight w:val="none"/>
                <w:lang w:val="en-US" w:eastAsia="zh-CN"/>
              </w:rPr>
              <w:t>（3.1）CIS展商端首页：需对国际展区减少活动报名所占版面，增加参会须知（中英两版）板块，后台同步开发英文版参展资料维护管理功能，中英文参展资料分开独立管理、以文件列表方式展现，并提供后台管理维护功能。</w:t>
            </w:r>
          </w:p>
          <w:p>
            <w:pPr>
              <w:numPr>
                <w:ilvl w:val="0"/>
                <w:numId w:val="0"/>
              </w:numPr>
              <w:tabs>
                <w:tab w:val="left" w:pos="531"/>
              </w:tabs>
              <w:snapToGrid w:val="0"/>
              <w:spacing w:line="360" w:lineRule="auto"/>
              <w:ind w:left="-1"/>
              <w:rPr>
                <w:rFonts w:hint="eastAsia" w:ascii="宋体" w:hAnsi="宋体" w:cs="仿宋_GB2312"/>
                <w:b w:val="0"/>
                <w:bCs w:val="0"/>
                <w:sz w:val="21"/>
                <w:szCs w:val="21"/>
                <w:highlight w:val="none"/>
                <w:lang w:val="en-US" w:eastAsia="zh-CN"/>
              </w:rPr>
            </w:pPr>
            <w:r>
              <w:rPr>
                <w:rFonts w:hint="eastAsia" w:ascii="宋体" w:hAnsi="宋体" w:cs="仿宋_GB2312"/>
                <w:b w:val="0"/>
                <w:bCs w:val="0"/>
                <w:sz w:val="21"/>
                <w:szCs w:val="21"/>
                <w:highlight w:val="none"/>
                <w:lang w:val="en-US" w:eastAsia="zh-CN"/>
              </w:rPr>
              <w:t>（3.2）需增加国际部活动报名功能，适用于展商英文版，各类活动以文件列表方式展现，参与企业可通过下载报名表，根据要求填报后上传报名表，并提供后台对报名情况，以及活动、报名表模板等进行管理维护功能。</w:t>
            </w:r>
          </w:p>
          <w:p>
            <w:pPr>
              <w:numPr>
                <w:ilvl w:val="0"/>
                <w:numId w:val="0"/>
              </w:numPr>
              <w:tabs>
                <w:tab w:val="left" w:pos="531"/>
              </w:tabs>
              <w:snapToGrid w:val="0"/>
              <w:spacing w:line="360" w:lineRule="auto"/>
              <w:ind w:left="-1"/>
              <w:rPr>
                <w:rFonts w:hint="eastAsia" w:ascii="宋体" w:hAnsi="宋体" w:cs="仿宋_GB2312"/>
                <w:b w:val="0"/>
                <w:bCs w:val="0"/>
                <w:sz w:val="21"/>
                <w:szCs w:val="21"/>
                <w:highlight w:val="none"/>
                <w:lang w:val="en-US" w:eastAsia="zh-CN"/>
              </w:rPr>
            </w:pPr>
            <w:r>
              <w:rPr>
                <w:rFonts w:hint="eastAsia" w:ascii="宋体" w:hAnsi="宋体" w:cs="仿宋_GB2312"/>
                <w:b w:val="0"/>
                <w:bCs w:val="0"/>
                <w:sz w:val="21"/>
                <w:szCs w:val="21"/>
                <w:highlight w:val="none"/>
                <w:lang w:val="en-US" w:eastAsia="zh-CN"/>
              </w:rPr>
              <w:t>（3.3）需增加统一中英文版界面信息填报和提交的程序，保持中英文版面登录和跳转一致等功能。</w:t>
            </w:r>
          </w:p>
          <w:p>
            <w:pPr>
              <w:numPr>
                <w:ilvl w:val="0"/>
                <w:numId w:val="0"/>
              </w:numPr>
              <w:tabs>
                <w:tab w:val="left" w:pos="531"/>
              </w:tabs>
              <w:snapToGrid w:val="0"/>
              <w:spacing w:line="360" w:lineRule="auto"/>
              <w:ind w:left="-1"/>
              <w:rPr>
                <w:rFonts w:hint="eastAsia" w:ascii="宋体" w:hAnsi="宋体" w:cs="仿宋_GB2312"/>
                <w:b w:val="0"/>
                <w:bCs w:val="0"/>
                <w:sz w:val="21"/>
                <w:szCs w:val="21"/>
                <w:highlight w:val="none"/>
                <w:lang w:val="en-US" w:eastAsia="zh-CN"/>
              </w:rPr>
            </w:pPr>
            <w:r>
              <w:rPr>
                <w:rFonts w:hint="eastAsia" w:ascii="宋体" w:hAnsi="宋体" w:cs="仿宋_GB2312"/>
                <w:b w:val="0"/>
                <w:bCs w:val="0"/>
                <w:sz w:val="21"/>
                <w:szCs w:val="21"/>
                <w:highlight w:val="none"/>
                <w:lang w:val="en-US" w:eastAsia="zh-CN"/>
              </w:rPr>
              <w:t>（3.4）需增加英文版界面上显示“论坛活动”栏，应具体罗列论坛和活动的英文名称等功能。</w:t>
            </w:r>
          </w:p>
          <w:p>
            <w:pPr>
              <w:numPr>
                <w:ilvl w:val="0"/>
                <w:numId w:val="0"/>
              </w:numPr>
              <w:tabs>
                <w:tab w:val="left" w:pos="531"/>
              </w:tabs>
              <w:snapToGrid w:val="0"/>
              <w:spacing w:line="360" w:lineRule="auto"/>
              <w:ind w:left="-1"/>
              <w:rPr>
                <w:rFonts w:hint="eastAsia" w:ascii="宋体" w:hAnsi="宋体" w:cs="仿宋_GB2312"/>
                <w:b w:val="0"/>
                <w:bCs w:val="0"/>
                <w:sz w:val="21"/>
                <w:szCs w:val="21"/>
                <w:highlight w:val="none"/>
                <w:lang w:val="en-US" w:eastAsia="zh-CN"/>
              </w:rPr>
            </w:pPr>
            <w:r>
              <w:rPr>
                <w:rFonts w:hint="eastAsia" w:ascii="宋体" w:hAnsi="宋体" w:cs="仿宋_GB2312"/>
                <w:b w:val="0"/>
                <w:bCs w:val="0"/>
                <w:sz w:val="21"/>
                <w:szCs w:val="21"/>
                <w:highlight w:val="none"/>
                <w:lang w:val="en-US" w:eastAsia="zh-CN"/>
              </w:rPr>
              <w:t>（3.5）需实现英文版同步高交会各奖项、媒体采访及相关国际展商活动的申报功能，并附英文简介等功能。</w:t>
            </w:r>
          </w:p>
          <w:p>
            <w:pPr>
              <w:numPr>
                <w:ilvl w:val="0"/>
                <w:numId w:val="0"/>
              </w:numPr>
              <w:tabs>
                <w:tab w:val="left" w:pos="531"/>
              </w:tabs>
              <w:snapToGrid w:val="0"/>
              <w:spacing w:line="360" w:lineRule="auto"/>
              <w:ind w:left="-1"/>
              <w:rPr>
                <w:rFonts w:hint="eastAsia" w:ascii="宋体" w:hAnsi="宋体" w:cs="仿宋_GB2312"/>
                <w:b w:val="0"/>
                <w:bCs w:val="0"/>
                <w:sz w:val="21"/>
                <w:szCs w:val="21"/>
                <w:highlight w:val="none"/>
                <w:lang w:val="en-US" w:eastAsia="zh-CN"/>
              </w:rPr>
            </w:pPr>
            <w:r>
              <w:rPr>
                <w:rFonts w:hint="eastAsia" w:ascii="宋体" w:hAnsi="宋体" w:cs="仿宋_GB2312"/>
                <w:b w:val="0"/>
                <w:bCs w:val="0"/>
                <w:sz w:val="21"/>
                <w:szCs w:val="21"/>
                <w:highlight w:val="none"/>
                <w:lang w:val="en-US" w:eastAsia="zh-CN"/>
              </w:rPr>
              <w:t>（3.6）需实现横向栏目“资料填报/线上展会平台/活动报名/票证办理”模块点击大标题后弹出相应的内容模块等功能。</w:t>
            </w:r>
          </w:p>
          <w:p>
            <w:pPr>
              <w:numPr>
                <w:ilvl w:val="0"/>
                <w:numId w:val="0"/>
              </w:numPr>
              <w:tabs>
                <w:tab w:val="left" w:pos="531"/>
              </w:tabs>
              <w:snapToGrid w:val="0"/>
              <w:spacing w:line="360" w:lineRule="auto"/>
              <w:ind w:left="-1"/>
              <w:rPr>
                <w:rFonts w:hint="eastAsia" w:ascii="宋体" w:hAnsi="宋体" w:cs="仿宋_GB2312"/>
                <w:b w:val="0"/>
                <w:bCs w:val="0"/>
                <w:sz w:val="21"/>
                <w:szCs w:val="21"/>
                <w:highlight w:val="none"/>
                <w:lang w:val="en-US" w:eastAsia="zh-CN"/>
              </w:rPr>
            </w:pPr>
            <w:r>
              <w:rPr>
                <w:rFonts w:hint="eastAsia" w:ascii="宋体" w:hAnsi="宋体" w:cs="仿宋_GB2312"/>
                <w:b w:val="0"/>
                <w:bCs w:val="0"/>
                <w:sz w:val="21"/>
                <w:szCs w:val="21"/>
                <w:highlight w:val="none"/>
                <w:lang w:val="en-US" w:eastAsia="zh-CN"/>
              </w:rPr>
              <w:t>（3.7）需实现横向栏目和左侧栏目大标题名称统一，相似业务进行合并，页面功能进行重新划分，以及涉及到的后台功能及业务同步调整等功能。</w:t>
            </w:r>
          </w:p>
          <w:p>
            <w:pPr>
              <w:numPr>
                <w:ilvl w:val="0"/>
                <w:numId w:val="0"/>
              </w:numPr>
              <w:tabs>
                <w:tab w:val="left" w:pos="531"/>
              </w:tabs>
              <w:snapToGrid w:val="0"/>
              <w:spacing w:line="360" w:lineRule="auto"/>
              <w:ind w:left="-1"/>
              <w:rPr>
                <w:rFonts w:hint="eastAsia" w:ascii="宋体" w:hAnsi="宋体" w:cs="仿宋_GB2312"/>
                <w:szCs w:val="21"/>
                <w:highlight w:val="none"/>
                <w:lang w:val="en-US" w:eastAsia="zh-CN"/>
              </w:rPr>
            </w:pPr>
            <w:r>
              <w:rPr>
                <w:rFonts w:hint="eastAsia" w:ascii="宋体" w:hAnsi="宋体" w:cs="仿宋_GB2312"/>
                <w:b w:val="0"/>
                <w:bCs w:val="0"/>
                <w:sz w:val="21"/>
                <w:szCs w:val="21"/>
                <w:highlight w:val="none"/>
                <w:lang w:val="en-US" w:eastAsia="zh-CN"/>
              </w:rPr>
              <w:t>（3.8）需完成登录功能优化，完善系统账户管理激活以及锁定的判定机制：解决有的账号，在有的电脑上可以登录，有的无法登录，并弹窗显示未激活等功能。对无法登陆的情况建议优化，以确保在所有的电脑都能登录。</w:t>
            </w:r>
          </w:p>
          <w:p>
            <w:pPr>
              <w:numPr>
                <w:ilvl w:val="0"/>
                <w:numId w:val="0"/>
              </w:numPr>
              <w:tabs>
                <w:tab w:val="left" w:pos="531"/>
              </w:tabs>
              <w:snapToGrid w:val="0"/>
              <w:spacing w:line="360" w:lineRule="auto"/>
              <w:ind w:left="-1"/>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（3.9）需将Badge &amp; Tickets按钮改为Badge，暂时设置为不可操作，下方文字表述改为：The badge application will be open in August.系统，功能开放后，点击后进入的英文版问卷调查部分。</w:t>
            </w:r>
          </w:p>
          <w:p>
            <w:pPr>
              <w:numPr>
                <w:ilvl w:val="0"/>
                <w:numId w:val="0"/>
              </w:numPr>
              <w:tabs>
                <w:tab w:val="left" w:pos="531"/>
              </w:tabs>
              <w:snapToGrid w:val="0"/>
              <w:spacing w:line="360" w:lineRule="auto"/>
              <w:ind w:left="-1"/>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（3.10）需对进入Badge的温馨提醒文字部分进行修改。</w:t>
            </w:r>
          </w:p>
          <w:p>
            <w:pPr>
              <w:numPr>
                <w:ilvl w:val="0"/>
                <w:numId w:val="0"/>
              </w:numPr>
              <w:tabs>
                <w:tab w:val="left" w:pos="531"/>
              </w:tabs>
              <w:snapToGrid w:val="0"/>
              <w:spacing w:line="360" w:lineRule="auto"/>
              <w:ind w:left="-1"/>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（3.11）需增加证件办理界面增加简明清晰的办证流程介绍。</w:t>
            </w:r>
          </w:p>
          <w:p>
            <w:pPr>
              <w:numPr>
                <w:ilvl w:val="0"/>
                <w:numId w:val="0"/>
              </w:numPr>
              <w:tabs>
                <w:tab w:val="left" w:pos="531"/>
              </w:tabs>
              <w:snapToGrid w:val="0"/>
              <w:spacing w:line="360" w:lineRule="auto"/>
              <w:ind w:left="-1"/>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3.12）Badge→Tickets→Apply后跳转至办证信息填写。海外观众自助完成在线填报。申请证件后，系统自动向其发送邮件，告知已收到申请，请等待审核。管理员审核后，用户界面将显示证件审核是否通过。如未通过，需提醒用户修改个人信息重新提交申请。展前再次通过系统自动向办证审核通过的观众发送邮件，告知证件领取指引等信息。</w:t>
            </w:r>
          </w:p>
          <w:p>
            <w:pPr>
              <w:numPr>
                <w:ilvl w:val="0"/>
                <w:numId w:val="0"/>
              </w:numPr>
              <w:tabs>
                <w:tab w:val="left" w:pos="531"/>
              </w:tabs>
              <w:snapToGrid w:val="0"/>
              <w:spacing w:line="360" w:lineRule="auto"/>
              <w:ind w:left="-1"/>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（3.13）需对Service Center、Message按钮点击进入后的页面文字内容进行修改。</w:t>
            </w:r>
          </w:p>
          <w:p>
            <w:pPr>
              <w:numPr>
                <w:ilvl w:val="0"/>
                <w:numId w:val="0"/>
              </w:numPr>
              <w:tabs>
                <w:tab w:val="left" w:pos="531"/>
              </w:tabs>
              <w:snapToGrid w:val="0"/>
              <w:spacing w:line="360" w:lineRule="auto"/>
              <w:ind w:left="-1"/>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（3.14）需增加Exhibitors按钮点击后跳转至高交会线上展会界面，需要修改链接跳转至最新线上展会界面。增加海外观众的系统消息模块，提供副文本和链接两种方式 。</w:t>
            </w:r>
          </w:p>
          <w:p>
            <w:pPr>
              <w:numPr>
                <w:ilvl w:val="0"/>
                <w:numId w:val="0"/>
              </w:numPr>
              <w:tabs>
                <w:tab w:val="left" w:pos="531"/>
              </w:tabs>
              <w:snapToGrid w:val="0"/>
              <w:spacing w:line="360" w:lineRule="auto"/>
              <w:ind w:left="-1"/>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（3.15）登录入口需增加“Forgot Password”按钮，提示“Please send email to overseas@chtf.com for help if you forget your password.”并完成相应功能的开发。</w:t>
            </w:r>
          </w:p>
          <w:p>
            <w:pPr>
              <w:numPr>
                <w:ilvl w:val="0"/>
                <w:numId w:val="0"/>
              </w:numPr>
              <w:tabs>
                <w:tab w:val="left" w:pos="531"/>
              </w:tabs>
              <w:snapToGrid w:val="0"/>
              <w:spacing w:line="360" w:lineRule="auto"/>
              <w:ind w:left="-1"/>
              <w:rPr>
                <w:rFonts w:hint="eastAsia" w:ascii="宋体" w:hAnsi="宋体" w:cs="仿宋_GB2312"/>
                <w:b/>
                <w:bCs/>
                <w:sz w:val="21"/>
                <w:szCs w:val="21"/>
                <w:highlight w:val="none"/>
                <w:lang w:val="en-US" w:eastAsia="zh-CN"/>
              </w:rPr>
            </w:pPr>
            <w:r>
              <w:rPr>
                <w:rFonts w:hint="eastAsia" w:ascii="宋体" w:hAnsi="宋体" w:cs="仿宋_GB2312"/>
                <w:b/>
                <w:bCs/>
                <w:sz w:val="21"/>
                <w:szCs w:val="21"/>
                <w:highlight w:val="none"/>
                <w:lang w:val="en-US" w:eastAsia="zh-CN"/>
              </w:rPr>
              <w:t>（4）</w:t>
            </w:r>
            <w:r>
              <w:rPr>
                <w:rFonts w:hint="eastAsia" w:ascii="宋体" w:hAnsi="宋体" w:eastAsia="宋体" w:cs="仿宋_GB2312"/>
                <w:b/>
                <w:bCs/>
                <w:sz w:val="21"/>
                <w:szCs w:val="21"/>
                <w:highlight w:val="none"/>
                <w:lang w:val="en-US" w:eastAsia="zh-CN"/>
              </w:rPr>
              <w:t>CIS英文版后台管理</w:t>
            </w:r>
            <w:r>
              <w:rPr>
                <w:rFonts w:hint="eastAsia" w:ascii="宋体" w:hAnsi="宋体" w:cs="仿宋_GB2312"/>
                <w:b/>
                <w:bCs/>
                <w:sz w:val="21"/>
                <w:szCs w:val="21"/>
                <w:highlight w:val="none"/>
                <w:lang w:val="en-US" w:eastAsia="zh-CN"/>
              </w:rPr>
              <w:t>模块修改</w:t>
            </w:r>
          </w:p>
          <w:p>
            <w:pPr>
              <w:numPr>
                <w:ilvl w:val="0"/>
                <w:numId w:val="0"/>
              </w:numPr>
              <w:tabs>
                <w:tab w:val="left" w:pos="531"/>
              </w:tabs>
              <w:snapToGrid w:val="0"/>
              <w:spacing w:line="360" w:lineRule="auto"/>
              <w:ind w:left="-1"/>
              <w:rPr>
                <w:rFonts w:hint="eastAsia" w:ascii="宋体" w:hAnsi="宋体" w:cs="仿宋_GB2312"/>
                <w:b w:val="0"/>
                <w:bCs w:val="0"/>
                <w:sz w:val="21"/>
                <w:szCs w:val="21"/>
                <w:highlight w:val="none"/>
                <w:lang w:val="en-US" w:eastAsia="zh-CN"/>
              </w:rPr>
            </w:pPr>
            <w:r>
              <w:rPr>
                <w:rFonts w:hint="eastAsia" w:ascii="宋体" w:hAnsi="宋体" w:cs="仿宋_GB2312"/>
                <w:b w:val="0"/>
                <w:bCs w:val="0"/>
                <w:sz w:val="21"/>
                <w:szCs w:val="21"/>
                <w:highlight w:val="none"/>
                <w:lang w:val="en-US" w:eastAsia="zh-CN"/>
              </w:rPr>
              <w:t>（4.1）需在海外观众数据库后台增加账户最近一次登录时间记录、线上浏览时间等查询记录。同时需补充和修改部分数据字典项，增加所属行业字段并提供导出功能。</w:t>
            </w:r>
          </w:p>
          <w:p>
            <w:pPr>
              <w:numPr>
                <w:ilvl w:val="0"/>
                <w:numId w:val="0"/>
              </w:numPr>
              <w:tabs>
                <w:tab w:val="left" w:pos="531"/>
              </w:tabs>
              <w:snapToGrid w:val="0"/>
              <w:spacing w:line="360" w:lineRule="auto"/>
              <w:ind w:left="-1"/>
              <w:rPr>
                <w:rFonts w:hint="eastAsia" w:ascii="宋体" w:hAnsi="宋体" w:cs="仿宋_GB2312"/>
                <w:b w:val="0"/>
                <w:bCs w:val="0"/>
                <w:sz w:val="21"/>
                <w:szCs w:val="21"/>
                <w:highlight w:val="none"/>
                <w:lang w:val="en-US" w:eastAsia="zh-CN"/>
              </w:rPr>
            </w:pPr>
            <w:r>
              <w:rPr>
                <w:rFonts w:hint="eastAsia" w:ascii="宋体" w:hAnsi="宋体" w:cs="仿宋_GB2312"/>
                <w:b w:val="0"/>
                <w:bCs w:val="0"/>
                <w:sz w:val="21"/>
                <w:szCs w:val="21"/>
                <w:highlight w:val="none"/>
                <w:lang w:val="en-US" w:eastAsia="zh-CN"/>
              </w:rPr>
              <w:t>（4.2）需隐藏“观众类型”-国内VIP，“申请渠道”按钮。</w:t>
            </w:r>
          </w:p>
          <w:p>
            <w:pPr>
              <w:numPr>
                <w:ilvl w:val="0"/>
                <w:numId w:val="0"/>
              </w:numPr>
              <w:tabs>
                <w:tab w:val="left" w:pos="531"/>
              </w:tabs>
              <w:snapToGrid w:val="0"/>
              <w:spacing w:line="360" w:lineRule="auto"/>
              <w:ind w:left="-1"/>
              <w:rPr>
                <w:rFonts w:hint="eastAsia" w:ascii="宋体" w:hAnsi="宋体" w:cs="仿宋_GB2312"/>
                <w:b w:val="0"/>
                <w:bCs w:val="0"/>
                <w:sz w:val="21"/>
                <w:szCs w:val="21"/>
                <w:highlight w:val="none"/>
                <w:lang w:val="en-US" w:eastAsia="zh-CN"/>
              </w:rPr>
            </w:pPr>
            <w:r>
              <w:rPr>
                <w:rFonts w:hint="eastAsia" w:ascii="宋体" w:hAnsi="宋体" w:cs="仿宋_GB2312"/>
                <w:b w:val="0"/>
                <w:bCs w:val="0"/>
                <w:sz w:val="21"/>
                <w:szCs w:val="21"/>
                <w:highlight w:val="none"/>
                <w:lang w:val="en-US" w:eastAsia="zh-CN"/>
              </w:rPr>
              <w:t>（4.3）需在“查看详情”-“会员信息”：删除“邮寄地址”和“QQ”，并将海外观众注册登记时填写的“How do you know about CHTF”进行信息展示。</w:t>
            </w:r>
          </w:p>
          <w:p>
            <w:pPr>
              <w:numPr>
                <w:ilvl w:val="0"/>
                <w:numId w:val="0"/>
              </w:numPr>
              <w:tabs>
                <w:tab w:val="left" w:pos="531"/>
              </w:tabs>
              <w:snapToGrid w:val="0"/>
              <w:spacing w:line="360" w:lineRule="auto"/>
              <w:ind w:left="-1"/>
              <w:rPr>
                <w:rFonts w:hint="eastAsia" w:ascii="宋体" w:hAnsi="宋体" w:cs="仿宋_GB2312"/>
                <w:b w:val="0"/>
                <w:bCs w:val="0"/>
                <w:sz w:val="21"/>
                <w:szCs w:val="21"/>
                <w:highlight w:val="none"/>
                <w:lang w:val="en-US" w:eastAsia="zh-CN"/>
              </w:rPr>
            </w:pPr>
            <w:r>
              <w:rPr>
                <w:rFonts w:hint="eastAsia" w:ascii="宋体" w:hAnsi="宋体" w:cs="仿宋_GB2312"/>
                <w:b w:val="0"/>
                <w:bCs w:val="0"/>
                <w:sz w:val="21"/>
                <w:szCs w:val="21"/>
                <w:highlight w:val="none"/>
                <w:lang w:val="en-US" w:eastAsia="zh-CN"/>
              </w:rPr>
              <w:t>（4.4）需将办证信息纳入CIS系统海外观众数据库进行积累和管理。在后台数据库中新增查询已申请票证的会员信息的功能，并能够汇总导出。</w:t>
            </w:r>
          </w:p>
          <w:p>
            <w:pPr>
              <w:numPr>
                <w:ilvl w:val="0"/>
                <w:numId w:val="0"/>
              </w:numPr>
              <w:tabs>
                <w:tab w:val="left" w:pos="531"/>
              </w:tabs>
              <w:snapToGrid w:val="0"/>
              <w:spacing w:line="360" w:lineRule="auto"/>
              <w:ind w:left="-1"/>
              <w:rPr>
                <w:rFonts w:hint="eastAsia" w:ascii="宋体" w:hAnsi="宋体" w:cs="仿宋_GB2312"/>
                <w:b w:val="0"/>
                <w:bCs w:val="0"/>
                <w:sz w:val="21"/>
                <w:szCs w:val="21"/>
                <w:highlight w:val="none"/>
                <w:lang w:val="en-US" w:eastAsia="zh-CN"/>
              </w:rPr>
            </w:pPr>
            <w:r>
              <w:rPr>
                <w:rFonts w:hint="eastAsia" w:ascii="宋体" w:hAnsi="宋体" w:cs="仿宋_GB2312"/>
                <w:b w:val="0"/>
                <w:bCs w:val="0"/>
                <w:sz w:val="21"/>
                <w:szCs w:val="21"/>
                <w:highlight w:val="none"/>
                <w:lang w:val="en-US" w:eastAsia="zh-CN"/>
              </w:rPr>
              <w:t>（4.5）将海外观众入场记录信息，纳入CIS系统海外观众数据库进行积累和管理。将持证入场的海外观众入场记录信息与CIS系统海外观众数据库进行联通，在“会员信息”中显示“是否入展”和“入场记录”等相关信息。</w:t>
            </w:r>
          </w:p>
          <w:p>
            <w:pPr>
              <w:numPr>
                <w:ilvl w:val="0"/>
                <w:numId w:val="0"/>
              </w:numPr>
              <w:tabs>
                <w:tab w:val="left" w:pos="531"/>
              </w:tabs>
              <w:snapToGrid w:val="0"/>
              <w:spacing w:line="360" w:lineRule="auto"/>
              <w:ind w:left="-1"/>
              <w:rPr>
                <w:rFonts w:hint="eastAsia" w:ascii="宋体" w:hAnsi="宋体" w:cs="仿宋_GB2312"/>
                <w:b/>
                <w:bCs/>
                <w:szCs w:val="21"/>
                <w:highlight w:val="none"/>
                <w:lang w:val="en-US" w:eastAsia="zh-CN"/>
              </w:rPr>
            </w:pPr>
            <w:r>
              <w:rPr>
                <w:rFonts w:hint="eastAsia" w:ascii="宋体" w:hAnsi="宋体" w:cs="仿宋_GB2312"/>
                <w:b/>
                <w:bCs/>
                <w:szCs w:val="21"/>
                <w:highlight w:val="none"/>
                <w:lang w:val="en-US" w:eastAsia="zh-CN"/>
              </w:rPr>
              <w:t>（5）CIS系统展商资料填报模块</w:t>
            </w:r>
          </w:p>
          <w:p>
            <w:pPr>
              <w:numPr>
                <w:ilvl w:val="0"/>
                <w:numId w:val="0"/>
              </w:numPr>
              <w:tabs>
                <w:tab w:val="left" w:pos="531"/>
              </w:tabs>
              <w:snapToGrid w:val="0"/>
              <w:spacing w:line="360" w:lineRule="auto"/>
              <w:ind w:left="-1" w:firstLine="0" w:firstLineChars="0"/>
              <w:rPr>
                <w:rFonts w:hint="eastAsia" w:ascii="宋体" w:hAnsi="宋体" w:cs="仿宋_GB2312"/>
                <w:b w:val="0"/>
                <w:bCs w:val="0"/>
                <w:sz w:val="21"/>
                <w:szCs w:val="21"/>
                <w:highlight w:val="none"/>
                <w:lang w:val="en-US" w:eastAsia="zh-CN"/>
              </w:rPr>
            </w:pPr>
            <w:r>
              <w:rPr>
                <w:rFonts w:hint="eastAsia" w:ascii="宋体" w:hAnsi="宋体" w:cs="仿宋_GB2312"/>
                <w:b w:val="0"/>
                <w:bCs w:val="0"/>
                <w:sz w:val="21"/>
                <w:szCs w:val="21"/>
                <w:highlight w:val="none"/>
                <w:lang w:val="en-US" w:eastAsia="zh-CN"/>
              </w:rPr>
              <w:t>（5.1）需在展品项目信息中增设“是否有海内外投资意向”的选项，给展商进行勾迭，便于展商和观众精准地找到有海外投资意向的企业。同时后台审核页面，后台编辑页面，导出功能等相关页面均需增加该内容。</w:t>
            </w:r>
          </w:p>
          <w:p>
            <w:pPr>
              <w:numPr>
                <w:ilvl w:val="0"/>
                <w:numId w:val="0"/>
              </w:numPr>
              <w:tabs>
                <w:tab w:val="left" w:pos="531"/>
              </w:tabs>
              <w:snapToGrid w:val="0"/>
              <w:spacing w:line="360" w:lineRule="auto"/>
              <w:ind w:left="-1" w:firstLine="0" w:firstLineChars="0"/>
              <w:rPr>
                <w:rFonts w:hint="eastAsia" w:ascii="宋体" w:hAnsi="宋体" w:cs="仿宋_GB2312"/>
                <w:b w:val="0"/>
                <w:bCs w:val="0"/>
                <w:sz w:val="21"/>
                <w:szCs w:val="21"/>
                <w:highlight w:val="none"/>
                <w:lang w:val="en-US" w:eastAsia="zh-CN"/>
              </w:rPr>
            </w:pPr>
            <w:r>
              <w:rPr>
                <w:rFonts w:hint="eastAsia" w:ascii="宋体" w:hAnsi="宋体" w:cs="仿宋_GB2312"/>
                <w:b w:val="0"/>
                <w:bCs w:val="0"/>
                <w:sz w:val="21"/>
                <w:szCs w:val="21"/>
                <w:highlight w:val="none"/>
                <w:lang w:val="en-US" w:eastAsia="zh-CN"/>
              </w:rPr>
              <w:t>（5.2）需在单位类型中添加类别：公共机构、政府机构，同时后台审核页面，后台编辑页面，导出功能等相关页面均增加该内容。</w:t>
            </w:r>
          </w:p>
          <w:p>
            <w:pPr>
              <w:numPr>
                <w:ilvl w:val="0"/>
                <w:numId w:val="0"/>
              </w:numPr>
              <w:tabs>
                <w:tab w:val="left" w:pos="531"/>
              </w:tabs>
              <w:snapToGrid w:val="0"/>
              <w:spacing w:line="360" w:lineRule="auto"/>
              <w:ind w:left="-1" w:firstLine="0" w:firstLineChars="0"/>
              <w:rPr>
                <w:rFonts w:hint="eastAsia" w:ascii="宋体" w:hAnsi="宋体" w:cs="仿宋_GB2312"/>
                <w:b w:val="0"/>
                <w:bCs w:val="0"/>
                <w:sz w:val="21"/>
                <w:szCs w:val="21"/>
                <w:highlight w:val="none"/>
                <w:lang w:val="en-US" w:eastAsia="zh-CN"/>
              </w:rPr>
            </w:pPr>
            <w:r>
              <w:rPr>
                <w:rFonts w:hint="eastAsia" w:ascii="宋体" w:hAnsi="宋体" w:cs="仿宋_GB2312"/>
                <w:b w:val="0"/>
                <w:bCs w:val="0"/>
                <w:sz w:val="21"/>
                <w:szCs w:val="21"/>
                <w:highlight w:val="none"/>
                <w:lang w:val="en-US" w:eastAsia="zh-CN"/>
              </w:rPr>
              <w:t>（5.3）线上展会信息、展品、新产品新技术等模块：</w:t>
            </w:r>
          </w:p>
          <w:p>
            <w:pPr>
              <w:numPr>
                <w:ilvl w:val="0"/>
                <w:numId w:val="0"/>
              </w:numPr>
              <w:tabs>
                <w:tab w:val="left" w:pos="531"/>
              </w:tabs>
              <w:snapToGrid w:val="0"/>
              <w:spacing w:line="360" w:lineRule="auto"/>
              <w:ind w:left="-1" w:firstLine="0" w:firstLineChars="0"/>
              <w:rPr>
                <w:rFonts w:hint="eastAsia" w:ascii="宋体" w:hAnsi="宋体" w:cs="仿宋_GB2312"/>
                <w:b w:val="0"/>
                <w:bCs w:val="0"/>
                <w:sz w:val="21"/>
                <w:szCs w:val="21"/>
                <w:highlight w:val="none"/>
                <w:lang w:val="en-US" w:eastAsia="zh-CN"/>
              </w:rPr>
            </w:pPr>
            <w:r>
              <w:rPr>
                <w:rFonts w:hint="eastAsia" w:ascii="宋体" w:hAnsi="宋体" w:cs="仿宋_GB2312"/>
                <w:b w:val="0"/>
                <w:bCs w:val="0"/>
                <w:sz w:val="21"/>
                <w:szCs w:val="21"/>
                <w:highlight w:val="none"/>
                <w:lang w:val="en-US" w:eastAsia="zh-CN"/>
              </w:rPr>
              <w:t>（5.4）需增加参展目的选项，包括: 品牌与形象宣传、产品或项目推广、寻找合作伙伴、获取行业信息、获得融资、寻找投资项目、其他等字段。</w:t>
            </w:r>
          </w:p>
          <w:p>
            <w:pPr>
              <w:numPr>
                <w:ilvl w:val="0"/>
                <w:numId w:val="0"/>
              </w:numPr>
              <w:tabs>
                <w:tab w:val="left" w:pos="531"/>
              </w:tabs>
              <w:snapToGrid w:val="0"/>
              <w:spacing w:line="360" w:lineRule="auto"/>
              <w:ind w:left="-1" w:firstLine="0" w:firstLineChars="0"/>
              <w:rPr>
                <w:rFonts w:hint="eastAsia" w:ascii="宋体" w:hAnsi="宋体" w:cs="仿宋_GB2312"/>
                <w:b w:val="0"/>
                <w:bCs w:val="0"/>
                <w:sz w:val="21"/>
                <w:szCs w:val="21"/>
                <w:highlight w:val="none"/>
                <w:lang w:val="en-US" w:eastAsia="zh-CN"/>
              </w:rPr>
            </w:pPr>
            <w:r>
              <w:rPr>
                <w:rFonts w:hint="eastAsia" w:ascii="宋体" w:hAnsi="宋体" w:cs="仿宋_GB2312"/>
                <w:b w:val="0"/>
                <w:bCs w:val="0"/>
                <w:sz w:val="21"/>
                <w:szCs w:val="21"/>
                <w:highlight w:val="none"/>
                <w:lang w:val="en-US" w:eastAsia="zh-CN"/>
              </w:rPr>
              <w:t>（5.5）需添加一栏自选年份，实现中英文两版同步修改。</w:t>
            </w:r>
          </w:p>
          <w:p>
            <w:pPr>
              <w:numPr>
                <w:ilvl w:val="0"/>
                <w:numId w:val="0"/>
              </w:numPr>
              <w:tabs>
                <w:tab w:val="left" w:pos="531"/>
              </w:tabs>
              <w:snapToGrid w:val="0"/>
              <w:spacing w:line="360" w:lineRule="auto"/>
              <w:ind w:left="-1" w:firstLine="0" w:firstLineChars="0"/>
              <w:rPr>
                <w:rFonts w:hint="eastAsia" w:ascii="宋体" w:hAnsi="宋体" w:cs="仿宋_GB2312"/>
                <w:b w:val="0"/>
                <w:bCs w:val="0"/>
                <w:sz w:val="21"/>
                <w:szCs w:val="21"/>
                <w:highlight w:val="none"/>
                <w:lang w:val="en-US" w:eastAsia="zh-CN"/>
              </w:rPr>
            </w:pPr>
            <w:r>
              <w:rPr>
                <w:rFonts w:hint="eastAsia" w:ascii="宋体" w:hAnsi="宋体" w:cs="仿宋_GB2312"/>
                <w:b w:val="0"/>
                <w:bCs w:val="0"/>
                <w:sz w:val="21"/>
                <w:szCs w:val="21"/>
                <w:highlight w:val="none"/>
                <w:lang w:val="en-US" w:eastAsia="zh-CN"/>
              </w:rPr>
              <w:t>（5.6）需在展品基本页面增加宣传采访线索其中包括亮点产品-技术、亮点活动两类，亮点产品-技术包含以下内容：公司国内、国际及行业地位。公司的研发实力和优势。公司获得的荣誉和奖项。企业介绍文件、产品介绍文件、产品图片和视频、其他附件、推荐理由、产品亮点、产品技术的创新点、产品技术的应用领域、产品技术的技术难点、产品技术的市场前景等字段。</w:t>
            </w:r>
          </w:p>
          <w:p>
            <w:pPr>
              <w:numPr>
                <w:ilvl w:val="0"/>
                <w:numId w:val="0"/>
              </w:numPr>
              <w:tabs>
                <w:tab w:val="left" w:pos="531"/>
              </w:tabs>
              <w:snapToGrid w:val="0"/>
              <w:spacing w:line="360" w:lineRule="auto"/>
              <w:ind w:left="-1" w:firstLine="0" w:firstLineChars="0"/>
              <w:rPr>
                <w:rFonts w:hint="eastAsia" w:ascii="宋体" w:hAnsi="宋体" w:cs="仿宋_GB2312"/>
                <w:b w:val="0"/>
                <w:bCs w:val="0"/>
                <w:sz w:val="21"/>
                <w:szCs w:val="21"/>
                <w:highlight w:val="none"/>
                <w:lang w:val="en-US" w:eastAsia="zh-CN"/>
              </w:rPr>
            </w:pPr>
            <w:r>
              <w:rPr>
                <w:rFonts w:hint="eastAsia" w:ascii="宋体" w:hAnsi="宋体" w:cs="仿宋_GB2312"/>
                <w:b w:val="0"/>
                <w:bCs w:val="0"/>
                <w:sz w:val="21"/>
                <w:szCs w:val="21"/>
                <w:highlight w:val="none"/>
                <w:lang w:val="en-US" w:eastAsia="zh-CN"/>
              </w:rPr>
              <w:t>（5.7）亮点活动包括活动名称、活动亮点及其他文件资料，增加是否在高交会上发布新产品、新技术的选项。如果选择是。增加新产品、新技术发布形式，包括自行组织在自有展位上发布和大会组织的新产品、新技术发布会上进行发布。</w:t>
            </w:r>
          </w:p>
          <w:p>
            <w:pPr>
              <w:numPr>
                <w:ilvl w:val="0"/>
                <w:numId w:val="0"/>
              </w:numPr>
              <w:tabs>
                <w:tab w:val="left" w:pos="531"/>
              </w:tabs>
              <w:snapToGrid w:val="0"/>
              <w:spacing w:line="360" w:lineRule="auto"/>
              <w:ind w:left="-1" w:firstLine="0" w:firstLineChars="0"/>
              <w:rPr>
                <w:rFonts w:hint="eastAsia" w:ascii="宋体" w:hAnsi="宋体" w:cs="仿宋_GB2312"/>
                <w:b w:val="0"/>
                <w:bCs w:val="0"/>
                <w:sz w:val="21"/>
                <w:szCs w:val="21"/>
                <w:highlight w:val="none"/>
                <w:lang w:val="en-US" w:eastAsia="zh-CN"/>
              </w:rPr>
            </w:pPr>
            <w:r>
              <w:rPr>
                <w:rFonts w:hint="eastAsia" w:ascii="宋体" w:hAnsi="宋体" w:cs="仿宋_GB2312"/>
                <w:b w:val="0"/>
                <w:bCs w:val="0"/>
                <w:sz w:val="21"/>
                <w:szCs w:val="21"/>
                <w:highlight w:val="none"/>
                <w:lang w:val="en-US" w:eastAsia="zh-CN"/>
              </w:rPr>
              <w:t>（5.8）需在新产品新技术页面增加企业信息、附件上传、发布项目推荐理由，创新性、特殊性、专业性说明、核心优势、市场及应用前景、活动联系人、联系电话以及知识产权声明等字段。</w:t>
            </w:r>
          </w:p>
          <w:p>
            <w:pPr>
              <w:numPr>
                <w:ilvl w:val="0"/>
                <w:numId w:val="0"/>
              </w:numPr>
              <w:tabs>
                <w:tab w:val="left" w:pos="531"/>
              </w:tabs>
              <w:snapToGrid w:val="0"/>
              <w:spacing w:line="360" w:lineRule="auto"/>
              <w:ind w:left="-1" w:firstLine="0" w:firstLineChars="0"/>
              <w:rPr>
                <w:rFonts w:hint="eastAsia" w:ascii="宋体" w:hAnsi="宋体" w:cs="仿宋_GB2312"/>
                <w:b w:val="0"/>
                <w:bCs w:val="0"/>
                <w:sz w:val="21"/>
                <w:szCs w:val="21"/>
                <w:highlight w:val="none"/>
                <w:lang w:val="en-US" w:eastAsia="zh-CN"/>
              </w:rPr>
            </w:pPr>
            <w:r>
              <w:rPr>
                <w:rFonts w:hint="eastAsia" w:ascii="宋体" w:hAnsi="宋体" w:cs="仿宋_GB2312"/>
                <w:b w:val="0"/>
                <w:bCs w:val="0"/>
                <w:sz w:val="21"/>
                <w:szCs w:val="21"/>
                <w:highlight w:val="none"/>
                <w:lang w:val="en-US" w:eastAsia="zh-CN"/>
              </w:rPr>
              <w:t>（5.9）需增加宣传、采访线索反馈选项。</w:t>
            </w:r>
          </w:p>
          <w:p>
            <w:pPr>
              <w:numPr>
                <w:ilvl w:val="0"/>
                <w:numId w:val="0"/>
              </w:numPr>
              <w:tabs>
                <w:tab w:val="left" w:pos="531"/>
              </w:tabs>
              <w:snapToGrid w:val="0"/>
              <w:spacing w:line="360" w:lineRule="auto"/>
              <w:ind w:left="-1" w:firstLine="0" w:firstLineChars="0"/>
              <w:rPr>
                <w:rFonts w:hint="eastAsia" w:ascii="宋体" w:hAnsi="宋体" w:cs="仿宋_GB2312"/>
                <w:b w:val="0"/>
                <w:bCs w:val="0"/>
                <w:sz w:val="21"/>
                <w:szCs w:val="21"/>
                <w:highlight w:val="none"/>
                <w:lang w:val="en-US" w:eastAsia="zh-CN"/>
              </w:rPr>
            </w:pPr>
            <w:r>
              <w:rPr>
                <w:rFonts w:hint="eastAsia" w:ascii="宋体" w:hAnsi="宋体" w:cs="仿宋_GB2312"/>
                <w:b w:val="0"/>
                <w:bCs w:val="0"/>
                <w:sz w:val="21"/>
                <w:szCs w:val="21"/>
                <w:highlight w:val="none"/>
                <w:lang w:val="en-US" w:eastAsia="zh-CN"/>
              </w:rPr>
              <w:t>（5.10）需增加高交会上发布新产品新技术选项，选择是的情况下，直接跳转提示框引导到新产品新技术申请页面。</w:t>
            </w:r>
          </w:p>
          <w:p>
            <w:pPr>
              <w:numPr>
                <w:ilvl w:val="0"/>
                <w:numId w:val="0"/>
              </w:numPr>
              <w:tabs>
                <w:tab w:val="left" w:pos="531"/>
              </w:tabs>
              <w:snapToGrid w:val="0"/>
              <w:spacing w:line="360" w:lineRule="auto"/>
              <w:ind w:left="-1" w:firstLine="0" w:firstLineChars="0"/>
              <w:rPr>
                <w:rFonts w:hint="eastAsia" w:ascii="宋体" w:hAnsi="宋体" w:cs="仿宋_GB2312"/>
                <w:b w:val="0"/>
                <w:bCs w:val="0"/>
                <w:sz w:val="21"/>
                <w:szCs w:val="21"/>
                <w:highlight w:val="none"/>
                <w:lang w:val="en-US" w:eastAsia="zh-CN"/>
              </w:rPr>
            </w:pPr>
            <w:r>
              <w:rPr>
                <w:rFonts w:hint="eastAsia" w:ascii="宋体" w:hAnsi="宋体" w:cs="仿宋_GB2312"/>
                <w:b w:val="0"/>
                <w:bCs w:val="0"/>
                <w:sz w:val="21"/>
                <w:szCs w:val="21"/>
                <w:highlight w:val="none"/>
                <w:lang w:val="en-US" w:eastAsia="zh-CN"/>
              </w:rPr>
              <w:t>（5.11）需增加是否属于专精特新企业选项。</w:t>
            </w:r>
          </w:p>
          <w:p>
            <w:pPr>
              <w:numPr>
                <w:ilvl w:val="0"/>
                <w:numId w:val="0"/>
              </w:numPr>
              <w:tabs>
                <w:tab w:val="left" w:pos="531"/>
              </w:tabs>
              <w:snapToGrid w:val="0"/>
              <w:spacing w:line="360" w:lineRule="auto"/>
              <w:ind w:left="-1" w:firstLine="0" w:firstLineChars="0"/>
              <w:rPr>
                <w:rFonts w:hint="eastAsia" w:ascii="宋体" w:hAnsi="宋体" w:cs="仿宋_GB2312"/>
                <w:b/>
                <w:bCs/>
                <w:sz w:val="21"/>
                <w:szCs w:val="21"/>
                <w:highlight w:val="none"/>
                <w:lang w:val="en-US" w:eastAsia="zh-CN"/>
              </w:rPr>
            </w:pPr>
            <w:r>
              <w:rPr>
                <w:rFonts w:hint="eastAsia" w:ascii="宋体" w:hAnsi="宋体" w:cs="仿宋_GB2312"/>
                <w:b/>
                <w:bCs/>
                <w:sz w:val="21"/>
                <w:szCs w:val="21"/>
                <w:highlight w:val="none"/>
                <w:lang w:val="en-US" w:eastAsia="zh-CN"/>
              </w:rPr>
              <w:t>（6）CIS系统票证模块</w:t>
            </w:r>
          </w:p>
          <w:p>
            <w:pPr>
              <w:numPr>
                <w:ilvl w:val="0"/>
                <w:numId w:val="0"/>
              </w:numPr>
              <w:tabs>
                <w:tab w:val="left" w:pos="531"/>
              </w:tabs>
              <w:snapToGrid w:val="0"/>
              <w:spacing w:line="360" w:lineRule="auto"/>
              <w:ind w:left="-1" w:firstLine="0" w:firstLineChars="0"/>
              <w:rPr>
                <w:rFonts w:hint="eastAsia" w:ascii="宋体" w:hAnsi="宋体" w:cs="仿宋_GB2312"/>
                <w:b w:val="0"/>
                <w:bCs w:val="0"/>
                <w:sz w:val="21"/>
                <w:szCs w:val="21"/>
                <w:highlight w:val="none"/>
                <w:lang w:val="en-US" w:eastAsia="zh-CN"/>
              </w:rPr>
            </w:pPr>
            <w:r>
              <w:rPr>
                <w:rFonts w:hint="eastAsia" w:ascii="宋体" w:hAnsi="宋体" w:cs="仿宋_GB2312"/>
                <w:b w:val="0"/>
                <w:bCs w:val="0"/>
                <w:sz w:val="21"/>
                <w:szCs w:val="21"/>
                <w:highlight w:val="none"/>
                <w:lang w:val="en-US" w:eastAsia="zh-CN"/>
              </w:rPr>
              <w:t>（6.1）需实现票证系统优化及整合升级，将观众电子票办理功能模块整合延展至小程序端，并将相关数据归集至PC端CIS后台统一管理，确保微信、小程序、CIS的PC端三个渠道的数据交互通畅。</w:t>
            </w:r>
          </w:p>
          <w:p>
            <w:pPr>
              <w:numPr>
                <w:ilvl w:val="0"/>
                <w:numId w:val="0"/>
              </w:numPr>
              <w:tabs>
                <w:tab w:val="left" w:pos="531"/>
              </w:tabs>
              <w:snapToGrid w:val="0"/>
              <w:spacing w:line="360" w:lineRule="auto"/>
              <w:ind w:left="-1" w:firstLine="0" w:firstLineChars="0"/>
              <w:rPr>
                <w:rFonts w:hint="eastAsia" w:ascii="宋体" w:hAnsi="宋体" w:cs="仿宋_GB2312"/>
                <w:b w:val="0"/>
                <w:bCs w:val="0"/>
                <w:sz w:val="21"/>
                <w:szCs w:val="21"/>
                <w:highlight w:val="none"/>
                <w:lang w:val="en-US" w:eastAsia="zh-CN"/>
              </w:rPr>
            </w:pPr>
            <w:r>
              <w:rPr>
                <w:rFonts w:hint="eastAsia" w:ascii="宋体" w:hAnsi="宋体" w:cs="仿宋_GB2312"/>
                <w:b w:val="0"/>
                <w:bCs w:val="0"/>
                <w:sz w:val="21"/>
                <w:szCs w:val="21"/>
                <w:highlight w:val="none"/>
                <w:lang w:val="en-US" w:eastAsia="zh-CN"/>
              </w:rPr>
              <w:t>（6.2）参考原有PC端和微信端的电子票模块功能，需对“电子票办理”（包括展商电子票办理、观众电子票办理及活动论坛及合作单位电子票办理）进行建设，与高交会电子票使用要求相适配，并根据各级用户及观众的使用习惯进行优化。</w:t>
            </w:r>
          </w:p>
          <w:p>
            <w:pPr>
              <w:numPr>
                <w:ilvl w:val="0"/>
                <w:numId w:val="0"/>
              </w:numPr>
              <w:tabs>
                <w:tab w:val="left" w:pos="531"/>
              </w:tabs>
              <w:snapToGrid w:val="0"/>
              <w:spacing w:line="360" w:lineRule="auto"/>
              <w:ind w:left="-1" w:firstLine="0" w:firstLineChars="0"/>
              <w:rPr>
                <w:rFonts w:hint="eastAsia" w:ascii="宋体" w:hAnsi="宋体" w:cs="仿宋_GB2312"/>
                <w:b w:val="0"/>
                <w:bCs w:val="0"/>
                <w:sz w:val="21"/>
                <w:szCs w:val="21"/>
                <w:highlight w:val="none"/>
                <w:lang w:val="en-US" w:eastAsia="zh-CN"/>
              </w:rPr>
            </w:pPr>
            <w:r>
              <w:rPr>
                <w:rFonts w:hint="eastAsia" w:ascii="宋体" w:hAnsi="宋体" w:cs="仿宋_GB2312"/>
                <w:b w:val="0"/>
                <w:bCs w:val="0"/>
                <w:sz w:val="21"/>
                <w:szCs w:val="21"/>
                <w:highlight w:val="none"/>
                <w:lang w:val="en-US" w:eastAsia="zh-CN"/>
              </w:rPr>
              <w:t>（6.3）需在原有“高交会票证办理小程序”基础上，对各层级页面内容和功能结构应统筹规划并设计，进行开发融合，以适配用户使用习惯、方便用户快捷处理为核心思路，且应结合高交会VI规范要求进行相应的UI页面设计。</w:t>
            </w:r>
          </w:p>
          <w:p>
            <w:pPr>
              <w:numPr>
                <w:ilvl w:val="0"/>
                <w:numId w:val="0"/>
              </w:numPr>
              <w:tabs>
                <w:tab w:val="left" w:pos="531"/>
              </w:tabs>
              <w:snapToGrid w:val="0"/>
              <w:spacing w:line="360" w:lineRule="auto"/>
              <w:ind w:left="-1" w:firstLine="0" w:firstLineChars="0"/>
              <w:rPr>
                <w:rFonts w:hint="eastAsia" w:ascii="宋体" w:hAnsi="宋体" w:cs="仿宋_GB2312"/>
                <w:b w:val="0"/>
                <w:bCs w:val="0"/>
                <w:sz w:val="21"/>
                <w:szCs w:val="21"/>
                <w:highlight w:val="none"/>
                <w:lang w:val="en-US" w:eastAsia="zh-CN"/>
              </w:rPr>
            </w:pPr>
            <w:r>
              <w:rPr>
                <w:rFonts w:hint="eastAsia" w:ascii="宋体" w:hAnsi="宋体" w:cs="仿宋_GB2312"/>
                <w:b w:val="0"/>
                <w:bCs w:val="0"/>
                <w:sz w:val="21"/>
                <w:szCs w:val="21"/>
                <w:highlight w:val="none"/>
                <w:lang w:val="en-US" w:eastAsia="zh-CN"/>
              </w:rPr>
              <w:t>（6.4）需对程序进行优化整合，实现便于用户使用，轻量化运行、统筹CIS关联模块的需求进行功能有机融合、考虑未来业务发展的新增需求并预留接口，包含观众、展区、活动论坛等方便的功能。</w:t>
            </w:r>
          </w:p>
          <w:p>
            <w:pPr>
              <w:numPr>
                <w:ilvl w:val="0"/>
                <w:numId w:val="0"/>
              </w:numPr>
              <w:tabs>
                <w:tab w:val="left" w:pos="531"/>
              </w:tabs>
              <w:snapToGrid w:val="0"/>
              <w:spacing w:line="360" w:lineRule="auto"/>
              <w:ind w:left="-1" w:firstLine="0" w:firstLineChars="0"/>
              <w:rPr>
                <w:rFonts w:hint="eastAsia" w:ascii="宋体" w:hAnsi="宋体" w:cs="仿宋_GB2312"/>
                <w:b/>
                <w:bCs/>
                <w:sz w:val="21"/>
                <w:szCs w:val="21"/>
                <w:highlight w:val="none"/>
                <w:lang w:val="en-US" w:eastAsia="zh-CN"/>
              </w:rPr>
            </w:pPr>
            <w:r>
              <w:rPr>
                <w:rFonts w:hint="eastAsia" w:ascii="宋体" w:hAnsi="宋体" w:cs="仿宋_GB2312"/>
                <w:b/>
                <w:bCs/>
                <w:sz w:val="21"/>
                <w:szCs w:val="21"/>
                <w:highlight w:val="none"/>
                <w:lang w:val="en-US" w:eastAsia="zh-CN"/>
              </w:rPr>
              <w:t>（7）CIS系统成交统计模块</w:t>
            </w:r>
          </w:p>
          <w:p>
            <w:pPr>
              <w:numPr>
                <w:ilvl w:val="0"/>
                <w:numId w:val="0"/>
              </w:numPr>
              <w:tabs>
                <w:tab w:val="left" w:pos="531"/>
              </w:tabs>
              <w:snapToGrid w:val="0"/>
              <w:spacing w:line="360" w:lineRule="auto"/>
              <w:ind w:left="-1" w:firstLine="0" w:firstLineChars="0"/>
              <w:rPr>
                <w:rFonts w:hint="eastAsia" w:ascii="宋体" w:hAnsi="宋体" w:cs="仿宋_GB2312"/>
                <w:b w:val="0"/>
                <w:bCs w:val="0"/>
                <w:sz w:val="21"/>
                <w:szCs w:val="21"/>
                <w:highlight w:val="none"/>
                <w:lang w:val="en-US" w:eastAsia="zh-CN"/>
              </w:rPr>
            </w:pPr>
            <w:r>
              <w:rPr>
                <w:rFonts w:hint="eastAsia" w:ascii="宋体" w:hAnsi="宋体" w:cs="仿宋_GB2312"/>
                <w:b w:val="0"/>
                <w:bCs w:val="0"/>
                <w:sz w:val="21"/>
                <w:szCs w:val="21"/>
                <w:highlight w:val="none"/>
                <w:lang w:val="en-US" w:eastAsia="zh-CN"/>
              </w:rPr>
              <w:t>需增加展团和展区查询成交统计数据的功能。展区管理员需增加成交数据的查看功能，领导角色需增加所管辖的所有展区的成交数据查询功能。</w:t>
            </w:r>
          </w:p>
          <w:p>
            <w:pPr>
              <w:numPr>
                <w:ilvl w:val="0"/>
                <w:numId w:val="0"/>
              </w:numPr>
              <w:tabs>
                <w:tab w:val="left" w:pos="531"/>
              </w:tabs>
              <w:snapToGrid w:val="0"/>
              <w:spacing w:line="360" w:lineRule="auto"/>
              <w:ind w:left="-1" w:firstLine="0" w:firstLineChars="0"/>
              <w:rPr>
                <w:rFonts w:hint="eastAsia" w:ascii="宋体" w:hAnsi="宋体" w:cs="仿宋_GB2312"/>
                <w:b/>
                <w:bCs/>
                <w:sz w:val="21"/>
                <w:szCs w:val="21"/>
                <w:highlight w:val="none"/>
                <w:lang w:val="en-US" w:eastAsia="zh-CN"/>
              </w:rPr>
            </w:pPr>
            <w:r>
              <w:rPr>
                <w:rFonts w:hint="eastAsia" w:ascii="宋体" w:hAnsi="宋体" w:cs="仿宋_GB2312"/>
                <w:b/>
                <w:bCs/>
                <w:sz w:val="21"/>
                <w:szCs w:val="21"/>
                <w:highlight w:val="none"/>
                <w:lang w:val="en-US" w:eastAsia="zh-CN"/>
              </w:rPr>
              <w:t>（8）CIS系统自媒体模块</w:t>
            </w:r>
          </w:p>
          <w:p>
            <w:pPr>
              <w:numPr>
                <w:ilvl w:val="0"/>
                <w:numId w:val="0"/>
              </w:numPr>
              <w:tabs>
                <w:tab w:val="left" w:pos="531"/>
              </w:tabs>
              <w:snapToGrid w:val="0"/>
              <w:spacing w:line="360" w:lineRule="auto"/>
              <w:ind w:left="-1" w:firstLine="0" w:firstLineChars="0"/>
              <w:rPr>
                <w:rFonts w:hint="eastAsia" w:ascii="宋体" w:hAnsi="宋体" w:cs="仿宋_GB2312"/>
                <w:b w:val="0"/>
                <w:bCs w:val="0"/>
                <w:sz w:val="21"/>
                <w:szCs w:val="21"/>
                <w:highlight w:val="none"/>
                <w:lang w:val="en-US" w:eastAsia="zh-CN"/>
              </w:rPr>
            </w:pPr>
            <w:r>
              <w:rPr>
                <w:rFonts w:hint="eastAsia" w:ascii="宋体" w:hAnsi="宋体" w:cs="仿宋_GB2312"/>
                <w:b w:val="0"/>
                <w:bCs w:val="0"/>
                <w:sz w:val="21"/>
                <w:szCs w:val="21"/>
                <w:highlight w:val="none"/>
                <w:lang w:val="en-US" w:eastAsia="zh-CN"/>
              </w:rPr>
              <w:t>需对展商参展结果分级处理，分仅线上参展、线上+线下及取消激活等操作，实现展商退展即取消激活，线上线下均取消等功能。</w:t>
            </w:r>
          </w:p>
          <w:p>
            <w:pPr>
              <w:numPr>
                <w:ilvl w:val="0"/>
                <w:numId w:val="0"/>
              </w:numPr>
              <w:tabs>
                <w:tab w:val="left" w:pos="531"/>
              </w:tabs>
              <w:snapToGrid w:val="0"/>
              <w:spacing w:line="360" w:lineRule="auto"/>
              <w:ind w:left="-1" w:firstLine="0" w:firstLineChars="0"/>
              <w:rPr>
                <w:rFonts w:hint="eastAsia" w:ascii="宋体" w:hAnsi="宋体" w:cs="仿宋_GB2312"/>
                <w:b/>
                <w:bCs/>
                <w:sz w:val="21"/>
                <w:szCs w:val="21"/>
                <w:highlight w:val="none"/>
                <w:lang w:val="en-US" w:eastAsia="zh-CN"/>
              </w:rPr>
            </w:pPr>
            <w:r>
              <w:rPr>
                <w:rFonts w:hint="eastAsia" w:ascii="宋体" w:hAnsi="宋体" w:cs="仿宋_GB2312"/>
                <w:b/>
                <w:bCs/>
                <w:sz w:val="21"/>
                <w:szCs w:val="21"/>
                <w:highlight w:val="none"/>
                <w:lang w:val="en-US" w:eastAsia="zh-CN"/>
              </w:rPr>
              <w:t>（9）CIS系统展品填报模块</w:t>
            </w:r>
          </w:p>
          <w:p>
            <w:pPr>
              <w:numPr>
                <w:ilvl w:val="0"/>
                <w:numId w:val="0"/>
              </w:numPr>
              <w:tabs>
                <w:tab w:val="left" w:pos="531"/>
              </w:tabs>
              <w:snapToGrid w:val="0"/>
              <w:spacing w:line="360" w:lineRule="auto"/>
              <w:ind w:left="-1" w:firstLine="0" w:firstLineChars="0"/>
              <w:rPr>
                <w:rFonts w:hint="eastAsia" w:ascii="宋体" w:hAnsi="宋体" w:cs="仿宋_GB2312"/>
                <w:b w:val="0"/>
                <w:bCs w:val="0"/>
                <w:sz w:val="21"/>
                <w:szCs w:val="21"/>
                <w:highlight w:val="none"/>
                <w:lang w:val="en-US" w:eastAsia="zh-CN"/>
              </w:rPr>
            </w:pPr>
            <w:r>
              <w:rPr>
                <w:rFonts w:hint="eastAsia" w:ascii="宋体" w:hAnsi="宋体" w:cs="仿宋_GB2312"/>
                <w:b w:val="0"/>
                <w:bCs w:val="0"/>
                <w:sz w:val="21"/>
                <w:szCs w:val="21"/>
                <w:highlight w:val="none"/>
                <w:lang w:val="en-US" w:eastAsia="zh-CN"/>
              </w:rPr>
              <w:t>（9.1）需增加展商填报“展品新技术亮点介绍”，同步修改后台审核页面，维护页面等。</w:t>
            </w:r>
          </w:p>
          <w:p>
            <w:pPr>
              <w:numPr>
                <w:ilvl w:val="0"/>
                <w:numId w:val="0"/>
              </w:numPr>
              <w:tabs>
                <w:tab w:val="left" w:pos="531"/>
              </w:tabs>
              <w:snapToGrid w:val="0"/>
              <w:spacing w:line="360" w:lineRule="auto"/>
              <w:ind w:left="-1" w:firstLine="0" w:firstLineChars="0"/>
              <w:rPr>
                <w:rFonts w:hint="eastAsia" w:ascii="宋体" w:hAnsi="宋体" w:cs="仿宋_GB2312"/>
                <w:b w:val="0"/>
                <w:bCs w:val="0"/>
                <w:sz w:val="21"/>
                <w:szCs w:val="21"/>
                <w:highlight w:val="none"/>
                <w:lang w:val="en-US" w:eastAsia="zh-CN"/>
              </w:rPr>
            </w:pPr>
            <w:r>
              <w:rPr>
                <w:rFonts w:hint="eastAsia" w:ascii="宋体" w:hAnsi="宋体" w:cs="仿宋_GB2312"/>
                <w:b w:val="0"/>
                <w:bCs w:val="0"/>
                <w:sz w:val="21"/>
                <w:szCs w:val="21"/>
                <w:highlight w:val="none"/>
                <w:lang w:val="en-US" w:eastAsia="zh-CN"/>
              </w:rPr>
              <w:t>（9.2）需实现参观路线资料申报，实现CIS线上全流程化。在目前已有的“展品管理”流程中完善“选入主题路线”的功能，待大会路线确定后，业务部门与技术人员在CIS中设置好路线，展区可在CIS中直接勾选相应的展品进入相关路线，可以后台直接下载使用。简化工作量，不用重复手动收集工作。</w:t>
            </w:r>
          </w:p>
          <w:p>
            <w:pPr>
              <w:numPr>
                <w:ilvl w:val="0"/>
                <w:numId w:val="0"/>
              </w:numPr>
              <w:tabs>
                <w:tab w:val="left" w:pos="531"/>
              </w:tabs>
              <w:snapToGrid w:val="0"/>
              <w:spacing w:line="360" w:lineRule="auto"/>
              <w:ind w:left="-1" w:firstLine="0" w:firstLineChars="0"/>
              <w:rPr>
                <w:rFonts w:hint="eastAsia" w:ascii="宋体" w:hAnsi="宋体" w:cs="仿宋_GB2312"/>
                <w:b/>
                <w:bCs/>
                <w:sz w:val="21"/>
                <w:szCs w:val="21"/>
                <w:highlight w:val="none"/>
                <w:lang w:val="en-US" w:eastAsia="zh-CN"/>
              </w:rPr>
            </w:pPr>
            <w:r>
              <w:rPr>
                <w:rFonts w:hint="eastAsia" w:ascii="宋体" w:hAnsi="宋体" w:cs="仿宋_GB2312"/>
                <w:b/>
                <w:bCs/>
                <w:sz w:val="21"/>
                <w:szCs w:val="21"/>
                <w:highlight w:val="none"/>
                <w:lang w:val="en-US" w:eastAsia="zh-CN"/>
              </w:rPr>
              <w:t>（10）线上展会模块</w:t>
            </w:r>
          </w:p>
          <w:p>
            <w:pPr>
              <w:numPr>
                <w:ilvl w:val="0"/>
                <w:numId w:val="0"/>
              </w:numPr>
              <w:tabs>
                <w:tab w:val="left" w:pos="531"/>
              </w:tabs>
              <w:snapToGrid w:val="0"/>
              <w:spacing w:line="360" w:lineRule="auto"/>
              <w:ind w:left="-1" w:firstLine="0" w:firstLineChars="0"/>
              <w:rPr>
                <w:rFonts w:hint="eastAsia" w:ascii="宋体" w:hAnsi="宋体" w:cs="仿宋_GB2312"/>
                <w:b w:val="0"/>
                <w:bCs w:val="0"/>
                <w:sz w:val="21"/>
                <w:szCs w:val="21"/>
                <w:highlight w:val="none"/>
                <w:lang w:val="en-US" w:eastAsia="zh-CN"/>
              </w:rPr>
            </w:pPr>
            <w:r>
              <w:rPr>
                <w:rFonts w:hint="eastAsia" w:ascii="宋体" w:hAnsi="宋体" w:cs="仿宋_GB2312"/>
                <w:b w:val="0"/>
                <w:bCs w:val="0"/>
                <w:sz w:val="21"/>
                <w:szCs w:val="21"/>
                <w:highlight w:val="none"/>
                <w:lang w:val="en-US" w:eastAsia="zh-CN"/>
              </w:rPr>
              <w:t>（10.1）需实现通过模糊搜索关键词、简称、主营产品、目标客户来模糊搜索展商。</w:t>
            </w:r>
          </w:p>
          <w:p>
            <w:pPr>
              <w:numPr>
                <w:ilvl w:val="0"/>
                <w:numId w:val="0"/>
              </w:numPr>
              <w:tabs>
                <w:tab w:val="left" w:pos="531"/>
              </w:tabs>
              <w:snapToGrid w:val="0"/>
              <w:spacing w:line="360" w:lineRule="auto"/>
              <w:ind w:left="-1"/>
              <w:rPr>
                <w:rFonts w:hint="eastAsia" w:ascii="宋体" w:hAnsi="宋体" w:cs="仿宋_GB2312"/>
                <w:szCs w:val="21"/>
                <w:highlight w:val="none"/>
              </w:rPr>
            </w:pPr>
            <w:r>
              <w:rPr>
                <w:rFonts w:hint="eastAsia" w:ascii="宋体" w:hAnsi="宋体" w:cs="仿宋_GB2312"/>
                <w:b w:val="0"/>
                <w:bCs w:val="0"/>
                <w:sz w:val="21"/>
                <w:szCs w:val="21"/>
                <w:highlight w:val="none"/>
                <w:lang w:val="en-US" w:eastAsia="zh-CN"/>
              </w:rPr>
              <w:t>（10.2）需对高交会线上展会系统UI界面进行统一设计修改，并完成往届线上展会数据归档，以及根据高交会的视觉元素更新线上展会前端页面。</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highlight w:val="none"/>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highlight w:val="none"/>
              </w:rPr>
            </w:pPr>
            <w:r>
              <w:rPr>
                <w:rFonts w:hint="eastAsia" w:ascii="宋体" w:hAnsi="宋体" w:cs="宋体"/>
                <w:snapToGrid/>
                <w:spacing w:val="0"/>
                <w:kern w:val="2"/>
                <w:sz w:val="21"/>
                <w:szCs w:val="21"/>
                <w:highlight w:val="none"/>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FF0000"/>
                <w:highlight w:val="none"/>
                <w:lang w:val="en-US" w:eastAsia="zh-CN"/>
              </w:rPr>
            </w:pPr>
            <w:r>
              <w:rPr>
                <w:rFonts w:hint="eastAsia"/>
                <w:color w:val="auto"/>
                <w:highlight w:val="none"/>
                <w:lang w:val="en-US" w:eastAsia="zh-CN"/>
              </w:rPr>
              <w:t>系统运行维护服务</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360" w:lineRule="auto"/>
              <w:ind w:left="-1"/>
              <w:rPr>
                <w:rFonts w:hint="default" w:ascii="宋体" w:hAnsi="宋体" w:eastAsia="宋体" w:cs="仿宋_GB2312"/>
                <w:szCs w:val="21"/>
                <w:highlight w:val="none"/>
                <w:lang w:val="en-US" w:eastAsia="zh-CN"/>
              </w:rPr>
            </w:pPr>
            <w:r>
              <w:rPr>
                <w:rFonts w:hint="eastAsia" w:ascii="宋体" w:hAnsi="宋体" w:eastAsia="宋体" w:cs="仿宋_GB2312"/>
                <w:szCs w:val="21"/>
                <w:highlight w:val="none"/>
                <w:lang w:val="en-US" w:eastAsia="zh-CN"/>
              </w:rPr>
              <w:t>（1）</w:t>
            </w:r>
            <w:r>
              <w:rPr>
                <w:rFonts w:hint="eastAsia" w:ascii="宋体" w:hAnsi="宋体" w:cs="仿宋_GB2312"/>
                <w:szCs w:val="21"/>
                <w:highlight w:val="none"/>
              </w:rPr>
              <w:t>本项目</w:t>
            </w:r>
            <w:r>
              <w:rPr>
                <w:rFonts w:hint="eastAsia" w:ascii="宋体" w:hAnsi="宋体" w:cs="仿宋_GB2312"/>
                <w:szCs w:val="21"/>
                <w:highlight w:val="none"/>
                <w:lang w:val="en-US" w:eastAsia="zh-CN"/>
              </w:rPr>
              <w:t>质保期从合同签署日起至2024年8月30日。</w:t>
            </w:r>
          </w:p>
          <w:p>
            <w:pPr>
              <w:numPr>
                <w:ilvl w:val="0"/>
                <w:numId w:val="0"/>
              </w:numPr>
              <w:tabs>
                <w:tab w:val="left" w:pos="531"/>
              </w:tabs>
              <w:snapToGrid w:val="0"/>
              <w:spacing w:line="360" w:lineRule="auto"/>
              <w:ind w:left="-1"/>
              <w:rPr>
                <w:rFonts w:hint="eastAsia" w:ascii="宋体" w:hAnsi="宋体" w:eastAsia="宋体" w:cs="仿宋_GB2312"/>
                <w:szCs w:val="21"/>
                <w:highlight w:val="none"/>
                <w:lang w:val="en-US" w:eastAsia="zh-CN"/>
              </w:rPr>
            </w:pPr>
            <w:r>
              <w:rPr>
                <w:rFonts w:hint="eastAsia" w:ascii="宋体" w:hAnsi="宋体" w:eastAsia="宋体" w:cs="仿宋_GB2312"/>
                <w:szCs w:val="21"/>
                <w:highlight w:val="none"/>
                <w:lang w:val="en-US" w:eastAsia="zh-CN"/>
              </w:rPr>
              <w:t>（2）需</w:t>
            </w:r>
            <w:r>
              <w:rPr>
                <w:rFonts w:hint="eastAsia" w:ascii="宋体" w:hAnsi="宋体" w:cs="仿宋_GB2312"/>
                <w:szCs w:val="21"/>
                <w:highlight w:val="none"/>
                <w:lang w:val="en-US" w:eastAsia="zh-CN"/>
              </w:rPr>
              <w:t>配合安全主管部门或第三方安全测评，对应用系统安全架构、漏洞、风险进行分析并采取优化或加固措施，对应用服务器、数据库服务器进行漏洞评估，根据漏洞等级进行更新保护工作。</w:t>
            </w:r>
          </w:p>
          <w:p>
            <w:pPr>
              <w:numPr>
                <w:ilvl w:val="0"/>
                <w:numId w:val="0"/>
              </w:numPr>
              <w:tabs>
                <w:tab w:val="left" w:pos="531"/>
              </w:tabs>
              <w:snapToGrid w:val="0"/>
              <w:spacing w:line="360" w:lineRule="auto"/>
              <w:ind w:left="-1"/>
              <w:rPr>
                <w:rFonts w:hint="eastAsia" w:ascii="宋体" w:hAnsi="宋体" w:eastAsia="宋体" w:cs="仿宋_GB2312"/>
                <w:szCs w:val="21"/>
                <w:highlight w:val="none"/>
                <w:lang w:val="en-US" w:eastAsia="zh-CN"/>
              </w:rPr>
            </w:pPr>
            <w:r>
              <w:rPr>
                <w:rFonts w:hint="eastAsia" w:ascii="宋体" w:hAnsi="宋体" w:eastAsia="宋体" w:cs="仿宋_GB2312"/>
                <w:szCs w:val="21"/>
                <w:highlight w:val="none"/>
                <w:lang w:val="en-US" w:eastAsia="zh-CN"/>
              </w:rPr>
              <w:t>（3）</w:t>
            </w:r>
            <w:r>
              <w:rPr>
                <w:rFonts w:hint="eastAsia" w:ascii="宋体" w:hAnsi="宋体" w:cs="仿宋_GB2312"/>
                <w:szCs w:val="21"/>
                <w:highlight w:val="none"/>
                <w:lang w:val="en-US" w:eastAsia="zh-CN"/>
              </w:rPr>
              <w:t>系统上线后，对系统（网络、服务器、应用）的运行状态进行监控。</w:t>
            </w:r>
          </w:p>
          <w:p>
            <w:pPr>
              <w:numPr>
                <w:ilvl w:val="0"/>
                <w:numId w:val="0"/>
              </w:numPr>
              <w:tabs>
                <w:tab w:val="left" w:pos="531"/>
              </w:tabs>
              <w:snapToGrid w:val="0"/>
              <w:spacing w:line="360" w:lineRule="auto"/>
              <w:ind w:left="-1"/>
              <w:rPr>
                <w:rFonts w:hint="eastAsia" w:ascii="宋体" w:hAnsi="宋体" w:eastAsia="宋体" w:cs="仿宋_GB2312"/>
                <w:szCs w:val="21"/>
                <w:highlight w:val="none"/>
                <w:lang w:val="en-US" w:eastAsia="zh-CN"/>
              </w:rPr>
            </w:pPr>
            <w:r>
              <w:rPr>
                <w:rFonts w:hint="eastAsia" w:ascii="宋体" w:hAnsi="宋体" w:eastAsia="宋体" w:cs="仿宋_GB2312"/>
                <w:szCs w:val="21"/>
                <w:highlight w:val="none"/>
                <w:lang w:val="en-US" w:eastAsia="zh-CN"/>
              </w:rPr>
              <w:t>（4）对</w:t>
            </w:r>
            <w:r>
              <w:rPr>
                <w:rFonts w:hint="eastAsia" w:ascii="宋体" w:hAnsi="宋体" w:cs="仿宋_GB2312"/>
                <w:szCs w:val="21"/>
                <w:highlight w:val="none"/>
                <w:lang w:val="en-US" w:eastAsia="zh-CN"/>
              </w:rPr>
              <w:t>系</w:t>
            </w:r>
            <w:r>
              <w:rPr>
                <w:rFonts w:hint="eastAsia" w:ascii="宋体" w:hAnsi="宋体" w:eastAsia="宋体" w:cs="仿宋_GB2312"/>
                <w:szCs w:val="21"/>
                <w:highlight w:val="none"/>
                <w:lang w:val="en-US" w:eastAsia="zh-CN"/>
              </w:rPr>
              <w:t>统数据进行对接、清洗、整理，以及导入等初始化工作。</w:t>
            </w:r>
          </w:p>
          <w:p>
            <w:pPr>
              <w:numPr>
                <w:ilvl w:val="0"/>
                <w:numId w:val="0"/>
              </w:numPr>
              <w:tabs>
                <w:tab w:val="left" w:pos="531"/>
              </w:tabs>
              <w:snapToGrid w:val="0"/>
              <w:spacing w:line="360" w:lineRule="auto"/>
              <w:ind w:left="-1"/>
              <w:rPr>
                <w:rFonts w:hint="eastAsia" w:ascii="宋体" w:hAnsi="宋体" w:eastAsia="宋体" w:cs="仿宋_GB2312"/>
                <w:szCs w:val="21"/>
                <w:highlight w:val="none"/>
                <w:lang w:val="en-US" w:eastAsia="zh-CN"/>
              </w:rPr>
            </w:pPr>
            <w:r>
              <w:rPr>
                <w:rFonts w:hint="eastAsia" w:ascii="宋体" w:hAnsi="宋体" w:eastAsia="宋体" w:cs="仿宋_GB2312"/>
                <w:szCs w:val="21"/>
                <w:highlight w:val="none"/>
                <w:lang w:val="en-US" w:eastAsia="zh-CN"/>
              </w:rPr>
              <w:t>（5）对系统使用人员进行培训，使得使用人员可以独立地、熟练地操作业务系统。</w:t>
            </w:r>
          </w:p>
          <w:p>
            <w:pPr>
              <w:numPr>
                <w:ilvl w:val="0"/>
                <w:numId w:val="0"/>
              </w:numPr>
              <w:tabs>
                <w:tab w:val="left" w:pos="531"/>
              </w:tabs>
              <w:snapToGrid w:val="0"/>
              <w:spacing w:line="360" w:lineRule="auto"/>
              <w:ind w:left="-1"/>
              <w:rPr>
                <w:rFonts w:hint="eastAsia" w:ascii="宋体" w:hAnsi="宋体" w:eastAsia="宋体" w:cs="仿宋_GB2312"/>
                <w:szCs w:val="21"/>
                <w:highlight w:val="none"/>
                <w:lang w:val="en-US" w:eastAsia="zh-CN"/>
              </w:rPr>
            </w:pPr>
            <w:r>
              <w:rPr>
                <w:rFonts w:hint="eastAsia" w:ascii="宋体" w:hAnsi="宋体" w:eastAsia="宋体" w:cs="仿宋_GB2312"/>
                <w:szCs w:val="21"/>
                <w:highlight w:val="none"/>
                <w:lang w:val="en-US" w:eastAsia="zh-CN"/>
              </w:rPr>
              <w:t>（6）与相关业务部门沟通协调现场其它紧急事务。</w:t>
            </w:r>
          </w:p>
          <w:p>
            <w:pPr>
              <w:numPr>
                <w:ilvl w:val="0"/>
                <w:numId w:val="0"/>
              </w:numPr>
              <w:tabs>
                <w:tab w:val="left" w:pos="531"/>
              </w:tabs>
              <w:snapToGrid w:val="0"/>
              <w:spacing w:line="360" w:lineRule="auto"/>
              <w:ind w:left="-1"/>
              <w:rPr>
                <w:rFonts w:hint="eastAsia" w:ascii="宋体" w:hAnsi="宋体" w:cs="仿宋_GB2312"/>
                <w:szCs w:val="21"/>
                <w:highlight w:val="none"/>
                <w:lang w:val="en-US" w:eastAsia="zh-CN"/>
              </w:rPr>
            </w:pPr>
            <w:r>
              <w:rPr>
                <w:rFonts w:hint="eastAsia" w:ascii="宋体" w:hAnsi="宋体" w:eastAsia="宋体" w:cs="仿宋_GB2312"/>
                <w:szCs w:val="21"/>
                <w:highlight w:val="none"/>
                <w:lang w:val="en-US" w:eastAsia="zh-CN"/>
              </w:rPr>
              <w:t>（7）</w:t>
            </w:r>
            <w:r>
              <w:rPr>
                <w:rFonts w:hint="eastAsia" w:ascii="宋体" w:hAnsi="宋体" w:cs="仿宋_GB2312"/>
                <w:szCs w:val="21"/>
                <w:highlight w:val="none"/>
                <w:lang w:val="en-US" w:eastAsia="zh-CN"/>
              </w:rPr>
              <w:t>质保期内至少每月对系统</w:t>
            </w:r>
            <w:r>
              <w:rPr>
                <w:rFonts w:hint="eastAsia" w:ascii="宋体" w:hAnsi="宋体" w:eastAsia="宋体" w:cs="仿宋_GB2312"/>
                <w:szCs w:val="21"/>
                <w:highlight w:val="none"/>
                <w:lang w:val="en-US" w:eastAsia="zh-CN"/>
              </w:rPr>
              <w:t>数据备份</w:t>
            </w:r>
            <w:r>
              <w:rPr>
                <w:rFonts w:hint="eastAsia" w:ascii="宋体" w:hAnsi="宋体" w:cs="仿宋_GB2312"/>
                <w:szCs w:val="21"/>
                <w:highlight w:val="none"/>
                <w:lang w:val="en-US" w:eastAsia="zh-CN"/>
              </w:rPr>
              <w:t>2次，并配合系统管理人员完成系统</w:t>
            </w:r>
            <w:r>
              <w:rPr>
                <w:rFonts w:hint="eastAsia" w:ascii="宋体" w:hAnsi="宋体" w:eastAsia="宋体" w:cs="仿宋_GB2312"/>
                <w:szCs w:val="21"/>
                <w:highlight w:val="none"/>
                <w:lang w:val="en-US" w:eastAsia="zh-CN"/>
              </w:rPr>
              <w:t>移交、擦除等工作。</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none"/>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highlight w:val="none"/>
                <w:lang w:val="en-US" w:eastAsia="zh-CN"/>
              </w:rPr>
            </w:pPr>
            <w:r>
              <w:rPr>
                <w:rFonts w:hint="eastAsia" w:ascii="宋体" w:hAnsi="宋体" w:cs="宋体"/>
                <w:snapToGrid/>
                <w:spacing w:val="0"/>
                <w:kern w:val="2"/>
                <w:sz w:val="21"/>
                <w:szCs w:val="21"/>
                <w:highlight w:val="none"/>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highlight w:val="none"/>
              </w:rPr>
            </w:pPr>
            <w:r>
              <w:rPr>
                <w:rFonts w:hint="eastAsia" w:ascii="宋体" w:hAnsi="宋体"/>
                <w:szCs w:val="21"/>
                <w:highlight w:val="none"/>
              </w:rPr>
              <w:t>项目团队</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pacing w:line="360" w:lineRule="auto"/>
              <w:ind w:left="-1"/>
              <w:rPr>
                <w:rFonts w:hint="eastAsia" w:ascii="宋体" w:hAnsi="宋体" w:eastAsia="宋体" w:cs="仿宋_GB2312"/>
                <w:szCs w:val="21"/>
                <w:highlight w:val="none"/>
              </w:rPr>
            </w:pP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lang w:val="en-US" w:eastAsia="zh-CN"/>
              </w:rPr>
              <w:t>1</w:t>
            </w: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rPr>
              <w:t>投标人须为本项目指定1名项目负责人，负责联络、协调、跟进该项目的具体实施工作，提供该负责人姓名、电话、职务、社保缴纳证明以及身份证扫描件等信息，相关扫描件加盖投标人公章。</w:t>
            </w:r>
            <w:r>
              <w:rPr>
                <w:rFonts w:hint="eastAsia" w:ascii="宋体" w:hAnsi="宋体" w:eastAsia="宋体" w:cs="仿宋_GB2312"/>
                <w:szCs w:val="21"/>
                <w:highlight w:val="none"/>
                <w:lang w:val="en-US" w:eastAsia="zh-CN"/>
              </w:rPr>
              <w:t>社保缴纳证明为</w:t>
            </w:r>
            <w:r>
              <w:rPr>
                <w:rFonts w:hint="eastAsia" w:ascii="宋体" w:hAnsi="宋体" w:eastAsia="宋体" w:cs="仿宋_GB2312"/>
                <w:szCs w:val="21"/>
                <w:highlight w:val="none"/>
              </w:rPr>
              <w:t>投标人</w:t>
            </w:r>
            <w:r>
              <w:rPr>
                <w:rFonts w:hint="eastAsia" w:ascii="宋体" w:hAnsi="宋体" w:eastAsia="宋体" w:cs="仿宋_GB2312"/>
                <w:szCs w:val="21"/>
                <w:highlight w:val="none"/>
                <w:lang w:val="en-US" w:eastAsia="zh-CN"/>
              </w:rPr>
              <w:t>为其</w:t>
            </w:r>
            <w:r>
              <w:rPr>
                <w:rFonts w:hint="eastAsia" w:ascii="宋体" w:hAnsi="宋体" w:eastAsia="宋体" w:cs="仿宋_GB2312"/>
                <w:szCs w:val="21"/>
                <w:highlight w:val="none"/>
              </w:rPr>
              <w:t>购买的近三个月社保清单证明（如在招标公告日上一个月的社保材料因社保部门原因暂时无法取得，则可以往前顺推一个月）</w:t>
            </w:r>
            <w:r>
              <w:rPr>
                <w:rFonts w:hint="eastAsia" w:ascii="宋体" w:hAnsi="宋体" w:eastAsia="宋体" w:cs="仿宋_GB2312"/>
                <w:szCs w:val="21"/>
                <w:highlight w:val="none"/>
                <w:lang w:eastAsia="zh-CN"/>
              </w:rPr>
              <w:t>。</w:t>
            </w:r>
          </w:p>
          <w:p>
            <w:pPr>
              <w:numPr>
                <w:ilvl w:val="0"/>
                <w:numId w:val="0"/>
              </w:numPr>
              <w:tabs>
                <w:tab w:val="left" w:pos="531"/>
              </w:tabs>
              <w:spacing w:line="360" w:lineRule="auto"/>
              <w:ind w:left="-1"/>
              <w:rPr>
                <w:rFonts w:hint="eastAsia" w:ascii="宋体" w:hAnsi="宋体" w:eastAsia="宋体" w:cs="仿宋_GB2312"/>
                <w:szCs w:val="21"/>
                <w:highlight w:val="none"/>
                <w:lang w:val="en-US" w:eastAsia="zh-CN"/>
              </w:rPr>
            </w:pP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lang w:val="en-US" w:eastAsia="zh-CN"/>
              </w:rPr>
              <w:t>2</w:t>
            </w: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rPr>
              <w:t>投标人</w:t>
            </w:r>
            <w:r>
              <w:rPr>
                <w:rFonts w:hint="eastAsia" w:ascii="宋体" w:hAnsi="宋体" w:eastAsia="宋体" w:cs="仿宋_GB2312"/>
                <w:szCs w:val="21"/>
                <w:highlight w:val="none"/>
                <w:lang w:val="en-US" w:eastAsia="zh-CN"/>
              </w:rPr>
              <w:t>至少为本项目指派2名专业技术人员（不含项目负责人），所派技术人员需同时满足下列要求：</w:t>
            </w:r>
          </w:p>
          <w:p>
            <w:pPr>
              <w:numPr>
                <w:ilvl w:val="0"/>
                <w:numId w:val="0"/>
              </w:numPr>
              <w:tabs>
                <w:tab w:val="left" w:pos="531"/>
              </w:tabs>
              <w:spacing w:line="360" w:lineRule="auto"/>
              <w:ind w:left="-1"/>
              <w:rPr>
                <w:rFonts w:hint="eastAsia" w:ascii="宋体" w:hAnsi="宋体" w:eastAsia="宋体" w:cs="仿宋_GB2312"/>
                <w:szCs w:val="21"/>
                <w:highlight w:val="none"/>
                <w:lang w:eastAsia="zh-CN"/>
              </w:rPr>
            </w:pPr>
            <w:r>
              <w:rPr>
                <w:rFonts w:hint="eastAsia" w:ascii="宋体" w:hAnsi="宋体" w:eastAsia="宋体" w:cs="仿宋_GB2312"/>
                <w:szCs w:val="21"/>
                <w:highlight w:val="none"/>
                <w:lang w:val="en-US" w:eastAsia="zh-CN"/>
              </w:rPr>
              <w:t>（2.1）所派技术人员</w:t>
            </w:r>
            <w:r>
              <w:rPr>
                <w:rFonts w:hint="eastAsia" w:ascii="宋体" w:hAnsi="宋体" w:eastAsia="宋体" w:cs="仿宋_GB2312"/>
                <w:szCs w:val="21"/>
                <w:highlight w:val="none"/>
              </w:rPr>
              <w:t>须为投标人自有员工</w:t>
            </w: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lang w:val="en-US" w:eastAsia="zh-CN"/>
              </w:rPr>
              <w:t>提供该员工</w:t>
            </w:r>
            <w:r>
              <w:rPr>
                <w:rFonts w:hint="eastAsia" w:ascii="宋体" w:hAnsi="宋体" w:eastAsia="宋体" w:cs="仿宋_GB2312"/>
                <w:szCs w:val="21"/>
                <w:highlight w:val="none"/>
              </w:rPr>
              <w:t>社保缴纳证明以及身份证扫描件</w:t>
            </w: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rPr>
              <w:t>加盖投标人公章</w:t>
            </w: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lang w:val="en-US" w:eastAsia="zh-CN"/>
              </w:rPr>
              <w:t>社保缴纳证明为</w:t>
            </w:r>
            <w:r>
              <w:rPr>
                <w:rFonts w:hint="eastAsia" w:ascii="宋体" w:hAnsi="宋体" w:eastAsia="宋体" w:cs="仿宋_GB2312"/>
                <w:szCs w:val="21"/>
                <w:highlight w:val="none"/>
              </w:rPr>
              <w:t>投标人</w:t>
            </w:r>
            <w:r>
              <w:rPr>
                <w:rFonts w:hint="eastAsia" w:ascii="宋体" w:hAnsi="宋体" w:eastAsia="宋体" w:cs="仿宋_GB2312"/>
                <w:szCs w:val="21"/>
                <w:highlight w:val="none"/>
                <w:lang w:val="en-US" w:eastAsia="zh-CN"/>
              </w:rPr>
              <w:t>为其</w:t>
            </w:r>
            <w:r>
              <w:rPr>
                <w:rFonts w:hint="eastAsia" w:ascii="宋体" w:hAnsi="宋体" w:eastAsia="宋体" w:cs="仿宋_GB2312"/>
                <w:szCs w:val="21"/>
                <w:highlight w:val="none"/>
              </w:rPr>
              <w:t>购买的近三个月社保清单证明（如在招标公告日上一个月的社保材料因社保部门原因暂时无法取得，则可以往前顺推一个月）</w:t>
            </w:r>
            <w:r>
              <w:rPr>
                <w:rFonts w:hint="eastAsia" w:ascii="宋体" w:hAnsi="宋体" w:eastAsia="宋体" w:cs="仿宋_GB2312"/>
                <w:szCs w:val="21"/>
                <w:highlight w:val="none"/>
                <w:lang w:eastAsia="zh-CN"/>
              </w:rPr>
              <w:t>。</w:t>
            </w:r>
          </w:p>
          <w:p>
            <w:pPr>
              <w:numPr>
                <w:ilvl w:val="0"/>
                <w:numId w:val="0"/>
              </w:numPr>
              <w:tabs>
                <w:tab w:val="left" w:pos="531"/>
              </w:tabs>
              <w:snapToGrid/>
              <w:spacing w:line="360" w:lineRule="auto"/>
              <w:ind w:left="-1" w:firstLine="0" w:firstLineChars="0"/>
              <w:rPr>
                <w:rFonts w:hint="eastAsia" w:ascii="宋体" w:hAnsi="宋体" w:eastAsia="宋体" w:cs="仿宋_GB2312"/>
                <w:szCs w:val="21"/>
                <w:highlight w:val="none"/>
                <w:lang w:eastAsia="zh-CN"/>
              </w:rPr>
            </w:pP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lang w:val="en-US" w:eastAsia="zh-CN"/>
              </w:rPr>
              <w:t>2.2</w:t>
            </w: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lang w:val="en-US" w:eastAsia="zh-CN"/>
              </w:rPr>
              <w:t>所派技术人员须</w:t>
            </w:r>
            <w:r>
              <w:rPr>
                <w:rFonts w:hint="eastAsia" w:ascii="宋体" w:hAnsi="宋体" w:eastAsia="宋体" w:cs="仿宋_GB2312"/>
                <w:szCs w:val="21"/>
                <w:highlight w:val="none"/>
              </w:rPr>
              <w:t>具有本科或以上学历</w:t>
            </w: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lang w:val="en-US" w:eastAsia="zh-CN"/>
              </w:rPr>
              <w:t>投标人需提供相关学历证书扫描件</w:t>
            </w: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rPr>
              <w:t>加盖投标人公章</w:t>
            </w: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rPr>
              <w:t>。</w:t>
            </w:r>
          </w:p>
          <w:p>
            <w:pPr>
              <w:numPr>
                <w:ilvl w:val="0"/>
                <w:numId w:val="0"/>
              </w:numPr>
              <w:tabs>
                <w:tab w:val="left" w:pos="531"/>
              </w:tabs>
              <w:snapToGrid/>
              <w:spacing w:line="360" w:lineRule="auto"/>
              <w:ind w:left="-1" w:firstLine="0" w:firstLineChars="0"/>
              <w:rPr>
                <w:rFonts w:hint="eastAsia" w:ascii="宋体" w:hAnsi="宋体" w:eastAsia="宋体" w:cs="仿宋_GB2312"/>
                <w:szCs w:val="21"/>
                <w:highlight w:val="none"/>
                <w:lang w:eastAsia="zh-CN"/>
              </w:rPr>
            </w:pP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lang w:val="en-US" w:eastAsia="zh-CN"/>
              </w:rPr>
              <w:t>2.3</w:t>
            </w: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lang w:val="en-US" w:eastAsia="zh-CN"/>
              </w:rPr>
              <w:t>所派人员须</w:t>
            </w:r>
            <w:r>
              <w:rPr>
                <w:rFonts w:hint="eastAsia" w:ascii="宋体" w:hAnsi="宋体" w:eastAsia="宋体" w:cs="仿宋_GB2312"/>
                <w:szCs w:val="21"/>
                <w:highlight w:val="none"/>
              </w:rPr>
              <w:t>具</w:t>
            </w:r>
            <w:r>
              <w:rPr>
                <w:rFonts w:hint="eastAsia" w:ascii="宋体" w:hAnsi="宋体" w:eastAsia="宋体" w:cs="仿宋_GB2312"/>
                <w:szCs w:val="21"/>
                <w:highlight w:val="none"/>
                <w:lang w:val="en-US" w:eastAsia="zh-CN"/>
              </w:rPr>
              <w:t>备</w:t>
            </w:r>
            <w:r>
              <w:rPr>
                <w:rFonts w:hint="eastAsia" w:ascii="宋体" w:hAnsi="宋体" w:eastAsia="宋体" w:cs="仿宋_GB2312"/>
                <w:szCs w:val="21"/>
                <w:highlight w:val="none"/>
              </w:rPr>
              <w:t>人力资源和社会保障部、工业和信息化部颁发的中级证书</w:t>
            </w:r>
            <w:r>
              <w:rPr>
                <w:rFonts w:hint="eastAsia" w:ascii="宋体" w:hAnsi="宋体" w:eastAsia="宋体" w:cs="仿宋_GB2312"/>
                <w:szCs w:val="21"/>
                <w:highlight w:val="none"/>
                <w:lang w:val="en-US" w:eastAsia="zh-CN"/>
              </w:rPr>
              <w:t>或以上</w:t>
            </w:r>
            <w:r>
              <w:rPr>
                <w:rFonts w:hint="eastAsia" w:ascii="宋体" w:hAnsi="宋体" w:eastAsia="宋体" w:cs="仿宋_GB2312"/>
                <w:szCs w:val="21"/>
                <w:highlight w:val="none"/>
              </w:rPr>
              <w:t>计算机技术与软件专业技术资格（水平）</w:t>
            </w: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lang w:val="en-US" w:eastAsia="zh-CN"/>
              </w:rPr>
              <w:t>投标人需提供相关资格证书扫描件</w:t>
            </w: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rPr>
              <w:t>加盖投标人公章</w:t>
            </w: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rPr>
              <w:t>。</w:t>
            </w:r>
          </w:p>
          <w:p>
            <w:pPr>
              <w:numPr>
                <w:ilvl w:val="0"/>
                <w:numId w:val="0"/>
              </w:numPr>
              <w:tabs>
                <w:tab w:val="left" w:pos="531"/>
              </w:tabs>
              <w:spacing w:line="360" w:lineRule="auto"/>
              <w:ind w:left="-1"/>
              <w:rPr>
                <w:rFonts w:hint="eastAsia" w:ascii="宋体" w:hAnsi="宋体" w:eastAsia="宋体" w:cs="仿宋_GB2312"/>
                <w:szCs w:val="21"/>
                <w:highlight w:val="none"/>
              </w:rPr>
            </w:pP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lang w:val="en-US" w:eastAsia="zh-CN"/>
              </w:rPr>
              <w:t>2.4</w:t>
            </w: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lang w:val="en-US" w:eastAsia="zh-CN"/>
              </w:rPr>
              <w:t>所派人员须</w:t>
            </w:r>
            <w:r>
              <w:rPr>
                <w:rFonts w:hint="eastAsia" w:ascii="宋体" w:hAnsi="宋体" w:eastAsia="宋体" w:cs="仿宋_GB2312"/>
                <w:szCs w:val="21"/>
                <w:highlight w:val="none"/>
              </w:rPr>
              <w:t>具</w:t>
            </w:r>
            <w:r>
              <w:rPr>
                <w:rFonts w:hint="eastAsia" w:ascii="宋体" w:hAnsi="宋体" w:eastAsia="宋体" w:cs="仿宋_GB2312"/>
                <w:szCs w:val="21"/>
                <w:highlight w:val="none"/>
                <w:lang w:val="en-US" w:eastAsia="zh-CN"/>
              </w:rPr>
              <w:t>备</w:t>
            </w:r>
            <w:r>
              <w:rPr>
                <w:rFonts w:hint="eastAsia" w:ascii="宋体" w:hAnsi="宋体" w:eastAsia="宋体" w:cs="仿宋_GB2312"/>
                <w:szCs w:val="21"/>
                <w:highlight w:val="none"/>
              </w:rPr>
              <w:t>PMP证书或系统集成项目管理工程师证书</w:t>
            </w: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lang w:val="en-US" w:eastAsia="zh-CN"/>
              </w:rPr>
              <w:t>投标人需提供相关资格证书扫描件</w:t>
            </w: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rPr>
              <w:t>加盖投标人公章</w:t>
            </w: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rPr>
              <w:t>。</w:t>
            </w:r>
          </w:p>
          <w:p>
            <w:pPr>
              <w:numPr>
                <w:ilvl w:val="0"/>
                <w:numId w:val="0"/>
              </w:numPr>
              <w:tabs>
                <w:tab w:val="left" w:pos="531"/>
              </w:tabs>
              <w:snapToGrid w:val="0"/>
              <w:spacing w:line="360" w:lineRule="auto"/>
              <w:ind w:left="-1"/>
              <w:rPr>
                <w:rFonts w:hint="eastAsia" w:ascii="宋体" w:hAnsi="宋体" w:cs="仿宋_GB2312"/>
                <w:szCs w:val="21"/>
                <w:highlight w:val="none"/>
              </w:rPr>
            </w:pP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lang w:val="en-US" w:eastAsia="zh-CN"/>
              </w:rPr>
              <w:t>3</w:t>
            </w: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rPr>
              <w:t>未经招标人同意，投标人不得随意更换上述项目</w:t>
            </w:r>
            <w:r>
              <w:rPr>
                <w:rFonts w:hint="eastAsia" w:ascii="宋体" w:hAnsi="宋体" w:eastAsia="宋体" w:cs="仿宋_GB2312"/>
                <w:szCs w:val="21"/>
                <w:highlight w:val="none"/>
                <w:lang w:val="en-US" w:eastAsia="zh-CN"/>
              </w:rPr>
              <w:t>负责人及技术</w:t>
            </w:r>
            <w:r>
              <w:rPr>
                <w:rFonts w:hint="eastAsia" w:ascii="宋体" w:hAnsi="宋体" w:eastAsia="宋体" w:cs="仿宋_GB2312"/>
                <w:szCs w:val="21"/>
                <w:highlight w:val="none"/>
              </w:rPr>
              <w:t>人员；若确需更换的，须事前报经招标人审核同意且更换后的人员资格等级不得低于前任团队成员。</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none"/>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highlight w:val="none"/>
                <w:lang w:val="en-US" w:eastAsia="zh-CN"/>
              </w:rPr>
            </w:pPr>
            <w:r>
              <w:rPr>
                <w:rFonts w:hint="eastAsia" w:ascii="宋体" w:hAnsi="宋体" w:cs="宋体"/>
                <w:snapToGrid/>
                <w:spacing w:val="0"/>
                <w:kern w:val="2"/>
                <w:sz w:val="21"/>
                <w:szCs w:val="21"/>
                <w:highlight w:val="none"/>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highlight w:val="none"/>
              </w:rPr>
            </w:pPr>
            <w:r>
              <w:rPr>
                <w:rFonts w:hint="eastAsia" w:ascii="宋体" w:hAnsi="宋体" w:cs="宋体"/>
                <w:szCs w:val="21"/>
                <w:highlight w:val="none"/>
              </w:rPr>
              <w:t>验收标准</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360" w:lineRule="auto"/>
              <w:ind w:left="-1" w:leftChars="0"/>
              <w:rPr>
                <w:rFonts w:hint="eastAsia" w:ascii="宋体" w:hAnsi="宋体" w:cs="仿宋_GB2312"/>
                <w:szCs w:val="21"/>
                <w:highlight w:val="none"/>
              </w:rPr>
            </w:pP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1</w:t>
            </w:r>
            <w:r>
              <w:rPr>
                <w:rFonts w:hint="eastAsia" w:ascii="宋体" w:hAnsi="宋体" w:cs="仿宋_GB2312"/>
                <w:szCs w:val="21"/>
                <w:highlight w:val="none"/>
                <w:lang w:eastAsia="zh-CN"/>
              </w:rPr>
              <w:t>）</w:t>
            </w:r>
            <w:r>
              <w:rPr>
                <w:rFonts w:hint="eastAsia" w:ascii="宋体" w:hAnsi="宋体" w:cs="仿宋_GB2312"/>
                <w:szCs w:val="21"/>
                <w:highlight w:val="none"/>
              </w:rPr>
              <w:t>完成本项目全部设计、开发工作及自测自调结果达到要求后，投标人向招标人提交书面验收申请，由招标人组织相关部门进行验收。</w:t>
            </w:r>
          </w:p>
          <w:p>
            <w:pPr>
              <w:numPr>
                <w:ilvl w:val="0"/>
                <w:numId w:val="0"/>
              </w:numPr>
              <w:tabs>
                <w:tab w:val="left" w:pos="531"/>
              </w:tabs>
              <w:snapToGrid w:val="0"/>
              <w:spacing w:line="360" w:lineRule="auto"/>
              <w:ind w:left="-1"/>
              <w:rPr>
                <w:rFonts w:hint="eastAsia" w:ascii="宋体" w:hAnsi="宋体" w:cs="仿宋_GB2312"/>
                <w:szCs w:val="21"/>
                <w:highlight w:val="none"/>
              </w:rPr>
            </w:pP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2</w:t>
            </w:r>
            <w:r>
              <w:rPr>
                <w:rFonts w:hint="eastAsia" w:ascii="宋体" w:hAnsi="宋体" w:cs="仿宋_GB2312"/>
                <w:szCs w:val="21"/>
                <w:highlight w:val="none"/>
                <w:lang w:eastAsia="zh-CN"/>
              </w:rPr>
              <w:t>）</w:t>
            </w:r>
            <w:r>
              <w:rPr>
                <w:rFonts w:hint="eastAsia" w:ascii="宋体" w:hAnsi="宋体" w:cs="仿宋_GB2312"/>
                <w:szCs w:val="21"/>
                <w:highlight w:val="none"/>
              </w:rPr>
              <w:t>验收时，投标人需提交</w:t>
            </w:r>
            <w:r>
              <w:rPr>
                <w:rFonts w:hint="eastAsia" w:ascii="宋体" w:hAnsi="宋体" w:cs="仿宋_GB2312"/>
                <w:szCs w:val="21"/>
                <w:highlight w:val="none"/>
                <w:lang w:val="en-US" w:eastAsia="zh-CN"/>
              </w:rPr>
              <w:t>系统</w:t>
            </w:r>
            <w:r>
              <w:rPr>
                <w:rFonts w:hint="eastAsia" w:ascii="宋体" w:hAnsi="宋体" w:cs="仿宋_GB2312"/>
                <w:szCs w:val="21"/>
                <w:highlight w:val="none"/>
              </w:rPr>
              <w:t>全套文档，包括但不限于</w:t>
            </w:r>
            <w:r>
              <w:rPr>
                <w:rFonts w:hint="eastAsia" w:ascii="宋体" w:hAnsi="宋体" w:cs="仿宋_GB2312"/>
                <w:szCs w:val="21"/>
                <w:highlight w:val="none"/>
                <w:lang w:val="en-US" w:eastAsia="zh-CN"/>
              </w:rPr>
              <w:t>上线申请单、</w:t>
            </w:r>
            <w:r>
              <w:rPr>
                <w:rFonts w:hint="eastAsia" w:ascii="宋体" w:hAnsi="宋体" w:cs="仿宋_GB2312"/>
                <w:szCs w:val="21"/>
                <w:highlight w:val="none"/>
              </w:rPr>
              <w:t>程序源代码、执行代码、</w:t>
            </w:r>
            <w:r>
              <w:rPr>
                <w:rFonts w:hint="eastAsia" w:ascii="宋体" w:hAnsi="宋体" w:cs="仿宋_GB2312"/>
                <w:szCs w:val="21"/>
                <w:highlight w:val="none"/>
                <w:lang w:val="en-US" w:eastAsia="zh-CN"/>
              </w:rPr>
              <w:t>数据库结构文档、</w:t>
            </w:r>
            <w:r>
              <w:rPr>
                <w:rFonts w:hint="eastAsia" w:ascii="宋体" w:hAnsi="宋体" w:cs="仿宋_GB2312"/>
                <w:szCs w:val="21"/>
                <w:highlight w:val="none"/>
              </w:rPr>
              <w:t>系统测试报告、系统使用手册、系统维护手册等（需提供纸质和电子版）。</w:t>
            </w:r>
          </w:p>
          <w:p>
            <w:pPr>
              <w:numPr>
                <w:ilvl w:val="0"/>
                <w:numId w:val="0"/>
              </w:numPr>
              <w:tabs>
                <w:tab w:val="left" w:pos="531"/>
              </w:tabs>
              <w:snapToGrid w:val="0"/>
              <w:spacing w:line="360" w:lineRule="auto"/>
              <w:ind w:left="-1"/>
              <w:rPr>
                <w:rFonts w:hint="eastAsia" w:ascii="宋体" w:hAnsi="宋体" w:cs="仿宋_GB2312"/>
                <w:szCs w:val="21"/>
                <w:highlight w:val="none"/>
              </w:rPr>
            </w:pP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3</w:t>
            </w:r>
            <w:r>
              <w:rPr>
                <w:rFonts w:hint="eastAsia" w:ascii="宋体" w:hAnsi="宋体" w:cs="仿宋_GB2312"/>
                <w:szCs w:val="21"/>
                <w:highlight w:val="none"/>
                <w:lang w:eastAsia="zh-CN"/>
              </w:rPr>
              <w:t>）</w:t>
            </w:r>
            <w:r>
              <w:rPr>
                <w:rFonts w:hint="eastAsia" w:ascii="宋体" w:hAnsi="宋体" w:cs="仿宋_GB2312"/>
                <w:szCs w:val="21"/>
                <w:highlight w:val="none"/>
              </w:rPr>
              <w:t>系统上线后，投标人须无条件接受招标人或其委托的第三方机构</w:t>
            </w:r>
            <w:r>
              <w:rPr>
                <w:rFonts w:hint="eastAsia" w:ascii="宋体" w:hAnsi="宋体" w:cs="仿宋_GB2312"/>
                <w:szCs w:val="21"/>
                <w:highlight w:val="none"/>
                <w:lang w:val="en-US" w:eastAsia="zh-CN"/>
              </w:rPr>
              <w:t>对系统运行、</w:t>
            </w:r>
            <w:r>
              <w:rPr>
                <w:rFonts w:hint="eastAsia" w:ascii="宋体" w:hAnsi="宋体" w:cs="仿宋_GB2312"/>
                <w:szCs w:val="21"/>
                <w:highlight w:val="none"/>
              </w:rPr>
              <w:t>安全</w:t>
            </w:r>
            <w:r>
              <w:rPr>
                <w:rFonts w:hint="eastAsia" w:ascii="宋体" w:hAnsi="宋体" w:cs="仿宋_GB2312"/>
                <w:szCs w:val="21"/>
                <w:highlight w:val="none"/>
                <w:lang w:val="en-US" w:eastAsia="zh-CN"/>
              </w:rPr>
              <w:t>漏洞等方面的</w:t>
            </w:r>
            <w:r>
              <w:rPr>
                <w:rFonts w:hint="eastAsia" w:ascii="宋体" w:hAnsi="宋体" w:cs="仿宋_GB2312"/>
                <w:szCs w:val="21"/>
                <w:highlight w:val="none"/>
              </w:rPr>
              <w:t>测试。若测试不合格，投标人需无条件进行修复整改，并在招标人要求的期限内完成整改、符合安全要求。</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none"/>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highlight w:val="none"/>
                <w:lang w:val="en-US" w:eastAsia="zh-CN"/>
              </w:rPr>
            </w:pPr>
            <w:r>
              <w:rPr>
                <w:rFonts w:hint="eastAsia" w:ascii="宋体" w:hAnsi="宋体" w:cs="宋体"/>
                <w:snapToGrid/>
                <w:spacing w:val="0"/>
                <w:kern w:val="2"/>
                <w:sz w:val="21"/>
                <w:szCs w:val="21"/>
                <w:highlight w:val="none"/>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highlight w:val="none"/>
              </w:rPr>
            </w:pPr>
            <w:r>
              <w:rPr>
                <w:rFonts w:hint="eastAsia" w:ascii="宋体" w:hAnsi="宋体"/>
                <w:szCs w:val="21"/>
                <w:highlight w:val="none"/>
              </w:rPr>
              <w:t>提交资料</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360" w:lineRule="auto"/>
              <w:ind w:left="-1"/>
              <w:rPr>
                <w:rFonts w:hint="eastAsia" w:ascii="宋体" w:hAnsi="宋体" w:eastAsia="宋体" w:cs="仿宋_GB2312"/>
                <w:bCs w:val="0"/>
                <w:szCs w:val="21"/>
                <w:highlight w:val="none"/>
              </w:rPr>
            </w:pPr>
            <w:r>
              <w:rPr>
                <w:rFonts w:hint="eastAsia" w:ascii="宋体" w:hAnsi="宋体" w:eastAsia="宋体" w:cs="仿宋_GB2312"/>
                <w:bCs w:val="0"/>
                <w:szCs w:val="21"/>
                <w:highlight w:val="none"/>
              </w:rPr>
              <w:t>（</w:t>
            </w:r>
            <w:r>
              <w:rPr>
                <w:rFonts w:hint="eastAsia" w:ascii="宋体" w:hAnsi="宋体" w:eastAsia="宋体" w:cs="仿宋_GB2312"/>
                <w:bCs w:val="0"/>
                <w:szCs w:val="21"/>
                <w:highlight w:val="none"/>
                <w:lang w:val="en-US" w:eastAsia="zh-CN"/>
              </w:rPr>
              <w:t>1</w:t>
            </w:r>
            <w:r>
              <w:rPr>
                <w:rFonts w:hint="eastAsia" w:ascii="宋体" w:hAnsi="宋体" w:eastAsia="宋体" w:cs="仿宋_GB2312"/>
                <w:bCs w:val="0"/>
                <w:szCs w:val="21"/>
                <w:highlight w:val="none"/>
              </w:rPr>
              <w:t>）</w:t>
            </w:r>
            <w:r>
              <w:rPr>
                <w:rFonts w:hint="eastAsia" w:ascii="宋体" w:hAnsi="宋体" w:cs="仿宋_GB2312"/>
                <w:bCs w:val="0"/>
                <w:szCs w:val="21"/>
                <w:highlight w:val="none"/>
                <w:lang w:val="en-US" w:eastAsia="zh-CN"/>
              </w:rPr>
              <w:t>投标人</w:t>
            </w:r>
            <w:r>
              <w:rPr>
                <w:rFonts w:hint="eastAsia" w:ascii="宋体" w:hAnsi="宋体" w:eastAsia="宋体" w:cs="仿宋_GB2312"/>
                <w:bCs w:val="0"/>
                <w:szCs w:val="21"/>
                <w:highlight w:val="none"/>
              </w:rPr>
              <w:t>须提供针对本项目实施方案。</w:t>
            </w:r>
          </w:p>
          <w:p>
            <w:pPr>
              <w:numPr>
                <w:ilvl w:val="0"/>
                <w:numId w:val="0"/>
              </w:numPr>
              <w:tabs>
                <w:tab w:val="left" w:pos="531"/>
              </w:tabs>
              <w:snapToGrid w:val="0"/>
              <w:spacing w:line="360" w:lineRule="auto"/>
              <w:ind w:left="-1"/>
              <w:rPr>
                <w:rFonts w:hint="eastAsia" w:ascii="宋体" w:hAnsi="宋体" w:cs="仿宋_GB2312"/>
                <w:szCs w:val="21"/>
                <w:highlight w:val="none"/>
              </w:rPr>
            </w:pPr>
            <w:r>
              <w:rPr>
                <w:rFonts w:hint="eastAsia" w:ascii="宋体" w:hAnsi="宋体" w:eastAsia="宋体" w:cs="仿宋_GB2312"/>
                <w:bCs w:val="0"/>
                <w:szCs w:val="21"/>
                <w:highlight w:val="none"/>
              </w:rPr>
              <w:t>（</w:t>
            </w:r>
            <w:r>
              <w:rPr>
                <w:rFonts w:hint="eastAsia" w:ascii="宋体" w:hAnsi="宋体" w:cs="仿宋_GB2312"/>
                <w:bCs w:val="0"/>
                <w:szCs w:val="21"/>
                <w:highlight w:val="none"/>
                <w:lang w:val="en-US" w:eastAsia="zh-CN"/>
              </w:rPr>
              <w:t>2</w:t>
            </w:r>
            <w:r>
              <w:rPr>
                <w:rFonts w:hint="eastAsia" w:ascii="宋体" w:hAnsi="宋体" w:eastAsia="宋体" w:cs="仿宋_GB2312"/>
                <w:bCs w:val="0"/>
                <w:szCs w:val="21"/>
                <w:highlight w:val="none"/>
              </w:rPr>
              <w:t>）</w:t>
            </w:r>
            <w:r>
              <w:rPr>
                <w:rFonts w:hint="eastAsia" w:ascii="宋体" w:hAnsi="宋体" w:cs="仿宋_GB2312"/>
                <w:bCs w:val="0"/>
                <w:szCs w:val="21"/>
                <w:highlight w:val="none"/>
                <w:lang w:val="en-US" w:eastAsia="zh-CN"/>
              </w:rPr>
              <w:t>投标人</w:t>
            </w:r>
            <w:r>
              <w:rPr>
                <w:rFonts w:hint="eastAsia" w:ascii="宋体" w:hAnsi="宋体" w:eastAsia="宋体" w:cs="仿宋_GB2312"/>
                <w:bCs w:val="0"/>
                <w:szCs w:val="21"/>
                <w:highlight w:val="none"/>
              </w:rPr>
              <w:t>须提供针对本项目售后服务方案（包括应急处理方案）。</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highlight w:val="none"/>
              </w:rPr>
            </w:pPr>
            <w:r>
              <w:rPr>
                <w:rFonts w:hint="eastAsia" w:ascii="宋体" w:hAnsi="宋体" w:cs="宋体"/>
                <w:szCs w:val="21"/>
                <w:highlight w:val="none"/>
              </w:rPr>
              <w:t>不可偏离</w:t>
            </w:r>
          </w:p>
        </w:tc>
      </w:tr>
    </w:tbl>
    <w:p>
      <w:pPr>
        <w:numPr>
          <w:ilvl w:val="-1"/>
          <w:numId w:val="0"/>
        </w:numPr>
        <w:jc w:val="left"/>
        <w:outlineLvl w:val="1"/>
        <w:rPr>
          <w:rFonts w:ascii="宋体" w:hAnsi="宋体"/>
          <w:b/>
          <w:szCs w:val="21"/>
        </w:rPr>
      </w:pPr>
      <w:bookmarkStart w:id="39" w:name="_Toc82684600"/>
      <w:bookmarkEnd w:id="39"/>
      <w:bookmarkStart w:id="40" w:name="_Toc82591996"/>
      <w:bookmarkEnd w:id="40"/>
      <w:bookmarkStart w:id="41" w:name="_Toc82685552"/>
      <w:bookmarkEnd w:id="41"/>
      <w:bookmarkStart w:id="42" w:name="_Toc82684715"/>
      <w:bookmarkEnd w:id="42"/>
      <w:bookmarkStart w:id="43" w:name="_Toc116550349"/>
    </w:p>
    <w:p>
      <w:pPr>
        <w:numPr>
          <w:ilvl w:val="0"/>
          <w:numId w:val="1"/>
        </w:numPr>
        <w:jc w:val="left"/>
        <w:outlineLvl w:val="1"/>
        <w:rPr>
          <w:rFonts w:ascii="宋体" w:hAnsi="宋体"/>
          <w:b/>
          <w:szCs w:val="21"/>
        </w:rPr>
      </w:pPr>
      <w:r>
        <w:rPr>
          <w:rFonts w:hint="eastAsia" w:ascii="宋体" w:hAnsi="宋体"/>
          <w:b/>
          <w:szCs w:val="21"/>
        </w:rPr>
        <w:t>其他项目说明资料</w:t>
      </w:r>
      <w:bookmarkEnd w:id="43"/>
    </w:p>
    <w:p>
      <w:pPr>
        <w:pStyle w:val="2"/>
        <w:rPr>
          <w:rFonts w:hint="eastAsia" w:eastAsia="宋体"/>
          <w:lang w:val="en-US" w:eastAsia="zh-CN"/>
        </w:rPr>
      </w:pPr>
      <w:r>
        <w:rPr>
          <w:rFonts w:hint="eastAsia" w:ascii="宋体" w:hAnsi="宋体"/>
          <w:b/>
          <w:szCs w:val="21"/>
          <w:lang w:val="en-US" w:eastAsia="zh-CN"/>
        </w:rPr>
        <w:t>无</w:t>
      </w:r>
    </w:p>
    <w:p>
      <w:pPr>
        <w:widowControl/>
        <w:jc w:val="left"/>
        <w:rPr>
          <w:color w:val="FF0000"/>
          <w:highlight w:val="yellow"/>
        </w:rPr>
      </w:pPr>
      <w:r>
        <w:rPr>
          <w:color w:val="FF0000"/>
          <w:highlight w:val="yellow"/>
        </w:rPr>
        <w:br w:type="page"/>
      </w:r>
    </w:p>
    <w:p>
      <w:pPr>
        <w:spacing w:line="360" w:lineRule="auto"/>
        <w:jc w:val="center"/>
        <w:outlineLvl w:val="0"/>
        <w:rPr>
          <w:rFonts w:ascii="宋体" w:hAnsi="宋体"/>
          <w:b/>
          <w:sz w:val="32"/>
          <w:szCs w:val="32"/>
        </w:rPr>
      </w:pPr>
      <w:bookmarkStart w:id="44" w:name="_Toc116550350"/>
      <w:r>
        <w:rPr>
          <w:rFonts w:hint="eastAsia" w:ascii="宋体" w:hAnsi="宋体"/>
          <w:b/>
          <w:sz w:val="32"/>
          <w:szCs w:val="32"/>
        </w:rPr>
        <w:t>第二部分：开标评标流程</w:t>
      </w:r>
      <w:bookmarkEnd w:id="44"/>
    </w:p>
    <w:p>
      <w:pPr>
        <w:numPr>
          <w:ilvl w:val="0"/>
          <w:numId w:val="1"/>
        </w:numPr>
        <w:spacing w:line="360" w:lineRule="auto"/>
        <w:outlineLvl w:val="1"/>
        <w:rPr>
          <w:b/>
        </w:rPr>
      </w:pPr>
      <w:bookmarkStart w:id="45" w:name="_Toc104994641"/>
      <w:bookmarkStart w:id="46" w:name="_Toc116550351"/>
      <w:bookmarkStart w:id="47" w:name="_Hlk104908581"/>
      <w:bookmarkStart w:id="48" w:name="_Hlk104908397"/>
      <w:r>
        <w:rPr>
          <w:rFonts w:hint="eastAsia"/>
          <w:b/>
        </w:rPr>
        <w:t>开标阶段</w:t>
      </w:r>
      <w:bookmarkEnd w:id="45"/>
      <w:bookmarkEnd w:id="46"/>
    </w:p>
    <w:bookmarkEnd w:id="47"/>
    <w:p>
      <w:pPr>
        <w:pStyle w:val="22"/>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2"/>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2"/>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2"/>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2"/>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2"/>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2"/>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2"/>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9" w:name="_Toc116550352"/>
      <w:bookmarkStart w:id="50" w:name="_Toc104994642"/>
      <w:r>
        <w:rPr>
          <w:rFonts w:hint="eastAsia"/>
          <w:b/>
        </w:rPr>
        <w:t>评标阶段</w:t>
      </w:r>
      <w:bookmarkEnd w:id="49"/>
      <w:bookmarkEnd w:id="50"/>
    </w:p>
    <w:p>
      <w:pPr>
        <w:pStyle w:val="22"/>
        <w:numPr>
          <w:ilvl w:val="0"/>
          <w:numId w:val="11"/>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w:t>
      </w:r>
    </w:p>
    <w:p>
      <w:pPr>
        <w:pStyle w:val="22"/>
        <w:numPr>
          <w:ilvl w:val="0"/>
          <w:numId w:val="11"/>
        </w:numPr>
        <w:spacing w:line="360" w:lineRule="auto"/>
        <w:ind w:left="416" w:firstLine="2" w:firstLineChars="0"/>
        <w:jc w:val="left"/>
        <w:rPr>
          <w:rFonts w:ascii="宋体" w:hAnsi="宋体" w:eastAsia="宋体"/>
          <w:szCs w:val="21"/>
        </w:rPr>
      </w:pPr>
      <w:r>
        <w:rPr>
          <w:rFonts w:hint="eastAsia" w:ascii="宋体" w:hAnsi="宋体" w:eastAsia="宋体"/>
          <w:szCs w:val="21"/>
        </w:rPr>
        <w:t>签署《招标评标小组成员回避承诺》。</w:t>
      </w:r>
    </w:p>
    <w:p>
      <w:pPr>
        <w:pStyle w:val="22"/>
        <w:numPr>
          <w:ilvl w:val="0"/>
          <w:numId w:val="11"/>
        </w:numPr>
        <w:spacing w:line="360" w:lineRule="auto"/>
        <w:ind w:left="416" w:firstLine="2" w:firstLineChars="0"/>
        <w:jc w:val="left"/>
        <w:rPr>
          <w:rFonts w:ascii="宋体" w:hAnsi="宋体" w:eastAsia="宋体"/>
          <w:szCs w:val="21"/>
        </w:rPr>
      </w:pPr>
      <w:r>
        <w:rPr>
          <w:rFonts w:hint="eastAsia" w:ascii="宋体" w:hAnsi="宋体" w:eastAsia="宋体"/>
          <w:szCs w:val="21"/>
        </w:rPr>
        <w:t>播放并签署《招标评标小组成员守则》。</w:t>
      </w:r>
    </w:p>
    <w:p>
      <w:pPr>
        <w:pStyle w:val="22"/>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2"/>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2"/>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2"/>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2"/>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2"/>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2"/>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8"/>
    <w:p>
      <w:pPr>
        <w:widowControl/>
        <w:jc w:val="left"/>
        <w:rPr>
          <w:rFonts w:ascii="仿宋_GB2312" w:hAnsi="宋体" w:eastAsia="仿宋_GB2312"/>
        </w:rPr>
      </w:pPr>
      <w:r>
        <w:br w:type="page"/>
      </w:r>
    </w:p>
    <w:p>
      <w:pPr>
        <w:pStyle w:val="11"/>
        <w:rPr>
          <w:rFonts w:ascii="宋体"/>
          <w:b/>
          <w:sz w:val="28"/>
        </w:rPr>
      </w:pPr>
    </w:p>
    <w:p>
      <w:pPr>
        <w:spacing w:line="360" w:lineRule="auto"/>
        <w:jc w:val="center"/>
        <w:outlineLvl w:val="0"/>
        <w:rPr>
          <w:rFonts w:ascii="宋体" w:hAnsi="宋体"/>
          <w:b/>
          <w:sz w:val="32"/>
          <w:szCs w:val="32"/>
        </w:rPr>
      </w:pPr>
      <w:bookmarkStart w:id="51" w:name="_Toc116550353"/>
      <w:r>
        <w:rPr>
          <w:rFonts w:hint="eastAsia" w:ascii="宋体" w:hAnsi="宋体"/>
          <w:b/>
          <w:sz w:val="32"/>
          <w:szCs w:val="32"/>
        </w:rPr>
        <w:t>第三部分：评审办法</w:t>
      </w:r>
      <w:bookmarkEnd w:id="51"/>
    </w:p>
    <w:p>
      <w:pPr>
        <w:numPr>
          <w:ilvl w:val="0"/>
          <w:numId w:val="1"/>
        </w:numPr>
        <w:spacing w:line="360" w:lineRule="auto"/>
        <w:outlineLvl w:val="1"/>
        <w:rPr>
          <w:rFonts w:ascii="宋体" w:hAnsi="宋体"/>
          <w:szCs w:val="21"/>
        </w:rPr>
      </w:pPr>
      <w:bookmarkStart w:id="52" w:name="_Toc116550354"/>
      <w:r>
        <w:rPr>
          <w:rFonts w:hint="eastAsia" w:ascii="宋体" w:hAnsi="宋体"/>
          <w:b/>
          <w:bCs/>
          <w:szCs w:val="21"/>
        </w:rPr>
        <w:t>评审办法</w:t>
      </w:r>
      <w:bookmarkEnd w:id="52"/>
    </w:p>
    <w:p>
      <w:pPr>
        <w:spacing w:line="360" w:lineRule="auto"/>
        <w:ind w:firstLine="420" w:firstLineChars="200"/>
        <w:rPr>
          <w:rFonts w:ascii="宋体" w:hAnsi="宋体"/>
          <w:color w:val="auto"/>
          <w:szCs w:val="21"/>
          <w:highlight w:val="none"/>
        </w:rPr>
      </w:pPr>
      <w:r>
        <w:rPr>
          <w:rFonts w:hint="eastAsia" w:ascii="宋体" w:hAnsi="宋体"/>
          <w:szCs w:val="21"/>
        </w:rPr>
        <w:t>首先对各投标人进行</w:t>
      </w:r>
      <w:r>
        <w:rPr>
          <w:rFonts w:hint="eastAsia" w:ascii="宋体" w:hAnsi="宋体"/>
          <w:color w:val="auto"/>
          <w:szCs w:val="21"/>
          <w:highlight w:val="none"/>
        </w:rPr>
        <w:t>符合性审查，然后进行不可偏离项检查。对通过符合性审查及不可偏离项检查的投标人，采用</w:t>
      </w:r>
      <w:r>
        <w:rPr>
          <w:rFonts w:hint="eastAsia" w:ascii="宋体" w:hAnsi="宋体"/>
          <w:b/>
          <w:color w:val="auto"/>
          <w:szCs w:val="21"/>
          <w:highlight w:val="none"/>
        </w:rPr>
        <w:t>100分制综合评分法</w:t>
      </w:r>
      <w:r>
        <w:rPr>
          <w:rFonts w:hint="eastAsia" w:ascii="宋体" w:hAnsi="宋体"/>
          <w:color w:val="auto"/>
          <w:szCs w:val="21"/>
          <w:highlight w:val="none"/>
        </w:rPr>
        <w:t>进行评分。</w:t>
      </w:r>
    </w:p>
    <w:tbl>
      <w:tblPr>
        <w:tblStyle w:val="15"/>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color w:val="auto"/>
                <w:sz w:val="21"/>
                <w:szCs w:val="21"/>
                <w:highlight w:val="none"/>
              </w:rPr>
            </w:pPr>
            <w:r>
              <w:rPr>
                <w:rFonts w:hint="eastAsia" w:ascii="宋体" w:hAnsi="宋体" w:cs="仿宋"/>
                <w:b/>
                <w:bCs/>
                <w:color w:val="auto"/>
                <w:sz w:val="21"/>
                <w:szCs w:val="21"/>
                <w:highlight w:val="none"/>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权重名称</w:t>
            </w:r>
          </w:p>
        </w:tc>
        <w:tc>
          <w:tcPr>
            <w:tcW w:w="2130"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商务标权重</w:t>
            </w:r>
          </w:p>
        </w:tc>
        <w:tc>
          <w:tcPr>
            <w:tcW w:w="2131"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技术标权重</w:t>
            </w:r>
          </w:p>
        </w:tc>
        <w:tc>
          <w:tcPr>
            <w:tcW w:w="2585"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权重</w:t>
            </w:r>
          </w:p>
        </w:tc>
        <w:tc>
          <w:tcPr>
            <w:tcW w:w="213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w:t>
            </w:r>
          </w:p>
        </w:tc>
        <w:tc>
          <w:tcPr>
            <w:tcW w:w="2131"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40</w:t>
            </w:r>
            <w:r>
              <w:rPr>
                <w:rFonts w:hint="eastAsia" w:ascii="宋体" w:hAnsi="宋体"/>
                <w:color w:val="auto"/>
                <w:szCs w:val="21"/>
                <w:highlight w:val="none"/>
              </w:rPr>
              <w:t>%</w:t>
            </w:r>
          </w:p>
        </w:tc>
        <w:tc>
          <w:tcPr>
            <w:tcW w:w="258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12"/>
        </w:numPr>
        <w:spacing w:before="156" w:beforeLines="50"/>
        <w:jc w:val="left"/>
        <w:outlineLvl w:val="2"/>
        <w:rPr>
          <w:rStyle w:val="29"/>
          <w:rFonts w:ascii="宋体" w:hAnsi="宋体"/>
          <w:b/>
          <w:szCs w:val="21"/>
        </w:rPr>
      </w:pPr>
      <w:bookmarkStart w:id="53" w:name="_Toc116550355"/>
      <w:r>
        <w:rPr>
          <w:rStyle w:val="29"/>
          <w:rFonts w:hint="eastAsia" w:ascii="宋体" w:hAnsi="宋体"/>
          <w:b/>
          <w:bCs/>
          <w:szCs w:val="21"/>
        </w:rPr>
        <w:t>符合性检查</w:t>
      </w:r>
      <w:bookmarkEnd w:id="53"/>
    </w:p>
    <w:tbl>
      <w:tblPr>
        <w:tblStyle w:val="14"/>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450"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numPr>
                <w:ilvl w:val="0"/>
                <w:numId w:val="0"/>
              </w:numPr>
              <w:tabs>
                <w:tab w:val="left" w:pos="531"/>
              </w:tabs>
              <w:snapToGrid w:val="0"/>
              <w:spacing w:line="360" w:lineRule="auto"/>
              <w:ind w:left="-1"/>
              <w:rPr>
                <w:rFonts w:hint="eastAsia" w:ascii="宋体" w:hAnsi="宋体" w:eastAsia="宋体" w:cs="仿宋_GB2312"/>
                <w:szCs w:val="21"/>
              </w:rPr>
            </w:pPr>
            <w:r>
              <w:rPr>
                <w:rFonts w:hint="eastAsia" w:ascii="宋体" w:hAnsi="宋体" w:eastAsia="宋体" w:cs="仿宋_GB2312"/>
                <w:bCs w:val="0"/>
                <w:szCs w:val="21"/>
              </w:rPr>
              <w:t>投标人提交的投标文件是否按要求编制目录、加密；投标文件的加密密码按要求发送至招标人且保证文件完整可正常打开；投标人必须提供由法人代表或其书面授权人签署并加盖投标人公章的投标响应文件</w:t>
            </w:r>
            <w:r>
              <w:rPr>
                <w:rFonts w:hint="eastAsia" w:ascii="宋体" w:hAnsi="宋体" w:eastAsia="宋体" w:cs="仿宋_GB2312"/>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540"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numPr>
                <w:ilvl w:val="0"/>
                <w:numId w:val="0"/>
              </w:numPr>
              <w:tabs>
                <w:tab w:val="left" w:pos="531"/>
              </w:tabs>
              <w:snapToGrid w:val="0"/>
              <w:spacing w:line="360" w:lineRule="auto"/>
              <w:ind w:left="-1"/>
              <w:rPr>
                <w:rFonts w:hint="eastAsia" w:ascii="宋体" w:hAnsi="宋体" w:eastAsia="宋体" w:cs="仿宋_GB2312"/>
                <w:szCs w:val="21"/>
              </w:rPr>
            </w:pPr>
            <w:r>
              <w:rPr>
                <w:rFonts w:hint="eastAsia" w:ascii="宋体" w:hAnsi="宋体" w:eastAsia="宋体" w:cs="仿宋_GB2312"/>
                <w:szCs w:val="21"/>
              </w:rPr>
              <w:t>是否提供法定代表人证明书、法人授权委托证明书及法定代表人、被委托人身份证扫描件并加盖投标人公章。（如投标人法定代表人为本项目授权代表，则仅提供法定代表人证明书及身份证扫描件，各证明书须加盖公章，身份证原件备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numPr>
                <w:ilvl w:val="0"/>
                <w:numId w:val="0"/>
              </w:numPr>
              <w:tabs>
                <w:tab w:val="left" w:pos="531"/>
              </w:tabs>
              <w:snapToGrid w:val="0"/>
              <w:spacing w:line="360" w:lineRule="auto"/>
              <w:ind w:left="-1"/>
              <w:rPr>
                <w:rFonts w:hint="eastAsia" w:ascii="宋体" w:hAnsi="宋体" w:eastAsia="宋体" w:cs="仿宋_GB2312"/>
                <w:szCs w:val="21"/>
              </w:rPr>
            </w:pPr>
            <w:r>
              <w:rPr>
                <w:rFonts w:hint="eastAsia" w:ascii="宋体" w:hAnsi="宋体" w:eastAsia="宋体" w:cs="仿宋_GB2312"/>
                <w:szCs w:val="21"/>
              </w:rPr>
              <w:t>投标人是否提供以下证明文件：</w:t>
            </w:r>
          </w:p>
          <w:p>
            <w:pPr>
              <w:numPr>
                <w:ilvl w:val="0"/>
                <w:numId w:val="0"/>
              </w:numPr>
              <w:tabs>
                <w:tab w:val="left" w:pos="531"/>
              </w:tabs>
              <w:snapToGrid w:val="0"/>
              <w:spacing w:line="360" w:lineRule="auto"/>
              <w:ind w:left="-1"/>
              <w:rPr>
                <w:rFonts w:hint="eastAsia" w:ascii="宋体" w:hAnsi="宋体" w:eastAsia="宋体" w:cs="仿宋_GB2312"/>
                <w:szCs w:val="21"/>
              </w:rPr>
            </w:pPr>
            <w:r>
              <w:rPr>
                <w:rFonts w:hint="eastAsia" w:ascii="宋体" w:hAnsi="宋体" w:eastAsia="宋体" w:cs="仿宋_GB2312"/>
                <w:szCs w:val="21"/>
                <w:lang w:val="en-US" w:eastAsia="zh-CN"/>
              </w:rPr>
              <w:t>（1）</w:t>
            </w:r>
            <w:r>
              <w:rPr>
                <w:rFonts w:hint="eastAsia" w:ascii="宋体" w:hAnsi="宋体" w:eastAsia="宋体" w:cs="仿宋_GB2312"/>
                <w:szCs w:val="21"/>
              </w:rPr>
              <w:t>是否具备有效的企业营业执照或法人证明材料或登记证书扫描件及“信用中国”网站www.creditchina.gov.cn“信用服务”栏查询“严重失信主体名单查询”“经营异常名录信息查询”结果网页截图，并加盖投标人公章。是否被列入失信主体或经营异常。</w:t>
            </w:r>
          </w:p>
          <w:p>
            <w:pPr>
              <w:numPr>
                <w:ilvl w:val="0"/>
                <w:numId w:val="0"/>
              </w:numPr>
              <w:tabs>
                <w:tab w:val="left" w:pos="531"/>
              </w:tabs>
              <w:snapToGrid w:val="0"/>
              <w:spacing w:line="360" w:lineRule="auto"/>
              <w:ind w:left="-1"/>
              <w:rPr>
                <w:rFonts w:hint="eastAsia" w:ascii="宋体" w:hAnsi="宋体" w:eastAsia="宋体" w:cs="仿宋_GB2312"/>
                <w:szCs w:val="21"/>
              </w:rPr>
            </w:pPr>
            <w:r>
              <w:rPr>
                <w:rFonts w:hint="eastAsia" w:ascii="宋体" w:hAnsi="宋体" w:eastAsia="宋体" w:cs="仿宋_GB2312"/>
                <w:szCs w:val="21"/>
                <w:lang w:val="en-US" w:eastAsia="zh-CN"/>
              </w:rPr>
              <w:t>（2）</w:t>
            </w:r>
            <w:r>
              <w:rPr>
                <w:rFonts w:hint="eastAsia" w:ascii="宋体" w:hAnsi="宋体" w:eastAsia="宋体" w:cs="仿宋_GB2312"/>
                <w:szCs w:val="21"/>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本项目报价是否高</w:t>
            </w:r>
            <w:r>
              <w:rPr>
                <w:rFonts w:hint="eastAsia" w:ascii="宋体" w:hAnsi="宋体" w:cs="仿宋"/>
                <w:color w:val="auto"/>
                <w:szCs w:val="21"/>
              </w:rPr>
              <w:t>于</w:t>
            </w:r>
            <w:r>
              <w:rPr>
                <w:rFonts w:hint="eastAsia" w:ascii="宋体" w:hAnsi="宋体"/>
                <w:color w:val="auto"/>
                <w:szCs w:val="21"/>
                <w:highlight w:val="none"/>
                <w:lang w:val="en-US" w:eastAsia="zh-CN"/>
              </w:rPr>
              <w:t>35</w:t>
            </w:r>
            <w:r>
              <w:rPr>
                <w:rFonts w:ascii="宋体" w:hAnsi="宋体" w:cs="仿宋"/>
                <w:color w:val="auto"/>
                <w:szCs w:val="21"/>
                <w:highlight w:val="none"/>
              </w:rPr>
              <w:t>万元</w:t>
            </w:r>
            <w:r>
              <w:rPr>
                <w:rFonts w:ascii="宋体" w:hAnsi="宋体" w:cs="仿宋"/>
                <w:szCs w:val="21"/>
              </w:rPr>
              <w:t>（含税）</w:t>
            </w:r>
            <w:r>
              <w:rPr>
                <w:rFonts w:hint="eastAsia" w:ascii="宋体" w:hAnsi="宋体" w:cs="仿宋"/>
                <w:szCs w:val="21"/>
              </w:rPr>
              <w:t>，超过上述控制金额的视为无效报价。</w:t>
            </w:r>
          </w:p>
        </w:tc>
      </w:tr>
    </w:tbl>
    <w:p>
      <w:pPr>
        <w:numPr>
          <w:ilvl w:val="0"/>
          <w:numId w:val="12"/>
        </w:numPr>
        <w:spacing w:before="156" w:beforeLines="50"/>
        <w:jc w:val="left"/>
        <w:outlineLvl w:val="2"/>
        <w:rPr>
          <w:rStyle w:val="29"/>
          <w:rFonts w:ascii="宋体" w:hAnsi="宋体"/>
          <w:b/>
          <w:bCs/>
          <w:szCs w:val="21"/>
        </w:rPr>
      </w:pPr>
      <w:bookmarkStart w:id="54" w:name="_Toc116550356"/>
      <w:bookmarkStart w:id="55" w:name="_Toc114675512"/>
      <w:r>
        <w:rPr>
          <w:rStyle w:val="29"/>
          <w:rFonts w:hint="eastAsia" w:ascii="宋体" w:hAnsi="宋体"/>
          <w:b/>
          <w:bCs/>
          <w:szCs w:val="21"/>
        </w:rPr>
        <w:t>不可偏离项检查</w:t>
      </w:r>
      <w:bookmarkEnd w:id="54"/>
      <w:bookmarkEnd w:id="55"/>
    </w:p>
    <w:p>
      <w:pPr>
        <w:pStyle w:val="2"/>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12"/>
        </w:numPr>
        <w:snapToGrid w:val="0"/>
        <w:spacing w:before="156" w:beforeLines="50"/>
        <w:jc w:val="left"/>
        <w:outlineLvl w:val="2"/>
      </w:pPr>
      <w:bookmarkStart w:id="56" w:name="_Toc116550357"/>
      <w:bookmarkStart w:id="57" w:name="_Toc114675513"/>
      <w:r>
        <w:rPr>
          <w:rStyle w:val="29"/>
          <w:rFonts w:hint="eastAsia" w:ascii="宋体" w:hAnsi="宋体"/>
          <w:b/>
          <w:bCs/>
          <w:szCs w:val="21"/>
        </w:rPr>
        <w:t>综合评议指标表</w:t>
      </w:r>
      <w:bookmarkEnd w:id="56"/>
      <w:bookmarkEnd w:id="57"/>
    </w:p>
    <w:tbl>
      <w:tblPr>
        <w:tblStyle w:val="14"/>
        <w:tblpPr w:leftFromText="180" w:rightFromText="180" w:vertAnchor="text" w:horzAnchor="page" w:tblpX="1347" w:tblpY="1497"/>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783"/>
        <w:gridCol w:w="602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highlight w:val="none"/>
              </w:rPr>
            </w:pPr>
            <w:r>
              <w:rPr>
                <w:rFonts w:hint="eastAsia" w:ascii="宋体" w:hAnsi="宋体"/>
                <w:b/>
                <w:szCs w:val="21"/>
                <w:highlight w:val="none"/>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highlight w:val="none"/>
              </w:rPr>
            </w:pPr>
            <w:r>
              <w:rPr>
                <w:rFonts w:hint="eastAsia" w:ascii="宋体" w:hAnsi="宋体"/>
                <w:b/>
                <w:szCs w:val="21"/>
                <w:highlight w:val="none"/>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highlight w:val="none"/>
              </w:rPr>
            </w:pPr>
            <w:r>
              <w:rPr>
                <w:rFonts w:ascii="宋体" w:hAnsi="宋体"/>
                <w:b/>
                <w:szCs w:val="21"/>
                <w:highlight w:val="none"/>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szCs w:val="21"/>
                <w:highlight w:val="none"/>
              </w:rPr>
            </w:pPr>
            <w:r>
              <w:rPr>
                <w:rFonts w:hint="eastAsia" w:ascii="宋体" w:hAnsi="宋体"/>
                <w:b/>
                <w:szCs w:val="21"/>
                <w:highlight w:val="none"/>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spacing w:line="360" w:lineRule="auto"/>
              <w:jc w:val="center"/>
              <w:rPr>
                <w:rFonts w:ascii="宋体" w:hAnsi="宋体"/>
                <w:b/>
                <w:szCs w:val="21"/>
                <w:highlight w:val="none"/>
              </w:rPr>
            </w:pPr>
            <w:r>
              <w:rPr>
                <w:rFonts w:hint="eastAsia" w:ascii="宋体" w:hAnsi="宋体"/>
                <w:b/>
                <w:szCs w:val="21"/>
                <w:highlight w:val="none"/>
              </w:rPr>
              <w:t>商务评议项（</w:t>
            </w:r>
            <w:r>
              <w:rPr>
                <w:rFonts w:hint="eastAsia" w:ascii="宋体" w:hAnsi="宋体" w:eastAsia="宋体"/>
                <w:b/>
                <w:szCs w:val="21"/>
                <w:highlight w:val="none"/>
                <w:lang w:val="en-US" w:eastAsia="zh-CN"/>
              </w:rPr>
              <w:t>30</w:t>
            </w:r>
            <w:r>
              <w:rPr>
                <w:rFonts w:hint="eastAsia" w:ascii="宋体" w:hAnsi="宋体"/>
                <w:b/>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2"/>
              <w:numPr>
                <w:ilvl w:val="0"/>
                <w:numId w:val="13"/>
              </w:numPr>
              <w:spacing w:line="360" w:lineRule="auto"/>
              <w:ind w:firstLineChars="0"/>
              <w:jc w:val="center"/>
              <w:rPr>
                <w:rFonts w:ascii="宋体" w:hAnsi="宋体" w:eastAsia="宋体"/>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ascii="宋体" w:hAnsi="宋体"/>
                <w:color w:val="FF0000"/>
                <w:szCs w:val="21"/>
                <w:highlight w:val="none"/>
              </w:rPr>
            </w:pPr>
            <w:r>
              <w:rPr>
                <w:rFonts w:hint="eastAsia" w:ascii="宋体" w:hAnsi="宋体"/>
                <w:szCs w:val="21"/>
                <w:highlight w:val="none"/>
                <w:lang w:val="en-US" w:eastAsia="zh-CN"/>
              </w:rPr>
              <w:t>企业</w:t>
            </w:r>
            <w:r>
              <w:rPr>
                <w:rFonts w:hint="eastAsia" w:ascii="宋体" w:hAnsi="宋体"/>
                <w:szCs w:val="21"/>
                <w:highlight w:val="none"/>
              </w:rPr>
              <w:t>认证情况</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default" w:ascii="宋体" w:hAnsi="宋体" w:eastAsia="宋体"/>
                <w:color w:val="FF0000"/>
                <w:szCs w:val="21"/>
                <w:highlight w:val="none"/>
                <w:lang w:val="en-US" w:eastAsia="zh-CN"/>
              </w:rPr>
            </w:pPr>
            <w:r>
              <w:rPr>
                <w:rFonts w:hint="eastAsia" w:ascii="宋体" w:hAnsi="宋体"/>
                <w:color w:val="auto"/>
                <w:szCs w:val="21"/>
                <w:highlight w:val="none"/>
                <w:lang w:val="en-US" w:eastAsia="zh-CN"/>
              </w:rPr>
              <w:t>12分</w:t>
            </w:r>
          </w:p>
        </w:tc>
        <w:tc>
          <w:tcPr>
            <w:tcW w:w="6804" w:type="dxa"/>
            <w:gridSpan w:val="2"/>
            <w:tcBorders>
              <w:tl2br w:val="nil"/>
              <w:tr2bl w:val="nil"/>
            </w:tcBorders>
            <w:tcMar>
              <w:top w:w="15" w:type="dxa"/>
              <w:left w:w="15" w:type="dxa"/>
              <w:bottom w:w="15" w:type="dxa"/>
              <w:right w:w="15" w:type="dxa"/>
            </w:tcMar>
            <w:vAlign w:val="center"/>
          </w:tcPr>
          <w:p>
            <w:pPr>
              <w:numPr>
                <w:ilvl w:val="0"/>
                <w:numId w:val="0"/>
              </w:numPr>
              <w:tabs>
                <w:tab w:val="left" w:pos="531"/>
              </w:tabs>
              <w:snapToGrid w:val="0"/>
              <w:spacing w:line="360" w:lineRule="auto"/>
              <w:ind w:left="-1"/>
              <w:rPr>
                <w:rFonts w:hint="eastAsia" w:ascii="宋体" w:hAnsi="宋体" w:eastAsia="宋体" w:cs="仿宋_GB2312"/>
                <w:b/>
                <w:bCs/>
                <w:szCs w:val="21"/>
                <w:highlight w:val="none"/>
                <w:lang w:val="en-US" w:eastAsia="zh-CN"/>
              </w:rPr>
            </w:pPr>
            <w:r>
              <w:rPr>
                <w:rFonts w:hint="eastAsia" w:ascii="宋体" w:hAnsi="宋体" w:eastAsia="宋体" w:cs="仿宋_GB2312"/>
                <w:b/>
                <w:bCs/>
                <w:szCs w:val="21"/>
                <w:highlight w:val="none"/>
                <w:lang w:val="en-US" w:eastAsia="zh-CN"/>
              </w:rPr>
              <w:t>1.评分内容</w:t>
            </w:r>
          </w:p>
          <w:p>
            <w:pPr>
              <w:numPr>
                <w:ilvl w:val="0"/>
                <w:numId w:val="0"/>
              </w:numPr>
              <w:tabs>
                <w:tab w:val="left" w:pos="531"/>
              </w:tabs>
              <w:snapToGrid w:val="0"/>
              <w:spacing w:line="360" w:lineRule="auto"/>
              <w:ind w:left="-1"/>
              <w:rPr>
                <w:rFonts w:hint="eastAsia" w:ascii="宋体" w:hAnsi="宋体" w:eastAsia="宋体" w:cs="仿宋_GB2312"/>
                <w:szCs w:val="21"/>
                <w:highlight w:val="none"/>
                <w:lang w:val="en-US" w:eastAsia="zh-CN"/>
              </w:rPr>
            </w:pPr>
            <w:r>
              <w:rPr>
                <w:rFonts w:hint="eastAsia" w:ascii="宋体" w:hAnsi="宋体" w:eastAsia="宋体" w:cs="仿宋_GB2312"/>
                <w:szCs w:val="21"/>
                <w:highlight w:val="none"/>
                <w:lang w:val="en-US" w:eastAsia="zh-CN"/>
              </w:rPr>
              <w:t>根据投标人所具备的资质证书，进行综合评议：</w:t>
            </w:r>
          </w:p>
          <w:p>
            <w:pPr>
              <w:numPr>
                <w:ilvl w:val="0"/>
                <w:numId w:val="0"/>
              </w:numPr>
              <w:tabs>
                <w:tab w:val="left" w:pos="531"/>
              </w:tabs>
              <w:snapToGrid w:val="0"/>
              <w:spacing w:line="360" w:lineRule="auto"/>
              <w:ind w:left="-1"/>
              <w:rPr>
                <w:rFonts w:hint="eastAsia" w:ascii="宋体" w:hAnsi="宋体" w:eastAsia="宋体" w:cs="仿宋_GB2312"/>
                <w:szCs w:val="21"/>
                <w:highlight w:val="none"/>
              </w:rPr>
            </w:pPr>
            <w:r>
              <w:rPr>
                <w:rFonts w:hint="eastAsia" w:ascii="宋体" w:hAnsi="宋体" w:eastAsia="宋体" w:cs="仿宋_GB2312"/>
                <w:szCs w:val="21"/>
                <w:highlight w:val="none"/>
                <w:lang w:val="en-US" w:eastAsia="zh-CN"/>
              </w:rPr>
              <w:t>（1）</w:t>
            </w:r>
            <w:r>
              <w:rPr>
                <w:rFonts w:hint="default" w:ascii="宋体" w:hAnsi="宋体" w:eastAsia="宋体" w:cs="仿宋_GB2312"/>
                <w:szCs w:val="21"/>
                <w:highlight w:val="none"/>
              </w:rPr>
              <w:t>具有ISO9001质量管理体系认证证书，得</w:t>
            </w:r>
            <w:r>
              <w:rPr>
                <w:rFonts w:hint="default" w:ascii="宋体" w:hAnsi="宋体" w:eastAsia="宋体" w:cs="仿宋_GB2312"/>
                <w:szCs w:val="21"/>
                <w:highlight w:val="none"/>
                <w:lang w:val="en-US" w:eastAsia="zh-CN"/>
              </w:rPr>
              <w:t>2</w:t>
            </w:r>
            <w:r>
              <w:rPr>
                <w:rFonts w:hint="default" w:ascii="宋体" w:hAnsi="宋体" w:eastAsia="宋体" w:cs="仿宋_GB2312"/>
                <w:szCs w:val="21"/>
                <w:highlight w:val="none"/>
              </w:rPr>
              <w:t>分</w:t>
            </w:r>
            <w:r>
              <w:rPr>
                <w:rFonts w:hint="eastAsia" w:ascii="宋体" w:hAnsi="宋体" w:eastAsia="宋体" w:cs="仿宋_GB2312"/>
                <w:szCs w:val="21"/>
                <w:highlight w:val="none"/>
                <w:lang w:eastAsia="zh-CN"/>
              </w:rPr>
              <w:t>。</w:t>
            </w:r>
          </w:p>
          <w:p>
            <w:pPr>
              <w:numPr>
                <w:ilvl w:val="0"/>
                <w:numId w:val="0"/>
              </w:numPr>
              <w:tabs>
                <w:tab w:val="left" w:pos="531"/>
              </w:tabs>
              <w:snapToGrid w:val="0"/>
              <w:spacing w:line="360" w:lineRule="auto"/>
              <w:ind w:left="-1"/>
              <w:rPr>
                <w:rFonts w:hint="eastAsia" w:ascii="宋体" w:hAnsi="宋体" w:eastAsia="宋体" w:cs="仿宋_GB2312"/>
                <w:szCs w:val="21"/>
                <w:highlight w:val="none"/>
              </w:rPr>
            </w:pP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lang w:val="en-US" w:eastAsia="zh-CN"/>
              </w:rPr>
              <w:t>2</w:t>
            </w:r>
            <w:r>
              <w:rPr>
                <w:rFonts w:hint="eastAsia" w:ascii="宋体" w:hAnsi="宋体" w:eastAsia="宋体" w:cs="仿宋_GB2312"/>
                <w:szCs w:val="21"/>
                <w:highlight w:val="none"/>
                <w:lang w:eastAsia="zh-CN"/>
              </w:rPr>
              <w:t>）</w:t>
            </w:r>
            <w:r>
              <w:rPr>
                <w:rFonts w:hint="default" w:ascii="宋体" w:hAnsi="宋体" w:eastAsia="宋体" w:cs="仿宋_GB2312"/>
                <w:szCs w:val="21"/>
                <w:highlight w:val="none"/>
              </w:rPr>
              <w:t>具有ISO27001信息安全管理体系认证证书，得</w:t>
            </w:r>
            <w:r>
              <w:rPr>
                <w:rFonts w:hint="default" w:ascii="宋体" w:hAnsi="宋体" w:eastAsia="宋体" w:cs="仿宋_GB2312"/>
                <w:szCs w:val="21"/>
                <w:highlight w:val="none"/>
                <w:lang w:val="en-US" w:eastAsia="zh-CN"/>
              </w:rPr>
              <w:t>2</w:t>
            </w:r>
            <w:r>
              <w:rPr>
                <w:rFonts w:hint="default" w:ascii="宋体" w:hAnsi="宋体" w:eastAsia="宋体" w:cs="仿宋_GB2312"/>
                <w:szCs w:val="21"/>
                <w:highlight w:val="none"/>
              </w:rPr>
              <w:t>分</w:t>
            </w:r>
            <w:r>
              <w:rPr>
                <w:rFonts w:hint="eastAsia" w:ascii="宋体" w:hAnsi="宋体" w:eastAsia="宋体" w:cs="仿宋_GB2312"/>
                <w:szCs w:val="21"/>
                <w:highlight w:val="none"/>
                <w:lang w:eastAsia="zh-CN"/>
              </w:rPr>
              <w:t>。</w:t>
            </w:r>
          </w:p>
          <w:p>
            <w:pPr>
              <w:numPr>
                <w:ilvl w:val="0"/>
                <w:numId w:val="0"/>
              </w:numPr>
              <w:tabs>
                <w:tab w:val="left" w:pos="531"/>
              </w:tabs>
              <w:snapToGrid w:val="0"/>
              <w:spacing w:line="360" w:lineRule="auto"/>
              <w:ind w:left="-1"/>
              <w:rPr>
                <w:rFonts w:hint="eastAsia" w:ascii="宋体" w:hAnsi="宋体" w:eastAsia="宋体" w:cs="仿宋_GB2312"/>
                <w:szCs w:val="21"/>
                <w:highlight w:val="none"/>
              </w:rPr>
            </w:pP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lang w:val="en-US" w:eastAsia="zh-CN"/>
              </w:rPr>
              <w:t>3</w:t>
            </w:r>
            <w:r>
              <w:rPr>
                <w:rFonts w:hint="eastAsia" w:ascii="宋体" w:hAnsi="宋体" w:eastAsia="宋体" w:cs="仿宋_GB2312"/>
                <w:szCs w:val="21"/>
                <w:highlight w:val="none"/>
                <w:lang w:eastAsia="zh-CN"/>
              </w:rPr>
              <w:t>）</w:t>
            </w:r>
            <w:r>
              <w:rPr>
                <w:rFonts w:hint="default" w:ascii="宋体" w:hAnsi="宋体" w:eastAsia="宋体" w:cs="仿宋_GB2312"/>
                <w:szCs w:val="21"/>
                <w:highlight w:val="none"/>
              </w:rPr>
              <w:t>具有ISO20000信息技术服务管理体系认证证书，得2分</w:t>
            </w:r>
            <w:r>
              <w:rPr>
                <w:rFonts w:hint="eastAsia" w:ascii="宋体" w:hAnsi="宋体" w:eastAsia="宋体" w:cs="仿宋_GB2312"/>
                <w:szCs w:val="21"/>
                <w:highlight w:val="none"/>
                <w:lang w:eastAsia="zh-CN"/>
              </w:rPr>
              <w:t>。</w:t>
            </w:r>
          </w:p>
          <w:p>
            <w:pPr>
              <w:numPr>
                <w:ilvl w:val="0"/>
                <w:numId w:val="0"/>
              </w:numPr>
              <w:tabs>
                <w:tab w:val="left" w:pos="531"/>
              </w:tabs>
              <w:snapToGrid w:val="0"/>
              <w:spacing w:line="360" w:lineRule="auto"/>
              <w:ind w:left="-1"/>
              <w:rPr>
                <w:rFonts w:hint="eastAsia" w:ascii="宋体" w:hAnsi="宋体" w:eastAsia="宋体" w:cs="仿宋_GB2312"/>
                <w:szCs w:val="21"/>
                <w:highlight w:val="none"/>
              </w:rPr>
            </w:pP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lang w:val="en-US" w:eastAsia="zh-CN"/>
              </w:rPr>
              <w:t>4</w:t>
            </w:r>
            <w:r>
              <w:rPr>
                <w:rFonts w:hint="eastAsia" w:ascii="宋体" w:hAnsi="宋体" w:eastAsia="宋体" w:cs="仿宋_GB2312"/>
                <w:szCs w:val="21"/>
                <w:highlight w:val="none"/>
                <w:lang w:eastAsia="zh-CN"/>
              </w:rPr>
              <w:t>）</w:t>
            </w:r>
            <w:r>
              <w:rPr>
                <w:rFonts w:hint="default" w:ascii="宋体" w:hAnsi="宋体" w:eastAsia="宋体" w:cs="仿宋_GB2312"/>
                <w:szCs w:val="21"/>
                <w:highlight w:val="none"/>
              </w:rPr>
              <w:t>具有</w:t>
            </w:r>
            <w:r>
              <w:rPr>
                <w:rFonts w:ascii="宋体" w:hAnsi="宋体" w:eastAsia="宋体" w:cs="仿宋_GB2312"/>
                <w:szCs w:val="21"/>
                <w:highlight w:val="none"/>
              </w:rPr>
              <w:t>CMMI5</w:t>
            </w:r>
            <w:r>
              <w:rPr>
                <w:rFonts w:hint="default" w:ascii="宋体" w:hAnsi="宋体" w:eastAsia="宋体" w:cs="仿宋_GB2312"/>
                <w:szCs w:val="21"/>
                <w:highlight w:val="none"/>
              </w:rPr>
              <w:t>级证书，得</w:t>
            </w:r>
            <w:r>
              <w:rPr>
                <w:rFonts w:ascii="宋体" w:hAnsi="宋体" w:eastAsia="宋体" w:cs="仿宋_GB2312"/>
                <w:szCs w:val="21"/>
                <w:highlight w:val="none"/>
              </w:rPr>
              <w:t>4分；CMMI4</w:t>
            </w:r>
            <w:r>
              <w:rPr>
                <w:rFonts w:hint="default" w:ascii="宋体" w:hAnsi="宋体" w:eastAsia="宋体" w:cs="仿宋_GB2312"/>
                <w:szCs w:val="21"/>
                <w:highlight w:val="none"/>
              </w:rPr>
              <w:t>级证书，得</w:t>
            </w:r>
            <w:r>
              <w:rPr>
                <w:rFonts w:ascii="宋体" w:hAnsi="宋体" w:eastAsia="宋体" w:cs="仿宋_GB2312"/>
                <w:szCs w:val="21"/>
                <w:highlight w:val="none"/>
              </w:rPr>
              <w:t>3分；CMMI3</w:t>
            </w:r>
            <w:r>
              <w:rPr>
                <w:rFonts w:hint="default" w:ascii="宋体" w:hAnsi="宋体" w:eastAsia="宋体" w:cs="仿宋_GB2312"/>
                <w:szCs w:val="21"/>
                <w:highlight w:val="none"/>
              </w:rPr>
              <w:t>级证书，得</w:t>
            </w:r>
            <w:r>
              <w:rPr>
                <w:rFonts w:ascii="宋体" w:hAnsi="宋体" w:eastAsia="宋体" w:cs="仿宋_GB2312"/>
                <w:szCs w:val="21"/>
                <w:highlight w:val="none"/>
              </w:rPr>
              <w:t>2分；CMMI2</w:t>
            </w:r>
            <w:r>
              <w:rPr>
                <w:rFonts w:hint="default" w:ascii="宋体" w:hAnsi="宋体" w:eastAsia="宋体" w:cs="仿宋_GB2312"/>
                <w:szCs w:val="21"/>
                <w:highlight w:val="none"/>
              </w:rPr>
              <w:t>级证书，得</w:t>
            </w:r>
            <w:r>
              <w:rPr>
                <w:rFonts w:ascii="宋体" w:hAnsi="宋体" w:eastAsia="宋体" w:cs="仿宋_GB2312"/>
                <w:szCs w:val="21"/>
                <w:highlight w:val="none"/>
              </w:rPr>
              <w:t>1分；CMMI1</w:t>
            </w:r>
            <w:r>
              <w:rPr>
                <w:rFonts w:hint="default" w:ascii="宋体" w:hAnsi="宋体" w:eastAsia="宋体" w:cs="仿宋_GB2312"/>
                <w:szCs w:val="21"/>
                <w:highlight w:val="none"/>
              </w:rPr>
              <w:t>级证书，得</w:t>
            </w:r>
            <w:r>
              <w:rPr>
                <w:rFonts w:ascii="宋体" w:hAnsi="宋体" w:eastAsia="宋体" w:cs="仿宋_GB2312"/>
                <w:szCs w:val="21"/>
                <w:highlight w:val="none"/>
              </w:rPr>
              <w:t>0.5分</w:t>
            </w:r>
            <w:r>
              <w:rPr>
                <w:rFonts w:hint="eastAsia" w:ascii="宋体" w:hAnsi="宋体" w:eastAsia="宋体" w:cs="仿宋_GB2312"/>
                <w:szCs w:val="21"/>
                <w:highlight w:val="none"/>
                <w:lang w:eastAsia="zh-CN"/>
              </w:rPr>
              <w:t>。</w:t>
            </w:r>
          </w:p>
          <w:p>
            <w:pPr>
              <w:numPr>
                <w:ilvl w:val="0"/>
                <w:numId w:val="0"/>
              </w:numPr>
              <w:tabs>
                <w:tab w:val="left" w:pos="531"/>
              </w:tabs>
              <w:snapToGrid w:val="0"/>
              <w:spacing w:line="360" w:lineRule="auto"/>
              <w:ind w:left="-1"/>
              <w:rPr>
                <w:rFonts w:ascii="宋体" w:hAnsi="宋体" w:eastAsia="宋体" w:cs="仿宋_GB2312"/>
                <w:szCs w:val="21"/>
                <w:highlight w:val="none"/>
              </w:rPr>
            </w:pP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lang w:val="en-US" w:eastAsia="zh-CN"/>
              </w:rPr>
              <w:t>5</w:t>
            </w:r>
            <w:r>
              <w:rPr>
                <w:rFonts w:hint="eastAsia" w:ascii="宋体" w:hAnsi="宋体" w:eastAsia="宋体" w:cs="仿宋_GB2312"/>
                <w:szCs w:val="21"/>
                <w:highlight w:val="none"/>
                <w:lang w:eastAsia="zh-CN"/>
              </w:rPr>
              <w:t>）</w:t>
            </w:r>
            <w:r>
              <w:rPr>
                <w:rFonts w:hint="default" w:ascii="宋体" w:hAnsi="宋体" w:eastAsia="宋体" w:cs="仿宋_GB2312"/>
                <w:szCs w:val="21"/>
                <w:highlight w:val="none"/>
              </w:rPr>
              <w:t>具有软件企业证书，得1分。</w:t>
            </w:r>
          </w:p>
          <w:p>
            <w:pPr>
              <w:numPr>
                <w:ilvl w:val="0"/>
                <w:numId w:val="0"/>
              </w:numPr>
              <w:tabs>
                <w:tab w:val="left" w:pos="531"/>
              </w:tabs>
              <w:snapToGrid w:val="0"/>
              <w:spacing w:line="360" w:lineRule="auto"/>
              <w:ind w:left="-1"/>
              <w:rPr>
                <w:rFonts w:ascii="宋体" w:hAnsi="宋体" w:eastAsia="宋体" w:cs="仿宋_GB2312"/>
                <w:szCs w:val="21"/>
                <w:highlight w:val="none"/>
              </w:rPr>
            </w:pP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lang w:val="en-US" w:eastAsia="zh-CN"/>
              </w:rPr>
              <w:t>6</w:t>
            </w:r>
            <w:r>
              <w:rPr>
                <w:rFonts w:hint="eastAsia" w:ascii="宋体" w:hAnsi="宋体" w:eastAsia="宋体" w:cs="仿宋_GB2312"/>
                <w:szCs w:val="21"/>
                <w:highlight w:val="none"/>
                <w:lang w:eastAsia="zh-CN"/>
              </w:rPr>
              <w:t>）</w:t>
            </w:r>
            <w:r>
              <w:rPr>
                <w:rFonts w:hint="default" w:ascii="宋体" w:hAnsi="宋体" w:eastAsia="宋体" w:cs="仿宋_GB2312"/>
                <w:szCs w:val="21"/>
                <w:highlight w:val="none"/>
              </w:rPr>
              <w:t>具有高新企业证书，得1分。</w:t>
            </w:r>
          </w:p>
          <w:p>
            <w:pPr>
              <w:numPr>
                <w:ilvl w:val="0"/>
                <w:numId w:val="0"/>
              </w:numPr>
              <w:tabs>
                <w:tab w:val="left" w:pos="531"/>
              </w:tabs>
              <w:snapToGrid w:val="0"/>
              <w:spacing w:line="360" w:lineRule="auto"/>
              <w:ind w:left="-1"/>
              <w:rPr>
                <w:rFonts w:hint="default" w:ascii="宋体" w:hAnsi="宋体" w:eastAsia="宋体" w:cs="仿宋_GB2312"/>
                <w:szCs w:val="21"/>
                <w:highlight w:val="none"/>
              </w:rPr>
            </w:pPr>
            <w:r>
              <w:rPr>
                <w:rFonts w:hint="eastAsia" w:ascii="宋体" w:hAnsi="宋体" w:eastAsia="宋体" w:cs="仿宋_GB2312"/>
                <w:b/>
                <w:bCs/>
                <w:szCs w:val="21"/>
                <w:highlight w:val="none"/>
                <w:lang w:val="en-US" w:eastAsia="zh-CN"/>
              </w:rPr>
              <w:t>2.评分依据</w:t>
            </w:r>
          </w:p>
          <w:p>
            <w:pPr>
              <w:numPr>
                <w:ilvl w:val="0"/>
                <w:numId w:val="0"/>
              </w:numPr>
              <w:tabs>
                <w:tab w:val="left" w:pos="531"/>
              </w:tabs>
              <w:snapToGrid w:val="0"/>
              <w:spacing w:line="360" w:lineRule="auto"/>
              <w:ind w:left="-1"/>
              <w:rPr>
                <w:rFonts w:ascii="宋体" w:hAnsi="宋体" w:eastAsia="宋体" w:cs="仿宋_GB2312"/>
                <w:szCs w:val="21"/>
                <w:highlight w:val="none"/>
              </w:rPr>
            </w:pP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lang w:val="en-US" w:eastAsia="zh-CN"/>
              </w:rPr>
              <w:t>1</w:t>
            </w: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lang w:val="en-US" w:eastAsia="zh-CN"/>
              </w:rPr>
              <w:t>投标人</w:t>
            </w:r>
            <w:r>
              <w:rPr>
                <w:rFonts w:hint="default" w:ascii="宋体" w:hAnsi="宋体" w:eastAsia="宋体" w:cs="仿宋_GB2312"/>
                <w:szCs w:val="21"/>
                <w:highlight w:val="none"/>
              </w:rPr>
              <w:t>提供</w:t>
            </w:r>
            <w:r>
              <w:rPr>
                <w:rFonts w:hint="eastAsia" w:ascii="宋体" w:hAnsi="宋体" w:eastAsia="宋体" w:cs="仿宋_GB2312"/>
                <w:szCs w:val="21"/>
                <w:highlight w:val="none"/>
                <w:lang w:val="en-US" w:eastAsia="zh-CN"/>
              </w:rPr>
              <w:t>相关</w:t>
            </w:r>
            <w:r>
              <w:rPr>
                <w:rFonts w:hint="default" w:ascii="宋体" w:hAnsi="宋体" w:eastAsia="宋体" w:cs="仿宋_GB2312"/>
                <w:szCs w:val="21"/>
                <w:highlight w:val="none"/>
              </w:rPr>
              <w:t>证书扫描件件并加盖投标人公章，证书须在有效期内。</w:t>
            </w: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lang w:val="en-US" w:eastAsia="zh-CN"/>
              </w:rPr>
              <w:t>2</w:t>
            </w:r>
            <w:r>
              <w:rPr>
                <w:rFonts w:hint="eastAsia" w:ascii="宋体" w:hAnsi="宋体" w:eastAsia="宋体" w:cs="仿宋_GB2312"/>
                <w:szCs w:val="21"/>
                <w:highlight w:val="none"/>
                <w:lang w:eastAsia="zh-CN"/>
              </w:rPr>
              <w:t>）</w:t>
            </w:r>
            <w:r>
              <w:rPr>
                <w:rFonts w:hint="eastAsia" w:ascii="宋体"/>
                <w:highlight w:val="none"/>
              </w:rPr>
              <w:t>未提供或提供的相关证明文件不清晰、不完整或不符合要求的，</w:t>
            </w:r>
            <w:r>
              <w:rPr>
                <w:rFonts w:hint="eastAsia" w:ascii="宋体"/>
                <w:highlight w:val="none"/>
                <w:lang w:val="en-US" w:eastAsia="zh-CN"/>
              </w:rPr>
              <w:t>均</w:t>
            </w:r>
            <w:r>
              <w:rPr>
                <w:rFonts w:hint="eastAsia" w:ascii="宋体"/>
                <w:highlight w:val="none"/>
              </w:rPr>
              <w:t>不得分</w:t>
            </w:r>
            <w:r>
              <w:rPr>
                <w:rFonts w:hint="default" w:ascii="宋体" w:hAnsi="宋体" w:eastAsia="宋体" w:cs="仿宋_GB2312"/>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2"/>
              <w:numPr>
                <w:ilvl w:val="0"/>
                <w:numId w:val="13"/>
              </w:numPr>
              <w:spacing w:line="360" w:lineRule="auto"/>
              <w:ind w:firstLineChars="0"/>
              <w:jc w:val="center"/>
              <w:rPr>
                <w:rFonts w:ascii="宋体" w:hAnsi="宋体" w:eastAsia="宋体"/>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FF0000"/>
                <w:highlight w:val="none"/>
              </w:rPr>
            </w:pPr>
            <w:r>
              <w:rPr>
                <w:rFonts w:hint="eastAsia" w:ascii="宋体" w:hAnsi="宋体"/>
                <w:szCs w:val="21"/>
                <w:highlight w:val="none"/>
              </w:rPr>
              <w:t>同类项目业绩情况</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FF0000"/>
                <w:szCs w:val="21"/>
                <w:highlight w:val="none"/>
              </w:rPr>
            </w:pPr>
            <w:r>
              <w:rPr>
                <w:rFonts w:hint="eastAsia" w:ascii="宋体" w:hAnsi="宋体"/>
                <w:color w:val="auto"/>
                <w:szCs w:val="21"/>
                <w:highlight w:val="none"/>
                <w:lang w:val="en-US" w:eastAsia="zh-CN"/>
              </w:rPr>
              <w:t>18</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numPr>
                <w:ilvl w:val="-1"/>
                <w:numId w:val="0"/>
              </w:numPr>
              <w:tabs>
                <w:tab w:val="left" w:pos="531"/>
              </w:tabs>
              <w:snapToGrid w:val="0"/>
              <w:spacing w:line="360" w:lineRule="auto"/>
              <w:ind w:left="0"/>
              <w:rPr>
                <w:rFonts w:hint="eastAsia" w:ascii="宋体" w:hAnsi="宋体" w:eastAsia="宋体" w:cs="仿宋_GB2312"/>
                <w:b/>
                <w:bCs/>
                <w:szCs w:val="21"/>
                <w:highlight w:val="none"/>
                <w:lang w:val="en-US" w:eastAsia="zh-CN"/>
              </w:rPr>
            </w:pPr>
            <w:r>
              <w:rPr>
                <w:rFonts w:hint="eastAsia" w:ascii="宋体" w:hAnsi="宋体" w:eastAsia="宋体" w:cs="仿宋_GB2312"/>
                <w:b/>
                <w:bCs/>
                <w:szCs w:val="21"/>
                <w:highlight w:val="none"/>
                <w:lang w:val="en-US" w:eastAsia="zh-CN"/>
              </w:rPr>
              <w:t>1.评分内容</w:t>
            </w:r>
          </w:p>
          <w:p>
            <w:pPr>
              <w:numPr>
                <w:ilvl w:val="-1"/>
                <w:numId w:val="0"/>
              </w:numPr>
              <w:tabs>
                <w:tab w:val="left" w:pos="531"/>
              </w:tabs>
              <w:snapToGrid w:val="0"/>
              <w:spacing w:line="360" w:lineRule="auto"/>
              <w:ind w:left="0"/>
              <w:rPr>
                <w:rFonts w:ascii="宋体" w:hAnsi="宋体" w:eastAsia="宋体" w:cs="仿宋_GB2312"/>
                <w:szCs w:val="21"/>
                <w:highlight w:val="none"/>
              </w:rPr>
            </w:pPr>
            <w:r>
              <w:rPr>
                <w:rFonts w:hint="default" w:ascii="宋体" w:hAnsi="宋体" w:eastAsia="宋体" w:cs="仿宋_GB2312"/>
                <w:szCs w:val="21"/>
                <w:highlight w:val="none"/>
              </w:rPr>
              <w:t>根据投标人自2019年1月1日以来</w:t>
            </w:r>
            <w:r>
              <w:rPr>
                <w:rFonts w:hint="eastAsia" w:ascii="宋体" w:hAnsi="宋体" w:cs="宋体"/>
                <w:szCs w:val="21"/>
                <w:highlight w:val="none"/>
                <w:lang w:val="en-US" w:eastAsia="zh-CN"/>
              </w:rPr>
              <w:t>至本招标公告发布之日止</w:t>
            </w:r>
            <w:r>
              <w:rPr>
                <w:rFonts w:hint="default" w:ascii="宋体" w:hAnsi="宋体" w:eastAsia="宋体" w:cs="仿宋_GB2312"/>
                <w:szCs w:val="21"/>
                <w:highlight w:val="none"/>
              </w:rPr>
              <w:t>（以合同签订时间为准）所承接过与展会相关系统开发项目业绩进行评议：</w:t>
            </w:r>
          </w:p>
          <w:p>
            <w:pPr>
              <w:numPr>
                <w:ilvl w:val="0"/>
                <w:numId w:val="0"/>
              </w:numPr>
              <w:tabs>
                <w:tab w:val="left" w:pos="531"/>
              </w:tabs>
              <w:snapToGrid w:val="0"/>
              <w:spacing w:line="360" w:lineRule="auto"/>
              <w:ind w:left="-1"/>
              <w:rPr>
                <w:rFonts w:hint="eastAsia" w:ascii="宋体" w:hAnsi="宋体" w:eastAsia="宋体" w:cs="仿宋_GB2312"/>
                <w:szCs w:val="21"/>
                <w:highlight w:val="none"/>
              </w:rPr>
            </w:pPr>
            <w:r>
              <w:rPr>
                <w:rFonts w:hint="default" w:ascii="宋体" w:hAnsi="宋体" w:eastAsia="宋体" w:cs="仿宋_GB2312"/>
                <w:szCs w:val="21"/>
                <w:highlight w:val="none"/>
              </w:rPr>
              <w:t>（1）单个合同金额≧100万元，每个得</w:t>
            </w:r>
            <w:r>
              <w:rPr>
                <w:rFonts w:hint="default" w:ascii="宋体" w:hAnsi="宋体" w:eastAsia="宋体" w:cs="仿宋_GB2312"/>
                <w:szCs w:val="21"/>
                <w:highlight w:val="none"/>
                <w:lang w:val="en-US" w:eastAsia="zh-CN"/>
              </w:rPr>
              <w:t>6</w:t>
            </w:r>
            <w:r>
              <w:rPr>
                <w:rFonts w:hint="default" w:ascii="宋体" w:hAnsi="宋体" w:eastAsia="宋体" w:cs="仿宋_GB2312"/>
                <w:szCs w:val="21"/>
                <w:highlight w:val="none"/>
              </w:rPr>
              <w:t>分</w:t>
            </w:r>
            <w:r>
              <w:rPr>
                <w:rFonts w:hint="eastAsia" w:ascii="宋体" w:hAnsi="宋体" w:eastAsia="宋体" w:cs="仿宋_GB2312"/>
                <w:szCs w:val="21"/>
                <w:highlight w:val="none"/>
                <w:lang w:eastAsia="zh-CN"/>
              </w:rPr>
              <w:t>。</w:t>
            </w:r>
          </w:p>
          <w:p>
            <w:pPr>
              <w:numPr>
                <w:ilvl w:val="0"/>
                <w:numId w:val="0"/>
              </w:numPr>
              <w:tabs>
                <w:tab w:val="left" w:pos="531"/>
              </w:tabs>
              <w:snapToGrid w:val="0"/>
              <w:spacing w:line="360" w:lineRule="auto"/>
              <w:ind w:left="-1"/>
              <w:rPr>
                <w:rFonts w:hint="eastAsia" w:ascii="宋体" w:hAnsi="宋体" w:eastAsia="宋体" w:cs="仿宋_GB2312"/>
                <w:szCs w:val="21"/>
                <w:highlight w:val="none"/>
              </w:rPr>
            </w:pPr>
            <w:r>
              <w:rPr>
                <w:rFonts w:hint="default" w:ascii="宋体" w:hAnsi="宋体" w:eastAsia="宋体" w:cs="仿宋_GB2312"/>
                <w:szCs w:val="21"/>
                <w:highlight w:val="none"/>
              </w:rPr>
              <w:t>（2）50万元≦单个合同金额&lt;100万元，每个得</w:t>
            </w:r>
            <w:r>
              <w:rPr>
                <w:rFonts w:hint="default" w:ascii="宋体" w:hAnsi="宋体" w:eastAsia="宋体" w:cs="仿宋_GB2312"/>
                <w:szCs w:val="21"/>
                <w:highlight w:val="none"/>
                <w:lang w:val="en-US" w:eastAsia="zh-CN"/>
              </w:rPr>
              <w:t>3</w:t>
            </w:r>
            <w:r>
              <w:rPr>
                <w:rFonts w:hint="default" w:ascii="宋体" w:hAnsi="宋体" w:eastAsia="宋体" w:cs="仿宋_GB2312"/>
                <w:szCs w:val="21"/>
                <w:highlight w:val="none"/>
              </w:rPr>
              <w:t>分</w:t>
            </w:r>
            <w:r>
              <w:rPr>
                <w:rFonts w:hint="eastAsia" w:ascii="宋体" w:hAnsi="宋体" w:eastAsia="宋体" w:cs="仿宋_GB2312"/>
                <w:szCs w:val="21"/>
                <w:highlight w:val="none"/>
                <w:lang w:eastAsia="zh-CN"/>
              </w:rPr>
              <w:t>。</w:t>
            </w:r>
          </w:p>
          <w:p>
            <w:pPr>
              <w:numPr>
                <w:ilvl w:val="0"/>
                <w:numId w:val="0"/>
              </w:numPr>
              <w:tabs>
                <w:tab w:val="left" w:pos="531"/>
              </w:tabs>
              <w:snapToGrid w:val="0"/>
              <w:spacing w:line="360" w:lineRule="auto"/>
              <w:ind w:left="-1"/>
              <w:rPr>
                <w:rFonts w:hint="eastAsia" w:ascii="宋体" w:hAnsi="宋体" w:eastAsia="宋体" w:cs="仿宋_GB2312"/>
                <w:szCs w:val="21"/>
                <w:highlight w:val="none"/>
                <w:lang w:eastAsia="zh-CN"/>
              </w:rPr>
            </w:pPr>
            <w:r>
              <w:rPr>
                <w:rFonts w:hint="default" w:ascii="宋体" w:hAnsi="宋体" w:eastAsia="宋体" w:cs="仿宋_GB2312"/>
                <w:szCs w:val="21"/>
                <w:highlight w:val="none"/>
              </w:rPr>
              <w:t>（3）单个合同金额</w:t>
            </w:r>
            <w:r>
              <w:rPr>
                <w:rFonts w:hint="eastAsia" w:ascii="宋体" w:hAnsi="宋体" w:eastAsia="宋体" w:cs="仿宋_GB2312"/>
                <w:szCs w:val="21"/>
                <w:highlight w:val="none"/>
                <w:lang w:val="en-US" w:eastAsia="zh-CN"/>
              </w:rPr>
              <w:t>＜</w:t>
            </w:r>
            <w:r>
              <w:rPr>
                <w:rFonts w:hint="default" w:ascii="宋体" w:hAnsi="宋体" w:eastAsia="宋体" w:cs="仿宋_GB2312"/>
                <w:szCs w:val="21"/>
                <w:highlight w:val="none"/>
              </w:rPr>
              <w:t>50万元</w:t>
            </w:r>
            <w:r>
              <w:rPr>
                <w:rFonts w:hint="eastAsia" w:ascii="宋体" w:hAnsi="宋体" w:eastAsia="宋体" w:cs="仿宋_GB2312"/>
                <w:szCs w:val="21"/>
                <w:highlight w:val="none"/>
                <w:lang w:eastAsia="zh-CN"/>
              </w:rPr>
              <w:t>，</w:t>
            </w:r>
            <w:r>
              <w:rPr>
                <w:rFonts w:hint="default" w:ascii="宋体" w:hAnsi="宋体" w:eastAsia="宋体" w:cs="仿宋_GB2312"/>
                <w:szCs w:val="21"/>
                <w:highlight w:val="none"/>
              </w:rPr>
              <w:t>不得分</w:t>
            </w:r>
            <w:r>
              <w:rPr>
                <w:rFonts w:hint="eastAsia" w:ascii="宋体" w:hAnsi="宋体" w:eastAsia="宋体" w:cs="仿宋_GB2312"/>
                <w:szCs w:val="21"/>
                <w:highlight w:val="none"/>
                <w:lang w:eastAsia="zh-CN"/>
              </w:rPr>
              <w:t>。</w:t>
            </w:r>
          </w:p>
          <w:p>
            <w:pPr>
              <w:numPr>
                <w:ilvl w:val="0"/>
                <w:numId w:val="0"/>
              </w:numPr>
              <w:tabs>
                <w:tab w:val="left" w:pos="531"/>
              </w:tabs>
              <w:snapToGrid w:val="0"/>
              <w:spacing w:line="360" w:lineRule="auto"/>
              <w:ind w:left="-1"/>
              <w:rPr>
                <w:rFonts w:ascii="宋体" w:hAnsi="宋体" w:eastAsia="宋体" w:cs="仿宋_GB2312"/>
                <w:szCs w:val="21"/>
                <w:highlight w:val="none"/>
              </w:rPr>
            </w:pP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lang w:val="en-US" w:eastAsia="zh-CN"/>
              </w:rPr>
              <w:t>4</w:t>
            </w:r>
            <w:r>
              <w:rPr>
                <w:rFonts w:hint="eastAsia" w:ascii="宋体" w:hAnsi="宋体" w:eastAsia="宋体" w:cs="仿宋_GB2312"/>
                <w:szCs w:val="21"/>
                <w:highlight w:val="none"/>
                <w:lang w:eastAsia="zh-CN"/>
              </w:rPr>
              <w:t>）</w:t>
            </w:r>
            <w:r>
              <w:rPr>
                <w:rFonts w:hint="default" w:ascii="宋体" w:hAnsi="宋体" w:eastAsia="宋体" w:cs="仿宋_GB2312"/>
                <w:szCs w:val="21"/>
                <w:highlight w:val="none"/>
              </w:rPr>
              <w:t>本项</w:t>
            </w:r>
            <w:r>
              <w:rPr>
                <w:rFonts w:hint="eastAsia" w:ascii="宋体" w:hAnsi="宋体" w:eastAsia="宋体" w:cs="仿宋_GB2312"/>
                <w:szCs w:val="21"/>
                <w:highlight w:val="none"/>
                <w:lang w:val="en-US" w:eastAsia="zh-CN"/>
              </w:rPr>
              <w:t>满分</w:t>
            </w:r>
            <w:r>
              <w:rPr>
                <w:rFonts w:hint="default" w:ascii="宋体" w:hAnsi="宋体" w:eastAsia="宋体" w:cs="仿宋_GB2312"/>
                <w:szCs w:val="21"/>
                <w:highlight w:val="none"/>
              </w:rPr>
              <w:t>1</w:t>
            </w:r>
            <w:r>
              <w:rPr>
                <w:rFonts w:hint="default" w:ascii="宋体" w:hAnsi="宋体" w:eastAsia="宋体" w:cs="仿宋_GB2312"/>
                <w:szCs w:val="21"/>
                <w:highlight w:val="none"/>
                <w:lang w:val="en-US" w:eastAsia="zh-CN"/>
              </w:rPr>
              <w:t>8</w:t>
            </w:r>
            <w:r>
              <w:rPr>
                <w:rFonts w:hint="default" w:ascii="宋体" w:hAnsi="宋体" w:eastAsia="宋体" w:cs="仿宋_GB2312"/>
                <w:szCs w:val="21"/>
                <w:highlight w:val="none"/>
              </w:rPr>
              <w:t>分。</w:t>
            </w:r>
          </w:p>
          <w:p>
            <w:pPr>
              <w:numPr>
                <w:ilvl w:val="0"/>
                <w:numId w:val="0"/>
              </w:numPr>
              <w:tabs>
                <w:tab w:val="left" w:pos="531"/>
              </w:tabs>
              <w:snapToGrid w:val="0"/>
              <w:spacing w:line="360" w:lineRule="auto"/>
              <w:ind w:left="-1"/>
              <w:rPr>
                <w:rFonts w:hint="eastAsia" w:ascii="宋体" w:hAnsi="宋体" w:eastAsia="宋体" w:cs="仿宋_GB2312"/>
                <w:b/>
                <w:bCs/>
                <w:szCs w:val="21"/>
                <w:highlight w:val="none"/>
                <w:lang w:val="en-US" w:eastAsia="zh-CN"/>
              </w:rPr>
            </w:pPr>
            <w:r>
              <w:rPr>
                <w:rFonts w:hint="eastAsia" w:ascii="宋体" w:hAnsi="宋体" w:eastAsia="宋体" w:cs="仿宋_GB2312"/>
                <w:b/>
                <w:bCs/>
                <w:szCs w:val="21"/>
                <w:highlight w:val="none"/>
                <w:lang w:eastAsia="zh-CN"/>
              </w:rPr>
              <w:t>2</w:t>
            </w:r>
            <w:r>
              <w:rPr>
                <w:rFonts w:hint="eastAsia" w:ascii="宋体" w:hAnsi="宋体" w:eastAsia="宋体" w:cs="仿宋_GB2312"/>
                <w:b/>
                <w:bCs/>
                <w:szCs w:val="21"/>
                <w:highlight w:val="none"/>
                <w:lang w:val="en-US" w:eastAsia="zh-CN"/>
              </w:rPr>
              <w:t>.评分依据</w:t>
            </w:r>
          </w:p>
          <w:p>
            <w:pPr>
              <w:numPr>
                <w:ilvl w:val="0"/>
                <w:numId w:val="0"/>
              </w:numPr>
              <w:tabs>
                <w:tab w:val="left" w:pos="531"/>
              </w:tabs>
              <w:snapToGrid w:val="0"/>
              <w:spacing w:line="360" w:lineRule="auto"/>
              <w:ind w:left="-1"/>
              <w:rPr>
                <w:rFonts w:hint="default" w:ascii="宋体" w:hAnsi="宋体" w:eastAsia="宋体" w:cs="仿宋_GB2312"/>
                <w:szCs w:val="21"/>
                <w:highlight w:val="none"/>
                <w:lang w:val="en-US" w:eastAsia="zh-CN"/>
              </w:rPr>
            </w:pPr>
            <w:r>
              <w:rPr>
                <w:rFonts w:hint="default" w:ascii="宋体" w:hAnsi="宋体" w:eastAsia="宋体" w:cs="仿宋_GB2312"/>
                <w:szCs w:val="21"/>
                <w:highlight w:val="none"/>
              </w:rPr>
              <w:t>（1）</w:t>
            </w:r>
            <w:r>
              <w:rPr>
                <w:rFonts w:hint="eastAsia" w:ascii="宋体" w:hAnsi="宋体" w:eastAsia="宋体" w:cs="仿宋_GB2312"/>
                <w:szCs w:val="21"/>
                <w:highlight w:val="none"/>
                <w:lang w:val="en-US" w:eastAsia="zh-CN"/>
              </w:rPr>
              <w:t>投标人提供符合要求的合同业绩汇总清单</w:t>
            </w:r>
            <w:r>
              <w:rPr>
                <w:rFonts w:hint="eastAsia" w:ascii="宋体"/>
                <w:highlight w:val="none"/>
              </w:rPr>
              <w:t>，并加盖投标人公章。</w:t>
            </w:r>
            <w:r>
              <w:rPr>
                <w:rFonts w:hint="default" w:ascii="宋体" w:hAnsi="宋体" w:eastAsia="宋体" w:cs="仿宋_GB2312"/>
                <w:szCs w:val="21"/>
                <w:highlight w:val="none"/>
              </w:rPr>
              <w:t>合同</w:t>
            </w:r>
            <w:r>
              <w:rPr>
                <w:rFonts w:ascii="宋体" w:hAnsi="宋体" w:eastAsia="宋体" w:cs="仿宋_GB2312"/>
                <w:szCs w:val="21"/>
                <w:highlight w:val="none"/>
              </w:rPr>
              <w:t>金额以人民币</w:t>
            </w:r>
            <w:r>
              <w:rPr>
                <w:rFonts w:hint="eastAsia" w:ascii="宋体" w:hAnsi="宋体" w:eastAsia="宋体" w:cs="仿宋_GB2312"/>
                <w:szCs w:val="21"/>
                <w:highlight w:val="none"/>
                <w:lang w:val="en-US" w:eastAsia="zh-CN"/>
              </w:rPr>
              <w:t>计算汇总。如合同金额为</w:t>
            </w:r>
            <w:r>
              <w:rPr>
                <w:rFonts w:hint="default" w:ascii="宋体" w:hAnsi="宋体" w:eastAsia="宋体" w:cs="仿宋_GB2312"/>
                <w:szCs w:val="21"/>
                <w:highlight w:val="none"/>
              </w:rPr>
              <w:t>外币</w:t>
            </w: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lang w:val="en-US" w:eastAsia="zh-CN"/>
              </w:rPr>
              <w:t>投标人需</w:t>
            </w:r>
            <w:r>
              <w:rPr>
                <w:rFonts w:hint="default" w:ascii="宋体" w:hAnsi="宋体" w:eastAsia="宋体" w:cs="仿宋_GB2312"/>
                <w:szCs w:val="21"/>
                <w:highlight w:val="none"/>
              </w:rPr>
              <w:t>以合同签订当日外汇牌价进行换算</w:t>
            </w:r>
            <w:r>
              <w:rPr>
                <w:rFonts w:ascii="宋体" w:hAnsi="宋体" w:eastAsia="宋体" w:cs="仿宋_GB2312"/>
                <w:szCs w:val="21"/>
                <w:highlight w:val="none"/>
              </w:rPr>
              <w:t>。</w:t>
            </w:r>
          </w:p>
          <w:p>
            <w:pPr>
              <w:numPr>
                <w:ilvl w:val="0"/>
                <w:numId w:val="0"/>
              </w:numPr>
              <w:tabs>
                <w:tab w:val="left" w:pos="531"/>
              </w:tabs>
              <w:snapToGrid w:val="0"/>
              <w:spacing w:line="360" w:lineRule="auto"/>
              <w:ind w:left="-1"/>
              <w:rPr>
                <w:rFonts w:ascii="宋体" w:hAnsi="宋体" w:eastAsia="宋体" w:cs="仿宋_GB2312"/>
                <w:szCs w:val="21"/>
                <w:highlight w:val="none"/>
              </w:rPr>
            </w:pPr>
            <w:r>
              <w:rPr>
                <w:rFonts w:hint="eastAsia" w:ascii="宋体" w:hAnsi="宋体" w:cs="宋体"/>
                <w:szCs w:val="21"/>
                <w:highlight w:val="none"/>
                <w:lang w:val="en-US" w:eastAsia="zh-CN"/>
              </w:rPr>
              <w:t>（2）投标人需</w:t>
            </w:r>
            <w:r>
              <w:rPr>
                <w:rFonts w:ascii="宋体" w:hAnsi="宋体" w:cs="宋体"/>
                <w:szCs w:val="21"/>
                <w:highlight w:val="none"/>
              </w:rPr>
              <w:t>提供</w:t>
            </w:r>
            <w:r>
              <w:rPr>
                <w:rFonts w:hint="eastAsia" w:ascii="宋体"/>
                <w:highlight w:val="none"/>
              </w:rPr>
              <w:t>上述合同业绩关键页复印件，并加盖投标人公章。合同关键页包含但不限于项目名称、业主方名称、合同主要内容、</w:t>
            </w:r>
            <w:r>
              <w:rPr>
                <w:rFonts w:hint="eastAsia" w:ascii="宋体"/>
                <w:highlight w:val="none"/>
                <w:lang w:val="en-US" w:eastAsia="zh-CN"/>
              </w:rPr>
              <w:t>合同金额、</w:t>
            </w:r>
            <w:r>
              <w:rPr>
                <w:rFonts w:hint="eastAsia" w:ascii="宋体"/>
                <w:highlight w:val="none"/>
              </w:rPr>
              <w:t>签订时间、履约地点、甲乙双方盖章等</w:t>
            </w:r>
            <w:r>
              <w:rPr>
                <w:rFonts w:hint="eastAsia" w:ascii="宋体"/>
                <w:highlight w:val="none"/>
                <w:lang w:eastAsia="zh-CN"/>
              </w:rPr>
              <w:t>，</w:t>
            </w:r>
            <w:r>
              <w:rPr>
                <w:rFonts w:hint="eastAsia" w:ascii="宋体"/>
                <w:highlight w:val="none"/>
                <w:lang w:val="en-US" w:eastAsia="zh-CN"/>
              </w:rPr>
              <w:t>原件备查</w:t>
            </w:r>
            <w:r>
              <w:rPr>
                <w:rFonts w:hint="eastAsia" w:ascii="宋体"/>
                <w:highlight w:val="none"/>
              </w:rPr>
              <w:t>。</w:t>
            </w:r>
          </w:p>
          <w:p>
            <w:pPr>
              <w:numPr>
                <w:ilvl w:val="0"/>
                <w:numId w:val="0"/>
              </w:numPr>
              <w:tabs>
                <w:tab w:val="left" w:pos="531"/>
              </w:tabs>
              <w:snapToGrid w:val="0"/>
              <w:spacing w:line="360" w:lineRule="auto"/>
              <w:ind w:left="-1"/>
              <w:rPr>
                <w:rFonts w:ascii="宋体" w:hAnsi="宋体" w:eastAsia="宋体" w:cs="仿宋_GB2312"/>
                <w:szCs w:val="21"/>
                <w:highlight w:val="none"/>
              </w:rPr>
            </w:pPr>
            <w:r>
              <w:rPr>
                <w:rFonts w:hint="default" w:ascii="宋体" w:hAnsi="宋体" w:eastAsia="宋体" w:cs="仿宋_GB2312"/>
                <w:sz w:val="21"/>
                <w:szCs w:val="21"/>
                <w:highlight w:val="none"/>
              </w:rPr>
              <w:t>（</w:t>
            </w:r>
            <w:r>
              <w:rPr>
                <w:rFonts w:ascii="宋体" w:hAnsi="宋体" w:eastAsia="宋体" w:cs="仿宋_GB2312"/>
                <w:sz w:val="21"/>
                <w:szCs w:val="21"/>
                <w:highlight w:val="none"/>
              </w:rPr>
              <w:t>2）未提供或所提供的证明资料关键信息不完全、不清晰的，不得分。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szCs w:val="21"/>
                <w:highlight w:val="none"/>
              </w:rPr>
            </w:pPr>
          </w:p>
        </w:tc>
        <w:tc>
          <w:tcPr>
            <w:tcW w:w="8647"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FF0000"/>
                <w:szCs w:val="21"/>
                <w:highlight w:val="none"/>
              </w:rPr>
            </w:pPr>
            <w:r>
              <w:rPr>
                <w:rFonts w:hint="eastAsia" w:ascii="宋体" w:hAnsi="宋体"/>
                <w:b/>
                <w:szCs w:val="21"/>
                <w:highlight w:val="none"/>
              </w:rPr>
              <w:t>技术服务评议项（</w:t>
            </w:r>
            <w:r>
              <w:rPr>
                <w:rFonts w:hint="eastAsia" w:ascii="宋体" w:hAnsi="宋体" w:eastAsia="宋体"/>
                <w:b/>
                <w:szCs w:val="21"/>
                <w:highlight w:val="none"/>
                <w:lang w:val="en-US" w:eastAsia="zh-CN"/>
              </w:rPr>
              <w:t>40</w:t>
            </w:r>
            <w:r>
              <w:rPr>
                <w:rFonts w:hint="eastAsia" w:ascii="宋体" w:hAnsi="宋体" w:eastAsia="宋体"/>
                <w:b/>
                <w:szCs w:val="21"/>
                <w:highlight w:val="none"/>
              </w:rPr>
              <w:t>分</w:t>
            </w:r>
            <w:r>
              <w:rPr>
                <w:rFonts w:ascii="宋体" w:hAnsi="宋体"/>
                <w:b/>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14"/>
              </w:numPr>
              <w:spacing w:line="360" w:lineRule="auto"/>
              <w:ind w:firstLineChars="0"/>
              <w:jc w:val="center"/>
              <w:rPr>
                <w:rFonts w:ascii="宋体" w:hAnsi="宋体" w:eastAsia="宋体"/>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FF0000"/>
                <w:highlight w:val="none"/>
              </w:rPr>
            </w:pPr>
            <w:r>
              <w:rPr>
                <w:rFonts w:hint="eastAsia" w:ascii="宋体" w:hAnsi="宋体"/>
                <w:szCs w:val="21"/>
                <w:highlight w:val="none"/>
              </w:rPr>
              <w:t>实施方案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eastAsia="宋体"/>
                <w:color w:val="FF0000"/>
                <w:szCs w:val="21"/>
                <w:highlight w:val="none"/>
                <w:lang w:val="en-US" w:eastAsia="zh-CN"/>
              </w:rPr>
            </w:pPr>
            <w:r>
              <w:rPr>
                <w:rFonts w:hint="eastAsia" w:ascii="宋体" w:hAnsi="宋体"/>
                <w:szCs w:val="21"/>
                <w:highlight w:val="none"/>
                <w:lang w:val="en-US" w:eastAsia="zh-CN"/>
              </w:rPr>
              <w:t>2</w:t>
            </w:r>
            <w:r>
              <w:rPr>
                <w:rFonts w:hint="eastAsia" w:ascii="宋体" w:hAnsi="宋体"/>
                <w:color w:val="auto"/>
                <w:szCs w:val="21"/>
                <w:highlight w:val="none"/>
                <w:lang w:val="en-US" w:eastAsia="zh-CN"/>
              </w:rPr>
              <w:t>0分</w:t>
            </w:r>
          </w:p>
        </w:tc>
        <w:tc>
          <w:tcPr>
            <w:tcW w:w="6804" w:type="dxa"/>
            <w:gridSpan w:val="2"/>
            <w:tcBorders>
              <w:tl2br w:val="nil"/>
              <w:tr2bl w:val="nil"/>
            </w:tcBorders>
            <w:tcMar>
              <w:top w:w="15" w:type="dxa"/>
              <w:left w:w="15" w:type="dxa"/>
              <w:bottom w:w="15" w:type="dxa"/>
              <w:right w:w="15" w:type="dxa"/>
            </w:tcMar>
            <w:vAlign w:val="center"/>
          </w:tcPr>
          <w:p>
            <w:pPr>
              <w:widowControl/>
              <w:numPr>
                <w:ilvl w:val="0"/>
                <w:numId w:val="0"/>
              </w:numPr>
              <w:tabs>
                <w:tab w:val="left" w:pos="531"/>
              </w:tabs>
              <w:snapToGrid w:val="0"/>
              <w:spacing w:line="360" w:lineRule="auto"/>
              <w:ind w:left="-1"/>
              <w:jc w:val="left"/>
              <w:rPr>
                <w:rFonts w:ascii="宋体" w:hAnsi="宋体" w:eastAsia="宋体" w:cs="仿宋_GB2312"/>
                <w:szCs w:val="21"/>
                <w:highlight w:val="none"/>
              </w:rPr>
            </w:pPr>
            <w:r>
              <w:rPr>
                <w:rFonts w:hint="eastAsia" w:ascii="宋体" w:hAnsi="宋体" w:eastAsia="宋体" w:cs="仿宋_GB2312"/>
                <w:b/>
                <w:bCs/>
                <w:szCs w:val="21"/>
                <w:highlight w:val="none"/>
                <w:lang w:eastAsia="zh-CN"/>
              </w:rPr>
              <w:t>1</w:t>
            </w:r>
            <w:r>
              <w:rPr>
                <w:rFonts w:hint="eastAsia" w:ascii="宋体" w:hAnsi="宋体" w:eastAsia="宋体" w:cs="仿宋_GB2312"/>
                <w:b/>
                <w:bCs/>
                <w:szCs w:val="21"/>
                <w:highlight w:val="none"/>
                <w:lang w:val="en-US" w:eastAsia="zh-CN"/>
              </w:rPr>
              <w:t>.</w:t>
            </w:r>
            <w:r>
              <w:rPr>
                <w:rFonts w:hint="default" w:ascii="宋体" w:hAnsi="宋体" w:eastAsia="宋体" w:cs="仿宋_GB2312"/>
                <w:b/>
                <w:bCs/>
                <w:szCs w:val="21"/>
                <w:highlight w:val="none"/>
              </w:rPr>
              <w:t>评审内容</w:t>
            </w:r>
          </w:p>
          <w:p>
            <w:pPr>
              <w:widowControl/>
              <w:numPr>
                <w:ilvl w:val="0"/>
                <w:numId w:val="0"/>
              </w:numPr>
              <w:tabs>
                <w:tab w:val="left" w:pos="531"/>
              </w:tabs>
              <w:snapToGrid w:val="0"/>
              <w:spacing w:line="360" w:lineRule="auto"/>
              <w:ind w:left="-1"/>
              <w:jc w:val="left"/>
              <w:rPr>
                <w:rFonts w:ascii="宋体" w:hAnsi="宋体" w:eastAsia="宋体" w:cs="仿宋_GB2312"/>
                <w:szCs w:val="21"/>
                <w:highlight w:val="none"/>
              </w:rPr>
            </w:pPr>
            <w:r>
              <w:rPr>
                <w:rFonts w:hint="default" w:ascii="宋体" w:hAnsi="宋体" w:eastAsia="宋体" w:cs="仿宋_GB2312"/>
                <w:szCs w:val="21"/>
                <w:highlight w:val="none"/>
                <w:lang w:val="en-US" w:eastAsia="zh-CN"/>
              </w:rPr>
              <w:t>根据投标人</w:t>
            </w:r>
            <w:r>
              <w:rPr>
                <w:rFonts w:hint="default" w:ascii="宋体" w:hAnsi="宋体" w:eastAsia="宋体" w:cs="仿宋_GB2312"/>
                <w:szCs w:val="21"/>
                <w:highlight w:val="none"/>
              </w:rPr>
              <w:t>提交的实施方案</w:t>
            </w:r>
            <w:r>
              <w:rPr>
                <w:rFonts w:hint="default" w:ascii="宋体" w:hAnsi="宋体" w:eastAsia="宋体" w:cs="仿宋_GB2312"/>
                <w:szCs w:val="21"/>
                <w:highlight w:val="none"/>
                <w:lang w:eastAsia="zh-CN"/>
              </w:rPr>
              <w:t>（</w:t>
            </w:r>
            <w:r>
              <w:rPr>
                <w:rFonts w:hint="default" w:ascii="宋体" w:hAnsi="宋体" w:eastAsia="宋体" w:cs="仿宋_GB2312"/>
                <w:szCs w:val="21"/>
                <w:highlight w:val="none"/>
                <w:lang w:val="en-US" w:eastAsia="zh-CN"/>
              </w:rPr>
              <w:t>加盖投标人公章</w:t>
            </w:r>
            <w:r>
              <w:rPr>
                <w:rFonts w:hint="default" w:ascii="宋体" w:hAnsi="宋体" w:eastAsia="宋体" w:cs="仿宋_GB2312"/>
                <w:szCs w:val="21"/>
                <w:highlight w:val="none"/>
                <w:lang w:eastAsia="zh-CN"/>
              </w:rPr>
              <w:t>）</w:t>
            </w:r>
            <w:r>
              <w:rPr>
                <w:rFonts w:hint="default" w:ascii="宋体" w:hAnsi="宋体" w:eastAsia="宋体" w:cs="仿宋_GB2312"/>
                <w:szCs w:val="21"/>
                <w:highlight w:val="none"/>
                <w:lang w:val="en-US" w:eastAsia="zh-CN"/>
              </w:rPr>
              <w:t>进行评议</w:t>
            </w:r>
            <w:r>
              <w:rPr>
                <w:rFonts w:hint="default" w:ascii="宋体" w:hAnsi="宋体" w:eastAsia="宋体" w:cs="仿宋_GB2312"/>
                <w:szCs w:val="21"/>
                <w:highlight w:val="none"/>
              </w:rPr>
              <w:t>，</w:t>
            </w:r>
            <w:r>
              <w:rPr>
                <w:rFonts w:hint="default" w:ascii="宋体" w:hAnsi="宋体" w:eastAsia="宋体" w:cs="仿宋_GB2312"/>
                <w:szCs w:val="21"/>
                <w:highlight w:val="none"/>
                <w:lang w:val="en-US" w:eastAsia="zh-CN"/>
              </w:rPr>
              <w:t>实施方案</w:t>
            </w:r>
            <w:r>
              <w:rPr>
                <w:rFonts w:hint="default" w:ascii="宋体" w:hAnsi="宋体" w:eastAsia="宋体" w:cs="仿宋_GB2312"/>
                <w:szCs w:val="21"/>
                <w:highlight w:val="none"/>
              </w:rPr>
              <w:t>包括：</w:t>
            </w:r>
          </w:p>
          <w:p>
            <w:pPr>
              <w:widowControl/>
              <w:numPr>
                <w:ilvl w:val="0"/>
                <w:numId w:val="0"/>
              </w:numPr>
              <w:tabs>
                <w:tab w:val="left" w:pos="531"/>
              </w:tabs>
              <w:snapToGrid w:val="0"/>
              <w:spacing w:line="360" w:lineRule="auto"/>
              <w:ind w:left="-1"/>
              <w:jc w:val="left"/>
              <w:rPr>
                <w:rFonts w:hint="default" w:ascii="宋体" w:hAnsi="宋体" w:eastAsia="宋体" w:cs="仿宋_GB2312"/>
                <w:szCs w:val="21"/>
                <w:highlight w:val="none"/>
                <w:lang w:eastAsia="zh-CN"/>
              </w:rPr>
            </w:pP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lang w:val="en-US" w:eastAsia="zh-CN"/>
              </w:rPr>
              <w:t>1</w:t>
            </w:r>
            <w:r>
              <w:rPr>
                <w:rFonts w:hint="eastAsia" w:ascii="宋体" w:hAnsi="宋体" w:eastAsia="宋体" w:cs="仿宋_GB2312"/>
                <w:szCs w:val="21"/>
                <w:highlight w:val="none"/>
                <w:lang w:eastAsia="zh-CN"/>
              </w:rPr>
              <w:t>）</w:t>
            </w:r>
            <w:r>
              <w:rPr>
                <w:rFonts w:hint="default" w:ascii="宋体" w:hAnsi="宋体" w:eastAsia="宋体" w:cs="仿宋_GB2312"/>
                <w:szCs w:val="21"/>
                <w:highlight w:val="none"/>
              </w:rPr>
              <w:t>对</w:t>
            </w:r>
            <w:r>
              <w:rPr>
                <w:rFonts w:hint="default" w:ascii="宋体" w:hAnsi="宋体" w:eastAsia="宋体" w:cs="仿宋_GB2312"/>
                <w:szCs w:val="21"/>
                <w:highlight w:val="none"/>
                <w:lang w:val="en-US" w:eastAsia="zh-CN"/>
              </w:rPr>
              <w:t>系统</w:t>
            </w:r>
            <w:r>
              <w:rPr>
                <w:rFonts w:hint="default" w:ascii="宋体" w:hAnsi="宋体" w:eastAsia="宋体" w:cs="仿宋_GB2312"/>
                <w:szCs w:val="21"/>
                <w:highlight w:val="none"/>
              </w:rPr>
              <w:t>建设</w:t>
            </w:r>
            <w:r>
              <w:rPr>
                <w:rFonts w:hint="default" w:ascii="宋体" w:hAnsi="宋体" w:eastAsia="宋体" w:cs="仿宋_GB2312"/>
                <w:szCs w:val="21"/>
                <w:highlight w:val="none"/>
                <w:lang w:val="en-US" w:eastAsia="zh-CN"/>
              </w:rPr>
              <w:t>的</w:t>
            </w:r>
            <w:r>
              <w:rPr>
                <w:rFonts w:hint="default" w:ascii="宋体" w:hAnsi="宋体" w:eastAsia="宋体" w:cs="仿宋_GB2312"/>
                <w:szCs w:val="21"/>
                <w:highlight w:val="none"/>
              </w:rPr>
              <w:t>工作措施、工作方法、工作手段、工作流程</w:t>
            </w:r>
            <w:r>
              <w:rPr>
                <w:rFonts w:hint="default" w:ascii="宋体" w:hAnsi="宋体" w:eastAsia="宋体" w:cs="仿宋_GB2312"/>
                <w:szCs w:val="21"/>
                <w:highlight w:val="none"/>
                <w:lang w:eastAsia="zh-CN"/>
              </w:rPr>
              <w:t>。</w:t>
            </w:r>
          </w:p>
          <w:p>
            <w:pPr>
              <w:widowControl/>
              <w:numPr>
                <w:ilvl w:val="0"/>
                <w:numId w:val="0"/>
              </w:numPr>
              <w:tabs>
                <w:tab w:val="left" w:pos="531"/>
              </w:tabs>
              <w:snapToGrid w:val="0"/>
              <w:spacing w:line="360" w:lineRule="auto"/>
              <w:ind w:left="-1"/>
              <w:jc w:val="left"/>
              <w:rPr>
                <w:rFonts w:hint="default" w:ascii="宋体" w:hAnsi="宋体" w:eastAsia="宋体" w:cs="仿宋_GB2312"/>
                <w:szCs w:val="21"/>
                <w:highlight w:val="none"/>
              </w:rPr>
            </w:pP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lang w:val="en-US" w:eastAsia="zh-CN"/>
              </w:rPr>
              <w:t>2</w:t>
            </w:r>
            <w:r>
              <w:rPr>
                <w:rFonts w:hint="eastAsia" w:ascii="宋体" w:hAnsi="宋体" w:eastAsia="宋体" w:cs="仿宋_GB2312"/>
                <w:szCs w:val="21"/>
                <w:highlight w:val="none"/>
                <w:lang w:eastAsia="zh-CN"/>
              </w:rPr>
              <w:t>）</w:t>
            </w:r>
            <w:r>
              <w:rPr>
                <w:rFonts w:hint="default" w:ascii="宋体" w:hAnsi="宋体" w:eastAsia="宋体" w:cs="仿宋_GB2312"/>
                <w:szCs w:val="21"/>
                <w:highlight w:val="none"/>
              </w:rPr>
              <w:t>对</w:t>
            </w:r>
            <w:r>
              <w:rPr>
                <w:rFonts w:hint="default" w:ascii="宋体" w:hAnsi="宋体" w:eastAsia="宋体" w:cs="仿宋_GB2312"/>
                <w:szCs w:val="21"/>
                <w:highlight w:val="none"/>
                <w:lang w:val="en-US" w:eastAsia="zh-CN"/>
              </w:rPr>
              <w:t>系统</w:t>
            </w:r>
            <w:r>
              <w:rPr>
                <w:rFonts w:hint="default" w:ascii="宋体" w:hAnsi="宋体" w:eastAsia="宋体" w:cs="仿宋_GB2312"/>
                <w:szCs w:val="21"/>
                <w:highlight w:val="none"/>
              </w:rPr>
              <w:t>内容、</w:t>
            </w:r>
            <w:r>
              <w:rPr>
                <w:rFonts w:hint="default" w:ascii="宋体" w:hAnsi="宋体" w:eastAsia="宋体" w:cs="仿宋_GB2312"/>
                <w:szCs w:val="21"/>
                <w:highlight w:val="none"/>
                <w:lang w:val="en-US" w:eastAsia="zh-CN"/>
              </w:rPr>
              <w:t>开发流程的</w:t>
            </w:r>
            <w:r>
              <w:rPr>
                <w:rFonts w:hint="default" w:ascii="宋体" w:hAnsi="宋体" w:eastAsia="宋体" w:cs="仿宋_GB2312"/>
                <w:szCs w:val="21"/>
                <w:highlight w:val="none"/>
              </w:rPr>
              <w:t>了解程度。</w:t>
            </w:r>
          </w:p>
          <w:p>
            <w:pPr>
              <w:widowControl/>
              <w:numPr>
                <w:ilvl w:val="0"/>
                <w:numId w:val="0"/>
              </w:numPr>
              <w:tabs>
                <w:tab w:val="left" w:pos="531"/>
              </w:tabs>
              <w:snapToGrid w:val="0"/>
              <w:spacing w:line="360" w:lineRule="auto"/>
              <w:ind w:left="-1"/>
              <w:jc w:val="left"/>
              <w:rPr>
                <w:rFonts w:hint="default" w:ascii="宋体" w:hAnsi="宋体" w:eastAsia="宋体" w:cs="仿宋_GB2312"/>
                <w:szCs w:val="21"/>
                <w:highlight w:val="none"/>
                <w:lang w:eastAsia="zh-CN"/>
              </w:rPr>
            </w:pPr>
            <w:r>
              <w:rPr>
                <w:rFonts w:hint="eastAsia" w:ascii="宋体" w:hAnsi="宋体" w:eastAsia="宋体" w:cs="仿宋_GB2312"/>
                <w:szCs w:val="21"/>
                <w:highlight w:val="none"/>
                <w:lang w:val="en-US" w:eastAsia="zh-CN"/>
              </w:rPr>
              <w:t>（3）</w:t>
            </w:r>
            <w:r>
              <w:rPr>
                <w:rFonts w:ascii="宋体" w:hAnsi="宋体" w:eastAsia="宋体" w:cs="仿宋_GB2312"/>
                <w:szCs w:val="21"/>
                <w:highlight w:val="none"/>
              </w:rPr>
              <w:t>服务期间的项目质量管理制度及措施</w:t>
            </w:r>
            <w:r>
              <w:rPr>
                <w:rFonts w:hint="default" w:ascii="宋体" w:hAnsi="宋体" w:eastAsia="宋体" w:cs="仿宋_GB2312"/>
                <w:szCs w:val="21"/>
                <w:highlight w:val="none"/>
                <w:lang w:eastAsia="zh-CN"/>
              </w:rPr>
              <w:t>。</w:t>
            </w:r>
          </w:p>
          <w:p>
            <w:pPr>
              <w:widowControl/>
              <w:numPr>
                <w:ilvl w:val="0"/>
                <w:numId w:val="0"/>
              </w:numPr>
              <w:tabs>
                <w:tab w:val="left" w:pos="531"/>
              </w:tabs>
              <w:snapToGrid w:val="0"/>
              <w:spacing w:line="360" w:lineRule="auto"/>
              <w:ind w:left="-1"/>
              <w:jc w:val="left"/>
              <w:rPr>
                <w:rFonts w:ascii="宋体" w:hAnsi="宋体" w:eastAsia="宋体" w:cs="仿宋_GB2312"/>
                <w:szCs w:val="21"/>
                <w:highlight w:val="none"/>
              </w:rPr>
            </w:pPr>
            <w:r>
              <w:rPr>
                <w:rFonts w:hint="eastAsia" w:ascii="宋体" w:hAnsi="宋体" w:eastAsia="宋体" w:cs="仿宋_GB2312"/>
                <w:szCs w:val="21"/>
                <w:highlight w:val="none"/>
                <w:lang w:val="en-US" w:eastAsia="zh-CN"/>
              </w:rPr>
              <w:t>（4）</w:t>
            </w:r>
            <w:r>
              <w:rPr>
                <w:rFonts w:ascii="宋体" w:hAnsi="宋体" w:eastAsia="宋体" w:cs="仿宋_GB2312"/>
                <w:szCs w:val="21"/>
                <w:highlight w:val="none"/>
              </w:rPr>
              <w:t>保证服务人员稳定、保证服务的质量、成果安全性保障制度措施。</w:t>
            </w:r>
          </w:p>
          <w:p>
            <w:pPr>
              <w:widowControl/>
              <w:numPr>
                <w:ilvl w:val="0"/>
                <w:numId w:val="0"/>
              </w:numPr>
              <w:tabs>
                <w:tab w:val="left" w:pos="531"/>
              </w:tabs>
              <w:snapToGrid w:val="0"/>
              <w:spacing w:line="360" w:lineRule="auto"/>
              <w:ind w:left="-1"/>
              <w:jc w:val="left"/>
              <w:rPr>
                <w:rFonts w:hint="default" w:ascii="宋体" w:hAnsi="宋体" w:eastAsia="宋体" w:cs="仿宋_GB2312"/>
                <w:szCs w:val="21"/>
                <w:highlight w:val="none"/>
                <w:lang w:eastAsia="zh-CN"/>
              </w:rPr>
            </w:pPr>
            <w:r>
              <w:rPr>
                <w:rFonts w:hint="default" w:ascii="宋体" w:hAnsi="宋体" w:eastAsia="宋体" w:cs="仿宋_GB2312"/>
                <w:b/>
                <w:bCs/>
                <w:szCs w:val="21"/>
                <w:highlight w:val="none"/>
                <w:lang w:eastAsia="zh-CN"/>
              </w:rPr>
              <w:t>2</w:t>
            </w:r>
            <w:r>
              <w:rPr>
                <w:rFonts w:hint="default" w:ascii="宋体" w:hAnsi="宋体" w:eastAsia="宋体" w:cs="仿宋_GB2312"/>
                <w:b/>
                <w:bCs/>
                <w:szCs w:val="21"/>
                <w:highlight w:val="none"/>
                <w:lang w:val="en-US" w:eastAsia="zh-CN"/>
              </w:rPr>
              <w:t>.</w:t>
            </w:r>
            <w:r>
              <w:rPr>
                <w:rFonts w:hint="default" w:ascii="宋体" w:hAnsi="宋体" w:eastAsia="宋体" w:cs="仿宋_GB2312"/>
                <w:b/>
                <w:bCs/>
                <w:szCs w:val="21"/>
                <w:highlight w:val="none"/>
              </w:rPr>
              <w:t>评分依据</w:t>
            </w:r>
          </w:p>
          <w:p>
            <w:pPr>
              <w:widowControl/>
              <w:numPr>
                <w:ilvl w:val="0"/>
                <w:numId w:val="0"/>
              </w:numPr>
              <w:tabs>
                <w:tab w:val="left" w:pos="531"/>
              </w:tabs>
              <w:snapToGrid w:val="0"/>
              <w:spacing w:line="360" w:lineRule="auto"/>
              <w:ind w:left="-1"/>
              <w:jc w:val="left"/>
              <w:rPr>
                <w:rFonts w:hint="default" w:ascii="宋体" w:hAnsi="宋体" w:eastAsia="宋体" w:cs="仿宋_GB2312"/>
                <w:szCs w:val="21"/>
                <w:highlight w:val="none"/>
              </w:rPr>
            </w:pPr>
            <w:r>
              <w:rPr>
                <w:rFonts w:hint="eastAsia" w:ascii="宋体" w:hAnsi="宋体" w:eastAsia="宋体" w:cs="仿宋_GB2312"/>
                <w:szCs w:val="21"/>
                <w:highlight w:val="none"/>
                <w:lang w:val="en-US" w:eastAsia="zh-CN"/>
              </w:rPr>
              <w:t>（1）上述</w:t>
            </w:r>
            <w:r>
              <w:rPr>
                <w:rFonts w:hint="default" w:ascii="宋体" w:hAnsi="宋体" w:eastAsia="宋体" w:cs="仿宋_GB2312"/>
                <w:szCs w:val="21"/>
                <w:highlight w:val="none"/>
                <w:lang w:val="en-US" w:eastAsia="zh-CN"/>
              </w:rPr>
              <w:t>4点每满足</w:t>
            </w:r>
            <w:r>
              <w:rPr>
                <w:rFonts w:hint="default" w:ascii="宋体" w:hAnsi="宋体" w:eastAsia="宋体" w:cs="仿宋_GB2312"/>
                <w:szCs w:val="21"/>
                <w:highlight w:val="none"/>
              </w:rPr>
              <w:t>一点得</w:t>
            </w:r>
            <w:r>
              <w:rPr>
                <w:rFonts w:hint="default" w:ascii="宋体" w:hAnsi="宋体" w:eastAsia="宋体" w:cs="仿宋_GB2312"/>
                <w:szCs w:val="21"/>
                <w:highlight w:val="none"/>
                <w:lang w:val="en-US" w:eastAsia="zh-CN"/>
              </w:rPr>
              <w:t>3</w:t>
            </w:r>
            <w:r>
              <w:rPr>
                <w:rFonts w:hint="default" w:ascii="宋体" w:hAnsi="宋体" w:eastAsia="宋体" w:cs="仿宋_GB2312"/>
                <w:szCs w:val="21"/>
                <w:highlight w:val="none"/>
              </w:rPr>
              <w:t>分</w:t>
            </w:r>
            <w:r>
              <w:rPr>
                <w:rFonts w:hint="default" w:ascii="宋体" w:hAnsi="宋体" w:eastAsia="宋体" w:cs="仿宋_GB2312"/>
                <w:szCs w:val="21"/>
                <w:highlight w:val="none"/>
                <w:lang w:eastAsia="zh-CN"/>
              </w:rPr>
              <w:t>，</w:t>
            </w:r>
            <w:r>
              <w:rPr>
                <w:rFonts w:hint="default" w:ascii="宋体" w:hAnsi="宋体" w:eastAsia="宋体" w:cs="仿宋_GB2312"/>
                <w:szCs w:val="21"/>
                <w:highlight w:val="none"/>
              </w:rPr>
              <w:t>未满足不得分。</w:t>
            </w:r>
          </w:p>
          <w:p>
            <w:pPr>
              <w:widowControl/>
              <w:numPr>
                <w:ilvl w:val="0"/>
                <w:numId w:val="0"/>
              </w:numPr>
              <w:tabs>
                <w:tab w:val="left" w:pos="531"/>
              </w:tabs>
              <w:snapToGrid w:val="0"/>
              <w:spacing w:line="360" w:lineRule="auto"/>
              <w:ind w:left="-1"/>
              <w:jc w:val="left"/>
              <w:rPr>
                <w:rFonts w:ascii="宋体" w:hAnsi="宋体" w:eastAsia="宋体" w:cs="仿宋_GB2312"/>
                <w:szCs w:val="21"/>
                <w:highlight w:val="none"/>
              </w:rPr>
            </w:pPr>
            <w:r>
              <w:rPr>
                <w:rFonts w:hint="eastAsia" w:ascii="宋体" w:hAnsi="宋体" w:eastAsia="宋体" w:cs="仿宋_GB2312"/>
                <w:szCs w:val="21"/>
                <w:highlight w:val="none"/>
                <w:lang w:val="en-US" w:eastAsia="zh-CN"/>
              </w:rPr>
              <w:t>（2）</w:t>
            </w:r>
            <w:r>
              <w:rPr>
                <w:rFonts w:hint="default" w:ascii="宋体" w:hAnsi="宋体" w:eastAsia="宋体" w:cs="仿宋_GB2312"/>
                <w:szCs w:val="21"/>
                <w:highlight w:val="none"/>
              </w:rPr>
              <w:t>在此基础上，根据</w:t>
            </w:r>
            <w:r>
              <w:rPr>
                <w:rFonts w:hint="default" w:ascii="宋体" w:hAnsi="宋体" w:eastAsia="宋体" w:cs="仿宋_GB2312"/>
                <w:szCs w:val="21"/>
                <w:highlight w:val="none"/>
                <w:lang w:val="en-US" w:eastAsia="zh-CN"/>
              </w:rPr>
              <w:t>投标人</w:t>
            </w:r>
            <w:r>
              <w:rPr>
                <w:rFonts w:hint="default" w:ascii="宋体" w:hAnsi="宋体" w:eastAsia="宋体" w:cs="仿宋_GB2312"/>
                <w:szCs w:val="21"/>
                <w:highlight w:val="none"/>
              </w:rPr>
              <w:t>的具体响应内容</w:t>
            </w:r>
            <w:r>
              <w:rPr>
                <w:rFonts w:hint="default" w:ascii="宋体" w:hAnsi="宋体" w:eastAsia="宋体" w:cs="仿宋_GB2312"/>
                <w:szCs w:val="21"/>
                <w:highlight w:val="none"/>
                <w:lang w:val="en-US" w:eastAsia="zh-CN"/>
              </w:rPr>
              <w:t>进行综合评议</w:t>
            </w:r>
            <w:r>
              <w:rPr>
                <w:rFonts w:hint="default" w:ascii="宋体" w:hAnsi="宋体" w:eastAsia="宋体" w:cs="仿宋_GB2312"/>
                <w:szCs w:val="21"/>
                <w:highlight w:val="none"/>
              </w:rPr>
              <w:t>：</w:t>
            </w:r>
          </w:p>
          <w:p>
            <w:pPr>
              <w:widowControl/>
              <w:numPr>
                <w:ilvl w:val="0"/>
                <w:numId w:val="0"/>
              </w:numPr>
              <w:tabs>
                <w:tab w:val="left" w:pos="531"/>
              </w:tabs>
              <w:snapToGrid w:val="0"/>
              <w:spacing w:line="360" w:lineRule="auto"/>
              <w:ind w:left="-1"/>
              <w:jc w:val="left"/>
              <w:rPr>
                <w:rFonts w:ascii="宋体" w:hAnsi="宋体" w:eastAsia="宋体" w:cs="仿宋_GB2312"/>
                <w:szCs w:val="21"/>
                <w:highlight w:val="none"/>
              </w:rPr>
            </w:pPr>
            <w:r>
              <w:rPr>
                <w:rFonts w:hint="default" w:ascii="宋体" w:hAnsi="宋体" w:eastAsia="宋体" w:cs="仿宋_GB2312"/>
                <w:szCs w:val="21"/>
                <w:highlight w:val="none"/>
              </w:rPr>
              <w:t>优，加</w:t>
            </w:r>
            <w:r>
              <w:rPr>
                <w:rFonts w:hint="default" w:ascii="宋体" w:hAnsi="宋体" w:eastAsia="宋体" w:cs="仿宋_GB2312"/>
                <w:szCs w:val="21"/>
                <w:highlight w:val="none"/>
                <w:lang w:val="en-US" w:eastAsia="zh-CN"/>
              </w:rPr>
              <w:t>8</w:t>
            </w:r>
            <w:r>
              <w:rPr>
                <w:rFonts w:hint="default" w:ascii="宋体" w:hAnsi="宋体" w:eastAsia="宋体" w:cs="仿宋_GB2312"/>
                <w:szCs w:val="21"/>
                <w:highlight w:val="none"/>
              </w:rPr>
              <w:t>分：方案内容全面，具体，表达清晰，针对性强，科学合理；</w:t>
            </w:r>
          </w:p>
          <w:p>
            <w:pPr>
              <w:widowControl/>
              <w:numPr>
                <w:ilvl w:val="0"/>
                <w:numId w:val="0"/>
              </w:numPr>
              <w:tabs>
                <w:tab w:val="left" w:pos="531"/>
              </w:tabs>
              <w:snapToGrid w:val="0"/>
              <w:spacing w:line="360" w:lineRule="auto"/>
              <w:ind w:left="-1"/>
              <w:jc w:val="left"/>
              <w:rPr>
                <w:rFonts w:ascii="宋体" w:hAnsi="宋体" w:eastAsia="宋体" w:cs="仿宋_GB2312"/>
                <w:szCs w:val="21"/>
                <w:highlight w:val="none"/>
              </w:rPr>
            </w:pPr>
            <w:r>
              <w:rPr>
                <w:rFonts w:hint="default" w:ascii="宋体" w:hAnsi="宋体" w:eastAsia="宋体" w:cs="仿宋_GB2312"/>
                <w:szCs w:val="21"/>
                <w:highlight w:val="none"/>
              </w:rPr>
              <w:t>良，加</w:t>
            </w:r>
            <w:r>
              <w:rPr>
                <w:rFonts w:hint="default" w:ascii="宋体" w:hAnsi="宋体" w:eastAsia="宋体" w:cs="仿宋_GB2312"/>
                <w:szCs w:val="21"/>
                <w:highlight w:val="none"/>
                <w:lang w:val="en-US" w:eastAsia="zh-CN"/>
              </w:rPr>
              <w:t>5</w:t>
            </w:r>
            <w:r>
              <w:rPr>
                <w:rFonts w:hint="default" w:ascii="宋体" w:hAnsi="宋体" w:eastAsia="宋体" w:cs="仿宋_GB2312"/>
                <w:szCs w:val="21"/>
                <w:highlight w:val="none"/>
              </w:rPr>
              <w:t>分：方案内容较全面，较具体，表达较清晰，针对性较强，较科学合理；</w:t>
            </w:r>
          </w:p>
          <w:p>
            <w:pPr>
              <w:widowControl/>
              <w:numPr>
                <w:ilvl w:val="0"/>
                <w:numId w:val="0"/>
              </w:numPr>
              <w:tabs>
                <w:tab w:val="left" w:pos="531"/>
              </w:tabs>
              <w:snapToGrid w:val="0"/>
              <w:spacing w:line="360" w:lineRule="auto"/>
              <w:ind w:left="-1"/>
              <w:jc w:val="left"/>
              <w:rPr>
                <w:rFonts w:ascii="宋体" w:hAnsi="宋体" w:eastAsia="宋体" w:cs="仿宋_GB2312"/>
                <w:szCs w:val="21"/>
                <w:highlight w:val="none"/>
              </w:rPr>
            </w:pPr>
            <w:r>
              <w:rPr>
                <w:rFonts w:hint="default" w:ascii="宋体" w:hAnsi="宋体" w:eastAsia="宋体" w:cs="仿宋_GB2312"/>
                <w:szCs w:val="21"/>
                <w:highlight w:val="none"/>
              </w:rPr>
              <w:t>中，加</w:t>
            </w:r>
            <w:r>
              <w:rPr>
                <w:rFonts w:hint="default" w:ascii="宋体" w:hAnsi="宋体" w:eastAsia="宋体" w:cs="仿宋_GB2312"/>
                <w:szCs w:val="21"/>
                <w:highlight w:val="none"/>
                <w:lang w:val="en-US" w:eastAsia="zh-CN"/>
              </w:rPr>
              <w:t>3</w:t>
            </w:r>
            <w:r>
              <w:rPr>
                <w:rFonts w:hint="default" w:ascii="宋体" w:hAnsi="宋体" w:eastAsia="宋体" w:cs="仿宋_GB2312"/>
                <w:szCs w:val="21"/>
                <w:highlight w:val="none"/>
              </w:rPr>
              <w:t>分：方案内容一般，表达一般，针对性一般，合理性一般；</w:t>
            </w:r>
          </w:p>
          <w:p>
            <w:pPr>
              <w:numPr>
                <w:ilvl w:val="0"/>
                <w:numId w:val="0"/>
              </w:numPr>
              <w:tabs>
                <w:tab w:val="left" w:pos="531"/>
              </w:tabs>
              <w:snapToGrid w:val="0"/>
              <w:spacing w:line="360" w:lineRule="auto"/>
              <w:ind w:left="-1"/>
              <w:rPr>
                <w:rFonts w:hint="default" w:ascii="宋体" w:hAnsi="宋体" w:eastAsia="宋体" w:cs="仿宋_GB2312"/>
                <w:szCs w:val="21"/>
                <w:highlight w:val="none"/>
              </w:rPr>
            </w:pPr>
            <w:r>
              <w:rPr>
                <w:rFonts w:hint="default" w:ascii="宋体" w:hAnsi="宋体" w:eastAsia="宋体" w:cs="仿宋_GB2312"/>
                <w:szCs w:val="21"/>
                <w:highlight w:val="none"/>
              </w:rPr>
              <w:t>差，加0分：未提供方案，或方案内容差，表达差，针对性差，合理性差。</w:t>
            </w:r>
          </w:p>
          <w:p>
            <w:pPr>
              <w:widowControl/>
              <w:numPr>
                <w:ilvl w:val="0"/>
                <w:numId w:val="0"/>
              </w:numPr>
              <w:tabs>
                <w:tab w:val="left" w:pos="531"/>
              </w:tabs>
              <w:snapToGrid w:val="0"/>
              <w:spacing w:line="360" w:lineRule="auto"/>
              <w:ind w:left="-1" w:right="0"/>
              <w:jc w:val="left"/>
              <w:rPr>
                <w:rFonts w:ascii="宋体" w:hAnsi="宋体" w:eastAsia="宋体" w:cs="仿宋_GB2312"/>
                <w:kern w:val="2"/>
                <w:szCs w:val="21"/>
                <w:highlight w:val="none"/>
              </w:rPr>
            </w:pP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lang w:val="en-US" w:eastAsia="zh-CN"/>
              </w:rPr>
              <w:t>3</w:t>
            </w:r>
            <w:r>
              <w:rPr>
                <w:rFonts w:hint="eastAsia" w:ascii="宋体" w:hAnsi="宋体" w:eastAsia="宋体" w:cs="仿宋_GB2312"/>
                <w:szCs w:val="21"/>
                <w:highlight w:val="none"/>
                <w:lang w:eastAsia="zh-CN"/>
              </w:rPr>
              <w:t>）</w:t>
            </w:r>
            <w:r>
              <w:rPr>
                <w:rFonts w:hint="default" w:ascii="宋体" w:hAnsi="宋体" w:eastAsia="宋体" w:cs="仿宋_GB2312"/>
                <w:szCs w:val="21"/>
                <w:highlight w:val="none"/>
              </w:rPr>
              <w:t>未提供承诺或承诺内容不满足要求不得分。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14"/>
              </w:numPr>
              <w:spacing w:line="360" w:lineRule="auto"/>
              <w:ind w:firstLineChars="0"/>
              <w:jc w:val="center"/>
              <w:rPr>
                <w:rFonts w:ascii="宋体" w:hAnsi="宋体" w:eastAsia="宋体"/>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FF0000"/>
                <w:highlight w:val="none"/>
              </w:rPr>
            </w:pPr>
            <w:r>
              <w:rPr>
                <w:rFonts w:hint="eastAsia" w:ascii="宋体" w:hAnsi="宋体" w:cs="宋体"/>
                <w:szCs w:val="21"/>
                <w:highlight w:val="none"/>
              </w:rPr>
              <w:t>项目实施</w:t>
            </w:r>
            <w:r>
              <w:rPr>
                <w:rFonts w:hint="eastAsia" w:ascii="宋体" w:hAnsi="宋体" w:cs="宋体"/>
                <w:szCs w:val="21"/>
                <w:highlight w:val="none"/>
                <w:lang w:val="en-US" w:eastAsia="zh-CN"/>
              </w:rPr>
              <w:t>及售后</w:t>
            </w:r>
            <w:r>
              <w:rPr>
                <w:rFonts w:hint="eastAsia" w:ascii="宋体" w:hAnsi="宋体" w:cs="宋体"/>
                <w:szCs w:val="21"/>
                <w:highlight w:val="none"/>
              </w:rPr>
              <w:t>服务承诺</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FF0000"/>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widowControl/>
              <w:numPr>
                <w:ilvl w:val="0"/>
                <w:numId w:val="0"/>
              </w:numPr>
              <w:tabs>
                <w:tab w:val="left" w:pos="531"/>
              </w:tabs>
              <w:snapToGrid w:val="0"/>
              <w:spacing w:line="360" w:lineRule="auto"/>
              <w:ind w:left="-1"/>
              <w:jc w:val="left"/>
              <w:rPr>
                <w:rFonts w:ascii="宋体" w:hAnsi="宋体" w:eastAsia="宋体" w:cs="仿宋_GB2312"/>
                <w:b/>
                <w:bCs/>
                <w:szCs w:val="21"/>
                <w:highlight w:val="none"/>
              </w:rPr>
            </w:pPr>
            <w:r>
              <w:rPr>
                <w:rFonts w:hint="eastAsia" w:ascii="宋体" w:hAnsi="宋体" w:eastAsia="宋体" w:cs="仿宋_GB2312"/>
                <w:b/>
                <w:bCs/>
                <w:szCs w:val="21"/>
                <w:highlight w:val="none"/>
                <w:lang w:eastAsia="zh-CN"/>
              </w:rPr>
              <w:t>1</w:t>
            </w:r>
            <w:r>
              <w:rPr>
                <w:rFonts w:hint="eastAsia" w:ascii="宋体" w:hAnsi="宋体" w:eastAsia="宋体" w:cs="仿宋_GB2312"/>
                <w:b/>
                <w:bCs/>
                <w:szCs w:val="21"/>
                <w:highlight w:val="none"/>
                <w:lang w:val="en-US" w:eastAsia="zh-CN"/>
              </w:rPr>
              <w:t>.</w:t>
            </w:r>
            <w:r>
              <w:rPr>
                <w:rFonts w:hint="default" w:ascii="宋体" w:hAnsi="宋体" w:eastAsia="宋体" w:cs="仿宋_GB2312"/>
                <w:b/>
                <w:bCs/>
                <w:szCs w:val="21"/>
                <w:highlight w:val="none"/>
              </w:rPr>
              <w:t>评分内容</w:t>
            </w:r>
          </w:p>
          <w:p>
            <w:pPr>
              <w:widowControl/>
              <w:numPr>
                <w:ilvl w:val="0"/>
                <w:numId w:val="0"/>
              </w:numPr>
              <w:tabs>
                <w:tab w:val="left" w:pos="531"/>
              </w:tabs>
              <w:snapToGrid w:val="0"/>
              <w:spacing w:line="360" w:lineRule="auto"/>
              <w:ind w:left="-1"/>
              <w:jc w:val="left"/>
              <w:rPr>
                <w:rFonts w:hint="default" w:ascii="宋体" w:hAnsi="宋体" w:eastAsia="宋体" w:cs="仿宋_GB2312"/>
                <w:szCs w:val="21"/>
                <w:highlight w:val="none"/>
              </w:rPr>
            </w:pPr>
            <w:r>
              <w:rPr>
                <w:rFonts w:hint="default" w:ascii="宋体" w:hAnsi="宋体" w:eastAsia="宋体" w:cs="仿宋_GB2312"/>
                <w:szCs w:val="21"/>
                <w:highlight w:val="none"/>
                <w:lang w:val="en-US" w:eastAsia="zh-CN"/>
              </w:rPr>
              <w:t>根据投标人</w:t>
            </w:r>
            <w:r>
              <w:rPr>
                <w:rFonts w:hint="default" w:ascii="宋体" w:hAnsi="宋体" w:eastAsia="宋体" w:cs="仿宋_GB2312"/>
                <w:szCs w:val="21"/>
                <w:highlight w:val="none"/>
              </w:rPr>
              <w:t>提交的</w:t>
            </w:r>
            <w:r>
              <w:rPr>
                <w:rFonts w:hint="eastAsia" w:ascii="宋体" w:hAnsi="宋体" w:eastAsia="宋体" w:cs="仿宋_GB2312"/>
                <w:bCs w:val="0"/>
                <w:szCs w:val="21"/>
                <w:highlight w:val="none"/>
              </w:rPr>
              <w:t>售后服务方案（包括应急处理方案）</w:t>
            </w:r>
            <w:r>
              <w:rPr>
                <w:rFonts w:hint="default" w:ascii="宋体" w:hAnsi="宋体" w:eastAsia="宋体" w:cs="仿宋_GB2312"/>
                <w:szCs w:val="21"/>
                <w:highlight w:val="none"/>
                <w:lang w:val="en-US" w:eastAsia="zh-CN"/>
              </w:rPr>
              <w:t>进行评议</w:t>
            </w:r>
            <w:r>
              <w:rPr>
                <w:rFonts w:hint="default" w:ascii="宋体" w:hAnsi="宋体" w:eastAsia="宋体" w:cs="仿宋_GB2312"/>
                <w:szCs w:val="21"/>
                <w:highlight w:val="none"/>
              </w:rPr>
              <w:t>，</w:t>
            </w:r>
            <w:r>
              <w:rPr>
                <w:rFonts w:hint="default" w:ascii="宋体" w:hAnsi="宋体" w:eastAsia="宋体" w:cs="仿宋_GB2312"/>
                <w:szCs w:val="21"/>
                <w:highlight w:val="none"/>
                <w:lang w:val="en-US" w:eastAsia="zh-CN"/>
              </w:rPr>
              <w:t>方案</w:t>
            </w:r>
            <w:r>
              <w:rPr>
                <w:rFonts w:hint="default" w:ascii="宋体" w:hAnsi="宋体" w:eastAsia="宋体" w:cs="仿宋_GB2312"/>
                <w:szCs w:val="21"/>
                <w:highlight w:val="none"/>
              </w:rPr>
              <w:t>包括：</w:t>
            </w:r>
          </w:p>
          <w:p>
            <w:pPr>
              <w:widowControl/>
              <w:numPr>
                <w:ilvl w:val="0"/>
                <w:numId w:val="0"/>
              </w:numPr>
              <w:tabs>
                <w:tab w:val="left" w:pos="531"/>
              </w:tabs>
              <w:snapToGrid w:val="0"/>
              <w:spacing w:line="360" w:lineRule="auto"/>
              <w:ind w:left="-1"/>
              <w:jc w:val="left"/>
              <w:rPr>
                <w:rFonts w:hint="default" w:ascii="宋体" w:hAnsi="宋体" w:eastAsia="宋体" w:cs="仿宋_GB2312"/>
                <w:szCs w:val="21"/>
                <w:highlight w:val="none"/>
                <w:lang w:val="en-US" w:eastAsia="zh-CN"/>
              </w:rPr>
            </w:pPr>
            <w:r>
              <w:rPr>
                <w:rFonts w:hint="eastAsia" w:ascii="宋体" w:hAnsi="宋体" w:eastAsia="宋体" w:cs="仿宋_GB2312"/>
                <w:szCs w:val="21"/>
                <w:highlight w:val="none"/>
                <w:lang w:val="en-US" w:eastAsia="zh-CN"/>
              </w:rPr>
              <w:t>（1）</w:t>
            </w:r>
            <w:r>
              <w:rPr>
                <w:rFonts w:hint="default" w:ascii="宋体" w:hAnsi="宋体" w:eastAsia="宋体" w:cs="仿宋_GB2312"/>
                <w:szCs w:val="21"/>
                <w:highlight w:val="none"/>
                <w:lang w:val="en-US" w:eastAsia="zh-CN"/>
              </w:rPr>
              <w:t>提供服务期限承诺、售后承诺、</w:t>
            </w:r>
            <w:r>
              <w:rPr>
                <w:rFonts w:hint="default" w:ascii="宋体" w:hAnsi="宋体" w:eastAsia="宋体" w:cs="仿宋_GB2312"/>
                <w:szCs w:val="21"/>
                <w:highlight w:val="none"/>
              </w:rPr>
              <w:t>重大故障后</w:t>
            </w:r>
            <w:r>
              <w:rPr>
                <w:rFonts w:hint="default" w:ascii="宋体" w:hAnsi="宋体" w:eastAsia="宋体" w:cs="仿宋_GB2312"/>
                <w:szCs w:val="21"/>
                <w:highlight w:val="none"/>
                <w:lang w:val="en-US" w:eastAsia="zh-CN"/>
              </w:rPr>
              <w:t>的</w:t>
            </w:r>
            <w:r>
              <w:rPr>
                <w:rFonts w:hint="default" w:ascii="宋体" w:hAnsi="宋体" w:eastAsia="宋体" w:cs="仿宋_GB2312"/>
                <w:szCs w:val="21"/>
                <w:highlight w:val="none"/>
              </w:rPr>
              <w:t>应急服务方案，得</w:t>
            </w:r>
            <w:r>
              <w:rPr>
                <w:rFonts w:hint="default" w:ascii="宋体" w:hAnsi="宋体" w:eastAsia="宋体" w:cs="仿宋_GB2312"/>
                <w:szCs w:val="21"/>
                <w:highlight w:val="none"/>
                <w:lang w:val="en-US" w:eastAsia="zh-CN"/>
              </w:rPr>
              <w:t>5</w:t>
            </w:r>
            <w:r>
              <w:rPr>
                <w:rFonts w:hint="default" w:ascii="宋体" w:hAnsi="宋体" w:eastAsia="宋体" w:cs="仿宋_GB2312"/>
                <w:szCs w:val="21"/>
                <w:highlight w:val="none"/>
              </w:rPr>
              <w:t>分</w:t>
            </w:r>
            <w:r>
              <w:rPr>
                <w:rFonts w:hint="eastAsia" w:ascii="宋体" w:hAnsi="宋体" w:eastAsia="宋体" w:cs="仿宋_GB2312"/>
                <w:szCs w:val="21"/>
                <w:highlight w:val="none"/>
                <w:lang w:eastAsia="zh-CN"/>
              </w:rPr>
              <w:t>。</w:t>
            </w:r>
          </w:p>
          <w:p>
            <w:pPr>
              <w:widowControl/>
              <w:numPr>
                <w:ilvl w:val="0"/>
                <w:numId w:val="0"/>
              </w:numPr>
              <w:tabs>
                <w:tab w:val="left" w:pos="531"/>
              </w:tabs>
              <w:snapToGrid w:val="0"/>
              <w:spacing w:line="360" w:lineRule="auto"/>
              <w:ind w:left="-1"/>
              <w:jc w:val="left"/>
              <w:rPr>
                <w:rFonts w:hint="eastAsia" w:ascii="宋体" w:hAnsi="宋体" w:eastAsia="宋体" w:cs="仿宋_GB2312"/>
                <w:szCs w:val="21"/>
                <w:highlight w:val="none"/>
                <w:lang w:val="en-US" w:eastAsia="zh-CN"/>
              </w:rPr>
            </w:pPr>
            <w:r>
              <w:rPr>
                <w:rFonts w:hint="eastAsia" w:ascii="宋体" w:hAnsi="宋体" w:eastAsia="宋体" w:cs="仿宋_GB2312"/>
                <w:szCs w:val="21"/>
                <w:highlight w:val="none"/>
                <w:lang w:val="en-US" w:eastAsia="zh-CN"/>
              </w:rPr>
              <w:t>（2）提供</w:t>
            </w:r>
            <w:r>
              <w:rPr>
                <w:rFonts w:hint="default" w:ascii="宋体" w:hAnsi="宋体" w:eastAsia="宋体" w:cs="仿宋_GB2312"/>
                <w:szCs w:val="21"/>
                <w:highlight w:val="none"/>
                <w:lang w:val="en-US" w:eastAsia="zh-CN"/>
              </w:rPr>
              <w:t>违约承诺</w:t>
            </w:r>
            <w:r>
              <w:rPr>
                <w:rFonts w:hint="default" w:ascii="宋体" w:hAnsi="宋体" w:eastAsia="宋体" w:cs="仿宋_GB2312"/>
                <w:szCs w:val="21"/>
                <w:highlight w:val="none"/>
              </w:rPr>
              <w:t>，得</w:t>
            </w:r>
            <w:r>
              <w:rPr>
                <w:rFonts w:hint="default" w:ascii="宋体" w:hAnsi="宋体" w:eastAsia="宋体" w:cs="仿宋_GB2312"/>
                <w:szCs w:val="21"/>
                <w:highlight w:val="none"/>
                <w:lang w:val="en-US" w:eastAsia="zh-CN"/>
              </w:rPr>
              <w:t>5</w:t>
            </w:r>
            <w:r>
              <w:rPr>
                <w:rFonts w:hint="default" w:ascii="宋体" w:hAnsi="宋体" w:eastAsia="宋体" w:cs="仿宋_GB2312"/>
                <w:szCs w:val="21"/>
                <w:highlight w:val="none"/>
              </w:rPr>
              <w:t>分</w:t>
            </w:r>
            <w:r>
              <w:rPr>
                <w:rFonts w:hint="eastAsia" w:ascii="宋体" w:hAnsi="宋体" w:eastAsia="宋体" w:cs="仿宋_GB2312"/>
                <w:szCs w:val="21"/>
                <w:highlight w:val="none"/>
                <w:lang w:eastAsia="zh-CN"/>
              </w:rPr>
              <w:t>。</w:t>
            </w:r>
          </w:p>
          <w:p>
            <w:pPr>
              <w:widowControl/>
              <w:numPr>
                <w:ilvl w:val="0"/>
                <w:numId w:val="0"/>
              </w:numPr>
              <w:tabs>
                <w:tab w:val="left" w:pos="531"/>
              </w:tabs>
              <w:snapToGrid w:val="0"/>
              <w:spacing w:line="360" w:lineRule="auto"/>
              <w:ind w:left="-1"/>
              <w:jc w:val="left"/>
              <w:rPr>
                <w:rFonts w:hint="default" w:ascii="宋体" w:hAnsi="宋体" w:eastAsia="宋体" w:cs="仿宋_GB2312"/>
                <w:b/>
                <w:bCs/>
                <w:szCs w:val="21"/>
                <w:highlight w:val="none"/>
                <w:lang w:eastAsia="zh-CN"/>
              </w:rPr>
            </w:pPr>
            <w:r>
              <w:rPr>
                <w:rFonts w:hint="eastAsia" w:ascii="宋体" w:hAnsi="宋体" w:eastAsia="宋体" w:cs="仿宋_GB2312"/>
                <w:b/>
                <w:bCs/>
                <w:szCs w:val="21"/>
                <w:highlight w:val="none"/>
                <w:lang w:eastAsia="zh-CN"/>
              </w:rPr>
              <w:t>2</w:t>
            </w:r>
            <w:r>
              <w:rPr>
                <w:rFonts w:hint="eastAsia" w:ascii="宋体" w:hAnsi="宋体" w:eastAsia="宋体" w:cs="仿宋_GB2312"/>
                <w:b/>
                <w:bCs/>
                <w:szCs w:val="21"/>
                <w:highlight w:val="none"/>
                <w:lang w:val="en-US" w:eastAsia="zh-CN"/>
              </w:rPr>
              <w:t>.</w:t>
            </w:r>
            <w:r>
              <w:rPr>
                <w:rFonts w:hint="default" w:ascii="宋体" w:hAnsi="宋体" w:eastAsia="宋体" w:cs="仿宋_GB2312"/>
                <w:b/>
                <w:bCs/>
                <w:szCs w:val="21"/>
                <w:highlight w:val="none"/>
                <w:lang w:val="en-US" w:eastAsia="zh-CN"/>
              </w:rPr>
              <w:t>评分依据</w:t>
            </w:r>
          </w:p>
          <w:p>
            <w:pPr>
              <w:numPr>
                <w:ilvl w:val="0"/>
                <w:numId w:val="15"/>
              </w:numPr>
              <w:tabs>
                <w:tab w:val="left" w:pos="531"/>
              </w:tabs>
              <w:snapToGrid w:val="0"/>
              <w:spacing w:line="360" w:lineRule="auto"/>
              <w:ind w:left="-1"/>
              <w:rPr>
                <w:rFonts w:hint="eastAsia" w:ascii="宋体" w:hAnsi="宋体" w:eastAsia="宋体" w:cs="仿宋_GB2312"/>
                <w:szCs w:val="21"/>
                <w:highlight w:val="none"/>
                <w:lang w:val="en-US" w:eastAsia="zh-CN"/>
              </w:rPr>
            </w:pPr>
            <w:r>
              <w:rPr>
                <w:rFonts w:hint="default" w:ascii="宋体" w:hAnsi="宋体" w:eastAsia="宋体" w:cs="仿宋_GB2312"/>
                <w:szCs w:val="21"/>
                <w:highlight w:val="none"/>
                <w:lang w:val="en-US" w:eastAsia="zh-CN"/>
              </w:rPr>
              <w:t>投标人需</w:t>
            </w:r>
            <w:r>
              <w:rPr>
                <w:rFonts w:hint="default" w:ascii="宋体" w:hAnsi="宋体" w:eastAsia="宋体" w:cs="仿宋_GB2312"/>
                <w:szCs w:val="21"/>
                <w:highlight w:val="none"/>
              </w:rPr>
              <w:t>提供</w:t>
            </w:r>
            <w:r>
              <w:rPr>
                <w:rFonts w:hint="eastAsia" w:ascii="宋体" w:hAnsi="宋体" w:eastAsia="宋体" w:cs="仿宋_GB2312"/>
                <w:bCs w:val="0"/>
                <w:szCs w:val="21"/>
                <w:highlight w:val="none"/>
              </w:rPr>
              <w:t>售后服务方案（包括应急处理方</w:t>
            </w:r>
            <w:r>
              <w:rPr>
                <w:rFonts w:hint="eastAsia" w:ascii="宋体" w:hAnsi="宋体" w:eastAsia="宋体" w:cs="仿宋_GB2312"/>
                <w:bCs w:val="0"/>
                <w:szCs w:val="21"/>
                <w:highlight w:val="none"/>
                <w:lang w:val="en-US" w:eastAsia="zh-CN"/>
              </w:rPr>
              <w:t>案</w:t>
            </w:r>
            <w:r>
              <w:rPr>
                <w:rFonts w:hint="default" w:ascii="宋体" w:hAnsi="宋体" w:eastAsia="宋体" w:cs="仿宋_GB2312"/>
                <w:szCs w:val="21"/>
                <w:highlight w:val="none"/>
                <w:lang w:eastAsia="zh-CN"/>
              </w:rPr>
              <w:t>，</w:t>
            </w:r>
            <w:r>
              <w:rPr>
                <w:rFonts w:hint="default" w:ascii="宋体" w:hAnsi="宋体" w:eastAsia="宋体" w:cs="仿宋_GB2312"/>
                <w:szCs w:val="21"/>
                <w:highlight w:val="none"/>
                <w:lang w:val="en-US" w:eastAsia="zh-CN"/>
              </w:rPr>
              <w:t>加盖投标人公章</w:t>
            </w:r>
            <w:r>
              <w:rPr>
                <w:rFonts w:hint="eastAsia" w:ascii="宋体" w:hAnsi="宋体" w:eastAsia="宋体" w:cs="仿宋_GB2312"/>
                <w:szCs w:val="21"/>
                <w:highlight w:val="none"/>
                <w:lang w:val="en-US" w:eastAsia="zh-CN"/>
              </w:rPr>
              <w:t>。</w:t>
            </w:r>
          </w:p>
          <w:p>
            <w:pPr>
              <w:widowControl/>
              <w:numPr>
                <w:ilvl w:val="0"/>
                <w:numId w:val="0"/>
              </w:numPr>
              <w:tabs>
                <w:tab w:val="left" w:pos="531"/>
              </w:tabs>
              <w:snapToGrid w:val="0"/>
              <w:spacing w:line="360" w:lineRule="auto"/>
              <w:ind w:left="-1" w:right="0"/>
              <w:jc w:val="left"/>
              <w:rPr>
                <w:rFonts w:ascii="宋体" w:hAnsi="宋体" w:eastAsia="宋体" w:cs="仿宋_GB2312"/>
                <w:kern w:val="2"/>
                <w:szCs w:val="21"/>
                <w:highlight w:val="none"/>
              </w:rPr>
            </w:pP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lang w:val="en-US" w:eastAsia="zh-CN"/>
              </w:rPr>
              <w:t>2</w:t>
            </w:r>
            <w:r>
              <w:rPr>
                <w:rFonts w:hint="eastAsia" w:ascii="宋体" w:hAnsi="宋体" w:eastAsia="宋体" w:cs="仿宋_GB2312"/>
                <w:szCs w:val="21"/>
                <w:highlight w:val="none"/>
                <w:lang w:eastAsia="zh-CN"/>
              </w:rPr>
              <w:t>）</w:t>
            </w:r>
            <w:r>
              <w:rPr>
                <w:rFonts w:hint="default" w:ascii="宋体" w:hAnsi="宋体" w:eastAsia="宋体" w:cs="仿宋_GB2312"/>
                <w:szCs w:val="21"/>
                <w:highlight w:val="none"/>
              </w:rPr>
              <w:t>未提供承诺或承诺内容不满足要求不得分。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14"/>
              </w:numPr>
              <w:spacing w:line="360" w:lineRule="auto"/>
              <w:ind w:firstLineChars="0"/>
              <w:jc w:val="center"/>
              <w:rPr>
                <w:rFonts w:ascii="宋体" w:hAnsi="宋体" w:eastAsia="宋体"/>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FF0000"/>
                <w:highlight w:val="none"/>
              </w:rPr>
            </w:pPr>
            <w:r>
              <w:rPr>
                <w:rFonts w:hint="eastAsia"/>
                <w:highlight w:val="none"/>
              </w:rPr>
              <w:t>项目团队</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FF0000"/>
                <w:szCs w:val="21"/>
                <w:highlight w:val="none"/>
              </w:rPr>
            </w:pPr>
            <w:r>
              <w:rPr>
                <w:rFonts w:hint="eastAsia" w:ascii="宋体" w:hAnsi="宋体"/>
                <w:szCs w:val="21"/>
                <w:highlight w:val="none"/>
                <w:lang w:val="en-US" w:eastAsia="zh-CN"/>
              </w:rPr>
              <w:t>10</w:t>
            </w:r>
            <w:r>
              <w:rPr>
                <w:rFonts w:hint="eastAsia" w:ascii="宋体" w:hAnsi="宋体"/>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widowControl/>
              <w:numPr>
                <w:ilvl w:val="-1"/>
                <w:numId w:val="0"/>
              </w:numPr>
              <w:tabs>
                <w:tab w:val="left" w:pos="531"/>
              </w:tabs>
              <w:snapToGrid w:val="0"/>
              <w:spacing w:line="360" w:lineRule="auto"/>
              <w:ind w:left="0"/>
              <w:jc w:val="left"/>
              <w:rPr>
                <w:rFonts w:hint="eastAsia" w:ascii="宋体" w:hAnsi="宋体" w:eastAsia="宋体" w:cs="仿宋_GB2312"/>
                <w:b/>
                <w:bCs/>
                <w:szCs w:val="21"/>
                <w:highlight w:val="none"/>
                <w:lang w:val="en-US" w:eastAsia="zh-CN"/>
              </w:rPr>
            </w:pPr>
            <w:r>
              <w:rPr>
                <w:rFonts w:hint="eastAsia" w:ascii="宋体" w:hAnsi="宋体" w:eastAsia="宋体" w:cs="仿宋_GB2312"/>
                <w:b/>
                <w:bCs/>
                <w:szCs w:val="21"/>
                <w:highlight w:val="none"/>
                <w:lang w:val="en-US" w:eastAsia="zh-CN"/>
              </w:rPr>
              <w:t>1.评分内容</w:t>
            </w:r>
          </w:p>
          <w:p>
            <w:pPr>
              <w:widowControl/>
              <w:numPr>
                <w:ilvl w:val="-1"/>
                <w:numId w:val="0"/>
              </w:numPr>
              <w:tabs>
                <w:tab w:val="left" w:pos="531"/>
              </w:tabs>
              <w:snapToGrid w:val="0"/>
              <w:spacing w:line="360" w:lineRule="auto"/>
              <w:ind w:left="0"/>
              <w:jc w:val="left"/>
              <w:rPr>
                <w:rFonts w:hint="eastAsia" w:ascii="宋体" w:hAnsi="宋体" w:eastAsia="宋体" w:cs="仿宋_GB2312"/>
                <w:szCs w:val="21"/>
                <w:highlight w:val="none"/>
                <w:lang w:val="en-US" w:eastAsia="zh-CN"/>
              </w:rPr>
            </w:pPr>
            <w:r>
              <w:rPr>
                <w:rFonts w:hint="eastAsia" w:ascii="宋体" w:hAnsi="宋体" w:eastAsia="宋体" w:cs="仿宋_GB2312"/>
                <w:szCs w:val="21"/>
                <w:highlight w:val="none"/>
                <w:lang w:val="en-US" w:eastAsia="zh-CN"/>
              </w:rPr>
              <w:t>（1）根据投标人拟派项目经理同类项目管理经验进行评议，每提供1个同类项目案例证明，得2分，满分6分</w:t>
            </w:r>
            <w:r>
              <w:rPr>
                <w:rFonts w:hint="eastAsia" w:ascii="宋体" w:hAnsi="宋体" w:cs="仿宋_GB2312"/>
                <w:szCs w:val="21"/>
                <w:highlight w:val="none"/>
                <w:lang w:val="en-US" w:eastAsia="zh-CN"/>
              </w:rPr>
              <w:t>。</w:t>
            </w:r>
          </w:p>
          <w:p>
            <w:pPr>
              <w:widowControl/>
              <w:numPr>
                <w:ilvl w:val="-1"/>
                <w:numId w:val="0"/>
              </w:numPr>
              <w:tabs>
                <w:tab w:val="left" w:pos="531"/>
              </w:tabs>
              <w:snapToGrid w:val="0"/>
              <w:spacing w:line="360" w:lineRule="auto"/>
              <w:ind w:left="0"/>
              <w:jc w:val="left"/>
              <w:rPr>
                <w:rFonts w:hint="eastAsia" w:ascii="宋体" w:hAnsi="宋体" w:eastAsia="宋体" w:cs="仿宋_GB2312"/>
                <w:szCs w:val="21"/>
                <w:highlight w:val="none"/>
                <w:lang w:val="en-US" w:eastAsia="zh-CN"/>
              </w:rPr>
            </w:pPr>
            <w:r>
              <w:rPr>
                <w:rFonts w:hint="eastAsia" w:ascii="宋体" w:hAnsi="宋体" w:eastAsia="宋体" w:cs="仿宋_GB2312"/>
                <w:szCs w:val="21"/>
                <w:highlight w:val="none"/>
                <w:lang w:val="en-US" w:eastAsia="zh-CN"/>
              </w:rPr>
              <w:t>（2）根据投标人拟派项目团队人员规模进行评议，投标人在满足项目团队要求的基础上，每增加一名同资质等级的技术人员，得1分，满分4分。</w:t>
            </w:r>
          </w:p>
          <w:p>
            <w:pPr>
              <w:widowControl/>
              <w:numPr>
                <w:ilvl w:val="-1"/>
                <w:numId w:val="0"/>
              </w:numPr>
              <w:tabs>
                <w:tab w:val="left" w:pos="531"/>
              </w:tabs>
              <w:snapToGrid w:val="0"/>
              <w:spacing w:line="360" w:lineRule="auto"/>
              <w:ind w:left="0" w:firstLine="0"/>
              <w:jc w:val="left"/>
              <w:rPr>
                <w:rFonts w:hint="eastAsia" w:ascii="宋体" w:hAnsi="宋体" w:eastAsia="宋体" w:cs="仿宋_GB2312"/>
                <w:b/>
                <w:bCs/>
                <w:szCs w:val="21"/>
                <w:highlight w:val="none"/>
                <w:lang w:val="en-US" w:eastAsia="zh-CN"/>
              </w:rPr>
            </w:pPr>
            <w:r>
              <w:rPr>
                <w:rFonts w:hint="eastAsia" w:ascii="宋体" w:hAnsi="宋体" w:eastAsia="宋体" w:cs="仿宋_GB2312"/>
                <w:b/>
                <w:bCs/>
                <w:szCs w:val="21"/>
                <w:highlight w:val="none"/>
                <w:lang w:val="en-US" w:eastAsia="zh-CN"/>
              </w:rPr>
              <w:t>2.评分依据</w:t>
            </w:r>
          </w:p>
          <w:p>
            <w:pPr>
              <w:widowControl/>
              <w:numPr>
                <w:ilvl w:val="-1"/>
                <w:numId w:val="0"/>
              </w:numPr>
              <w:tabs>
                <w:tab w:val="left" w:pos="531"/>
              </w:tabs>
              <w:snapToGrid w:val="0"/>
              <w:spacing w:line="360" w:lineRule="auto"/>
              <w:ind w:left="0" w:right="0"/>
              <w:jc w:val="left"/>
              <w:rPr>
                <w:rFonts w:ascii="宋体" w:hAnsi="宋体" w:eastAsia="宋体" w:cs="仿宋_GB2312"/>
                <w:kern w:val="2"/>
                <w:szCs w:val="21"/>
                <w:highlight w:val="none"/>
              </w:rPr>
            </w:pPr>
            <w:r>
              <w:rPr>
                <w:rFonts w:hint="eastAsia" w:ascii="宋体" w:hAnsi="宋体" w:eastAsia="宋体" w:cs="仿宋_GB2312"/>
                <w:szCs w:val="21"/>
                <w:highlight w:val="none"/>
                <w:lang w:val="en-US" w:eastAsia="zh-CN"/>
              </w:rPr>
              <w:t>投标人按要求提供拟派人员名单、项目经理同类项目管理经验证明（合同扫描件）及相关人员</w:t>
            </w:r>
            <w:r>
              <w:rPr>
                <w:rFonts w:hint="eastAsia" w:ascii="宋体" w:hAnsi="宋体" w:eastAsia="宋体" w:cs="仿宋_GB2312"/>
                <w:szCs w:val="21"/>
                <w:highlight w:val="none"/>
              </w:rPr>
              <w:t>社保缴纳证明</w:t>
            </w:r>
            <w:r>
              <w:rPr>
                <w:rFonts w:hint="eastAsia" w:ascii="宋体" w:hAnsi="宋体" w:cs="仿宋_GB2312"/>
                <w:szCs w:val="21"/>
                <w:highlight w:val="none"/>
                <w:lang w:eastAsia="zh-CN"/>
              </w:rPr>
              <w:t>、</w:t>
            </w:r>
            <w:r>
              <w:rPr>
                <w:rFonts w:hint="eastAsia" w:ascii="宋体" w:hAnsi="宋体" w:eastAsia="宋体" w:cs="仿宋_GB2312"/>
                <w:szCs w:val="21"/>
                <w:highlight w:val="none"/>
                <w:lang w:val="en-US" w:eastAsia="zh-CN"/>
              </w:rPr>
              <w:t>身份证明、学历证书、资质证书扫描件（加盖投标人公章）。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jc w:val="center"/>
              <w:rPr>
                <w:b/>
                <w:bCs/>
                <w:highlight w:val="none"/>
              </w:rPr>
            </w:pPr>
            <w:r>
              <w:rPr>
                <w:rFonts w:hint="eastAsia"/>
                <w:b/>
                <w:bCs/>
                <w:highlight w:val="none"/>
              </w:rPr>
              <w:t>价格评议项（</w:t>
            </w:r>
            <w:r>
              <w:rPr>
                <w:rFonts w:hint="eastAsia"/>
                <w:b/>
                <w:bCs/>
                <w:highlight w:val="none"/>
                <w:lang w:val="en-US" w:eastAsia="zh-CN"/>
              </w:rPr>
              <w:t>30</w:t>
            </w:r>
            <w:r>
              <w:rPr>
                <w:rFonts w:hint="eastAsia"/>
                <w:b/>
                <w:bCs/>
                <w:highlight w:val="none"/>
              </w:rPr>
              <w:t>分）</w:t>
            </w:r>
          </w:p>
          <w:p>
            <w:pPr>
              <w:jc w:val="center"/>
              <w:rPr>
                <w:highlight w:val="none"/>
              </w:rPr>
            </w:pPr>
            <w:r>
              <w:rPr>
                <w:rFonts w:hint="eastAsia"/>
                <w:b/>
                <w:bCs/>
                <w:color w:val="FF0000"/>
                <w:highlight w:val="none"/>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highlight w:val="none"/>
              </w:rPr>
            </w:pPr>
            <w:r>
              <w:rPr>
                <w:rFonts w:hint="eastAsia" w:ascii="宋体" w:hAnsi="宋体"/>
                <w:szCs w:val="21"/>
                <w:highlight w:val="none"/>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highlight w:val="none"/>
              </w:rPr>
            </w:pPr>
            <w:r>
              <w:rPr>
                <w:rFonts w:hint="eastAsia" w:ascii="宋体" w:hAnsi="宋体"/>
                <w:b/>
                <w:szCs w:val="21"/>
                <w:highlight w:val="none"/>
              </w:rPr>
              <w:t>基准价</w:t>
            </w:r>
            <w:r>
              <w:rPr>
                <w:rFonts w:ascii="宋体" w:hAnsi="宋体"/>
                <w:b/>
                <w:szCs w:val="21"/>
                <w:highlight w:val="none"/>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widowControl/>
              <w:numPr>
                <w:ilvl w:val="0"/>
                <w:numId w:val="0"/>
              </w:numPr>
              <w:tabs>
                <w:tab w:val="left" w:pos="531"/>
              </w:tabs>
              <w:snapToGrid w:val="0"/>
              <w:spacing w:line="360" w:lineRule="auto"/>
              <w:ind w:left="-1"/>
              <w:jc w:val="left"/>
              <w:rPr>
                <w:rFonts w:ascii="宋体" w:hAnsi="宋体" w:cs="仿宋_GB2312"/>
                <w:szCs w:val="21"/>
                <w:highlight w:val="none"/>
              </w:rPr>
            </w:pPr>
          </w:p>
        </w:tc>
        <w:tc>
          <w:tcPr>
            <w:tcW w:w="1134" w:type="dxa"/>
            <w:vMerge w:val="restart"/>
            <w:tcBorders>
              <w:tl2br w:val="nil"/>
              <w:tr2bl w:val="nil"/>
            </w:tcBorders>
            <w:vAlign w:val="center"/>
          </w:tcPr>
          <w:p>
            <w:pPr>
              <w:widowControl/>
              <w:numPr>
                <w:ilvl w:val="0"/>
                <w:numId w:val="0"/>
              </w:numPr>
              <w:tabs>
                <w:tab w:val="left" w:pos="531"/>
              </w:tabs>
              <w:snapToGrid w:val="0"/>
              <w:spacing w:line="360" w:lineRule="auto"/>
              <w:ind w:left="-1"/>
              <w:jc w:val="center"/>
              <w:rPr>
                <w:rFonts w:ascii="宋体" w:hAnsi="宋体" w:cs="仿宋_GB2312"/>
                <w:szCs w:val="21"/>
                <w:highlight w:val="none"/>
              </w:rPr>
            </w:pPr>
            <w:r>
              <w:rPr>
                <w:rFonts w:hint="default" w:ascii="宋体" w:hAnsi="宋体" w:cs="仿宋_GB2312"/>
                <w:bCs w:val="0"/>
                <w:szCs w:val="21"/>
                <w:highlight w:val="none"/>
              </w:rPr>
              <w:t>基准价</w:t>
            </w:r>
          </w:p>
        </w:tc>
        <w:tc>
          <w:tcPr>
            <w:tcW w:w="7513" w:type="dxa"/>
            <w:gridSpan w:val="3"/>
            <w:tcBorders>
              <w:tl2br w:val="nil"/>
              <w:tr2bl w:val="nil"/>
            </w:tcBorders>
            <w:vAlign w:val="center"/>
          </w:tcPr>
          <w:p>
            <w:pPr>
              <w:widowControl/>
              <w:numPr>
                <w:ilvl w:val="0"/>
                <w:numId w:val="0"/>
              </w:numPr>
              <w:tabs>
                <w:tab w:val="left" w:pos="531"/>
              </w:tabs>
              <w:autoSpaceDE/>
              <w:autoSpaceDN/>
              <w:adjustRightInd/>
              <w:snapToGrid w:val="0"/>
              <w:spacing w:line="360" w:lineRule="auto"/>
              <w:ind w:left="-1"/>
              <w:jc w:val="left"/>
              <w:rPr>
                <w:rFonts w:hint="default" w:ascii="宋体" w:hAnsi="宋体" w:eastAsia="宋体" w:cs="仿宋_GB2312"/>
                <w:szCs w:val="21"/>
                <w:highlight w:val="none"/>
                <w:u w:val="single"/>
              </w:rPr>
            </w:pPr>
            <w:r>
              <w:rPr>
                <w:rFonts w:hint="default" w:ascii="宋体" w:hAnsi="宋体" w:cs="仿宋_GB2312"/>
                <w:szCs w:val="21"/>
                <w:highlight w:val="none"/>
              </w:rPr>
              <w:t>□各有效</w:t>
            </w:r>
            <w:r>
              <w:rPr>
                <w:rFonts w:ascii="宋体" w:hAnsi="宋体" w:cs="仿宋_GB2312"/>
                <w:szCs w:val="21"/>
                <w:highlight w:val="none"/>
              </w:rPr>
              <w:t>投</w:t>
            </w:r>
            <w:r>
              <w:rPr>
                <w:rFonts w:hint="default" w:ascii="宋体" w:hAnsi="宋体" w:cs="仿宋_GB2312"/>
                <w:szCs w:val="21"/>
                <w:highlight w:val="none"/>
              </w:rPr>
              <w:t>标报价大于n家时，去掉一个最高和最低报价后的算术平均值乘以</w:t>
            </w:r>
            <w:r>
              <w:rPr>
                <w:rFonts w:ascii="宋体" w:hAnsi="宋体" w:eastAsia="宋体" w:cs="仿宋_GB2312"/>
                <w:szCs w:val="21"/>
                <w:highlight w:val="none"/>
                <w:u w:val="single"/>
              </w:rPr>
              <w:t xml:space="preserve">    </w:t>
            </w:r>
            <w:r>
              <w:rPr>
                <w:rFonts w:hint="default" w:ascii="宋体" w:hAnsi="宋体" w:eastAsia="宋体" w:cs="仿宋_GB2312"/>
                <w:szCs w:val="21"/>
                <w:highlight w:val="none"/>
              </w:rPr>
              <w:t>％。当有效投标报价少于n（含）家时，则以所有有效投标报价的算术平均值乘以</w:t>
            </w:r>
            <w:r>
              <w:rPr>
                <w:rFonts w:ascii="宋体" w:hAnsi="宋体" w:eastAsia="宋体" w:cs="仿宋_GB2312"/>
                <w:szCs w:val="21"/>
                <w:highlight w:val="none"/>
                <w:u w:val="single"/>
              </w:rPr>
              <w:t xml:space="preserve">    </w:t>
            </w:r>
            <w:r>
              <w:rPr>
                <w:rFonts w:hint="default" w:ascii="宋体" w:hAnsi="宋体" w:eastAsia="宋体" w:cs="仿宋_GB2312"/>
                <w:szCs w:val="21"/>
                <w:highlight w:val="none"/>
              </w:rPr>
              <w:t>％。n=</w:t>
            </w:r>
            <w:r>
              <w:rPr>
                <w:rFonts w:hint="eastAsia" w:ascii="宋体" w:hAnsi="宋体" w:eastAsia="宋体" w:cs="仿宋_GB2312"/>
                <w:szCs w:val="21"/>
                <w:highlight w:val="none"/>
                <w:u w:val="single"/>
                <w:lang w:val="en-US"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widowControl/>
              <w:numPr>
                <w:ilvl w:val="0"/>
                <w:numId w:val="0"/>
              </w:numPr>
              <w:tabs>
                <w:tab w:val="left" w:pos="531"/>
              </w:tabs>
              <w:snapToGrid w:val="0"/>
              <w:spacing w:line="360" w:lineRule="auto"/>
              <w:ind w:left="-1"/>
              <w:jc w:val="left"/>
              <w:rPr>
                <w:rFonts w:ascii="宋体" w:hAnsi="宋体" w:cs="仿宋_GB2312"/>
                <w:szCs w:val="21"/>
                <w:highlight w:val="none"/>
              </w:rPr>
            </w:pPr>
          </w:p>
        </w:tc>
        <w:tc>
          <w:tcPr>
            <w:tcW w:w="1134" w:type="dxa"/>
            <w:vMerge w:val="continue"/>
            <w:tcBorders>
              <w:tl2br w:val="nil"/>
              <w:tr2bl w:val="nil"/>
            </w:tcBorders>
            <w:vAlign w:val="center"/>
          </w:tcPr>
          <w:p>
            <w:pPr>
              <w:widowControl/>
              <w:numPr>
                <w:ilvl w:val="0"/>
                <w:numId w:val="0"/>
              </w:numPr>
              <w:tabs>
                <w:tab w:val="left" w:pos="531"/>
              </w:tabs>
              <w:snapToGrid w:val="0"/>
              <w:spacing w:line="360" w:lineRule="auto"/>
              <w:ind w:left="-1"/>
              <w:jc w:val="left"/>
              <w:rPr>
                <w:rFonts w:ascii="宋体" w:hAnsi="宋体" w:cs="仿宋_GB2312"/>
                <w:szCs w:val="21"/>
                <w:highlight w:val="none"/>
              </w:rPr>
            </w:pPr>
          </w:p>
        </w:tc>
        <w:tc>
          <w:tcPr>
            <w:tcW w:w="7513" w:type="dxa"/>
            <w:gridSpan w:val="3"/>
            <w:tcBorders>
              <w:tl2br w:val="nil"/>
              <w:tr2bl w:val="nil"/>
            </w:tcBorders>
            <w:vAlign w:val="center"/>
          </w:tcPr>
          <w:p>
            <w:pPr>
              <w:widowControl/>
              <w:numPr>
                <w:ilvl w:val="0"/>
                <w:numId w:val="0"/>
              </w:numPr>
              <w:tabs>
                <w:tab w:val="left" w:pos="531"/>
              </w:tabs>
              <w:snapToGrid w:val="0"/>
              <w:spacing w:line="360" w:lineRule="auto"/>
              <w:ind w:left="-1"/>
              <w:jc w:val="left"/>
              <w:rPr>
                <w:rFonts w:ascii="宋体" w:hAnsi="宋体" w:eastAsia="宋体" w:cs="仿宋_GB2312"/>
                <w:szCs w:val="21"/>
                <w:highlight w:val="none"/>
              </w:rPr>
            </w:pPr>
            <w:r>
              <w:rPr>
                <w:rFonts w:hint="default" w:ascii="宋体" w:hAnsi="宋体" w:eastAsia="宋体" w:cs="仿宋_GB2312"/>
                <w:szCs w:val="21"/>
                <w:highlight w:val="none"/>
              </w:rPr>
              <w:sym w:font="Wingdings 2" w:char="0052"/>
            </w:r>
            <w:r>
              <w:rPr>
                <w:rFonts w:hint="default" w:ascii="宋体" w:hAnsi="宋体" w:eastAsia="宋体" w:cs="仿宋_GB2312"/>
                <w:szCs w:val="21"/>
                <w:highlight w:val="none"/>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widowControl/>
              <w:numPr>
                <w:ilvl w:val="0"/>
                <w:numId w:val="0"/>
              </w:numPr>
              <w:tabs>
                <w:tab w:val="left" w:pos="531"/>
              </w:tabs>
              <w:snapToGrid w:val="0"/>
              <w:spacing w:line="360" w:lineRule="auto"/>
              <w:ind w:left="-1"/>
              <w:jc w:val="left"/>
              <w:rPr>
                <w:rFonts w:ascii="宋体" w:hAnsi="宋体" w:cs="仿宋_GB2312"/>
                <w:szCs w:val="21"/>
                <w:highlight w:val="none"/>
              </w:rPr>
            </w:pPr>
          </w:p>
        </w:tc>
        <w:tc>
          <w:tcPr>
            <w:tcW w:w="1134" w:type="dxa"/>
            <w:vMerge w:val="continue"/>
            <w:tcBorders>
              <w:tl2br w:val="nil"/>
              <w:tr2bl w:val="nil"/>
            </w:tcBorders>
            <w:vAlign w:val="center"/>
          </w:tcPr>
          <w:p>
            <w:pPr>
              <w:widowControl/>
              <w:numPr>
                <w:ilvl w:val="0"/>
                <w:numId w:val="0"/>
              </w:numPr>
              <w:tabs>
                <w:tab w:val="left" w:pos="531"/>
              </w:tabs>
              <w:snapToGrid w:val="0"/>
              <w:spacing w:line="360" w:lineRule="auto"/>
              <w:ind w:left="-1"/>
              <w:jc w:val="left"/>
              <w:rPr>
                <w:rFonts w:ascii="宋体" w:hAnsi="宋体" w:cs="仿宋_GB2312"/>
                <w:szCs w:val="21"/>
                <w:highlight w:val="none"/>
              </w:rPr>
            </w:pPr>
          </w:p>
        </w:tc>
        <w:tc>
          <w:tcPr>
            <w:tcW w:w="7513" w:type="dxa"/>
            <w:gridSpan w:val="3"/>
            <w:tcBorders>
              <w:tl2br w:val="nil"/>
              <w:tr2bl w:val="nil"/>
            </w:tcBorders>
            <w:vAlign w:val="center"/>
          </w:tcPr>
          <w:p>
            <w:pPr>
              <w:widowControl/>
              <w:numPr>
                <w:ilvl w:val="0"/>
                <w:numId w:val="0"/>
              </w:numPr>
              <w:tabs>
                <w:tab w:val="left" w:pos="531"/>
              </w:tabs>
              <w:snapToGrid w:val="0"/>
              <w:spacing w:line="360" w:lineRule="auto"/>
              <w:ind w:left="-1"/>
              <w:jc w:val="left"/>
              <w:rPr>
                <w:rFonts w:ascii="宋体" w:hAnsi="宋体" w:cs="仿宋_GB2312"/>
                <w:szCs w:val="21"/>
                <w:highlight w:val="none"/>
              </w:rPr>
            </w:pPr>
            <w:r>
              <w:rPr>
                <w:rFonts w:hint="default" w:ascii="宋体" w:hAnsi="宋体" w:cs="仿宋_GB2312"/>
                <w:szCs w:val="21"/>
                <w:highlight w:val="none"/>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widowControl/>
              <w:numPr>
                <w:ilvl w:val="0"/>
                <w:numId w:val="0"/>
              </w:numPr>
              <w:tabs>
                <w:tab w:val="left" w:pos="531"/>
              </w:tabs>
              <w:snapToGrid w:val="0"/>
              <w:spacing w:line="360" w:lineRule="auto"/>
              <w:ind w:left="-1"/>
              <w:jc w:val="left"/>
              <w:rPr>
                <w:rFonts w:ascii="宋体" w:hAnsi="宋体" w:cs="仿宋_GB2312"/>
                <w:szCs w:val="21"/>
                <w:highlight w:val="none"/>
              </w:rPr>
            </w:pPr>
          </w:p>
        </w:tc>
        <w:tc>
          <w:tcPr>
            <w:tcW w:w="1134" w:type="dxa"/>
            <w:vMerge w:val="restart"/>
            <w:tcBorders>
              <w:tl2br w:val="nil"/>
              <w:tr2bl w:val="nil"/>
            </w:tcBorders>
            <w:vAlign w:val="center"/>
          </w:tcPr>
          <w:p>
            <w:pPr>
              <w:widowControl/>
              <w:numPr>
                <w:ilvl w:val="0"/>
                <w:numId w:val="0"/>
              </w:numPr>
              <w:tabs>
                <w:tab w:val="left" w:pos="531"/>
              </w:tabs>
              <w:snapToGrid w:val="0"/>
              <w:spacing w:line="360" w:lineRule="auto"/>
              <w:ind w:left="-1"/>
              <w:jc w:val="left"/>
              <w:rPr>
                <w:rFonts w:ascii="宋体" w:hAnsi="宋体" w:cs="仿宋_GB2312"/>
                <w:szCs w:val="21"/>
                <w:highlight w:val="none"/>
              </w:rPr>
            </w:pPr>
            <w:r>
              <w:rPr>
                <w:rFonts w:hint="default" w:ascii="宋体" w:hAnsi="宋体" w:cs="仿宋_GB2312"/>
                <w:bCs w:val="0"/>
                <w:szCs w:val="21"/>
                <w:highlight w:val="none"/>
              </w:rPr>
              <w:t>算</w:t>
            </w:r>
            <w:r>
              <w:rPr>
                <w:rFonts w:ascii="宋体" w:hAnsi="宋体" w:cs="仿宋_GB2312"/>
                <w:bCs w:val="0"/>
                <w:szCs w:val="21"/>
                <w:highlight w:val="none"/>
              </w:rPr>
              <w:t>法类型</w:t>
            </w:r>
          </w:p>
        </w:tc>
        <w:tc>
          <w:tcPr>
            <w:tcW w:w="1492" w:type="dxa"/>
            <w:gridSpan w:val="2"/>
            <w:tcBorders>
              <w:tl2br w:val="nil"/>
              <w:tr2bl w:val="nil"/>
            </w:tcBorders>
            <w:vAlign w:val="center"/>
          </w:tcPr>
          <w:p>
            <w:pPr>
              <w:widowControl/>
              <w:numPr>
                <w:ilvl w:val="0"/>
                <w:numId w:val="0"/>
              </w:numPr>
              <w:tabs>
                <w:tab w:val="left" w:pos="531"/>
              </w:tabs>
              <w:snapToGrid w:val="0"/>
              <w:spacing w:line="360" w:lineRule="auto"/>
              <w:ind w:left="-1"/>
              <w:jc w:val="left"/>
              <w:rPr>
                <w:rFonts w:ascii="宋体" w:hAnsi="宋体" w:eastAsia="宋体" w:cs="仿宋_GB2312"/>
                <w:kern w:val="2"/>
                <w:szCs w:val="21"/>
                <w:highlight w:val="none"/>
              </w:rPr>
            </w:pPr>
            <w:r>
              <w:rPr>
                <w:rFonts w:hint="default" w:ascii="宋体" w:hAnsi="宋体" w:cs="仿宋_GB2312"/>
                <w:szCs w:val="21"/>
                <w:highlight w:val="none"/>
              </w:rPr>
              <w:t>□固定</w:t>
            </w:r>
            <w:r>
              <w:rPr>
                <w:rFonts w:ascii="宋体" w:hAnsi="宋体" w:cs="仿宋_GB2312"/>
                <w:szCs w:val="21"/>
                <w:highlight w:val="none"/>
              </w:rPr>
              <w:t>比例</w:t>
            </w:r>
            <w:r>
              <w:rPr>
                <w:rFonts w:hint="default" w:ascii="宋体" w:hAnsi="宋体" w:cs="仿宋_GB2312"/>
                <w:szCs w:val="21"/>
                <w:highlight w:val="none"/>
              </w:rPr>
              <w:t>法</w:t>
            </w:r>
          </w:p>
        </w:tc>
        <w:tc>
          <w:tcPr>
            <w:tcW w:w="6021" w:type="dxa"/>
            <w:tcBorders>
              <w:tl2br w:val="nil"/>
              <w:tr2bl w:val="nil"/>
            </w:tcBorders>
            <w:vAlign w:val="center"/>
          </w:tcPr>
          <w:p>
            <w:pPr>
              <w:widowControl/>
              <w:numPr>
                <w:ilvl w:val="0"/>
                <w:numId w:val="0"/>
              </w:numPr>
              <w:tabs>
                <w:tab w:val="left" w:pos="531"/>
              </w:tabs>
              <w:autoSpaceDE/>
              <w:autoSpaceDN/>
              <w:adjustRightInd/>
              <w:snapToGrid w:val="0"/>
              <w:spacing w:line="360" w:lineRule="auto"/>
              <w:ind w:left="-1"/>
              <w:jc w:val="left"/>
              <w:rPr>
                <w:rFonts w:ascii="宋体" w:hAnsi="宋体" w:eastAsia="宋体" w:cs="仿宋_GB2312"/>
                <w:szCs w:val="21"/>
                <w:highlight w:val="none"/>
              </w:rPr>
            </w:pPr>
            <w:r>
              <w:rPr>
                <w:rFonts w:hint="default" w:ascii="宋体" w:hAnsi="宋体" w:eastAsia="宋体" w:cs="仿宋_GB2312"/>
                <w:szCs w:val="21"/>
                <w:highlight w:val="none"/>
              </w:rPr>
              <w:t>价格得分=M-[（｜投标价格-基准价｜/基准价）*100/</w:t>
            </w:r>
            <w:r>
              <w:rPr>
                <w:rFonts w:ascii="宋体" w:hAnsi="宋体" w:eastAsia="宋体" w:cs="仿宋_GB2312"/>
                <w:szCs w:val="21"/>
                <w:highlight w:val="none"/>
              </w:rPr>
              <w:t>N]*</w:t>
            </w:r>
            <w:r>
              <w:rPr>
                <w:rFonts w:hint="default" w:ascii="宋体" w:hAnsi="宋体" w:eastAsia="宋体" w:cs="仿宋_GB2312"/>
                <w:szCs w:val="21"/>
                <w:highlight w:val="none"/>
              </w:rPr>
              <w:t>扣分值</w:t>
            </w:r>
          </w:p>
          <w:p>
            <w:pPr>
              <w:widowControl/>
              <w:numPr>
                <w:ilvl w:val="0"/>
                <w:numId w:val="0"/>
              </w:numPr>
              <w:tabs>
                <w:tab w:val="left" w:pos="531"/>
              </w:tabs>
              <w:snapToGrid w:val="0"/>
              <w:spacing w:line="360" w:lineRule="auto"/>
              <w:ind w:left="-1"/>
              <w:jc w:val="left"/>
              <w:rPr>
                <w:rFonts w:ascii="宋体" w:hAnsi="宋体" w:eastAsia="宋体" w:cs="仿宋_GB2312"/>
                <w:kern w:val="2"/>
                <w:szCs w:val="21"/>
                <w:highlight w:val="none"/>
              </w:rPr>
            </w:pPr>
            <w:r>
              <w:rPr>
                <w:rFonts w:hint="default" w:ascii="宋体" w:hAnsi="宋体" w:eastAsia="宋体" w:cs="仿宋_GB2312"/>
                <w:szCs w:val="21"/>
                <w:highlight w:val="none"/>
              </w:rPr>
              <w:t>M=</w:t>
            </w:r>
            <w:r>
              <w:rPr>
                <w:rFonts w:ascii="宋体" w:hAnsi="宋体" w:eastAsia="宋体" w:cs="仿宋_GB2312"/>
                <w:szCs w:val="21"/>
                <w:highlight w:val="none"/>
                <w:u w:val="single"/>
              </w:rPr>
              <w:t xml:space="preserve">    </w:t>
            </w:r>
            <w:r>
              <w:rPr>
                <w:rFonts w:hint="default" w:ascii="宋体" w:hAnsi="宋体" w:eastAsia="宋体" w:cs="仿宋_GB2312"/>
                <w:szCs w:val="21"/>
                <w:highlight w:val="none"/>
              </w:rPr>
              <w:t>（价格评价分项满分值），N=</w:t>
            </w:r>
            <w:r>
              <w:rPr>
                <w:rFonts w:ascii="宋体" w:hAnsi="宋体" w:eastAsia="宋体" w:cs="仿宋_GB2312"/>
                <w:szCs w:val="21"/>
                <w:highlight w:val="none"/>
                <w:u w:val="none"/>
              </w:rPr>
              <w:t xml:space="preserve"> </w:t>
            </w:r>
            <w:r>
              <w:rPr>
                <w:rFonts w:ascii="宋体" w:hAnsi="宋体" w:eastAsia="宋体" w:cs="仿宋_GB2312"/>
                <w:szCs w:val="21"/>
                <w:highlight w:val="none"/>
                <w:u w:val="single"/>
              </w:rPr>
              <w:t xml:space="preserve">   </w:t>
            </w:r>
            <w:r>
              <w:rPr>
                <w:rFonts w:hint="default" w:ascii="宋体" w:hAnsi="宋体" w:eastAsia="宋体" w:cs="仿宋_GB2312"/>
                <w:szCs w:val="21"/>
                <w:highlight w:val="none"/>
              </w:rPr>
              <w:t>，投标价格每高于N％时，扣</w:t>
            </w:r>
            <w:r>
              <w:rPr>
                <w:rFonts w:ascii="宋体" w:hAnsi="宋体" w:eastAsia="宋体" w:cs="仿宋_GB2312"/>
                <w:szCs w:val="21"/>
                <w:highlight w:val="none"/>
                <w:u w:val="single"/>
              </w:rPr>
              <w:t xml:space="preserve">    </w:t>
            </w:r>
            <w:r>
              <w:rPr>
                <w:rFonts w:hint="default" w:ascii="宋体" w:hAnsi="宋体" w:eastAsia="宋体" w:cs="仿宋_GB2312"/>
                <w:szCs w:val="21"/>
                <w:highlight w:val="none"/>
              </w:rPr>
              <w:t>分；每低于N％时，扣</w:t>
            </w:r>
            <w:r>
              <w:rPr>
                <w:rFonts w:ascii="宋体" w:hAnsi="宋体" w:eastAsia="宋体" w:cs="仿宋_GB2312"/>
                <w:szCs w:val="21"/>
                <w:highlight w:val="none"/>
                <w:u w:val="single"/>
              </w:rPr>
              <w:t xml:space="preserve">    </w:t>
            </w:r>
            <w:r>
              <w:rPr>
                <w:rFonts w:hint="default" w:ascii="宋体" w:hAnsi="宋体" w:eastAsia="宋体" w:cs="仿宋_GB2312"/>
                <w:szCs w:val="21"/>
                <w:highlight w:val="none"/>
              </w:rPr>
              <w:t>分；最低得0分。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widowControl/>
              <w:numPr>
                <w:ilvl w:val="0"/>
                <w:numId w:val="0"/>
              </w:numPr>
              <w:tabs>
                <w:tab w:val="left" w:pos="531"/>
              </w:tabs>
              <w:snapToGrid w:val="0"/>
              <w:spacing w:line="360" w:lineRule="auto"/>
              <w:ind w:left="-1"/>
              <w:jc w:val="left"/>
              <w:rPr>
                <w:rFonts w:ascii="宋体" w:hAnsi="宋体" w:cs="仿宋_GB2312"/>
                <w:szCs w:val="21"/>
                <w:highlight w:val="none"/>
              </w:rPr>
            </w:pPr>
          </w:p>
        </w:tc>
        <w:tc>
          <w:tcPr>
            <w:tcW w:w="1134" w:type="dxa"/>
            <w:vMerge w:val="continue"/>
            <w:tcBorders>
              <w:tl2br w:val="nil"/>
              <w:tr2bl w:val="nil"/>
            </w:tcBorders>
            <w:vAlign w:val="center"/>
          </w:tcPr>
          <w:p>
            <w:pPr>
              <w:widowControl/>
              <w:numPr>
                <w:ilvl w:val="0"/>
                <w:numId w:val="0"/>
              </w:numPr>
              <w:tabs>
                <w:tab w:val="left" w:pos="531"/>
              </w:tabs>
              <w:snapToGrid w:val="0"/>
              <w:spacing w:line="360" w:lineRule="auto"/>
              <w:ind w:left="-1"/>
              <w:jc w:val="left"/>
              <w:rPr>
                <w:rFonts w:ascii="宋体" w:hAnsi="宋体" w:cs="仿宋_GB2312"/>
                <w:szCs w:val="21"/>
                <w:highlight w:val="none"/>
              </w:rPr>
            </w:pPr>
          </w:p>
        </w:tc>
        <w:tc>
          <w:tcPr>
            <w:tcW w:w="1492" w:type="dxa"/>
            <w:gridSpan w:val="2"/>
            <w:tcBorders>
              <w:tl2br w:val="nil"/>
              <w:tr2bl w:val="nil"/>
            </w:tcBorders>
            <w:vAlign w:val="center"/>
          </w:tcPr>
          <w:p>
            <w:pPr>
              <w:widowControl/>
              <w:numPr>
                <w:ilvl w:val="0"/>
                <w:numId w:val="0"/>
              </w:numPr>
              <w:tabs>
                <w:tab w:val="left" w:pos="531"/>
              </w:tabs>
              <w:snapToGrid w:val="0"/>
              <w:spacing w:line="360" w:lineRule="auto"/>
              <w:ind w:left="-1"/>
              <w:jc w:val="left"/>
              <w:rPr>
                <w:rFonts w:ascii="宋体" w:hAnsi="宋体" w:eastAsia="宋体" w:cs="仿宋_GB2312"/>
                <w:kern w:val="2"/>
                <w:szCs w:val="21"/>
                <w:highlight w:val="none"/>
              </w:rPr>
            </w:pPr>
            <w:r>
              <w:rPr>
                <w:rFonts w:hint="default" w:ascii="宋体" w:hAnsi="宋体" w:cs="仿宋_GB2312"/>
                <w:szCs w:val="21"/>
                <w:highlight w:val="none"/>
              </w:rPr>
              <w:t>□固定乘积法</w:t>
            </w:r>
          </w:p>
        </w:tc>
        <w:tc>
          <w:tcPr>
            <w:tcW w:w="6021" w:type="dxa"/>
            <w:tcBorders>
              <w:tl2br w:val="nil"/>
              <w:tr2bl w:val="nil"/>
            </w:tcBorders>
            <w:vAlign w:val="center"/>
          </w:tcPr>
          <w:p>
            <w:pPr>
              <w:widowControl/>
              <w:numPr>
                <w:ilvl w:val="0"/>
                <w:numId w:val="0"/>
              </w:numPr>
              <w:tabs>
                <w:tab w:val="left" w:pos="531"/>
              </w:tabs>
              <w:autoSpaceDE/>
              <w:autoSpaceDN/>
              <w:adjustRightInd/>
              <w:snapToGrid w:val="0"/>
              <w:spacing w:line="360" w:lineRule="auto"/>
              <w:ind w:left="-1"/>
              <w:jc w:val="left"/>
              <w:rPr>
                <w:rFonts w:ascii="宋体" w:hAnsi="宋体" w:eastAsia="宋体" w:cs="仿宋_GB2312"/>
                <w:highlight w:val="none"/>
              </w:rPr>
            </w:pPr>
            <w:r>
              <w:rPr>
                <w:rFonts w:hint="default" w:ascii="宋体" w:hAnsi="宋体" w:eastAsia="宋体" w:cs="仿宋_GB2312"/>
                <w:highlight w:val="none"/>
              </w:rPr>
              <w:t>价格得分=（1-A×｜1-投标报价/Z｜）×M</w:t>
            </w:r>
          </w:p>
          <w:p>
            <w:pPr>
              <w:widowControl/>
              <w:numPr>
                <w:ilvl w:val="0"/>
                <w:numId w:val="0"/>
              </w:numPr>
              <w:tabs>
                <w:tab w:val="left" w:pos="531"/>
              </w:tabs>
              <w:autoSpaceDE/>
              <w:autoSpaceDN/>
              <w:adjustRightInd/>
              <w:snapToGrid w:val="0"/>
              <w:spacing w:line="360" w:lineRule="auto"/>
              <w:ind w:left="-1"/>
              <w:jc w:val="left"/>
              <w:rPr>
                <w:rFonts w:ascii="宋体" w:hAnsi="宋体" w:eastAsia="宋体" w:cs="仿宋_GB2312"/>
                <w:highlight w:val="none"/>
              </w:rPr>
            </w:pPr>
            <w:r>
              <w:rPr>
                <w:rFonts w:hint="default" w:ascii="宋体" w:hAnsi="宋体" w:eastAsia="宋体" w:cs="仿宋_GB2312"/>
                <w:highlight w:val="none"/>
              </w:rPr>
              <w:t xml:space="preserve">M= </w:t>
            </w:r>
            <w:r>
              <w:rPr>
                <w:rFonts w:hint="default" w:ascii="宋体" w:hAnsi="宋体" w:eastAsia="宋体" w:cs="仿宋_GB2312"/>
                <w:szCs w:val="21"/>
                <w:highlight w:val="none"/>
              </w:rPr>
              <w:t>××</w:t>
            </w:r>
            <w:r>
              <w:rPr>
                <w:rFonts w:hint="default" w:ascii="宋体" w:hAnsi="宋体" w:eastAsia="宋体" w:cs="仿宋_GB2312"/>
                <w:highlight w:val="none"/>
              </w:rPr>
              <w:t xml:space="preserve"> （价格评价分项满分值），Z为本次招标基准价；</w:t>
            </w:r>
          </w:p>
          <w:p>
            <w:pPr>
              <w:widowControl/>
              <w:numPr>
                <w:ilvl w:val="0"/>
                <w:numId w:val="0"/>
              </w:numPr>
              <w:tabs>
                <w:tab w:val="left" w:pos="531"/>
              </w:tabs>
              <w:autoSpaceDE/>
              <w:autoSpaceDN/>
              <w:adjustRightInd/>
              <w:snapToGrid w:val="0"/>
              <w:spacing w:line="360" w:lineRule="auto"/>
              <w:ind w:left="-1"/>
              <w:jc w:val="left"/>
              <w:rPr>
                <w:rFonts w:ascii="宋体" w:hAnsi="宋体" w:eastAsia="宋体" w:cs="仿宋_GB2312"/>
                <w:highlight w:val="none"/>
              </w:rPr>
            </w:pPr>
            <w:r>
              <w:rPr>
                <w:rFonts w:hint="default" w:ascii="宋体" w:hAnsi="宋体" w:eastAsia="宋体" w:cs="仿宋_GB2312"/>
                <w:highlight w:val="none"/>
              </w:rPr>
              <w:t>A为价格调整系数，当投标报价低于本次招标最佳报价（即基准价）时，A=0.5；当投标报价高于次招标基准价时，取A=1；</w:t>
            </w:r>
          </w:p>
          <w:p>
            <w:pPr>
              <w:widowControl/>
              <w:numPr>
                <w:ilvl w:val="0"/>
                <w:numId w:val="0"/>
              </w:numPr>
              <w:tabs>
                <w:tab w:val="left" w:pos="531"/>
              </w:tabs>
              <w:snapToGrid w:val="0"/>
              <w:spacing w:line="360" w:lineRule="auto"/>
              <w:ind w:left="-1"/>
              <w:jc w:val="left"/>
              <w:rPr>
                <w:rFonts w:ascii="宋体" w:hAnsi="宋体" w:eastAsia="宋体" w:cs="仿宋_GB2312"/>
                <w:kern w:val="2"/>
                <w:szCs w:val="21"/>
                <w:highlight w:val="none"/>
              </w:rPr>
            </w:pPr>
            <w:r>
              <w:rPr>
                <w:rFonts w:hint="default" w:ascii="宋体" w:hAnsi="宋体" w:eastAsia="宋体" w:cs="仿宋_GB2312"/>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50" w:hRule="atLeast"/>
          <w:tblCellSpacing w:w="0" w:type="dxa"/>
        </w:trPr>
        <w:tc>
          <w:tcPr>
            <w:tcW w:w="704" w:type="dxa"/>
            <w:vMerge w:val="continue"/>
            <w:tcBorders>
              <w:tl2br w:val="nil"/>
              <w:tr2bl w:val="nil"/>
            </w:tcBorders>
          </w:tcPr>
          <w:p>
            <w:pPr>
              <w:spacing w:line="360" w:lineRule="auto"/>
              <w:jc w:val="center"/>
              <w:rPr>
                <w:rFonts w:ascii="宋体" w:hAnsi="宋体"/>
                <w:szCs w:val="21"/>
                <w:highlight w:val="none"/>
              </w:rPr>
            </w:pPr>
          </w:p>
        </w:tc>
        <w:tc>
          <w:tcPr>
            <w:tcW w:w="1134" w:type="dxa"/>
            <w:vMerge w:val="continue"/>
            <w:tcBorders>
              <w:tl2br w:val="nil"/>
              <w:tr2bl w:val="nil"/>
            </w:tcBorders>
            <w:vAlign w:val="center"/>
          </w:tcPr>
          <w:p>
            <w:pPr>
              <w:spacing w:line="360" w:lineRule="auto"/>
              <w:jc w:val="center"/>
              <w:rPr>
                <w:rFonts w:ascii="宋体" w:hAnsi="宋体"/>
                <w:szCs w:val="21"/>
                <w:highlight w:val="none"/>
              </w:rPr>
            </w:pPr>
          </w:p>
        </w:tc>
        <w:tc>
          <w:tcPr>
            <w:tcW w:w="1492" w:type="dxa"/>
            <w:gridSpan w:val="2"/>
            <w:tcBorders>
              <w:tl2br w:val="nil"/>
              <w:tr2bl w:val="nil"/>
            </w:tcBorders>
            <w:vAlign w:val="center"/>
          </w:tcPr>
          <w:p>
            <w:pPr>
              <w:spacing w:line="240" w:lineRule="atLeast"/>
              <w:jc w:val="center"/>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其他</w:t>
            </w:r>
            <w:r>
              <w:rPr>
                <w:rFonts w:ascii="宋体" w:hAnsi="宋体"/>
                <w:szCs w:val="21"/>
                <w:highlight w:val="none"/>
              </w:rPr>
              <w:t>方法</w:t>
            </w:r>
          </w:p>
        </w:tc>
        <w:tc>
          <w:tcPr>
            <w:tcW w:w="6021" w:type="dxa"/>
            <w:tcBorders>
              <w:tl2br w:val="nil"/>
              <w:tr2bl w:val="nil"/>
            </w:tcBorders>
            <w:vAlign w:val="center"/>
          </w:tcPr>
          <w:p>
            <w:pPr>
              <w:widowControl/>
              <w:numPr>
                <w:ilvl w:val="0"/>
                <w:numId w:val="0"/>
              </w:numPr>
              <w:tabs>
                <w:tab w:val="left" w:pos="531"/>
              </w:tabs>
              <w:snapToGrid w:val="0"/>
              <w:spacing w:line="360" w:lineRule="auto"/>
              <w:ind w:left="-1"/>
              <w:jc w:val="left"/>
              <w:rPr>
                <w:rFonts w:ascii="宋体" w:hAnsi="宋体" w:eastAsia="宋体" w:cs="仿宋_GB2312"/>
                <w:szCs w:val="21"/>
                <w:highlight w:val="none"/>
              </w:rPr>
            </w:pPr>
            <w:r>
              <w:rPr>
                <w:rFonts w:hint="default" w:ascii="宋体" w:hAnsi="宋体" w:eastAsia="宋体" w:cs="仿宋_GB2312"/>
                <w:szCs w:val="21"/>
                <w:highlight w:val="none"/>
              </w:rPr>
              <w:t>价格得分=（1-｜投标报价-基准价｜÷基准价）×价格权重分</w:t>
            </w:r>
          </w:p>
          <w:p>
            <w:pPr>
              <w:widowControl/>
              <w:numPr>
                <w:ilvl w:val="0"/>
                <w:numId w:val="0"/>
              </w:numPr>
              <w:tabs>
                <w:tab w:val="left" w:pos="531"/>
              </w:tabs>
              <w:snapToGrid w:val="0"/>
              <w:spacing w:line="360" w:lineRule="auto"/>
              <w:ind w:left="-1"/>
              <w:jc w:val="left"/>
              <w:rPr>
                <w:rFonts w:ascii="宋体" w:cs="宋体"/>
                <w:kern w:val="0"/>
                <w:szCs w:val="21"/>
                <w:highlight w:val="none"/>
              </w:rPr>
            </w:pPr>
            <w:r>
              <w:rPr>
                <w:rFonts w:hint="default" w:ascii="宋体" w:hAnsi="宋体" w:eastAsia="宋体" w:cs="仿宋_GB2312"/>
                <w:szCs w:val="21"/>
                <w:highlight w:val="none"/>
              </w:rPr>
              <w:t>说明：报价最接近基准价的投标人价格分最高，价格分保留至小数点后两位。</w:t>
            </w: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16"/>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16"/>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8" w:name="_Toc116550358"/>
      <w:r>
        <w:rPr>
          <w:rFonts w:hint="eastAsia" w:ascii="宋体" w:hAnsi="宋体"/>
          <w:b/>
          <w:sz w:val="32"/>
          <w:szCs w:val="32"/>
        </w:rPr>
        <w:t>第四部分：合同条款及格式</w:t>
      </w:r>
      <w:bookmarkEnd w:id="58"/>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kern w:val="0"/>
          <w:sz w:val="28"/>
          <w:szCs w:val="28"/>
        </w:rPr>
      </w:pPr>
      <w:bookmarkStart w:id="59" w:name="_Hlk116549198"/>
      <w:r>
        <w:rPr>
          <w:rFonts w:hint="eastAsia" w:ascii="方正小标宋简体" w:hAnsi="方正小标宋简体" w:eastAsia="方正小标宋简体" w:cs="方正小标宋简体"/>
          <w:b w:val="0"/>
          <w:bCs/>
          <w:kern w:val="0"/>
          <w:sz w:val="28"/>
          <w:szCs w:val="28"/>
          <w:lang w:val="en-US" w:eastAsia="zh-CN"/>
        </w:rPr>
        <w:t>深圳会展中心CIS信息管理系统开发及运维服务</w:t>
      </w:r>
      <w:r>
        <w:rPr>
          <w:rFonts w:hint="eastAsia" w:ascii="方正小标宋简体" w:hAnsi="方正小标宋简体" w:eastAsia="方正小标宋简体" w:cs="方正小标宋简体"/>
          <w:bCs/>
          <w:kern w:val="0"/>
          <w:sz w:val="28"/>
          <w:szCs w:val="28"/>
        </w:rPr>
        <w:t>合同</w:t>
      </w:r>
    </w:p>
    <w:bookmarkEnd w:id="59"/>
    <w:p>
      <w:pPr>
        <w:jc w:val="center"/>
        <w:rPr>
          <w:rFonts w:ascii="宋体" w:hAnsi="宋体"/>
          <w:szCs w:val="21"/>
        </w:rPr>
      </w:pPr>
      <w:bookmarkStart w:id="60" w:name="_Hlk116549211"/>
      <w:r>
        <w:rPr>
          <w:rFonts w:hint="eastAsia" w:ascii="方正小标宋简体" w:hAnsi="方正小标宋简体" w:eastAsia="方正小标宋简体" w:cs="方正小标宋简体"/>
          <w:bCs/>
          <w:kern w:val="0"/>
          <w:sz w:val="28"/>
          <w:szCs w:val="28"/>
        </w:rPr>
        <w:t>（</w:t>
      </w:r>
      <w:r>
        <w:rPr>
          <w:rFonts w:hint="eastAsia" w:ascii="方正小标宋简体" w:hAnsi="方正小标宋简体" w:eastAsia="方正小标宋简体" w:cs="方正小标宋简体"/>
          <w:bCs/>
          <w:kern w:val="0"/>
          <w:sz w:val="28"/>
          <w:szCs w:val="28"/>
          <w:lang w:val="en-US" w:eastAsia="zh-CN"/>
        </w:rPr>
        <w:t>一般服务类合同模板，</w:t>
      </w:r>
      <w:r>
        <w:rPr>
          <w:rFonts w:hint="eastAsia" w:ascii="方正小标宋简体" w:hAnsi="方正小标宋简体" w:eastAsia="方正小标宋简体" w:cs="方正小标宋简体"/>
          <w:bCs/>
          <w:kern w:val="0"/>
          <w:sz w:val="28"/>
          <w:szCs w:val="28"/>
        </w:rPr>
        <w:t>仅供参考）</w:t>
      </w:r>
    </w:p>
    <w:bookmarkEnd w:id="60"/>
    <w:p>
      <w:pPr>
        <w:ind w:firstLine="420" w:firstLineChars="200"/>
        <w:jc w:val="left"/>
        <w:rPr>
          <w:rFonts w:ascii="宋体" w:hAnsi="宋体"/>
          <w:szCs w:val="21"/>
        </w:rPr>
      </w:pPr>
    </w:p>
    <w:p>
      <w:pPr>
        <w:spacing w:line="360" w:lineRule="auto"/>
        <w:rPr>
          <w:rFonts w:ascii="宋体" w:hAnsi="宋体"/>
          <w:szCs w:val="21"/>
        </w:rPr>
      </w:pPr>
    </w:p>
    <w:p>
      <w:pPr>
        <w:widowControl/>
        <w:snapToGrid w:val="0"/>
        <w:spacing w:line="360" w:lineRule="auto"/>
        <w:jc w:val="left"/>
        <w:rPr>
          <w:rFonts w:ascii="宋体" w:hAnsi="宋体" w:cs="宋体"/>
          <w:b/>
          <w:kern w:val="0"/>
          <w:szCs w:val="21"/>
        </w:rPr>
      </w:pPr>
      <w:r>
        <w:rPr>
          <w:rFonts w:hint="eastAsia" w:ascii="宋体" w:hAnsi="宋体" w:cs="宋体"/>
          <w:b/>
          <w:kern w:val="0"/>
          <w:szCs w:val="21"/>
        </w:rPr>
        <w:t>甲方：深圳会展中心管理有限责任公司（简称“会展中心”）</w:t>
      </w:r>
    </w:p>
    <w:p>
      <w:pPr>
        <w:widowControl/>
        <w:snapToGrid w:val="0"/>
        <w:spacing w:line="360" w:lineRule="auto"/>
        <w:rPr>
          <w:rFonts w:ascii="宋体" w:hAnsi="宋体" w:cs="宋体"/>
          <w:kern w:val="0"/>
          <w:szCs w:val="21"/>
          <w:highlight w:val="none"/>
        </w:rPr>
      </w:pPr>
      <w:r>
        <w:rPr>
          <w:rFonts w:hint="eastAsia" w:ascii="宋体" w:hAnsi="宋体" w:cs="宋体"/>
          <w:kern w:val="0"/>
          <w:szCs w:val="21"/>
        </w:rPr>
        <w:t>法定代表人</w:t>
      </w:r>
      <w:r>
        <w:rPr>
          <w:rFonts w:hint="eastAsia" w:ascii="宋体" w:hAnsi="宋体" w:cs="宋体"/>
          <w:kern w:val="0"/>
          <w:szCs w:val="21"/>
          <w:highlight w:val="none"/>
        </w:rPr>
        <w:t>：XXX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地址：深圳市福田区福华三路深圳会展中心</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联系人：XXX</w:t>
      </w:r>
    </w:p>
    <w:p>
      <w:pPr>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电话：0755-8284XXXX</w:t>
      </w:r>
      <w:r>
        <w:rPr>
          <w:rFonts w:ascii="宋体" w:hAnsi="宋体" w:cs="宋体"/>
          <w:kern w:val="0"/>
          <w:szCs w:val="21"/>
          <w:highlight w:val="none"/>
        </w:rPr>
        <w:t xml:space="preserve"> </w:t>
      </w:r>
    </w:p>
    <w:p>
      <w:pPr>
        <w:pStyle w:val="2"/>
        <w:spacing w:line="360" w:lineRule="auto"/>
        <w:ind w:left="0"/>
        <w:rPr>
          <w:rFonts w:ascii="宋体" w:hAnsi="宋体"/>
          <w:sz w:val="21"/>
          <w:szCs w:val="21"/>
          <w:highlight w:val="none"/>
        </w:rPr>
      </w:pPr>
      <w:r>
        <w:rPr>
          <w:rFonts w:hint="eastAsia" w:ascii="宋体" w:hAnsi="宋体" w:cs="宋体"/>
          <w:sz w:val="21"/>
          <w:szCs w:val="21"/>
          <w:highlight w:val="none"/>
        </w:rPr>
        <w:t>电子邮件：</w:t>
      </w:r>
    </w:p>
    <w:p>
      <w:pPr>
        <w:widowControl/>
        <w:snapToGrid w:val="0"/>
        <w:spacing w:line="360" w:lineRule="auto"/>
        <w:ind w:firstLine="560"/>
        <w:rPr>
          <w:rFonts w:ascii="宋体" w:hAnsi="宋体" w:cs="宋体"/>
          <w:kern w:val="0"/>
          <w:szCs w:val="21"/>
          <w:highlight w:val="none"/>
        </w:rPr>
      </w:pPr>
    </w:p>
    <w:p>
      <w:pPr>
        <w:widowControl/>
        <w:snapToGrid w:val="0"/>
        <w:spacing w:line="360" w:lineRule="auto"/>
        <w:rPr>
          <w:rFonts w:ascii="宋体" w:hAnsi="宋体" w:cs="宋体"/>
          <w:b/>
          <w:kern w:val="0"/>
          <w:szCs w:val="21"/>
          <w:highlight w:val="none"/>
        </w:rPr>
      </w:pPr>
      <w:r>
        <w:rPr>
          <w:rFonts w:hint="eastAsia" w:ascii="宋体" w:hAnsi="宋体" w:cs="宋体"/>
          <w:b/>
          <w:kern w:val="0"/>
          <w:szCs w:val="21"/>
          <w:highlight w:val="none"/>
        </w:rPr>
        <w:t>乙方：XXXX公司（简称“XXXX”）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法定代表人：XXX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地址：XXXXXXXXXXXX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联系人：XXX</w:t>
      </w:r>
      <w:r>
        <w:rPr>
          <w:rFonts w:ascii="宋体" w:hAnsi="宋体" w:cs="宋体"/>
          <w:kern w:val="0"/>
          <w:szCs w:val="21"/>
          <w:highlight w:val="none"/>
        </w:rPr>
        <w:t xml:space="preserve"> </w:t>
      </w:r>
      <w:r>
        <w:rPr>
          <w:rFonts w:hint="eastAsia" w:ascii="宋体" w:hAnsi="宋体" w:cs="宋体"/>
          <w:kern w:val="0"/>
          <w:szCs w:val="21"/>
          <w:highlight w:val="none"/>
        </w:rPr>
        <w:t xml:space="preserve">  </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电话：0755-XXXXXX</w:t>
      </w:r>
    </w:p>
    <w:p>
      <w:pPr>
        <w:pStyle w:val="2"/>
        <w:spacing w:line="360" w:lineRule="auto"/>
        <w:ind w:left="0"/>
        <w:rPr>
          <w:rFonts w:ascii="宋体" w:hAnsi="宋体"/>
          <w:sz w:val="21"/>
          <w:szCs w:val="21"/>
          <w:highlight w:val="none"/>
        </w:rPr>
      </w:pPr>
      <w:r>
        <w:rPr>
          <w:rFonts w:hint="eastAsia" w:ascii="宋体" w:hAnsi="宋体" w:cs="宋体"/>
          <w:sz w:val="21"/>
          <w:szCs w:val="21"/>
          <w:highlight w:val="none"/>
        </w:rPr>
        <w:t>电子邮件：</w:t>
      </w:r>
    </w:p>
    <w:p>
      <w:pPr>
        <w:pStyle w:val="2"/>
        <w:spacing w:after="0" w:line="360" w:lineRule="auto"/>
        <w:ind w:left="0" w:firstLine="400" w:firstLineChars="200"/>
        <w:rPr>
          <w:rFonts w:ascii="宋体" w:hAnsi="宋体"/>
          <w:sz w:val="21"/>
          <w:szCs w:val="21"/>
          <w:highlight w:val="none"/>
        </w:rPr>
      </w:pPr>
    </w:p>
    <w:p>
      <w:pPr>
        <w:pStyle w:val="2"/>
        <w:spacing w:after="0" w:line="360" w:lineRule="auto"/>
        <w:ind w:left="0" w:firstLine="400" w:firstLineChars="200"/>
        <w:rPr>
          <w:rFonts w:ascii="宋体" w:hAnsi="宋体" w:cs="Arial"/>
          <w:sz w:val="21"/>
          <w:szCs w:val="21"/>
          <w:highlight w:val="none"/>
        </w:rPr>
      </w:pPr>
      <w:r>
        <w:rPr>
          <w:rFonts w:hint="eastAsia" w:ascii="宋体" w:hAnsi="宋体" w:cs="Arial"/>
          <w:sz w:val="21"/>
          <w:szCs w:val="21"/>
          <w:highlight w:val="none"/>
        </w:rPr>
        <w:t>依据《中华人民共和国民法典》及相关法律、法规的规定及行业规范，</w:t>
      </w:r>
      <w:r>
        <w:rPr>
          <w:rFonts w:hint="eastAsia" w:ascii="宋体" w:hAnsi="宋体" w:cs="仿宋"/>
          <w:sz w:val="21"/>
          <w:szCs w:val="21"/>
          <w:highlight w:val="none"/>
        </w:rPr>
        <w:t>甲、乙双方本着公平合理、平等互利、诚信自愿的原则，</w:t>
      </w:r>
      <w:r>
        <w:rPr>
          <w:rFonts w:hint="eastAsia" w:ascii="宋体" w:hAnsi="宋体" w:cs="Arial"/>
          <w:sz w:val="21"/>
          <w:szCs w:val="21"/>
          <w:highlight w:val="none"/>
        </w:rPr>
        <w:t>乙方受甲方委托为甲方提供</w:t>
      </w:r>
      <w:r>
        <w:rPr>
          <w:rFonts w:hint="eastAsia" w:ascii="宋体" w:hAnsi="宋体" w:cs="宋体"/>
          <w:sz w:val="21"/>
          <w:szCs w:val="21"/>
          <w:highlight w:val="none"/>
        </w:rPr>
        <w:t>XXXXXXXXXXXX</w:t>
      </w:r>
      <w:r>
        <w:rPr>
          <w:rFonts w:hint="eastAsia" w:ascii="宋体" w:hAnsi="宋体" w:cs="Arial"/>
          <w:sz w:val="21"/>
          <w:szCs w:val="21"/>
          <w:highlight w:val="none"/>
        </w:rPr>
        <w:t>服务，甲乙双方经协商一致，签订本合同，双方保证严格遵守和执行。</w:t>
      </w:r>
    </w:p>
    <w:p>
      <w:pPr>
        <w:pStyle w:val="2"/>
        <w:numPr>
          <w:ilvl w:val="0"/>
          <w:numId w:val="1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服务内容及要求</w:t>
      </w:r>
    </w:p>
    <w:p>
      <w:pPr>
        <w:pStyle w:val="2"/>
        <w:numPr>
          <w:ilvl w:val="0"/>
          <w:numId w:val="18"/>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项目名称：</w:t>
      </w:r>
      <w:r>
        <w:rPr>
          <w:rFonts w:hint="eastAsia" w:ascii="宋体" w:hAnsi="宋体" w:cs="宋体"/>
          <w:sz w:val="21"/>
          <w:szCs w:val="21"/>
          <w:highlight w:val="none"/>
        </w:rPr>
        <w:t>XXXXXXXXXXXX</w:t>
      </w:r>
    </w:p>
    <w:p>
      <w:pPr>
        <w:pStyle w:val="2"/>
        <w:numPr>
          <w:ilvl w:val="0"/>
          <w:numId w:val="18"/>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项目实施地点：深圳会展中心</w:t>
      </w:r>
    </w:p>
    <w:p>
      <w:pPr>
        <w:pStyle w:val="2"/>
        <w:numPr>
          <w:ilvl w:val="0"/>
          <w:numId w:val="18"/>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服务内容</w:t>
      </w:r>
    </w:p>
    <w:p>
      <w:pPr>
        <w:pStyle w:val="2"/>
        <w:numPr>
          <w:ilvl w:val="0"/>
          <w:numId w:val="19"/>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19"/>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18"/>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增值服务（如有）</w:t>
      </w:r>
    </w:p>
    <w:p>
      <w:pPr>
        <w:pStyle w:val="2"/>
        <w:numPr>
          <w:ilvl w:val="0"/>
          <w:numId w:val="20"/>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20"/>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w:t>
      </w:r>
    </w:p>
    <w:p>
      <w:pPr>
        <w:pStyle w:val="2"/>
        <w:numPr>
          <w:ilvl w:val="0"/>
          <w:numId w:val="18"/>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服务要求</w:t>
      </w:r>
    </w:p>
    <w:p>
      <w:pPr>
        <w:pStyle w:val="2"/>
        <w:numPr>
          <w:ilvl w:val="0"/>
          <w:numId w:val="21"/>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21"/>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1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服务期限</w:t>
      </w:r>
    </w:p>
    <w:p>
      <w:pPr>
        <w:pStyle w:val="2"/>
        <w:spacing w:after="0" w:line="360" w:lineRule="auto"/>
        <w:ind w:left="0" w:firstLine="400" w:firstLineChars="200"/>
        <w:rPr>
          <w:rFonts w:ascii="宋体" w:hAnsi="宋体" w:cs="仿宋"/>
          <w:b/>
          <w:bCs/>
          <w:sz w:val="21"/>
          <w:szCs w:val="21"/>
          <w:highlight w:val="none"/>
        </w:rPr>
      </w:pPr>
      <w:r>
        <w:rPr>
          <w:rFonts w:hint="eastAsia" w:ascii="宋体" w:hAnsi="宋体" w:cs="仿宋"/>
          <w:sz w:val="21"/>
          <w:szCs w:val="21"/>
          <w:highlight w:val="none"/>
        </w:rPr>
        <w:t>本项目服务期限为XX年，从本合同签订生效之日起至XXXX年X月X日止。年度服务期满前两个月，乙方应主动向甲方申请对其本年度服务情况进行评审，经甲方综合考核评审服务达到优良（综合得分</w:t>
      </w:r>
      <w:r>
        <w:rPr>
          <w:rFonts w:ascii="宋体" w:hAnsi="宋体" w:cs="仿宋"/>
          <w:sz w:val="21"/>
          <w:szCs w:val="21"/>
          <w:highlight w:val="none"/>
        </w:rPr>
        <w:t>≥</w:t>
      </w:r>
      <w:r>
        <w:rPr>
          <w:rFonts w:hint="eastAsia" w:ascii="宋体" w:hAnsi="宋体" w:cs="仿宋"/>
          <w:sz w:val="21"/>
          <w:szCs w:val="21"/>
          <w:highlight w:val="none"/>
        </w:rPr>
        <w:t>80分），则执行下一年度服务合同。如综合考核评审服务未达到优良，甲方有权终止下一年度服务合同。综合考核评审细则详见附件《XXXX考核评审细则》。</w:t>
      </w:r>
    </w:p>
    <w:p>
      <w:pPr>
        <w:pStyle w:val="2"/>
        <w:numPr>
          <w:ilvl w:val="0"/>
          <w:numId w:val="1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合同金额及付款要求</w:t>
      </w:r>
    </w:p>
    <w:p>
      <w:pPr>
        <w:pStyle w:val="22"/>
        <w:numPr>
          <w:ilvl w:val="1"/>
          <w:numId w:val="22"/>
        </w:numPr>
        <w:spacing w:line="360" w:lineRule="auto"/>
        <w:ind w:left="0" w:firstLine="420"/>
        <w:rPr>
          <w:rFonts w:ascii="宋体" w:hAnsi="宋体" w:eastAsia="宋体" w:cs="仿宋"/>
          <w:spacing w:val="-2"/>
          <w:szCs w:val="21"/>
          <w:highlight w:val="none"/>
        </w:rPr>
      </w:pPr>
      <w:r>
        <w:rPr>
          <w:rFonts w:hint="eastAsia" w:ascii="宋体" w:hAnsi="宋体" w:eastAsia="宋体" w:cs="仿宋"/>
          <w:szCs w:val="21"/>
          <w:highlight w:val="none"/>
        </w:rPr>
        <w:t>合同金额</w:t>
      </w:r>
    </w:p>
    <w:p>
      <w:pPr>
        <w:pStyle w:val="22"/>
        <w:numPr>
          <w:ilvl w:val="0"/>
          <w:numId w:val="23"/>
        </w:numPr>
        <w:spacing w:line="360" w:lineRule="auto"/>
        <w:rPr>
          <w:rFonts w:ascii="宋体" w:hAnsi="宋体" w:eastAsia="宋体" w:cs="仿宋"/>
          <w:spacing w:val="-2"/>
          <w:szCs w:val="21"/>
          <w:highlight w:val="none"/>
        </w:rPr>
      </w:pPr>
      <w:r>
        <w:rPr>
          <w:rFonts w:hint="eastAsia" w:ascii="宋体" w:hAnsi="宋体" w:eastAsia="宋体" w:cs="仿宋"/>
          <w:bCs/>
          <w:szCs w:val="21"/>
          <w:highlight w:val="none"/>
        </w:rPr>
        <w:t>本项</w:t>
      </w:r>
      <w:r>
        <w:rPr>
          <w:rFonts w:hint="eastAsia" w:ascii="宋体" w:hAnsi="宋体" w:eastAsia="宋体" w:cs="仿宋"/>
          <w:szCs w:val="21"/>
          <w:highlight w:val="none"/>
        </w:rPr>
        <w:t>目合同金额</w:t>
      </w:r>
      <w:r>
        <w:rPr>
          <w:rFonts w:hint="eastAsia" w:ascii="宋体" w:hAnsi="宋体" w:eastAsia="宋体" w:cs="仿宋"/>
          <w:bCs/>
          <w:szCs w:val="21"/>
          <w:highlight w:val="none"/>
        </w:rPr>
        <w:t>为¥XXX万元（</w:t>
      </w:r>
      <w:r>
        <w:rPr>
          <w:rFonts w:hint="eastAsia" w:ascii="宋体" w:hAnsi="宋体" w:eastAsia="宋体" w:cs="仿宋"/>
          <w:szCs w:val="21"/>
          <w:highlight w:val="none"/>
        </w:rPr>
        <w:t>大写人民币：</w:t>
      </w:r>
      <w:r>
        <w:rPr>
          <w:rFonts w:hint="eastAsia" w:ascii="宋体" w:hAnsi="宋体" w:eastAsia="宋体" w:cs="仿宋"/>
          <w:szCs w:val="21"/>
          <w:highlight w:val="none"/>
          <w:u w:val="single"/>
        </w:rPr>
        <w:t>XXXX元整</w:t>
      </w:r>
      <w:r>
        <w:rPr>
          <w:rFonts w:ascii="宋体" w:hAnsi="宋体" w:eastAsia="宋体" w:cs="仿宋"/>
          <w:szCs w:val="21"/>
          <w:highlight w:val="none"/>
          <w:u w:val="single"/>
        </w:rPr>
        <w:t xml:space="preserve"> </w:t>
      </w:r>
      <w:r>
        <w:rPr>
          <w:rFonts w:hint="eastAsia" w:ascii="宋体" w:hAnsi="宋体" w:eastAsia="宋体" w:cs="仿宋"/>
          <w:szCs w:val="21"/>
          <w:highlight w:val="none"/>
        </w:rPr>
        <w:t>），税率为X%</w:t>
      </w:r>
      <w:r>
        <w:rPr>
          <w:rFonts w:hint="eastAsia" w:ascii="宋体" w:hAnsi="宋体" w:eastAsia="宋体" w:cs="仿宋"/>
          <w:spacing w:val="-2"/>
          <w:szCs w:val="21"/>
          <w:highlight w:val="none"/>
        </w:rPr>
        <w:t>。</w:t>
      </w:r>
    </w:p>
    <w:p>
      <w:pPr>
        <w:pStyle w:val="22"/>
        <w:numPr>
          <w:ilvl w:val="0"/>
          <w:numId w:val="23"/>
        </w:numPr>
        <w:spacing w:line="360" w:lineRule="auto"/>
        <w:rPr>
          <w:rFonts w:ascii="宋体" w:hAnsi="宋体" w:eastAsia="宋体" w:cs="仿宋"/>
          <w:spacing w:val="-2"/>
          <w:szCs w:val="21"/>
          <w:highlight w:val="none"/>
        </w:rPr>
      </w:pPr>
      <w:r>
        <w:rPr>
          <w:rFonts w:hint="eastAsia" w:ascii="宋体" w:hAnsi="宋体" w:eastAsia="宋体" w:cs="仿宋"/>
          <w:bCs/>
          <w:szCs w:val="21"/>
          <w:highlight w:val="none"/>
        </w:rPr>
        <w:t>以上金额已经包含项目费用开具增值税专用发票所产生的税费及乙方完成本项目服务所发生的</w:t>
      </w:r>
      <w:r>
        <w:rPr>
          <w:rFonts w:hint="eastAsia" w:ascii="宋体" w:hAnsi="宋体" w:eastAsia="宋体" w:cs="仿宋"/>
          <w:szCs w:val="21"/>
          <w:highlight w:val="none"/>
        </w:rPr>
        <w:t>全部费用。</w:t>
      </w:r>
    </w:p>
    <w:p>
      <w:pPr>
        <w:pStyle w:val="22"/>
        <w:numPr>
          <w:ilvl w:val="1"/>
          <w:numId w:val="22"/>
        </w:numPr>
        <w:spacing w:line="360" w:lineRule="auto"/>
        <w:ind w:left="0" w:firstLine="412"/>
        <w:rPr>
          <w:rFonts w:ascii="宋体" w:hAnsi="宋体" w:eastAsia="宋体" w:cs="仿宋"/>
          <w:spacing w:val="-2"/>
          <w:szCs w:val="21"/>
          <w:highlight w:val="none"/>
        </w:rPr>
      </w:pPr>
      <w:r>
        <w:rPr>
          <w:rFonts w:hint="eastAsia" w:ascii="宋体" w:hAnsi="宋体" w:eastAsia="宋体" w:cs="仿宋"/>
          <w:spacing w:val="-2"/>
          <w:szCs w:val="21"/>
          <w:highlight w:val="none"/>
        </w:rPr>
        <w:t>付款要求</w:t>
      </w:r>
    </w:p>
    <w:p>
      <w:pPr>
        <w:pStyle w:val="22"/>
        <w:numPr>
          <w:ilvl w:val="0"/>
          <w:numId w:val="24"/>
        </w:numPr>
        <w:spacing w:line="360" w:lineRule="auto"/>
        <w:ind w:left="0" w:firstLine="412"/>
        <w:rPr>
          <w:rFonts w:ascii="宋体" w:hAnsi="宋体" w:eastAsia="宋体" w:cs="仿宋"/>
          <w:spacing w:val="-2"/>
          <w:szCs w:val="21"/>
          <w:highlight w:val="none"/>
        </w:rPr>
      </w:pPr>
      <w:r>
        <w:rPr>
          <w:rFonts w:hint="eastAsia" w:ascii="宋体" w:hAnsi="宋体" w:eastAsia="宋体" w:cs="仿宋"/>
          <w:spacing w:val="-2"/>
          <w:szCs w:val="21"/>
          <w:highlight w:val="none"/>
        </w:rPr>
        <w:t xml:space="preserve"> 合同签订，乙方完成XXX后，15个工作日内甲方向乙方支付合同金额XX％款项，即人民币XXXX元（大写：XXXX元整）；</w:t>
      </w:r>
    </w:p>
    <w:p>
      <w:pPr>
        <w:pStyle w:val="22"/>
        <w:numPr>
          <w:ilvl w:val="0"/>
          <w:numId w:val="24"/>
        </w:numPr>
        <w:spacing w:line="360" w:lineRule="auto"/>
        <w:ind w:left="0" w:firstLine="412"/>
        <w:rPr>
          <w:rFonts w:ascii="宋体" w:hAnsi="宋体" w:eastAsia="宋体" w:cs="仿宋"/>
          <w:szCs w:val="21"/>
          <w:highlight w:val="none"/>
        </w:rPr>
      </w:pPr>
      <w:r>
        <w:rPr>
          <w:rFonts w:hint="eastAsia" w:ascii="宋体" w:hAnsi="宋体" w:eastAsia="宋体" w:cs="仿宋"/>
          <w:spacing w:val="-2"/>
          <w:szCs w:val="21"/>
          <w:highlight w:val="none"/>
        </w:rPr>
        <w:t xml:space="preserve"> 完成本项目所有服务内容并经甲方验收合格且完成违约责任清算后，甲方支付本项目剩余款项。</w:t>
      </w:r>
    </w:p>
    <w:p>
      <w:pPr>
        <w:pStyle w:val="22"/>
        <w:numPr>
          <w:ilvl w:val="0"/>
          <w:numId w:val="24"/>
        </w:numPr>
        <w:spacing w:line="360" w:lineRule="auto"/>
        <w:ind w:left="0" w:firstLine="420"/>
        <w:rPr>
          <w:rFonts w:ascii="宋体" w:hAnsi="宋体" w:eastAsia="宋体" w:cs="仿宋"/>
          <w:szCs w:val="21"/>
          <w:highlight w:val="none"/>
        </w:rPr>
      </w:pPr>
      <w:r>
        <w:rPr>
          <w:rFonts w:hint="eastAsia" w:ascii="宋体" w:hAnsi="宋体" w:eastAsia="宋体" w:cs="仿宋"/>
          <w:szCs w:val="21"/>
          <w:highlight w:val="none"/>
        </w:rPr>
        <w:t xml:space="preserve"> 甲方办理合同款项支付前，乙方需先向甲方提供全额（等额）真实、合法有效的增值税专用发票。</w:t>
      </w:r>
    </w:p>
    <w:p>
      <w:pPr>
        <w:pStyle w:val="2"/>
        <w:numPr>
          <w:ilvl w:val="0"/>
          <w:numId w:val="1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验收标准</w:t>
      </w:r>
    </w:p>
    <w:p>
      <w:pPr>
        <w:pStyle w:val="2"/>
        <w:numPr>
          <w:ilvl w:val="0"/>
          <w:numId w:val="25"/>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25"/>
        </w:numPr>
        <w:spacing w:after="0" w:line="360" w:lineRule="auto"/>
        <w:ind w:left="0" w:firstLine="402" w:firstLineChars="200"/>
        <w:rPr>
          <w:rFonts w:ascii="宋体" w:hAnsi="宋体" w:cs="宋体"/>
          <w:sz w:val="21"/>
          <w:szCs w:val="21"/>
          <w:highlight w:val="none"/>
        </w:rPr>
      </w:pPr>
      <w:r>
        <w:rPr>
          <w:rFonts w:hint="eastAsia" w:ascii="宋体" w:hAnsi="宋体" w:cs="仿宋"/>
          <w:b/>
          <w:bCs/>
          <w:sz w:val="21"/>
          <w:szCs w:val="21"/>
          <w:highlight w:val="none"/>
        </w:rPr>
        <w:t>.</w:t>
      </w:r>
      <w:r>
        <w:rPr>
          <w:rFonts w:hint="eastAsia" w:ascii="宋体" w:hAnsi="宋体" w:cs="宋体"/>
          <w:sz w:val="21"/>
          <w:szCs w:val="21"/>
          <w:highlight w:val="none"/>
        </w:rPr>
        <w:t>.....</w:t>
      </w:r>
    </w:p>
    <w:p>
      <w:pPr>
        <w:pStyle w:val="2"/>
        <w:numPr>
          <w:ilvl w:val="0"/>
          <w:numId w:val="1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双方权利与义务</w:t>
      </w:r>
    </w:p>
    <w:p>
      <w:pPr>
        <w:pStyle w:val="2"/>
        <w:numPr>
          <w:ilvl w:val="0"/>
          <w:numId w:val="26"/>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甲方权利与义务</w:t>
      </w:r>
    </w:p>
    <w:p>
      <w:pPr>
        <w:pStyle w:val="2"/>
        <w:numPr>
          <w:ilvl w:val="0"/>
          <w:numId w:val="27"/>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27"/>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26"/>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乙方权利与义务</w:t>
      </w:r>
    </w:p>
    <w:p>
      <w:pPr>
        <w:pStyle w:val="2"/>
        <w:numPr>
          <w:ilvl w:val="0"/>
          <w:numId w:val="28"/>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28"/>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w:t>
      </w:r>
    </w:p>
    <w:p>
      <w:pPr>
        <w:pStyle w:val="2"/>
        <w:numPr>
          <w:ilvl w:val="0"/>
          <w:numId w:val="1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处罚标准（如有）</w:t>
      </w:r>
    </w:p>
    <w:p>
      <w:pPr>
        <w:pStyle w:val="2"/>
        <w:numPr>
          <w:ilvl w:val="0"/>
          <w:numId w:val="29"/>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29"/>
        </w:numPr>
        <w:spacing w:after="0" w:line="360" w:lineRule="auto"/>
        <w:ind w:left="0" w:firstLine="400" w:firstLineChars="200"/>
        <w:rPr>
          <w:rFonts w:ascii="宋体" w:hAnsi="宋体" w:cs="仿宋"/>
          <w:b/>
          <w:bCs/>
          <w:sz w:val="21"/>
          <w:szCs w:val="21"/>
          <w:highlight w:val="none"/>
        </w:rPr>
      </w:pPr>
      <w:r>
        <w:rPr>
          <w:rFonts w:hint="eastAsia" w:ascii="宋体" w:hAnsi="宋体" w:cs="宋体"/>
          <w:sz w:val="21"/>
          <w:szCs w:val="21"/>
          <w:highlight w:val="none"/>
        </w:rPr>
        <w:t>......</w:t>
      </w:r>
    </w:p>
    <w:p>
      <w:pPr>
        <w:pStyle w:val="2"/>
        <w:numPr>
          <w:ilvl w:val="0"/>
          <w:numId w:val="1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知识产权归属（如有）</w:t>
      </w:r>
    </w:p>
    <w:p>
      <w:pPr>
        <w:pStyle w:val="2"/>
        <w:numPr>
          <w:ilvl w:val="0"/>
          <w:numId w:val="30"/>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30"/>
        </w:numPr>
        <w:spacing w:after="0" w:line="360" w:lineRule="auto"/>
        <w:ind w:left="0" w:firstLine="400" w:firstLineChars="200"/>
        <w:rPr>
          <w:rFonts w:ascii="宋体" w:hAnsi="宋体" w:cs="仿宋"/>
          <w:b/>
          <w:bCs/>
          <w:sz w:val="21"/>
          <w:szCs w:val="21"/>
          <w:highlight w:val="none"/>
        </w:rPr>
      </w:pPr>
      <w:r>
        <w:rPr>
          <w:rFonts w:hint="eastAsia" w:ascii="宋体" w:hAnsi="宋体" w:cs="宋体"/>
          <w:sz w:val="21"/>
          <w:szCs w:val="21"/>
          <w:highlight w:val="none"/>
        </w:rPr>
        <w:t>......</w:t>
      </w:r>
    </w:p>
    <w:p>
      <w:pPr>
        <w:pStyle w:val="2"/>
        <w:numPr>
          <w:ilvl w:val="0"/>
          <w:numId w:val="1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违约责任</w:t>
      </w:r>
    </w:p>
    <w:p>
      <w:pPr>
        <w:numPr>
          <w:ilvl w:val="0"/>
          <w:numId w:val="31"/>
        </w:numPr>
        <w:snapToGrid w:val="0"/>
        <w:spacing w:line="360" w:lineRule="auto"/>
        <w:ind w:firstLine="420" w:firstLineChars="200"/>
        <w:rPr>
          <w:rFonts w:ascii="宋体" w:hAnsi="宋体" w:cs="仿宋"/>
          <w:szCs w:val="21"/>
          <w:highlight w:val="none"/>
        </w:rPr>
      </w:pPr>
      <w:r>
        <w:rPr>
          <w:rFonts w:hint="eastAsia" w:ascii="宋体" w:hAnsi="宋体" w:cs="仿宋"/>
          <w:szCs w:val="21"/>
          <w:highlight w:val="none"/>
        </w:rPr>
        <w:t>甲乙双方任何一方违反约定事项造成对方实际损失的，应在15天内向对方支付年度合同金额XX%的赔偿金和违约金。</w:t>
      </w:r>
    </w:p>
    <w:p>
      <w:pPr>
        <w:numPr>
          <w:ilvl w:val="0"/>
          <w:numId w:val="31"/>
        </w:numPr>
        <w:snapToGrid w:val="0"/>
        <w:spacing w:line="360" w:lineRule="auto"/>
        <w:ind w:firstLine="420" w:firstLineChars="200"/>
        <w:rPr>
          <w:rFonts w:ascii="宋体" w:hAnsi="宋体" w:cs="仿宋"/>
          <w:szCs w:val="21"/>
          <w:highlight w:val="none"/>
        </w:rPr>
      </w:pPr>
      <w:r>
        <w:rPr>
          <w:rFonts w:hint="eastAsia" w:ascii="宋体" w:hAnsi="宋体" w:cs="仿宋"/>
          <w:szCs w:val="21"/>
          <w:highlight w:val="none"/>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1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合同变更、终止</w:t>
      </w:r>
    </w:p>
    <w:p>
      <w:pPr>
        <w:numPr>
          <w:ilvl w:val="0"/>
          <w:numId w:val="32"/>
        </w:numPr>
        <w:snapToGrid w:val="0"/>
        <w:spacing w:line="360" w:lineRule="auto"/>
        <w:ind w:firstLineChars="200"/>
        <w:rPr>
          <w:rFonts w:ascii="宋体" w:hAnsi="宋体" w:cs="仿宋"/>
          <w:szCs w:val="21"/>
          <w:highlight w:val="none"/>
        </w:rPr>
      </w:pPr>
      <w:r>
        <w:rPr>
          <w:rFonts w:hint="eastAsia" w:ascii="宋体" w:hAnsi="宋体" w:cs="仿宋"/>
          <w:szCs w:val="21"/>
          <w:highlight w:val="none"/>
        </w:rPr>
        <w:t>如果出现不可预见的情形，影响本合同项下相关服务的执行时，甲乙双方均可要求变更约定事项，但应提前通知对方，并由双方协商解决。</w:t>
      </w:r>
    </w:p>
    <w:p>
      <w:pPr>
        <w:numPr>
          <w:ilvl w:val="0"/>
          <w:numId w:val="32"/>
        </w:numPr>
        <w:snapToGrid w:val="0"/>
        <w:spacing w:line="360" w:lineRule="auto"/>
        <w:ind w:firstLineChars="200"/>
        <w:rPr>
          <w:rFonts w:ascii="宋体" w:hAnsi="宋体" w:cs="仿宋"/>
          <w:szCs w:val="21"/>
          <w:highlight w:val="none"/>
        </w:rPr>
      </w:pPr>
      <w:r>
        <w:rPr>
          <w:rFonts w:hint="eastAsia" w:ascii="宋体" w:hAnsi="宋体" w:cs="仿宋"/>
          <w:szCs w:val="21"/>
          <w:highlight w:val="none"/>
        </w:rPr>
        <w:t>本合同签订后，双方应当按约履行，不得无故终止。如遇法定情形或特殊原因确需终止的,提出终止的一方应提前书面通知另一方。</w:t>
      </w:r>
    </w:p>
    <w:p>
      <w:pPr>
        <w:numPr>
          <w:ilvl w:val="0"/>
          <w:numId w:val="32"/>
        </w:numPr>
        <w:snapToGrid w:val="0"/>
        <w:spacing w:line="360" w:lineRule="auto"/>
        <w:ind w:firstLineChars="200"/>
        <w:rPr>
          <w:rFonts w:ascii="宋体" w:hAnsi="宋体" w:cs="仿宋"/>
          <w:szCs w:val="21"/>
          <w:highlight w:val="none"/>
        </w:rPr>
      </w:pPr>
      <w:r>
        <w:rPr>
          <w:rFonts w:hint="eastAsia" w:ascii="宋体" w:hAnsi="宋体" w:cs="仿宋"/>
          <w:szCs w:val="21"/>
          <w:highlight w:val="none"/>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2"/>
        <w:spacing w:after="0" w:line="360" w:lineRule="auto"/>
        <w:ind w:left="0" w:firstLine="400" w:firstLineChars="200"/>
        <w:rPr>
          <w:rFonts w:ascii="宋体" w:hAnsi="宋体"/>
          <w:sz w:val="21"/>
          <w:szCs w:val="21"/>
          <w:highlight w:val="none"/>
        </w:rPr>
      </w:pPr>
      <w:r>
        <w:rPr>
          <w:rFonts w:hint="eastAsia" w:ascii="宋体" w:hAnsi="宋体" w:cs="仿宋"/>
          <w:sz w:val="21"/>
          <w:szCs w:val="21"/>
          <w:highlight w:val="none"/>
        </w:rPr>
        <w:t>（四）在乙方因自身原因单方终止本合同的情况下，乙方须退回甲方已经支付的本合同项下乙方未完成和未开始实施项相关费用。</w:t>
      </w:r>
    </w:p>
    <w:p>
      <w:pPr>
        <w:pStyle w:val="2"/>
        <w:numPr>
          <w:ilvl w:val="0"/>
          <w:numId w:val="1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保密条款</w:t>
      </w:r>
    </w:p>
    <w:p>
      <w:pPr>
        <w:pStyle w:val="2"/>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2"/>
        <w:numPr>
          <w:ilvl w:val="0"/>
          <w:numId w:val="1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不可抗力</w:t>
      </w:r>
    </w:p>
    <w:p>
      <w:pPr>
        <w:pStyle w:val="22"/>
        <w:numPr>
          <w:ilvl w:val="0"/>
          <w:numId w:val="33"/>
        </w:numPr>
        <w:spacing w:line="360" w:lineRule="auto"/>
        <w:ind w:left="0" w:firstLine="420"/>
        <w:rPr>
          <w:rFonts w:ascii="宋体" w:hAnsi="宋体" w:eastAsia="宋体" w:cs="仿宋"/>
          <w:szCs w:val="21"/>
          <w:highlight w:val="none"/>
        </w:rPr>
      </w:pPr>
      <w:r>
        <w:rPr>
          <w:rFonts w:hint="eastAsia" w:ascii="宋体" w:hAnsi="宋体" w:eastAsia="宋体" w:cs="仿宋"/>
          <w:szCs w:val="21"/>
          <w:highlight w:val="none"/>
        </w:rPr>
        <w:t>如合同一方延迟履行或未能履行其本合同中列明之义务，但该延迟履行或未能履行是因不可抗力而引起，且在该不可抗力排除后第一时间通知了对方</w:t>
      </w:r>
      <w:r>
        <w:rPr>
          <w:rFonts w:ascii="宋体" w:hAnsi="宋体" w:eastAsia="宋体" w:cs="仿宋"/>
          <w:szCs w:val="21"/>
          <w:highlight w:val="none"/>
        </w:rPr>
        <w:t>,</w:t>
      </w:r>
      <w:r>
        <w:rPr>
          <w:rFonts w:hint="eastAsia" w:ascii="宋体" w:hAnsi="宋体" w:eastAsia="宋体" w:cs="仿宋"/>
          <w:szCs w:val="21"/>
          <w:highlight w:val="none"/>
        </w:rPr>
        <w:t>并提供有效证明，该方不被视为违反本合同。</w:t>
      </w:r>
    </w:p>
    <w:p>
      <w:pPr>
        <w:pStyle w:val="22"/>
        <w:numPr>
          <w:ilvl w:val="0"/>
          <w:numId w:val="33"/>
        </w:numPr>
        <w:spacing w:line="360" w:lineRule="auto"/>
        <w:ind w:left="0" w:firstLine="420"/>
        <w:rPr>
          <w:rFonts w:ascii="宋体" w:hAnsi="宋体" w:eastAsia="宋体" w:cs="仿宋"/>
          <w:szCs w:val="21"/>
          <w:highlight w:val="none"/>
        </w:rPr>
      </w:pPr>
      <w:r>
        <w:rPr>
          <w:rFonts w:hint="eastAsia" w:ascii="宋体" w:hAnsi="宋体" w:eastAsia="宋体" w:cs="仿宋"/>
          <w:szCs w:val="21"/>
          <w:highlight w:val="none"/>
        </w:rPr>
        <w:t>本合同项下的不可抗力是指：无法预见、无法避免且无法克服的客观事实，包括但不限于</w:t>
      </w:r>
      <w:r>
        <w:rPr>
          <w:rFonts w:hint="eastAsia" w:ascii="宋体" w:hAnsi="宋体" w:eastAsia="宋体"/>
          <w:bCs/>
          <w:szCs w:val="21"/>
          <w:highlight w:val="none"/>
        </w:rPr>
        <w:t>战争、罢工、倒闭、暴乱、疾病蔓延、戒严令、火灾、洪水、暴风雨、干旱、火山爆发、爆炸、核或化学事件或辐射、海啸、任何自然灾害</w:t>
      </w:r>
      <w:r>
        <w:rPr>
          <w:rFonts w:hint="eastAsia" w:ascii="宋体" w:hAnsi="宋体" w:eastAsia="宋体" w:cs="仿宋"/>
          <w:szCs w:val="21"/>
          <w:highlight w:val="none"/>
        </w:rPr>
        <w:t>等。</w:t>
      </w:r>
    </w:p>
    <w:p>
      <w:pPr>
        <w:pStyle w:val="2"/>
        <w:numPr>
          <w:ilvl w:val="0"/>
          <w:numId w:val="1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争议解决</w:t>
      </w:r>
    </w:p>
    <w:p>
      <w:pPr>
        <w:snapToGrid w:val="0"/>
        <w:spacing w:line="360" w:lineRule="auto"/>
        <w:ind w:firstLine="420" w:firstLineChars="200"/>
        <w:rPr>
          <w:rFonts w:ascii="宋体" w:hAnsi="宋体" w:cs="仿宋"/>
          <w:szCs w:val="21"/>
          <w:highlight w:val="none"/>
        </w:rPr>
      </w:pPr>
      <w:r>
        <w:rPr>
          <w:rFonts w:hint="eastAsia" w:ascii="宋体" w:hAnsi="宋体" w:cs="仿宋"/>
          <w:szCs w:val="21"/>
          <w:highlight w:val="none"/>
        </w:rPr>
        <w:t>因本合同有关的任何纠纷或争议，双方应协商解决。协商不成的，双方均可向甲方所在地的人民法院提起诉讼。</w:t>
      </w:r>
    </w:p>
    <w:p>
      <w:pPr>
        <w:pStyle w:val="2"/>
        <w:numPr>
          <w:ilvl w:val="0"/>
          <w:numId w:val="1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其他条款</w:t>
      </w:r>
    </w:p>
    <w:p>
      <w:pPr>
        <w:numPr>
          <w:ilvl w:val="0"/>
          <w:numId w:val="34"/>
        </w:numPr>
        <w:snapToGrid w:val="0"/>
        <w:spacing w:line="360" w:lineRule="auto"/>
        <w:ind w:firstLineChars="200"/>
        <w:rPr>
          <w:rFonts w:ascii="宋体" w:hAnsi="宋体" w:cs="仿宋"/>
          <w:szCs w:val="21"/>
          <w:highlight w:val="none"/>
        </w:rPr>
      </w:pPr>
      <w:r>
        <w:rPr>
          <w:rFonts w:hint="eastAsia" w:ascii="宋体" w:hAnsi="宋体" w:cs="仿宋"/>
          <w:szCs w:val="21"/>
          <w:highlight w:val="none"/>
        </w:rPr>
        <w:t>本合同经双方代表人签字并加盖单位公章之日起生效，并在双方履行完成约定事项后终止。</w:t>
      </w:r>
    </w:p>
    <w:p>
      <w:pPr>
        <w:numPr>
          <w:ilvl w:val="0"/>
          <w:numId w:val="34"/>
        </w:numPr>
        <w:snapToGrid w:val="0"/>
        <w:spacing w:line="360" w:lineRule="auto"/>
        <w:ind w:firstLineChars="200"/>
        <w:rPr>
          <w:rFonts w:ascii="宋体" w:hAnsi="宋体" w:cs="仿宋"/>
          <w:szCs w:val="21"/>
          <w:highlight w:val="none"/>
        </w:rPr>
      </w:pPr>
      <w:r>
        <w:rPr>
          <w:rFonts w:hint="eastAsia" w:ascii="宋体" w:hAnsi="宋体" w:cs="仿宋"/>
          <w:szCs w:val="21"/>
          <w:highlight w:val="none"/>
        </w:rPr>
        <w:t>本合同载明的联系方式（包括地址、联系人、电话）为双方约定的联系方式，若有变动，应提前书面告知对方，否则该联系方式为双方法定的送达和联系方式，一经发送至上述地址即视为送达。</w:t>
      </w:r>
    </w:p>
    <w:p>
      <w:pPr>
        <w:pStyle w:val="34"/>
        <w:numPr>
          <w:ilvl w:val="0"/>
          <w:numId w:val="34"/>
        </w:numPr>
        <w:spacing w:line="360" w:lineRule="auto"/>
        <w:rPr>
          <w:rFonts w:ascii="宋体" w:hAnsi="宋体" w:eastAsia="宋体" w:cs="仿宋"/>
          <w:szCs w:val="21"/>
          <w:highlight w:val="none"/>
        </w:rPr>
      </w:pPr>
      <w:bookmarkStart w:id="61" w:name="_Hlk127434820"/>
      <w:r>
        <w:rPr>
          <w:rFonts w:hint="eastAsia" w:ascii="宋体" w:hAnsi="宋体" w:eastAsia="宋体" w:cs="仿宋"/>
          <w:szCs w:val="21"/>
          <w:highlight w:val="none"/>
        </w:rPr>
        <w:t>投标文件中响应及承诺的内容作为本合同不可分割的组成部分，与合同条款具有同等效力；当本合同条款与上述文件内容不一致时，以其中较为严格的要求为准。</w:t>
      </w:r>
      <w:bookmarkEnd w:id="61"/>
    </w:p>
    <w:p>
      <w:pPr>
        <w:numPr>
          <w:ilvl w:val="0"/>
          <w:numId w:val="34"/>
        </w:numPr>
        <w:snapToGrid w:val="0"/>
        <w:spacing w:line="360" w:lineRule="auto"/>
        <w:ind w:firstLineChars="200"/>
        <w:rPr>
          <w:rFonts w:ascii="宋体" w:hAnsi="宋体" w:cs="仿宋"/>
          <w:szCs w:val="21"/>
          <w:highlight w:val="none"/>
        </w:rPr>
      </w:pPr>
      <w:r>
        <w:rPr>
          <w:rFonts w:hint="eastAsia" w:ascii="宋体" w:hAnsi="宋体" w:cs="仿宋"/>
          <w:szCs w:val="21"/>
          <w:highlight w:val="none"/>
        </w:rPr>
        <w:t>本合同未尽事宜，经双方协商另行签订补充协议，本合同的附件及任何补充协议与本合同具有同等法律效力。</w:t>
      </w:r>
    </w:p>
    <w:p>
      <w:pPr>
        <w:numPr>
          <w:ilvl w:val="0"/>
          <w:numId w:val="34"/>
        </w:numPr>
        <w:snapToGrid w:val="0"/>
        <w:spacing w:line="360" w:lineRule="auto"/>
        <w:ind w:firstLineChars="200"/>
        <w:rPr>
          <w:rFonts w:ascii="宋体" w:hAnsi="宋体" w:cs="仿宋"/>
          <w:szCs w:val="21"/>
          <w:highlight w:val="none"/>
        </w:rPr>
      </w:pPr>
      <w:r>
        <w:rPr>
          <w:rFonts w:hint="eastAsia" w:ascii="宋体" w:hAnsi="宋体" w:cs="仿宋"/>
          <w:szCs w:val="21"/>
          <w:highlight w:val="none"/>
        </w:rPr>
        <w:t>本合同一式陆份，甲方执肆份，乙方执贰份，具有同等法律效力。</w:t>
      </w:r>
    </w:p>
    <w:p>
      <w:pPr>
        <w:pStyle w:val="2"/>
        <w:spacing w:after="0" w:line="360" w:lineRule="auto"/>
        <w:ind w:left="0" w:firstLine="420" w:firstLineChars="200"/>
        <w:rPr>
          <w:rFonts w:ascii="宋体" w:hAnsi="宋体" w:cs="仿宋"/>
          <w:b/>
          <w:bCs/>
          <w:sz w:val="21"/>
          <w:szCs w:val="21"/>
        </w:rPr>
      </w:pPr>
      <w:r>
        <w:rPr>
          <w:rFonts w:hint="eastAsia" w:ascii="宋体" w:hAnsi="宋体" w:cs="仿宋"/>
          <w:spacing w:val="0"/>
          <w:kern w:val="2"/>
          <w:sz w:val="21"/>
          <w:szCs w:val="21"/>
          <w:highlight w:val="none"/>
        </w:rPr>
        <w:t>（以下无正</w:t>
      </w:r>
      <w:r>
        <w:rPr>
          <w:rFonts w:hint="eastAsia" w:ascii="宋体" w:hAnsi="宋体" w:cs="仿宋"/>
          <w:spacing w:val="0"/>
          <w:kern w:val="2"/>
          <w:sz w:val="21"/>
          <w:szCs w:val="21"/>
        </w:rPr>
        <w:t>文，为合同签章页）</w:t>
      </w:r>
      <w:r>
        <w:rPr>
          <w:rFonts w:hint="eastAsia" w:ascii="宋体" w:hAnsi="宋体" w:cs="仿宋"/>
          <w:b/>
          <w:bCs/>
          <w:sz w:val="21"/>
          <w:szCs w:val="21"/>
        </w:rPr>
        <w:t xml:space="preserve">    </w:t>
      </w:r>
    </w:p>
    <w:p>
      <w:pPr>
        <w:pStyle w:val="2"/>
        <w:spacing w:line="360" w:lineRule="auto"/>
        <w:rPr>
          <w:rFonts w:ascii="宋体" w:hAnsi="宋体" w:cs="仿宋"/>
          <w:b/>
          <w:bCs/>
          <w:sz w:val="21"/>
          <w:szCs w:val="21"/>
        </w:rPr>
      </w:pPr>
    </w:p>
    <w:p>
      <w:pPr>
        <w:spacing w:line="360" w:lineRule="auto"/>
        <w:ind w:firstLine="560"/>
        <w:rPr>
          <w:rFonts w:ascii="宋体" w:hAnsi="宋体" w:cs="仿宋"/>
          <w:szCs w:val="21"/>
        </w:rPr>
      </w:pPr>
      <w:r>
        <w:rPr>
          <w:rFonts w:hint="eastAsia" w:ascii="宋体" w:hAnsi="宋体" w:cs="宋体"/>
          <w:b/>
          <w:kern w:val="0"/>
          <w:szCs w:val="21"/>
        </w:rPr>
        <w:t>甲  方(盖章)： 深圳会展中心管理有限责任公司</w:t>
      </w:r>
    </w:p>
    <w:p>
      <w:pPr>
        <w:spacing w:line="360" w:lineRule="auto"/>
        <w:ind w:firstLine="560"/>
        <w:rPr>
          <w:rFonts w:ascii="宋体" w:hAnsi="宋体" w:cs="仿宋"/>
          <w:szCs w:val="21"/>
        </w:rPr>
      </w:pPr>
      <w:r>
        <w:rPr>
          <w:rFonts w:hint="eastAsia" w:ascii="宋体" w:hAnsi="宋体" w:cs="仿宋"/>
          <w:szCs w:val="21"/>
        </w:rPr>
        <w:t>法定代表人（签名）：</w:t>
      </w:r>
      <w:r>
        <w:rPr>
          <w:rFonts w:hint="eastAsia" w:ascii="宋体" w:hAnsi="宋体" w:cs="仿宋"/>
          <w:szCs w:val="21"/>
          <w:u w:val="single"/>
        </w:rPr>
        <w:t xml:space="preserve">                  </w:t>
      </w:r>
      <w:r>
        <w:rPr>
          <w:rFonts w:hint="eastAsia" w:ascii="宋体" w:hAnsi="宋体" w:cs="仿宋"/>
          <w:szCs w:val="21"/>
        </w:rPr>
        <w:t xml:space="preserve">   </w:t>
      </w:r>
    </w:p>
    <w:p>
      <w:pPr>
        <w:spacing w:line="360" w:lineRule="auto"/>
        <w:ind w:firstLine="562"/>
        <w:rPr>
          <w:rFonts w:ascii="宋体" w:hAnsi="宋体" w:cs="仿宋"/>
          <w:szCs w:val="21"/>
        </w:rPr>
      </w:pPr>
      <w:r>
        <w:rPr>
          <w:rFonts w:hint="eastAsia" w:ascii="宋体" w:hAnsi="宋体" w:cs="仿宋"/>
          <w:b/>
          <w:bCs/>
          <w:szCs w:val="21"/>
        </w:rPr>
        <w:t>日期：</w:t>
      </w:r>
      <w:r>
        <w:rPr>
          <w:rFonts w:hint="eastAsia" w:ascii="宋体" w:hAnsi="宋体" w:cs="仿宋"/>
          <w:szCs w:val="21"/>
        </w:rPr>
        <w:t xml:space="preserve">      年   月   日      </w:t>
      </w:r>
    </w:p>
    <w:p>
      <w:pPr>
        <w:spacing w:line="360" w:lineRule="auto"/>
        <w:ind w:firstLine="560"/>
        <w:rPr>
          <w:rFonts w:ascii="宋体" w:hAnsi="宋体" w:cs="仿宋"/>
          <w:szCs w:val="21"/>
        </w:rPr>
      </w:pPr>
    </w:p>
    <w:p>
      <w:pPr>
        <w:spacing w:line="360" w:lineRule="auto"/>
        <w:ind w:firstLine="560"/>
        <w:rPr>
          <w:rFonts w:ascii="宋体" w:hAnsi="宋体" w:cs="宋体"/>
          <w:b/>
          <w:kern w:val="0"/>
          <w:szCs w:val="21"/>
        </w:rPr>
      </w:pPr>
      <w:r>
        <w:rPr>
          <w:rFonts w:hint="eastAsia" w:ascii="宋体" w:hAnsi="宋体" w:cs="宋体"/>
          <w:b/>
          <w:kern w:val="0"/>
          <w:szCs w:val="21"/>
        </w:rPr>
        <w:t xml:space="preserve">乙  方（盖章）：  </w:t>
      </w:r>
    </w:p>
    <w:p>
      <w:pPr>
        <w:spacing w:line="360" w:lineRule="auto"/>
        <w:ind w:firstLine="560"/>
        <w:rPr>
          <w:rFonts w:ascii="宋体" w:hAnsi="宋体" w:cs="仿宋"/>
          <w:szCs w:val="21"/>
        </w:rPr>
      </w:pPr>
      <w:r>
        <w:rPr>
          <w:rFonts w:hint="eastAsia" w:ascii="宋体" w:hAnsi="宋体" w:cs="仿宋"/>
          <w:szCs w:val="21"/>
        </w:rPr>
        <w:t>法定代表人/授权代表（签名)：</w:t>
      </w:r>
      <w:r>
        <w:rPr>
          <w:rFonts w:hint="eastAsia" w:ascii="宋体" w:hAnsi="宋体" w:cs="仿宋"/>
          <w:szCs w:val="21"/>
          <w:u w:val="single"/>
        </w:rPr>
        <w:t xml:space="preserve">                  </w:t>
      </w:r>
    </w:p>
    <w:p>
      <w:pPr>
        <w:spacing w:line="360" w:lineRule="auto"/>
        <w:ind w:firstLine="562"/>
        <w:rPr>
          <w:rFonts w:ascii="宋体" w:hAnsi="宋体" w:cs="仿宋"/>
          <w:b/>
          <w:bCs/>
          <w:szCs w:val="21"/>
        </w:rPr>
      </w:pPr>
      <w:r>
        <w:rPr>
          <w:rFonts w:hint="eastAsia" w:ascii="宋体" w:hAnsi="宋体" w:cs="仿宋"/>
          <w:b/>
          <w:bCs/>
          <w:szCs w:val="21"/>
        </w:rPr>
        <w:t xml:space="preserve">日期：      年   月   日       </w:t>
      </w:r>
      <w:r>
        <w:rPr>
          <w:rFonts w:ascii="宋体" w:hAnsi="宋体" w:cs="仿宋"/>
          <w:b/>
          <w:bCs/>
          <w:szCs w:val="21"/>
        </w:rPr>
        <w:br w:type="page"/>
      </w:r>
    </w:p>
    <w:p>
      <w:pPr>
        <w:spacing w:before="312" w:beforeLines="100" w:after="312" w:afterLines="100" w:line="360" w:lineRule="auto"/>
        <w:jc w:val="center"/>
        <w:outlineLvl w:val="0"/>
        <w:rPr>
          <w:rFonts w:ascii="仿宋" w:hAnsi="仿宋" w:eastAsia="仿宋"/>
          <w:sz w:val="32"/>
          <w:szCs w:val="32"/>
        </w:rPr>
      </w:pPr>
      <w:bookmarkStart w:id="62" w:name="_Toc116550359"/>
      <w:r>
        <w:rPr>
          <w:rFonts w:hint="eastAsia"/>
          <w:b/>
          <w:sz w:val="32"/>
          <w:szCs w:val="32"/>
        </w:rPr>
        <w:t>第五部分：参考附件</w:t>
      </w:r>
      <w:bookmarkEnd w:id="62"/>
    </w:p>
    <w:p>
      <w:pPr>
        <w:spacing w:line="0" w:lineRule="atLeast"/>
        <w:outlineLvl w:val="1"/>
        <w:rPr>
          <w:rFonts w:ascii="宋体" w:hAnsi="宋体"/>
        </w:rPr>
      </w:pPr>
      <w:bookmarkStart w:id="63" w:name="_Toc116550360"/>
      <w:r>
        <w:rPr>
          <w:rFonts w:hint="eastAsia" w:ascii="宋体" w:hAnsi="宋体"/>
          <w:szCs w:val="21"/>
        </w:rPr>
        <w:t>附件1：</w:t>
      </w:r>
      <w:r>
        <w:rPr>
          <w:rFonts w:hint="eastAsia" w:ascii="宋体" w:hAnsi="宋体"/>
        </w:rPr>
        <w:t>报名回函</w:t>
      </w:r>
      <w:bookmarkEnd w:id="63"/>
    </w:p>
    <w:p>
      <w:pPr>
        <w:pStyle w:val="11"/>
      </w:pPr>
    </w:p>
    <w:p>
      <w:pPr>
        <w:pStyle w:val="12"/>
        <w:jc w:val="center"/>
        <w:rPr>
          <w:rFonts w:ascii="方正小标宋简体" w:hAnsi="方正小标宋_GBK" w:eastAsia="方正小标宋简体"/>
          <w:sz w:val="32"/>
          <w:szCs w:val="32"/>
        </w:rPr>
      </w:pPr>
      <w:r>
        <w:rPr>
          <w:rStyle w:val="17"/>
          <w:rFonts w:hint="eastAsia" w:ascii="方正小标宋简体" w:hAnsi="方正小标宋_GBK" w:eastAsia="方正小标宋简体"/>
          <w:sz w:val="32"/>
          <w:szCs w:val="32"/>
        </w:rPr>
        <w:t>关于确认参加_________________项目投标的回函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rFonts w:ascii="宋体" w:hAnsi="宋体"/>
          <w:b/>
          <w:sz w:val="21"/>
          <w:szCs w:val="21"/>
        </w:rPr>
      </w:pPr>
    </w:p>
    <w:p>
      <w:pPr>
        <w:pStyle w:val="6"/>
        <w:rPr>
          <w:rFonts w:ascii="宋体" w:hAnsi="宋体"/>
          <w:b/>
          <w:sz w:val="21"/>
          <w:szCs w:val="21"/>
        </w:rPr>
      </w:pPr>
      <w:r>
        <w:rPr>
          <w:rFonts w:hint="eastAsia" w:ascii="宋体" w:hAnsi="宋体"/>
          <w:b/>
          <w:sz w:val="21"/>
          <w:szCs w:val="21"/>
        </w:rPr>
        <w:t>注：1.本件电子档及盖章后的扫描件按要求上传至指定地址；</w:t>
      </w:r>
    </w:p>
    <w:p>
      <w:pPr>
        <w:pStyle w:val="6"/>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6"/>
        <w:rPr>
          <w:b/>
          <w:sz w:val="21"/>
          <w:szCs w:val="21"/>
        </w:rPr>
      </w:pPr>
    </w:p>
    <w:p>
      <w:pPr>
        <w:widowControl/>
        <w:jc w:val="left"/>
        <w:rPr>
          <w:b/>
          <w:szCs w:val="21"/>
        </w:rPr>
      </w:pPr>
      <w:r>
        <w:rPr>
          <w:b/>
          <w:szCs w:val="21"/>
        </w:rPr>
        <w:br w:type="page"/>
      </w:r>
    </w:p>
    <w:p>
      <w:pPr>
        <w:pStyle w:val="6"/>
        <w:rPr>
          <w:b/>
          <w:sz w:val="21"/>
          <w:szCs w:val="21"/>
        </w:rPr>
      </w:pPr>
    </w:p>
    <w:p>
      <w:pPr>
        <w:spacing w:line="0" w:lineRule="atLeast"/>
        <w:outlineLvl w:val="1"/>
        <w:rPr>
          <w:rFonts w:ascii="宋体" w:hAnsi="宋体"/>
          <w:szCs w:val="21"/>
        </w:rPr>
      </w:pPr>
      <w:bookmarkStart w:id="64" w:name="_Toc116550361"/>
      <w:r>
        <w:rPr>
          <w:rFonts w:hint="eastAsia" w:ascii="宋体" w:hAnsi="宋体"/>
          <w:szCs w:val="21"/>
        </w:rPr>
        <w:t>附件2：投标函</w:t>
      </w:r>
      <w:bookmarkEnd w:id="64"/>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5" w:name="_Toc116550362"/>
      <w:r>
        <w:rPr>
          <w:rFonts w:hint="eastAsia" w:ascii="宋体" w:hAnsi="宋体"/>
          <w:szCs w:val="21"/>
        </w:rPr>
        <w:t>附件3：投标一览表</w:t>
      </w:r>
      <w:bookmarkEnd w:id="65"/>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66"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5"/>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144"/>
        <w:gridCol w:w="1290"/>
        <w:gridCol w:w="1680"/>
        <w:gridCol w:w="1755"/>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1144" w:type="dxa"/>
            <w:vAlign w:val="center"/>
          </w:tcPr>
          <w:p>
            <w:pPr>
              <w:spacing w:line="300" w:lineRule="exact"/>
              <w:jc w:val="center"/>
              <w:rPr>
                <w:rFonts w:ascii="宋体" w:hAnsi="宋体"/>
                <w:szCs w:val="21"/>
              </w:rPr>
            </w:pPr>
            <w:r>
              <w:rPr>
                <w:rFonts w:hint="eastAsia" w:ascii="宋体" w:hAnsi="宋体"/>
                <w:szCs w:val="21"/>
              </w:rPr>
              <w:t>税率</w:t>
            </w:r>
          </w:p>
        </w:tc>
        <w:tc>
          <w:tcPr>
            <w:tcW w:w="1290" w:type="dxa"/>
            <w:vAlign w:val="center"/>
          </w:tcPr>
          <w:p>
            <w:pPr>
              <w:spacing w:line="300" w:lineRule="exact"/>
              <w:jc w:val="center"/>
              <w:rPr>
                <w:rFonts w:ascii="宋体" w:hAnsi="宋体"/>
                <w:szCs w:val="21"/>
              </w:rPr>
            </w:pPr>
            <w:r>
              <w:rPr>
                <w:rFonts w:hint="eastAsia" w:ascii="宋体" w:hAnsi="宋体"/>
                <w:szCs w:val="21"/>
              </w:rPr>
              <w:t>税额</w:t>
            </w:r>
          </w:p>
        </w:tc>
        <w:tc>
          <w:tcPr>
            <w:tcW w:w="1680" w:type="dxa"/>
            <w:vAlign w:val="center"/>
          </w:tcPr>
          <w:p>
            <w:pPr>
              <w:spacing w:line="300" w:lineRule="exact"/>
              <w:jc w:val="center"/>
              <w:rPr>
                <w:rFonts w:ascii="宋体" w:hAnsi="宋体"/>
                <w:szCs w:val="21"/>
              </w:rPr>
            </w:pPr>
            <w:r>
              <w:rPr>
                <w:rFonts w:hint="eastAsia" w:ascii="宋体" w:hAnsi="宋体"/>
                <w:szCs w:val="21"/>
              </w:rPr>
              <w:t>含税总金额</w:t>
            </w:r>
          </w:p>
        </w:tc>
        <w:tc>
          <w:tcPr>
            <w:tcW w:w="1755" w:type="dxa"/>
            <w:vAlign w:val="center"/>
          </w:tcPr>
          <w:p>
            <w:pPr>
              <w:spacing w:line="300" w:lineRule="exact"/>
              <w:jc w:val="center"/>
              <w:rPr>
                <w:rFonts w:hint="eastAsia" w:ascii="宋体" w:hAnsi="宋体"/>
                <w:szCs w:val="21"/>
              </w:rPr>
            </w:pPr>
            <w:r>
              <w:rPr>
                <w:rFonts w:hint="eastAsia" w:ascii="宋体" w:hAnsi="宋体"/>
                <w:szCs w:val="21"/>
              </w:rPr>
              <w:t>工期/服务期</w:t>
            </w:r>
          </w:p>
          <w:p>
            <w:pPr>
              <w:spacing w:line="300" w:lineRule="exact"/>
              <w:jc w:val="center"/>
              <w:rPr>
                <w:rFonts w:ascii="宋体" w:hAnsi="宋体"/>
                <w:szCs w:val="21"/>
              </w:rPr>
            </w:pPr>
            <w:r>
              <w:rPr>
                <w:rFonts w:hint="eastAsia" w:ascii="宋体" w:hAnsi="宋体"/>
                <w:szCs w:val="21"/>
              </w:rPr>
              <w:t>（自然日）</w:t>
            </w:r>
          </w:p>
        </w:tc>
        <w:tc>
          <w:tcPr>
            <w:tcW w:w="1999"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1144" w:type="dxa"/>
          </w:tcPr>
          <w:p>
            <w:pPr>
              <w:spacing w:line="360" w:lineRule="auto"/>
              <w:jc w:val="center"/>
              <w:rPr>
                <w:rFonts w:ascii="宋体" w:hAnsi="宋体"/>
                <w:szCs w:val="21"/>
              </w:rPr>
            </w:pPr>
          </w:p>
        </w:tc>
        <w:tc>
          <w:tcPr>
            <w:tcW w:w="1290" w:type="dxa"/>
          </w:tcPr>
          <w:p>
            <w:pPr>
              <w:spacing w:line="360" w:lineRule="auto"/>
              <w:jc w:val="center"/>
              <w:rPr>
                <w:rFonts w:ascii="宋体" w:hAnsi="宋体"/>
                <w:szCs w:val="21"/>
              </w:rPr>
            </w:pPr>
          </w:p>
        </w:tc>
        <w:tc>
          <w:tcPr>
            <w:tcW w:w="1680" w:type="dxa"/>
          </w:tcPr>
          <w:p>
            <w:pPr>
              <w:spacing w:line="360" w:lineRule="auto"/>
              <w:jc w:val="center"/>
              <w:rPr>
                <w:rFonts w:ascii="宋体" w:hAnsi="宋体"/>
                <w:szCs w:val="21"/>
              </w:rPr>
            </w:pPr>
          </w:p>
        </w:tc>
        <w:tc>
          <w:tcPr>
            <w:tcW w:w="1755" w:type="dxa"/>
          </w:tcPr>
          <w:p>
            <w:pPr>
              <w:spacing w:line="360" w:lineRule="auto"/>
              <w:jc w:val="center"/>
              <w:rPr>
                <w:rFonts w:ascii="宋体" w:hAnsi="宋体"/>
                <w:szCs w:val="21"/>
              </w:rPr>
            </w:pPr>
          </w:p>
        </w:tc>
        <w:tc>
          <w:tcPr>
            <w:tcW w:w="1999"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6"/>
          </w:tcPr>
          <w:p>
            <w:pPr>
              <w:spacing w:line="360" w:lineRule="auto"/>
              <w:rPr>
                <w:rFonts w:ascii="宋体" w:hAnsi="宋体"/>
                <w:szCs w:val="21"/>
              </w:rPr>
            </w:pPr>
            <w:r>
              <w:rPr>
                <w:rFonts w:hint="eastAsia" w:ascii="宋体" w:hAnsi="宋体"/>
                <w:szCs w:val="21"/>
              </w:rPr>
              <w:t>投标人备注：</w:t>
            </w:r>
          </w:p>
        </w:tc>
      </w:tr>
      <w:bookmarkEnd w:id="66"/>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hint="eastAsia" w:ascii="宋体" w:hAnsi="宋体" w:eastAsia="宋体"/>
          <w:szCs w:val="21"/>
          <w:lang w:eastAsia="zh-CN"/>
        </w:rPr>
      </w:pPr>
      <w:bookmarkStart w:id="67" w:name="_Toc116550363"/>
      <w:r>
        <w:rPr>
          <w:rFonts w:hint="eastAsia" w:ascii="宋体" w:hAnsi="宋体"/>
          <w:szCs w:val="21"/>
        </w:rPr>
        <w:t>附件4：考察证明</w:t>
      </w:r>
      <w:bookmarkEnd w:id="67"/>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8"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9" w:name="_Hlk116548155"/>
      <w:r>
        <w:rPr>
          <w:rFonts w:hint="eastAsia" w:ascii="仿宋" w:hAnsi="仿宋" w:eastAsia="仿宋"/>
          <w:sz w:val="28"/>
          <w:szCs w:val="28"/>
        </w:rPr>
        <w:t>你单位</w:t>
      </w:r>
      <w:r>
        <w:rPr>
          <w:rFonts w:hint="eastAsia" w:ascii="仿宋" w:hAnsi="仿宋" w:eastAsia="仿宋"/>
          <w:sz w:val="28"/>
          <w:szCs w:val="28"/>
          <w:highlight w:val="none"/>
        </w:rPr>
        <w:t>已于</w:t>
      </w:r>
      <w:r>
        <w:rPr>
          <w:rFonts w:hint="eastAsia" w:ascii="仿宋" w:hAnsi="仿宋" w:eastAsia="仿宋"/>
          <w:b/>
          <w:sz w:val="28"/>
          <w:szCs w:val="28"/>
          <w:highlight w:val="none"/>
          <w:u w:val="single"/>
        </w:rPr>
        <w:t xml:space="preserve">      </w:t>
      </w:r>
      <w:r>
        <w:rPr>
          <w:rFonts w:hint="eastAsia" w:ascii="仿宋" w:hAnsi="仿宋" w:eastAsia="仿宋"/>
          <w:bCs/>
          <w:sz w:val="28"/>
          <w:szCs w:val="28"/>
          <w:highlight w:val="none"/>
        </w:rPr>
        <w:t>年</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月</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日指派专人</w:t>
      </w:r>
      <w:r>
        <w:rPr>
          <w:rFonts w:hint="eastAsia" w:ascii="仿宋" w:hAnsi="仿宋" w:eastAsia="仿宋"/>
          <w:sz w:val="28"/>
          <w:szCs w:val="28"/>
          <w:highlight w:val="none"/>
        </w:rPr>
        <w:t>参加了招标人（深圳会展中心管理有限责任公司）</w:t>
      </w:r>
      <w:r>
        <w:rPr>
          <w:rFonts w:hint="eastAsia" w:ascii="仿宋" w:hAnsi="仿宋" w:eastAsia="仿宋"/>
          <w:b/>
          <w:sz w:val="28"/>
          <w:szCs w:val="28"/>
          <w:highlight w:val="none"/>
        </w:rPr>
        <w:t>关于</w:t>
      </w:r>
      <w:r>
        <w:rPr>
          <w:rFonts w:hint="eastAsia" w:ascii="仿宋" w:hAnsi="仿宋" w:eastAsia="仿宋"/>
          <w:b/>
          <w:sz w:val="28"/>
          <w:szCs w:val="28"/>
          <w:highlight w:val="none"/>
          <w:u w:val="single"/>
        </w:rPr>
        <w:t xml:space="preserve">                           项目</w:t>
      </w:r>
      <w:r>
        <w:rPr>
          <w:rFonts w:hint="eastAsia" w:ascii="仿宋" w:hAnsi="仿宋" w:eastAsia="仿宋"/>
          <w:b/>
          <w:sz w:val="28"/>
          <w:szCs w:val="28"/>
          <w:highlight w:val="none"/>
        </w:rPr>
        <w:t>的现场考察</w:t>
      </w:r>
      <w:r>
        <w:rPr>
          <w:rFonts w:hint="eastAsia" w:ascii="仿宋" w:hAnsi="仿宋" w:eastAsia="仿宋"/>
          <w:sz w:val="28"/>
          <w:szCs w:val="28"/>
          <w:highlight w:val="none"/>
        </w:rPr>
        <w:t>，详</w:t>
      </w:r>
      <w:r>
        <w:rPr>
          <w:rFonts w:hint="eastAsia" w:ascii="仿宋" w:hAnsi="仿宋" w:eastAsia="仿宋"/>
          <w:sz w:val="28"/>
          <w:szCs w:val="28"/>
        </w:rPr>
        <w:t>细听取了招标人的讲解和要求，已经知晓招标人本次项目的所有内容以及技术要求等。</w:t>
      </w:r>
    </w:p>
    <w:bookmarkEnd w:id="69"/>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8"/>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70" w:name="_Toc116550364"/>
      <w:r>
        <w:rPr>
          <w:rFonts w:hint="eastAsia" w:ascii="宋体" w:hAnsi="宋体"/>
          <w:szCs w:val="21"/>
        </w:rPr>
        <w:t>附件5：技术服务响应/偏离表</w:t>
      </w:r>
      <w:bookmarkEnd w:id="70"/>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1" w:name="_Toc211248418"/>
      <w:r>
        <w:rPr>
          <w:rFonts w:hint="eastAsia" w:ascii="方正小标宋_GBK" w:hAnsi="方正小标宋_GBK" w:eastAsia="方正小标宋_GBK"/>
          <w:b/>
          <w:sz w:val="32"/>
          <w:szCs w:val="32"/>
        </w:rPr>
        <w:t>技术服务响应/偏离表</w:t>
      </w:r>
      <w:bookmarkEnd w:id="71"/>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4"/>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72" w:name="_Hlk127434997"/>
      <w:bookmarkStart w:id="73" w:name="_Toc211243320"/>
      <w:r>
        <w:rPr>
          <w:rFonts w:hint="eastAsia" w:ascii="仿宋" w:hAnsi="仿宋" w:eastAsia="仿宋"/>
          <w:sz w:val="30"/>
          <w:szCs w:val="30"/>
        </w:rPr>
        <w:t>法定代表人或其授权委托人（签字或盖章）：</w:t>
      </w:r>
      <w:bookmarkEnd w:id="72"/>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3"/>
      <w:bookmarkStart w:id="74" w:name="_Toc236803114"/>
      <w:bookmarkStart w:id="75" w:name="_Toc246480945"/>
      <w:r>
        <w:rPr>
          <w:rFonts w:ascii="仿宋" w:hAnsi="仿宋" w:eastAsia="仿宋"/>
          <w:sz w:val="28"/>
          <w:szCs w:val="28"/>
        </w:rPr>
        <w:br w:type="page"/>
      </w:r>
    </w:p>
    <w:p>
      <w:pPr>
        <w:spacing w:line="0" w:lineRule="atLeast"/>
        <w:outlineLvl w:val="1"/>
        <w:rPr>
          <w:rFonts w:ascii="宋体" w:hAnsi="宋体"/>
          <w:szCs w:val="21"/>
        </w:rPr>
      </w:pPr>
      <w:bookmarkStart w:id="76" w:name="_Toc116550365"/>
      <w:r>
        <w:rPr>
          <w:rFonts w:hint="eastAsia" w:ascii="宋体" w:hAnsi="宋体"/>
          <w:szCs w:val="21"/>
        </w:rPr>
        <w:t>附件6：商务条款响应/偏离表</w:t>
      </w:r>
      <w:bookmarkEnd w:id="74"/>
      <w:bookmarkEnd w:id="75"/>
      <w:bookmarkEnd w:id="76"/>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7" w:name="_Toc211248420"/>
      <w:r>
        <w:rPr>
          <w:rFonts w:hint="eastAsia" w:ascii="方正小标宋_GBK" w:hAnsi="方正小标宋_GBK" w:eastAsia="方正小标宋_GBK"/>
          <w:b/>
          <w:sz w:val="32"/>
          <w:szCs w:val="32"/>
        </w:rPr>
        <w:t>商务条款响应/偏离表</w:t>
      </w:r>
      <w:bookmarkEnd w:id="77"/>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4"/>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8" w:name="_Toc236803111"/>
      <w:bookmarkStart w:id="79" w:name="_Toc395883088"/>
      <w:bookmarkStart w:id="80" w:name="_Toc478387764"/>
      <w:r>
        <w:rPr>
          <w:rFonts w:ascii="仿宋" w:hAnsi="仿宋" w:eastAsia="仿宋"/>
          <w:sz w:val="28"/>
          <w:szCs w:val="28"/>
        </w:rPr>
        <w:br w:type="page"/>
      </w:r>
    </w:p>
    <w:p>
      <w:pPr>
        <w:spacing w:line="0" w:lineRule="atLeast"/>
        <w:outlineLvl w:val="1"/>
        <w:rPr>
          <w:rFonts w:ascii="宋体" w:hAnsi="宋体"/>
          <w:szCs w:val="21"/>
        </w:rPr>
      </w:pPr>
      <w:bookmarkStart w:id="81" w:name="_Toc116550366"/>
      <w:r>
        <w:rPr>
          <w:rFonts w:hint="eastAsia" w:ascii="宋体" w:hAnsi="宋体"/>
          <w:szCs w:val="21"/>
        </w:rPr>
        <w:t>附件7：报价一览表（货物）</w:t>
      </w:r>
      <w:r>
        <w:rPr>
          <w:rFonts w:hint="eastAsia" w:ascii="宋体" w:hAnsi="宋体"/>
          <w:color w:val="auto"/>
          <w:szCs w:val="21"/>
        </w:rPr>
        <w:t>（本项目不适用）</w:t>
      </w:r>
      <w:bookmarkEnd w:id="81"/>
    </w:p>
    <w:bookmarkEnd w:id="78"/>
    <w:bookmarkEnd w:id="79"/>
    <w:bookmarkEnd w:id="80"/>
    <w:p>
      <w:pPr>
        <w:spacing w:before="120" w:after="240"/>
        <w:jc w:val="center"/>
        <w:rPr>
          <w:rFonts w:ascii="宋体" w:hAnsi="宋体"/>
          <w:b/>
          <w:sz w:val="32"/>
          <w:szCs w:val="32"/>
        </w:rPr>
      </w:pPr>
      <w:bookmarkStart w:id="82" w:name="_Toc211248412"/>
      <w:r>
        <w:rPr>
          <w:rFonts w:hint="eastAsia" w:ascii="方正小标宋_GBK" w:hAnsi="方正小标宋_GBK" w:eastAsia="方正小标宋_GBK"/>
          <w:b/>
          <w:sz w:val="32"/>
          <w:szCs w:val="32"/>
        </w:rPr>
        <w:t>报价一览表</w:t>
      </w:r>
      <w:bookmarkEnd w:id="82"/>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2"/>
        <w:numPr>
          <w:ilvl w:val="1"/>
          <w:numId w:val="37"/>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37"/>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2"/>
        <w:numPr>
          <w:ilvl w:val="1"/>
          <w:numId w:val="37"/>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2"/>
        <w:numPr>
          <w:ilvl w:val="1"/>
          <w:numId w:val="37"/>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83" w:name="_Toc82095917"/>
      <w:bookmarkStart w:id="84" w:name="_Toc82359026"/>
      <w:r>
        <w:rPr>
          <w:rFonts w:hint="eastAsia" w:ascii="仿宋" w:hAnsi="仿宋" w:eastAsia="仿宋"/>
          <w:sz w:val="28"/>
          <w:szCs w:val="28"/>
        </w:rPr>
        <w:t>日期：_________年____月____日</w:t>
      </w:r>
      <w:r>
        <w:rPr>
          <w:rFonts w:ascii="仿宋" w:hAnsi="仿宋" w:eastAsia="仿宋"/>
          <w:sz w:val="28"/>
          <w:szCs w:val="28"/>
        </w:rPr>
        <w:br w:type="page"/>
      </w:r>
    </w:p>
    <w:bookmarkEnd w:id="83"/>
    <w:bookmarkEnd w:id="84"/>
    <w:p>
      <w:pPr>
        <w:spacing w:line="0" w:lineRule="atLeast"/>
        <w:outlineLvl w:val="1"/>
        <w:rPr>
          <w:rFonts w:ascii="宋体" w:hAnsi="宋体"/>
          <w:szCs w:val="21"/>
        </w:rPr>
      </w:pPr>
      <w:bookmarkStart w:id="85" w:name="_Toc116550367"/>
      <w:r>
        <w:rPr>
          <w:rFonts w:hint="eastAsia" w:ascii="宋体" w:hAnsi="宋体"/>
          <w:szCs w:val="21"/>
        </w:rPr>
        <w:t>附件8：报价一览表（服务）</w:t>
      </w:r>
      <w:bookmarkEnd w:id="85"/>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2"/>
        <w:numPr>
          <w:ilvl w:val="1"/>
          <w:numId w:val="38"/>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2"/>
        <w:numPr>
          <w:ilvl w:val="1"/>
          <w:numId w:val="38"/>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2"/>
        <w:numPr>
          <w:ilvl w:val="1"/>
          <w:numId w:val="38"/>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hint="eastAsia" w:ascii="宋体" w:hAnsi="宋体" w:eastAsia="宋体"/>
          <w:szCs w:val="21"/>
          <w:lang w:eastAsia="zh-CN"/>
        </w:rPr>
      </w:pPr>
      <w:bookmarkStart w:id="86" w:name="_Toc116550368"/>
      <w:r>
        <w:rPr>
          <w:rFonts w:hint="eastAsia" w:ascii="宋体" w:hAnsi="宋体"/>
          <w:szCs w:val="21"/>
        </w:rPr>
        <w:t>附件9：报价一览表（工程）</w:t>
      </w:r>
      <w:bookmarkEnd w:id="86"/>
      <w:r>
        <w:rPr>
          <w:rFonts w:hint="eastAsia" w:ascii="宋体" w:hAnsi="宋体" w:eastAsia="宋体"/>
          <w:szCs w:val="21"/>
          <w:lang w:eastAsia="zh-CN"/>
        </w:rPr>
        <w:t>（</w:t>
      </w:r>
      <w:r>
        <w:rPr>
          <w:rFonts w:hint="eastAsia" w:ascii="宋体" w:hAnsi="宋体" w:eastAsia="宋体"/>
          <w:szCs w:val="21"/>
          <w:lang w:val="en-US" w:eastAsia="zh-CN"/>
        </w:rPr>
        <w:t>本项目不适用</w:t>
      </w:r>
      <w:r>
        <w:rPr>
          <w:rFonts w:hint="eastAsia" w:ascii="宋体" w:hAnsi="宋体" w:eastAsia="宋体"/>
          <w:szCs w:val="21"/>
          <w:lang w:eastAsia="zh-CN"/>
        </w:rPr>
        <w:t>）</w:t>
      </w:r>
    </w:p>
    <w:p>
      <w:pPr>
        <w:spacing w:line="0" w:lineRule="atLeast"/>
        <w:outlineLvl w:val="1"/>
        <w:rPr>
          <w:rFonts w:ascii="宋体" w:hAnsi="宋体"/>
          <w:szCs w:val="21"/>
        </w:rPr>
      </w:pP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2"/>
        <w:numPr>
          <w:ilvl w:val="1"/>
          <w:numId w:val="39"/>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39"/>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2"/>
        <w:numPr>
          <w:ilvl w:val="1"/>
          <w:numId w:val="39"/>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2"/>
        <w:numPr>
          <w:ilvl w:val="1"/>
          <w:numId w:val="39"/>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7" w:name="_Toc116550369"/>
      <w:r>
        <w:rPr>
          <w:rFonts w:hint="eastAsia" w:ascii="宋体" w:hAnsi="宋体"/>
          <w:szCs w:val="21"/>
        </w:rPr>
        <w:t>附件10：法定代表人证明书</w:t>
      </w:r>
      <w:bookmarkEnd w:id="87"/>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2"/>
        <w:numPr>
          <w:ilvl w:val="1"/>
          <w:numId w:val="40"/>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2"/>
        <w:numPr>
          <w:ilvl w:val="1"/>
          <w:numId w:val="40"/>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2"/>
        <w:numPr>
          <w:ilvl w:val="1"/>
          <w:numId w:val="40"/>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60288;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1312;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8"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8"/>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2"/>
        <w:numPr>
          <w:ilvl w:val="1"/>
          <w:numId w:val="41"/>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2"/>
        <w:numPr>
          <w:ilvl w:val="1"/>
          <w:numId w:val="41"/>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2"/>
        <w:numPr>
          <w:ilvl w:val="1"/>
          <w:numId w:val="41"/>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01.25pt;z-index:251663360;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Sy2XA1wAAAAcBAAAPAAAAAAAAAAEAIAAAACIAAABkcnMvZG93bnJl&#10;di54bWxQSwECFAAUAAAACACHTuJA+IU3BTcCAACQBAAADgAAAAAAAAABACAAAAAmAQAAZHJzL2Uy&#10;b0RvYy54bWxQSwUGAAAAAAYABgBZAQAAzwU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6.65pt;height:126.75pt;width:198.25pt;z-index:251662336;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TNSa02gAAAAoBAAAPAAAAAAAAAAEAIAAAACIAAABkcnMvZG93&#10;bnJldi54bWxQSwECFAAUAAAACACHTuJAuubjKTcCAACQBAAADgAAAAAAAAABACAAAAApAQAAZHJz&#10;L2Uyb0RvYy54bWxQSwUGAAAAAAYABgBZAQAA0gU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hAnsi="宋体" w:eastAsia="仿宋_GB2312"/>
          <w:color w:val="000000"/>
        </w:rPr>
        <w:br w:type="page"/>
      </w:r>
    </w:p>
    <w:p>
      <w:pPr>
        <w:spacing w:line="0" w:lineRule="atLeast"/>
        <w:outlineLvl w:val="1"/>
        <w:rPr>
          <w:rFonts w:ascii="宋体" w:hAnsi="宋体"/>
          <w:szCs w:val="21"/>
        </w:rPr>
      </w:pPr>
      <w:bookmarkStart w:id="89"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9"/>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4"/>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2"/>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2"/>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2"/>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2"/>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90"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90"/>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91" w:name="_Toc32341"/>
      <w:r>
        <w:rPr>
          <w:rFonts w:ascii="仿宋" w:hAnsi="仿宋" w:eastAsia="仿宋"/>
          <w:sz w:val="28"/>
          <w:szCs w:val="28"/>
        </w:rPr>
        <w:br w:type="page"/>
      </w:r>
    </w:p>
    <w:p>
      <w:pPr>
        <w:spacing w:line="0" w:lineRule="atLeast"/>
        <w:outlineLvl w:val="1"/>
        <w:rPr>
          <w:rFonts w:ascii="宋体" w:hAnsi="宋体"/>
          <w:szCs w:val="21"/>
        </w:rPr>
      </w:pPr>
      <w:bookmarkStart w:id="92"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91"/>
      <w:bookmarkEnd w:id="92"/>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4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4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4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1"/>
      </w:pPr>
    </w:p>
    <w:p>
      <w:pPr>
        <w:spacing w:line="0" w:lineRule="atLeast"/>
        <w:outlineLvl w:val="1"/>
        <w:rPr>
          <w:rFonts w:ascii="宋体" w:hAnsi="宋体"/>
        </w:rPr>
      </w:pPr>
      <w:bookmarkStart w:id="93" w:name="_Toc100848654"/>
      <w:bookmarkStart w:id="94" w:name="_Toc116550374"/>
      <w:r>
        <w:rPr>
          <w:rFonts w:hint="eastAsia" w:ascii="宋体" w:hAnsi="宋体"/>
        </w:rPr>
        <w:t>附件15：投标文件密码</w:t>
      </w:r>
      <w:bookmarkEnd w:id="93"/>
      <w:r>
        <w:rPr>
          <w:rFonts w:hint="eastAsia" w:ascii="宋体" w:hAnsi="宋体"/>
        </w:rPr>
        <w:t>单</w:t>
      </w:r>
      <w:bookmarkEnd w:id="94"/>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5"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5"/>
    </w:p>
    <w:p>
      <w:pPr>
        <w:jc w:val="center"/>
        <w:rPr>
          <w:rFonts w:ascii="宋体" w:hAnsi="宋体"/>
          <w:b/>
          <w:sz w:val="32"/>
          <w:szCs w:val="32"/>
        </w:rPr>
      </w:pPr>
      <w:r>
        <w:rPr>
          <w:rFonts w:hint="eastAsia" w:ascii="宋体" w:hAnsi="宋体"/>
          <w:b/>
          <w:sz w:val="32"/>
          <w:szCs w:val="32"/>
        </w:rPr>
        <w:t>投标文件密码单</w:t>
      </w:r>
    </w:p>
    <w:p>
      <w:pPr>
        <w:pStyle w:val="11"/>
        <w:rPr>
          <w:rFonts w:ascii="仿宋" w:hAnsi="仿宋" w:eastAsia="仿宋"/>
          <w:b/>
          <w:sz w:val="28"/>
          <w:szCs w:val="28"/>
        </w:rPr>
      </w:pP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1"/>
        <w:rPr>
          <w:rFonts w:ascii="仿宋" w:hAnsi="仿宋" w:eastAsia="仿宋"/>
          <w:b/>
          <w:sz w:val="28"/>
          <w:szCs w:val="28"/>
        </w:rPr>
      </w:pPr>
    </w:p>
    <w:p>
      <w:pPr>
        <w:pStyle w:val="11"/>
        <w:rPr>
          <w:rFonts w:ascii="仿宋" w:hAnsi="仿宋" w:eastAsia="仿宋"/>
          <w:b/>
          <w:color w:val="FF0000"/>
          <w:sz w:val="28"/>
          <w:szCs w:val="28"/>
        </w:rPr>
      </w:pPr>
      <w:r>
        <w:rPr>
          <w:rFonts w:hint="eastAsia" w:ascii="仿宋" w:hAnsi="仿宋" w:eastAsia="仿宋"/>
          <w:b/>
          <w:color w:val="FF0000"/>
          <w:sz w:val="28"/>
          <w:szCs w:val="28"/>
        </w:rPr>
        <w:t>【特别注意】</w:t>
      </w:r>
    </w:p>
    <w:p>
      <w:pPr>
        <w:pStyle w:val="11"/>
        <w:numPr>
          <w:ilvl w:val="0"/>
          <w:numId w:val="45"/>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1"/>
        <w:numPr>
          <w:ilvl w:val="0"/>
          <w:numId w:val="45"/>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11"/>
      </w:pPr>
    </w:p>
    <w:p>
      <w:pPr>
        <w:pStyle w:val="11"/>
      </w:pPr>
    </w:p>
    <w:p>
      <w:pPr>
        <w:spacing w:line="360" w:lineRule="auto"/>
        <w:jc w:val="left"/>
        <w:rPr>
          <w:rFonts w:ascii="仿宋" w:hAnsi="仿宋" w:eastAsia="仿宋"/>
          <w:sz w:val="28"/>
          <w:szCs w:val="28"/>
        </w:rPr>
      </w:pPr>
      <w:bookmarkStart w:id="96"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1"/>
      </w:pPr>
      <w:r>
        <w:rPr>
          <w:rFonts w:hint="eastAsia" w:ascii="仿宋" w:hAnsi="仿宋" w:eastAsia="仿宋"/>
          <w:sz w:val="28"/>
          <w:szCs w:val="28"/>
        </w:rPr>
        <w:t>日期：_______年____月___日</w:t>
      </w:r>
      <w:bookmarkEnd w:id="96"/>
    </w:p>
    <w:p>
      <w:pPr>
        <w:pStyle w:val="11"/>
      </w:pPr>
    </w:p>
    <w:sectPr>
      <w:footerReference r:id="rId5" w:type="default"/>
      <w:pgSz w:w="11906" w:h="16838"/>
      <w:pgMar w:top="1134" w:right="1800" w:bottom="993" w:left="1800" w:header="851" w:footer="409"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7797"/>
        <w:tab w:val="clear" w:pos="8306"/>
      </w:tabs>
      <w:ind w:right="-764" w:rightChars="-364"/>
      <w:jc w:val="right"/>
      <w:rPr>
        <w:rFonts w:ascii="宋体" w:hAnsi="宋体" w:cs="宋体"/>
        <w:bCs/>
      </w:rPr>
    </w:pPr>
    <w:bookmarkStart w:id="97" w:name="_Hlk116546062"/>
    <w:bookmarkStart w:id="98" w:name="_Hlk116546063"/>
    <w:r>
      <w:rPr>
        <w:rFonts w:hint="eastAsia"/>
      </w:rPr>
      <w:t>版本号：</w:t>
    </w:r>
    <w:r>
      <w:t xml:space="preserve">V1.2.2   </w:t>
    </w:r>
    <w:r>
      <w:rPr>
        <w:rFonts w:hint="eastAsia" w:ascii="宋体" w:hAnsi="宋体" w:cs="宋体"/>
        <w:bCs/>
      </w:rPr>
      <w:t>发布日期：</w:t>
    </w:r>
    <w:r>
      <w:rPr>
        <w:rFonts w:hint="eastAsia" w:ascii="宋体" w:hAnsi="宋体" w:cs="宋体"/>
        <w:bCs/>
        <w:u w:val="single"/>
      </w:rPr>
      <w:t>2023年4月10日</w:t>
    </w:r>
    <w:bookmarkEnd w:id="97"/>
    <w:bookmarkEnd w:id="9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3">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4">
    <w:nsid w:val="CA690857"/>
    <w:multiLevelType w:val="singleLevel"/>
    <w:tmpl w:val="CA690857"/>
    <w:lvl w:ilvl="0" w:tentative="0">
      <w:start w:val="1"/>
      <w:numFmt w:val="decimal"/>
      <w:lvlText w:val="（%1）"/>
      <w:lvlJc w:val="left"/>
      <w:pPr>
        <w:ind w:left="420" w:hanging="420"/>
      </w:pPr>
      <w:rPr>
        <w:rFonts w:hint="eastAsia"/>
      </w:rPr>
    </w:lvl>
  </w:abstractNum>
  <w:abstractNum w:abstractNumId="5">
    <w:nsid w:val="CF7FE85F"/>
    <w:multiLevelType w:val="singleLevel"/>
    <w:tmpl w:val="CF7FE85F"/>
    <w:lvl w:ilvl="0" w:tentative="0">
      <w:start w:val="1"/>
      <w:numFmt w:val="decimal"/>
      <w:lvlText w:val="%1."/>
      <w:lvlJc w:val="left"/>
      <w:pPr>
        <w:ind w:left="425" w:hanging="425"/>
      </w:pPr>
      <w:rPr>
        <w:rFonts w:hint="default"/>
      </w:rPr>
    </w:lvl>
  </w:abstractNum>
  <w:abstractNum w:abstractNumId="6">
    <w:nsid w:val="D3051835"/>
    <w:multiLevelType w:val="singleLevel"/>
    <w:tmpl w:val="D3051835"/>
    <w:lvl w:ilvl="0" w:tentative="0">
      <w:start w:val="1"/>
      <w:numFmt w:val="decimal"/>
      <w:suff w:val="space"/>
      <w:lvlText w:val="%1."/>
      <w:lvlJc w:val="left"/>
    </w:lvl>
  </w:abstractNum>
  <w:abstractNum w:abstractNumId="7">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8">
    <w:nsid w:val="DAA5A57F"/>
    <w:multiLevelType w:val="singleLevel"/>
    <w:tmpl w:val="DAA5A57F"/>
    <w:lvl w:ilvl="0" w:tentative="0">
      <w:start w:val="1"/>
      <w:numFmt w:val="decimal"/>
      <w:suff w:val="space"/>
      <w:lvlText w:val="%1."/>
      <w:lvlJc w:val="left"/>
    </w:lvl>
  </w:abstractNum>
  <w:abstractNum w:abstractNumId="9">
    <w:nsid w:val="DB4D60E3"/>
    <w:multiLevelType w:val="singleLevel"/>
    <w:tmpl w:val="DB4D60E3"/>
    <w:lvl w:ilvl="0" w:tentative="0">
      <w:start w:val="1"/>
      <w:numFmt w:val="decimal"/>
      <w:suff w:val="space"/>
      <w:lvlText w:val="%1."/>
      <w:lvlJc w:val="left"/>
    </w:lvl>
  </w:abstractNum>
  <w:abstractNum w:abstractNumId="10">
    <w:nsid w:val="EBB28CBD"/>
    <w:multiLevelType w:val="singleLevel"/>
    <w:tmpl w:val="EBB28CBD"/>
    <w:lvl w:ilvl="0" w:tentative="0">
      <w:start w:val="1"/>
      <w:numFmt w:val="decimal"/>
      <w:suff w:val="space"/>
      <w:lvlText w:val="%1."/>
      <w:lvlJc w:val="left"/>
      <w:pPr>
        <w:ind w:left="520" w:firstLine="0"/>
      </w:pPr>
    </w:lvl>
  </w:abstractNum>
  <w:abstractNum w:abstractNumId="11">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2">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3"/>
    <w:multiLevelType w:val="singleLevel"/>
    <w:tmpl w:val="00000013"/>
    <w:lvl w:ilvl="0" w:tentative="0">
      <w:start w:val="1"/>
      <w:numFmt w:val="decimal"/>
      <w:lvlText w:val="%1."/>
      <w:lvlJc w:val="left"/>
      <w:pPr>
        <w:ind w:left="420" w:hanging="420"/>
      </w:pPr>
    </w:lvl>
  </w:abstractNum>
  <w:abstractNum w:abstractNumId="16">
    <w:nsid w:val="11D69C2C"/>
    <w:multiLevelType w:val="singleLevel"/>
    <w:tmpl w:val="11D69C2C"/>
    <w:lvl w:ilvl="0" w:tentative="0">
      <w:start w:val="1"/>
      <w:numFmt w:val="decimal"/>
      <w:suff w:val="space"/>
      <w:lvlText w:val="%1."/>
      <w:lvlJc w:val="left"/>
    </w:lvl>
  </w:abstractNum>
  <w:abstractNum w:abstractNumId="17">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9">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0AB9193"/>
    <w:multiLevelType w:val="singleLevel"/>
    <w:tmpl w:val="20AB9193"/>
    <w:lvl w:ilvl="0" w:tentative="0">
      <w:start w:val="1"/>
      <w:numFmt w:val="decimal"/>
      <w:lvlText w:val="%1."/>
      <w:lvlJc w:val="left"/>
      <w:pPr>
        <w:ind w:left="425" w:hanging="425"/>
      </w:pPr>
      <w:rPr>
        <w:rFonts w:hint="default"/>
      </w:rPr>
    </w:lvl>
  </w:abstractNum>
  <w:abstractNum w:abstractNumId="21">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3">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8E10C89"/>
    <w:multiLevelType w:val="singleLevel"/>
    <w:tmpl w:val="28E10C89"/>
    <w:lvl w:ilvl="0" w:tentative="0">
      <w:start w:val="1"/>
      <w:numFmt w:val="decimal"/>
      <w:suff w:val="space"/>
      <w:lvlText w:val="%1."/>
      <w:lvlJc w:val="left"/>
    </w:lvl>
  </w:abstractNum>
  <w:abstractNum w:abstractNumId="26">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0">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1">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3">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4">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5">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7">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38">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1">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2">
    <w:nsid w:val="6F9E4CC5"/>
    <w:multiLevelType w:val="singleLevel"/>
    <w:tmpl w:val="6F9E4CC5"/>
    <w:lvl w:ilvl="0" w:tentative="0">
      <w:start w:val="1"/>
      <w:numFmt w:val="decimal"/>
      <w:suff w:val="nothing"/>
      <w:lvlText w:val="（%1）"/>
      <w:lvlJc w:val="left"/>
    </w:lvl>
  </w:abstractNum>
  <w:abstractNum w:abstractNumId="43">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num w:numId="1">
    <w:abstractNumId w:val="37"/>
  </w:num>
  <w:num w:numId="2">
    <w:abstractNumId w:val="41"/>
  </w:num>
  <w:num w:numId="3">
    <w:abstractNumId w:val="28"/>
  </w:num>
  <w:num w:numId="4">
    <w:abstractNumId w:val="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38"/>
  </w:num>
  <w:num w:numId="8">
    <w:abstractNumId w:val="31"/>
  </w:num>
  <w:num w:numId="9">
    <w:abstractNumId w:val="17"/>
  </w:num>
  <w:num w:numId="10">
    <w:abstractNumId w:val="6"/>
  </w:num>
  <w:num w:numId="11">
    <w:abstractNumId w:val="25"/>
  </w:num>
  <w:num w:numId="12">
    <w:abstractNumId w:val="14"/>
  </w:num>
  <w:num w:numId="13">
    <w:abstractNumId w:val="19"/>
  </w:num>
  <w:num w:numId="14">
    <w:abstractNumId w:val="27"/>
  </w:num>
  <w:num w:numId="15">
    <w:abstractNumId w:val="42"/>
  </w:num>
  <w:num w:numId="16">
    <w:abstractNumId w:val="8"/>
  </w:num>
  <w:num w:numId="17">
    <w:abstractNumId w:val="32"/>
  </w:num>
  <w:num w:numId="18">
    <w:abstractNumId w:val="29"/>
  </w:num>
  <w:num w:numId="19">
    <w:abstractNumId w:val="10"/>
  </w:num>
  <w:num w:numId="20">
    <w:abstractNumId w:val="20"/>
  </w:num>
  <w:num w:numId="21">
    <w:abstractNumId w:val="5"/>
  </w:num>
  <w:num w:numId="22">
    <w:abstractNumId w:val="39"/>
  </w:num>
  <w:num w:numId="23">
    <w:abstractNumId w:val="16"/>
  </w:num>
  <w:num w:numId="24">
    <w:abstractNumId w:val="34"/>
  </w:num>
  <w:num w:numId="25">
    <w:abstractNumId w:val="3"/>
  </w:num>
  <w:num w:numId="26">
    <w:abstractNumId w:val="22"/>
  </w:num>
  <w:num w:numId="27">
    <w:abstractNumId w:val="1"/>
  </w:num>
  <w:num w:numId="28">
    <w:abstractNumId w:val="9"/>
  </w:num>
  <w:num w:numId="29">
    <w:abstractNumId w:val="7"/>
  </w:num>
  <w:num w:numId="30">
    <w:abstractNumId w:val="43"/>
  </w:num>
  <w:num w:numId="31">
    <w:abstractNumId w:val="0"/>
  </w:num>
  <w:num w:numId="32">
    <w:abstractNumId w:val="2"/>
  </w:num>
  <w:num w:numId="33">
    <w:abstractNumId w:val="30"/>
  </w:num>
  <w:num w:numId="34">
    <w:abstractNumId w:val="11"/>
  </w:num>
  <w:num w:numId="35">
    <w:abstractNumId w:val="13"/>
  </w:num>
  <w:num w:numId="36">
    <w:abstractNumId w:val="12"/>
  </w:num>
  <w:num w:numId="37">
    <w:abstractNumId w:val="40"/>
  </w:num>
  <w:num w:numId="38">
    <w:abstractNumId w:val="33"/>
  </w:num>
  <w:num w:numId="39">
    <w:abstractNumId w:val="26"/>
  </w:num>
  <w:num w:numId="40">
    <w:abstractNumId w:val="23"/>
  </w:num>
  <w:num w:numId="41">
    <w:abstractNumId w:val="35"/>
  </w:num>
  <w:num w:numId="42">
    <w:abstractNumId w:val="21"/>
  </w:num>
  <w:num w:numId="43">
    <w:abstractNumId w:val="15"/>
  </w:num>
  <w:num w:numId="44">
    <w:abstractNumId w:val="36"/>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A77C8"/>
    <w:rsid w:val="000C0416"/>
    <w:rsid w:val="000C45B3"/>
    <w:rsid w:val="000C7053"/>
    <w:rsid w:val="000E3E7C"/>
    <w:rsid w:val="000F16F8"/>
    <w:rsid w:val="000F23B0"/>
    <w:rsid w:val="001052B4"/>
    <w:rsid w:val="001107A5"/>
    <w:rsid w:val="001223CE"/>
    <w:rsid w:val="001238C4"/>
    <w:rsid w:val="0012732B"/>
    <w:rsid w:val="0013213B"/>
    <w:rsid w:val="001356BD"/>
    <w:rsid w:val="0013663B"/>
    <w:rsid w:val="00137AB2"/>
    <w:rsid w:val="00141B72"/>
    <w:rsid w:val="001427DC"/>
    <w:rsid w:val="00151C50"/>
    <w:rsid w:val="00162AA4"/>
    <w:rsid w:val="0017163D"/>
    <w:rsid w:val="001723D2"/>
    <w:rsid w:val="00173C58"/>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16C0"/>
    <w:rsid w:val="002C49F2"/>
    <w:rsid w:val="002E051D"/>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96191"/>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54298"/>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727BD"/>
    <w:rsid w:val="00681577"/>
    <w:rsid w:val="006815B1"/>
    <w:rsid w:val="00687753"/>
    <w:rsid w:val="006942FF"/>
    <w:rsid w:val="006A4FED"/>
    <w:rsid w:val="006B1729"/>
    <w:rsid w:val="006B3970"/>
    <w:rsid w:val="006B4923"/>
    <w:rsid w:val="006C4074"/>
    <w:rsid w:val="006C659A"/>
    <w:rsid w:val="006C7266"/>
    <w:rsid w:val="006C7520"/>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075A"/>
    <w:rsid w:val="00781DFA"/>
    <w:rsid w:val="00782E08"/>
    <w:rsid w:val="00790A8A"/>
    <w:rsid w:val="007933D2"/>
    <w:rsid w:val="007B187E"/>
    <w:rsid w:val="007C02CE"/>
    <w:rsid w:val="007C1095"/>
    <w:rsid w:val="007C3EB8"/>
    <w:rsid w:val="007C50B2"/>
    <w:rsid w:val="007F43E1"/>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8F15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13FF"/>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9653C"/>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364"/>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2B47C4D"/>
    <w:rsid w:val="03EB50FA"/>
    <w:rsid w:val="04450729"/>
    <w:rsid w:val="04D46768"/>
    <w:rsid w:val="04F90B5F"/>
    <w:rsid w:val="053A1CC8"/>
    <w:rsid w:val="05826495"/>
    <w:rsid w:val="063D464A"/>
    <w:rsid w:val="06856661"/>
    <w:rsid w:val="077B4608"/>
    <w:rsid w:val="07BB74B6"/>
    <w:rsid w:val="07D7576E"/>
    <w:rsid w:val="08493DEA"/>
    <w:rsid w:val="086E4EC9"/>
    <w:rsid w:val="08A31E6E"/>
    <w:rsid w:val="08DE6A4B"/>
    <w:rsid w:val="09E42D28"/>
    <w:rsid w:val="0A1172CA"/>
    <w:rsid w:val="0B734A64"/>
    <w:rsid w:val="0B8C5304"/>
    <w:rsid w:val="0C620AB9"/>
    <w:rsid w:val="0CCD3F0E"/>
    <w:rsid w:val="0CDE01F2"/>
    <w:rsid w:val="0DD201F4"/>
    <w:rsid w:val="0EC871E0"/>
    <w:rsid w:val="0F4526B6"/>
    <w:rsid w:val="10091618"/>
    <w:rsid w:val="11803EC2"/>
    <w:rsid w:val="122B7BDE"/>
    <w:rsid w:val="152B64B8"/>
    <w:rsid w:val="15740DA4"/>
    <w:rsid w:val="16426F5B"/>
    <w:rsid w:val="17C85590"/>
    <w:rsid w:val="18191564"/>
    <w:rsid w:val="18243F2C"/>
    <w:rsid w:val="18595DEE"/>
    <w:rsid w:val="195A6BC0"/>
    <w:rsid w:val="1B9A2477"/>
    <w:rsid w:val="1B9C5709"/>
    <w:rsid w:val="1C5670DA"/>
    <w:rsid w:val="1ECB1B8B"/>
    <w:rsid w:val="1F7074E6"/>
    <w:rsid w:val="1F75782B"/>
    <w:rsid w:val="213208C7"/>
    <w:rsid w:val="227A4EED"/>
    <w:rsid w:val="228D0750"/>
    <w:rsid w:val="237F3A5C"/>
    <w:rsid w:val="238A6C9B"/>
    <w:rsid w:val="24786106"/>
    <w:rsid w:val="24B65FD2"/>
    <w:rsid w:val="25A5748F"/>
    <w:rsid w:val="25BE1EBF"/>
    <w:rsid w:val="25D85A3C"/>
    <w:rsid w:val="267E19B6"/>
    <w:rsid w:val="26E95967"/>
    <w:rsid w:val="270A3A67"/>
    <w:rsid w:val="27D55CE6"/>
    <w:rsid w:val="29B95412"/>
    <w:rsid w:val="2A1D36D7"/>
    <w:rsid w:val="2B9E3425"/>
    <w:rsid w:val="2BD84FDD"/>
    <w:rsid w:val="2BED56FE"/>
    <w:rsid w:val="2BF26A65"/>
    <w:rsid w:val="2BFA4386"/>
    <w:rsid w:val="2C357514"/>
    <w:rsid w:val="2CD73EA3"/>
    <w:rsid w:val="2D845ED0"/>
    <w:rsid w:val="2DDF4DAD"/>
    <w:rsid w:val="2E8325DC"/>
    <w:rsid w:val="2EAB6E76"/>
    <w:rsid w:val="30381F4F"/>
    <w:rsid w:val="321B43C1"/>
    <w:rsid w:val="34A05B77"/>
    <w:rsid w:val="354E4284"/>
    <w:rsid w:val="36077775"/>
    <w:rsid w:val="361B1399"/>
    <w:rsid w:val="36EE51AD"/>
    <w:rsid w:val="37097428"/>
    <w:rsid w:val="37A61E5A"/>
    <w:rsid w:val="38AC36F6"/>
    <w:rsid w:val="394A3FAD"/>
    <w:rsid w:val="3AAD7F79"/>
    <w:rsid w:val="3B991A52"/>
    <w:rsid w:val="3BB26AC4"/>
    <w:rsid w:val="3C0E47DF"/>
    <w:rsid w:val="3C35255B"/>
    <w:rsid w:val="3D3679ED"/>
    <w:rsid w:val="3EF942CB"/>
    <w:rsid w:val="408D7227"/>
    <w:rsid w:val="41407E51"/>
    <w:rsid w:val="416718EC"/>
    <w:rsid w:val="41B90FE0"/>
    <w:rsid w:val="42862DEE"/>
    <w:rsid w:val="429E2E51"/>
    <w:rsid w:val="439D7A21"/>
    <w:rsid w:val="43D97719"/>
    <w:rsid w:val="447267E8"/>
    <w:rsid w:val="44E431E5"/>
    <w:rsid w:val="46B30DE6"/>
    <w:rsid w:val="492A4A83"/>
    <w:rsid w:val="495C1F5C"/>
    <w:rsid w:val="4A3B28B3"/>
    <w:rsid w:val="4AF77150"/>
    <w:rsid w:val="4B8B03E4"/>
    <w:rsid w:val="4B9D1085"/>
    <w:rsid w:val="4D9737C8"/>
    <w:rsid w:val="4D9A3F67"/>
    <w:rsid w:val="4DDF67CC"/>
    <w:rsid w:val="4EE12BFB"/>
    <w:rsid w:val="4F6F3AAA"/>
    <w:rsid w:val="50FA6A61"/>
    <w:rsid w:val="51622D7E"/>
    <w:rsid w:val="51794BC1"/>
    <w:rsid w:val="532B0103"/>
    <w:rsid w:val="53490AAF"/>
    <w:rsid w:val="53D25371"/>
    <w:rsid w:val="540F1FD2"/>
    <w:rsid w:val="54333A39"/>
    <w:rsid w:val="561F6663"/>
    <w:rsid w:val="572E5D14"/>
    <w:rsid w:val="572F3796"/>
    <w:rsid w:val="57315BF2"/>
    <w:rsid w:val="57594B93"/>
    <w:rsid w:val="578A17D5"/>
    <w:rsid w:val="594A6990"/>
    <w:rsid w:val="5A2E0F40"/>
    <w:rsid w:val="5E8307E5"/>
    <w:rsid w:val="60475C3F"/>
    <w:rsid w:val="60785544"/>
    <w:rsid w:val="60A60070"/>
    <w:rsid w:val="61A26997"/>
    <w:rsid w:val="622C21AB"/>
    <w:rsid w:val="62D00ABF"/>
    <w:rsid w:val="640C25AF"/>
    <w:rsid w:val="6541126B"/>
    <w:rsid w:val="666B1614"/>
    <w:rsid w:val="66FF6ED0"/>
    <w:rsid w:val="68283D36"/>
    <w:rsid w:val="683A303D"/>
    <w:rsid w:val="68E97B63"/>
    <w:rsid w:val="69E718CB"/>
    <w:rsid w:val="6A5B2F9C"/>
    <w:rsid w:val="6B1E605C"/>
    <w:rsid w:val="6BE130F0"/>
    <w:rsid w:val="6C5E0507"/>
    <w:rsid w:val="6C6B5505"/>
    <w:rsid w:val="6DF67C63"/>
    <w:rsid w:val="6E147427"/>
    <w:rsid w:val="6E3F209B"/>
    <w:rsid w:val="6ED02117"/>
    <w:rsid w:val="6ED74B19"/>
    <w:rsid w:val="701E47AA"/>
    <w:rsid w:val="725336E8"/>
    <w:rsid w:val="72A758ED"/>
    <w:rsid w:val="73AF515A"/>
    <w:rsid w:val="74783A1C"/>
    <w:rsid w:val="74AB354D"/>
    <w:rsid w:val="74B05132"/>
    <w:rsid w:val="75AB3C9B"/>
    <w:rsid w:val="76C52AAF"/>
    <w:rsid w:val="76E063E5"/>
    <w:rsid w:val="772A35DE"/>
    <w:rsid w:val="781B5752"/>
    <w:rsid w:val="798425C1"/>
    <w:rsid w:val="79A35F22"/>
    <w:rsid w:val="79BF662E"/>
    <w:rsid w:val="7A5A2EB4"/>
    <w:rsid w:val="7A751935"/>
    <w:rsid w:val="7B2952F2"/>
    <w:rsid w:val="7CF46BD3"/>
    <w:rsid w:val="7D843DA1"/>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4"/>
    <w:unhideWhenUsed/>
    <w:qFormat/>
    <w:uiPriority w:val="99"/>
    <w:pPr>
      <w:jc w:val="left"/>
    </w:pPr>
  </w:style>
  <w:style w:type="paragraph" w:styleId="4">
    <w:name w:val="toc 3"/>
    <w:basedOn w:val="1"/>
    <w:next w:val="1"/>
    <w:unhideWhenUsed/>
    <w:qFormat/>
    <w:uiPriority w:val="39"/>
    <w:pPr>
      <w:ind w:left="840" w:leftChars="400"/>
    </w:pPr>
  </w:style>
  <w:style w:type="paragraph" w:styleId="5">
    <w:name w:val="Balloon Text"/>
    <w:basedOn w:val="1"/>
    <w:link w:val="26"/>
    <w:semiHidden/>
    <w:unhideWhenUsed/>
    <w:qFormat/>
    <w:uiPriority w:val="99"/>
    <w:rPr>
      <w:sz w:val="18"/>
      <w:szCs w:val="18"/>
    </w:rPr>
  </w:style>
  <w:style w:type="paragraph" w:styleId="6">
    <w:name w:val="footer"/>
    <w:basedOn w:val="1"/>
    <w:link w:val="28"/>
    <w:unhideWhenUsed/>
    <w:qFormat/>
    <w:uiPriority w:val="99"/>
    <w:pPr>
      <w:tabs>
        <w:tab w:val="center" w:pos="4153"/>
        <w:tab w:val="right" w:pos="8306"/>
      </w:tabs>
      <w:snapToGrid w:val="0"/>
      <w:jc w:val="left"/>
    </w:pPr>
    <w:rPr>
      <w:sz w:val="18"/>
      <w:szCs w:val="18"/>
    </w:rPr>
  </w:style>
  <w:style w:type="paragraph" w:styleId="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footnote text"/>
    <w:basedOn w:val="1"/>
    <w:link w:val="33"/>
    <w:semiHidden/>
    <w:unhideWhenUsed/>
    <w:qFormat/>
    <w:uiPriority w:val="99"/>
    <w:pPr>
      <w:snapToGrid w:val="0"/>
      <w:jc w:val="left"/>
    </w:pPr>
    <w:rPr>
      <w:sz w:val="18"/>
      <w:szCs w:val="18"/>
    </w:rPr>
  </w:style>
  <w:style w:type="paragraph" w:styleId="10">
    <w:name w:val="toc 2"/>
    <w:basedOn w:val="1"/>
    <w:next w:val="1"/>
    <w:unhideWhenUsed/>
    <w:qFormat/>
    <w:uiPriority w:val="39"/>
    <w:pPr>
      <w:ind w:left="420" w:leftChars="200"/>
    </w:pPr>
  </w:style>
  <w:style w:type="paragraph" w:styleId="11">
    <w:name w:val="Body Text 2"/>
    <w:basedOn w:val="1"/>
    <w:link w:val="32"/>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30"/>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basedOn w:val="16"/>
    <w:unhideWhenUsed/>
    <w:qFormat/>
    <w:uiPriority w:val="99"/>
    <w:rPr>
      <w:sz w:val="21"/>
      <w:szCs w:val="21"/>
    </w:rPr>
  </w:style>
  <w:style w:type="character" w:styleId="20">
    <w:name w:val="footnote reference"/>
    <w:basedOn w:val="16"/>
    <w:semiHidden/>
    <w:unhideWhenUsed/>
    <w:qFormat/>
    <w:uiPriority w:val="99"/>
    <w:rPr>
      <w:vertAlign w:val="superscript"/>
    </w:rPr>
  </w:style>
  <w:style w:type="character" w:customStyle="1" w:styleId="21">
    <w:name w:val="列表段落 字符"/>
    <w:link w:val="22"/>
    <w:qFormat/>
    <w:uiPriority w:val="34"/>
    <w:rPr>
      <w:rFonts w:ascii="Times New Roman" w:hAnsi="Times New Roman"/>
      <w:szCs w:val="24"/>
    </w:rPr>
  </w:style>
  <w:style w:type="paragraph" w:styleId="22">
    <w:name w:val="List Paragraph"/>
    <w:basedOn w:val="1"/>
    <w:link w:val="21"/>
    <w:qFormat/>
    <w:uiPriority w:val="34"/>
    <w:pPr>
      <w:ind w:firstLine="420" w:firstLineChars="200"/>
    </w:pPr>
    <w:rPr>
      <w:rFonts w:eastAsiaTheme="minorEastAsia" w:cstheme="minorBidi"/>
    </w:rPr>
  </w:style>
  <w:style w:type="character" w:customStyle="1" w:styleId="23">
    <w:name w:val="批注文字 字符"/>
    <w:basedOn w:val="16"/>
    <w:semiHidden/>
    <w:qFormat/>
    <w:uiPriority w:val="99"/>
    <w:rPr>
      <w:rFonts w:ascii="Times New Roman" w:hAnsi="Times New Roman" w:eastAsia="宋体" w:cs="Times New Roman"/>
      <w:szCs w:val="24"/>
    </w:rPr>
  </w:style>
  <w:style w:type="character" w:customStyle="1" w:styleId="24">
    <w:name w:val="批注文字 字符1"/>
    <w:link w:val="3"/>
    <w:qFormat/>
    <w:uiPriority w:val="99"/>
    <w:rPr>
      <w:rFonts w:ascii="Times New Roman" w:hAnsi="Times New Roman" w:eastAsia="宋体" w:cs="Times New Roman"/>
      <w:szCs w:val="24"/>
    </w:rPr>
  </w:style>
  <w:style w:type="paragraph" w:customStyle="1" w:styleId="2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6">
    <w:name w:val="批注框文本 字符"/>
    <w:basedOn w:val="16"/>
    <w:link w:val="5"/>
    <w:semiHidden/>
    <w:qFormat/>
    <w:uiPriority w:val="99"/>
    <w:rPr>
      <w:rFonts w:ascii="Times New Roman" w:hAnsi="Times New Roman" w:eastAsia="宋体" w:cs="Times New Roman"/>
      <w:sz w:val="18"/>
      <w:szCs w:val="18"/>
    </w:rPr>
  </w:style>
  <w:style w:type="character" w:customStyle="1" w:styleId="27">
    <w:name w:val="页眉 字符"/>
    <w:basedOn w:val="16"/>
    <w:link w:val="7"/>
    <w:qFormat/>
    <w:uiPriority w:val="99"/>
    <w:rPr>
      <w:rFonts w:ascii="Times New Roman" w:hAnsi="Times New Roman" w:eastAsia="宋体" w:cs="Times New Roman"/>
      <w:sz w:val="18"/>
      <w:szCs w:val="18"/>
    </w:rPr>
  </w:style>
  <w:style w:type="character" w:customStyle="1" w:styleId="28">
    <w:name w:val="页脚 字符"/>
    <w:basedOn w:val="16"/>
    <w:link w:val="6"/>
    <w:qFormat/>
    <w:uiPriority w:val="99"/>
    <w:rPr>
      <w:rFonts w:ascii="Times New Roman" w:hAnsi="Times New Roman" w:eastAsia="宋体" w:cs="Times New Roman"/>
      <w:sz w:val="18"/>
      <w:szCs w:val="18"/>
    </w:rPr>
  </w:style>
  <w:style w:type="character" w:customStyle="1" w:styleId="29">
    <w:name w:val="标题1"/>
    <w:basedOn w:val="16"/>
    <w:qFormat/>
    <w:uiPriority w:val="0"/>
  </w:style>
  <w:style w:type="character" w:customStyle="1" w:styleId="30">
    <w:name w:val="批注主题 字符"/>
    <w:basedOn w:val="24"/>
    <w:link w:val="13"/>
    <w:semiHidden/>
    <w:qFormat/>
    <w:uiPriority w:val="99"/>
    <w:rPr>
      <w:rFonts w:ascii="Times New Roman" w:hAnsi="Times New Roman" w:eastAsia="宋体" w:cs="Times New Roman"/>
      <w:b/>
      <w:bCs/>
      <w:szCs w:val="24"/>
    </w:r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2">
    <w:name w:val="正文文本 2 字符"/>
    <w:basedOn w:val="16"/>
    <w:link w:val="11"/>
    <w:qFormat/>
    <w:uiPriority w:val="0"/>
    <w:rPr>
      <w:rFonts w:ascii="仿宋_GB2312" w:hAnsi="宋体" w:eastAsia="仿宋_GB2312"/>
      <w:kern w:val="2"/>
      <w:sz w:val="21"/>
      <w:szCs w:val="24"/>
    </w:rPr>
  </w:style>
  <w:style w:type="character" w:customStyle="1" w:styleId="33">
    <w:name w:val="脚注文本 字符"/>
    <w:basedOn w:val="16"/>
    <w:link w:val="9"/>
    <w:semiHidden/>
    <w:qFormat/>
    <w:uiPriority w:val="99"/>
    <w:rPr>
      <w:kern w:val="2"/>
      <w:sz w:val="18"/>
      <w:szCs w:val="18"/>
    </w:rPr>
  </w:style>
  <w:style w:type="paragraph" w:customStyle="1" w:styleId="34">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35">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Template>
  <Pages>30</Pages>
  <Words>2979</Words>
  <Characters>16986</Characters>
  <Lines>141</Lines>
  <Paragraphs>39</Paragraphs>
  <TotalTime>6</TotalTime>
  <ScaleCrop>false</ScaleCrop>
  <LinksUpToDate>false</LinksUpToDate>
  <CharactersWithSpaces>19926</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2022-10-13T02:49:00Z</dcterms:created>
  <dc:creator>Tony Young</dc:creator>
  <cp:lastModifiedBy>宛</cp:lastModifiedBy>
  <dcterms:modified xsi:type="dcterms:W3CDTF">2023-12-18T07:36:36Z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53E30C03B2F54D8088865A9D428C485B</vt:lpwstr>
  </property>
</Properties>
</file>