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bookmarkStart w:id="0" w:name="_Hlk160547384"/>
    </w:p>
    <w:p>
      <w:pPr>
        <w:spacing w:beforeLines="50"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_GBK" w:hAnsi="方正小标宋_GBK" w:eastAsia="方正小标宋_GBK" w:cs="方正小标宋_GBK"/>
          <w:b/>
          <w:sz w:val="32"/>
          <w:szCs w:val="32"/>
        </w:rPr>
        <w:t>深圳会展中心2024年度会议接待椅采购项目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ind w:left="0"/>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2024年3月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1"/>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1"/>
          <w:rFonts w:ascii="宋体" w:hAnsi="宋体" w:cs="仿宋"/>
          <w:bCs/>
        </w:rPr>
        <w:t>一、</w:t>
      </w:r>
      <w:r>
        <w:rPr>
          <w:rStyle w:val="21"/>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1"/>
          <w:rFonts w:ascii="宋体" w:hAnsi="宋体" w:cs="仿宋"/>
          <w:bCs/>
        </w:rPr>
        <w:t>二、</w:t>
      </w:r>
      <w:r>
        <w:rPr>
          <w:rStyle w:val="21"/>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1"/>
          <w:rFonts w:ascii="宋体" w:hAnsi="宋体" w:cs="仿宋"/>
          <w:bCs/>
        </w:rPr>
        <w:t>三、</w:t>
      </w:r>
      <w:r>
        <w:rPr>
          <w:rStyle w:val="21"/>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1"/>
          <w:rFonts w:ascii="宋体" w:hAnsi="宋体" w:cs="仿宋"/>
          <w:bCs/>
        </w:rPr>
        <w:t>四、</w:t>
      </w:r>
      <w:r>
        <w:rPr>
          <w:rStyle w:val="21"/>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1"/>
          <w:rFonts w:ascii="宋体" w:hAnsi="宋体" w:cs="仿宋"/>
          <w:bCs/>
        </w:rPr>
        <w:t>五、</w:t>
      </w:r>
      <w:r>
        <w:rPr>
          <w:rStyle w:val="21"/>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1"/>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1"/>
          <w:rFonts w:ascii="宋体" w:hAnsi="宋体" w:cs="仿宋"/>
          <w:bCs/>
        </w:rPr>
        <w:t>六、</w:t>
      </w:r>
      <w:r>
        <w:rPr>
          <w:rStyle w:val="21"/>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1"/>
          <w:rFonts w:ascii="宋体" w:hAnsi="宋体" w:cs="仿宋"/>
          <w:bCs/>
        </w:rPr>
        <w:t>七、</w:t>
      </w:r>
      <w:r>
        <w:rPr>
          <w:rStyle w:val="21"/>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1"/>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1"/>
          <w:rFonts w:ascii="宋体" w:hAnsi="宋体" w:cs="仿宋"/>
          <w:bCs/>
        </w:rPr>
        <w:t>八、</w:t>
      </w:r>
      <w:r>
        <w:rPr>
          <w:rStyle w:val="21"/>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1"/>
          <w:rFonts w:ascii="宋体" w:hAnsi="宋体"/>
        </w:rPr>
        <w:t>（一）</w:t>
      </w:r>
      <w:r>
        <w:rPr>
          <w:rFonts w:asciiTheme="minorHAnsi" w:hAnsiTheme="minorHAnsi" w:eastAsiaTheme="minorEastAsia" w:cstheme="minorBidi"/>
          <w:szCs w:val="22"/>
        </w:rPr>
        <w:tab/>
      </w:r>
      <w:r>
        <w:rPr>
          <w:rStyle w:val="21"/>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1"/>
          <w:rFonts w:ascii="宋体" w:hAnsi="宋体"/>
          <w:bCs/>
        </w:rPr>
        <w:t>（二）</w:t>
      </w:r>
      <w:r>
        <w:rPr>
          <w:rFonts w:asciiTheme="minorHAnsi" w:hAnsiTheme="minorHAnsi" w:eastAsiaTheme="minorEastAsia" w:cstheme="minorBidi"/>
          <w:szCs w:val="22"/>
        </w:rPr>
        <w:tab/>
      </w:r>
      <w:r>
        <w:rPr>
          <w:rStyle w:val="21"/>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1"/>
          <w:rFonts w:ascii="宋体" w:hAnsi="宋体"/>
          <w:bCs/>
        </w:rPr>
        <w:t>（三）</w:t>
      </w:r>
      <w:r>
        <w:rPr>
          <w:rFonts w:asciiTheme="minorHAnsi" w:hAnsiTheme="minorHAnsi" w:eastAsiaTheme="minorEastAsia" w:cstheme="minorBidi"/>
          <w:szCs w:val="22"/>
        </w:rPr>
        <w:tab/>
      </w:r>
      <w:r>
        <w:rPr>
          <w:rStyle w:val="21"/>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1"/>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1"/>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1"/>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1"/>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1"/>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1"/>
          <w:rFonts w:ascii="宋体" w:hAnsi="宋体"/>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1"/>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1"/>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1"/>
          <w:rFonts w:ascii="宋体" w:hAnsi="宋体"/>
        </w:rPr>
        <w:t>附件7：报价一览表（货物）</w:t>
      </w:r>
      <w:r>
        <w:tab/>
      </w:r>
      <w:r>
        <w:fldChar w:fldCharType="begin"/>
      </w:r>
      <w:r>
        <w:instrText xml:space="preserve"> PAGEREF _Toc116550366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1"/>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1"/>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1"/>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1"/>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1"/>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1"/>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1"/>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1"/>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联系人：区女士</w:t>
            </w:r>
          </w:p>
          <w:p>
            <w:pPr>
              <w:wordWrap w:val="0"/>
              <w:autoSpaceDE w:val="0"/>
              <w:autoSpaceDN w:val="0"/>
              <w:adjustRightInd w:val="0"/>
              <w:snapToGrid w:val="0"/>
              <w:rPr>
                <w:rFonts w:ascii="宋体" w:hAnsi="宋体"/>
                <w:szCs w:val="21"/>
              </w:rPr>
            </w:pPr>
            <w:r>
              <w:rPr>
                <w:rFonts w:hint="eastAsia" w:ascii="宋体" w:hAnsi="宋体"/>
                <w:szCs w:val="21"/>
              </w:rPr>
              <w:t>电话：0755-82848795</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邮箱：ouwx@chtf.com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rPr>
              <w:t>深圳会展中心2024年度会议接待椅采购项目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ind w:firstLine="420" w:firstLineChars="200"/>
              <w:rPr>
                <w:rFonts w:ascii="宋体" w:hAnsi="宋体"/>
                <w:i/>
                <w:color w:val="FF0000"/>
                <w:szCs w:val="21"/>
                <w:highlight w:val="yellow"/>
              </w:rPr>
            </w:pPr>
            <w:bookmarkStart w:id="99" w:name="_GoBack"/>
            <w:r>
              <w:rPr>
                <w:rFonts w:hint="eastAsia" w:ascii="宋体" w:hAnsi="宋体"/>
                <w:szCs w:val="21"/>
              </w:rPr>
              <w:t>为满足接待需求，提高公司品牌形象，将对会议接待椅进行更换。本项目计划按需定制采购接待椅</w:t>
            </w:r>
            <w:r>
              <w:rPr>
                <w:rFonts w:hint="eastAsia" w:ascii="宋体" w:hAnsi="宋体"/>
                <w:szCs w:val="21"/>
                <w:lang w:val="en-US" w:eastAsia="zh-CN"/>
              </w:rPr>
              <w:t>一批</w:t>
            </w:r>
            <w:r>
              <w:rPr>
                <w:rFonts w:hint="eastAsia" w:ascii="宋体" w:hAnsi="宋体"/>
                <w:szCs w:val="21"/>
              </w:rPr>
              <w:t>，现进行自行公开招标，采用综合评分方式，选定符合本项目需求的供应商。</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ascii="宋体" w:hAnsi="宋体"/>
                <w:szCs w:val="21"/>
              </w:rPr>
              <w:t>2</w:t>
            </w:r>
            <w:r>
              <w:rPr>
                <w:rFonts w:hint="eastAsia" w:ascii="宋体" w:hAnsi="宋体"/>
                <w:szCs w:val="21"/>
                <w:lang w:val="en-US" w:eastAsia="zh-CN"/>
              </w:rPr>
              <w:t>0</w:t>
            </w:r>
            <w:r>
              <w:rPr>
                <w:rFonts w:hint="eastAsia" w:ascii="宋体" w:hAnsi="宋体"/>
                <w:szCs w:val="21"/>
              </w:rPr>
              <w:t>个日历日（自接到中标通知书之日起算，</w:t>
            </w:r>
            <w:r>
              <w:rPr>
                <w:rFonts w:hint="eastAsia" w:ascii="宋体" w:hAnsi="宋体" w:cs="仿宋_GB2312"/>
                <w:szCs w:val="21"/>
              </w:rPr>
              <w:t>期间包含材料确认及定样时间</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14  9</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highlight w:val="yellow"/>
              </w:rPr>
              <w:t>https://cg.szcec.com/sharing/ukJpW4Cey</w:t>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1"/>
                <w:rFonts w:ascii="宋体" w:hAnsi="宋体"/>
                <w:color w:val="auto"/>
                <w:szCs w:val="21"/>
              </w:rPr>
              <w:t>https://www.szcec.com/News/index/id/256.html</w:t>
            </w:r>
            <w:r>
              <w:rPr>
                <w:rStyle w:val="21"/>
                <w:rFonts w:ascii="宋体" w:hAnsi="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jc w:val="left"/>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19  9</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19  9</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20  9</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24  9</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highlight w:val="yellow"/>
              </w:rPr>
              <w:t>https://cg.szcec.com/sharing/LzBsileuG</w:t>
            </w:r>
            <w:r>
              <w:rPr>
                <w:rFonts w:hint="eastAsia" w:ascii="宋体" w:hAnsi="宋体"/>
                <w:bCs/>
              </w:rPr>
              <w:t>，</w:t>
            </w:r>
            <w:r>
              <w:rPr>
                <w:rFonts w:hint="eastAsia" w:ascii="宋体" w:hAnsi="宋体"/>
                <w:szCs w:val="21"/>
              </w:rPr>
              <w:t>并致电确认</w:t>
            </w:r>
            <w:bookmarkStart w:id="3" w:name="_Toc478392822"/>
            <w:bookmarkStart w:id="4" w:name="_Toc478110532"/>
            <w:bookmarkStart w:id="5" w:name="_Toc478393187"/>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szCs w:val="21"/>
              </w:rPr>
              <w:t>建议</w:t>
            </w:r>
            <w:r>
              <w:rPr>
                <w:rFonts w:hint="eastAsia" w:ascii="宋体" w:hAnsi="宋体" w:eastAsia="宋体"/>
                <w:b/>
                <w:bCs/>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26  9</w:t>
            </w:r>
            <w:r>
              <w:rPr>
                <w:rFonts w:ascii="宋体" w:hAnsi="宋体"/>
                <w:b/>
                <w:bCs/>
                <w:szCs w:val="21"/>
                <w:highlight w:val="yellow"/>
              </w:rPr>
              <w:t>:</w:t>
            </w:r>
            <w:r>
              <w:rPr>
                <w:rFonts w:hint="eastAsia" w:ascii="宋体" w:hAnsi="宋体"/>
                <w:b/>
                <w:bCs/>
                <w:szCs w:val="21"/>
                <w:highlight w:val="yellow"/>
                <w:lang w:val="en-US" w:eastAsia="zh-CN"/>
              </w:rPr>
              <w:t>3</w:t>
            </w:r>
            <w:r>
              <w:rPr>
                <w:rFonts w:hint="eastAsia" w:ascii="宋体" w:hAnsi="宋体"/>
                <w:b/>
                <w:bCs/>
                <w:szCs w:val="21"/>
                <w:highlight w:val="yellow"/>
              </w:rPr>
              <w:t>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szCs w:val="21"/>
                <w:highlight w:val="yellow"/>
                <w:lang w:val="en-US" w:eastAsia="zh-CN"/>
              </w:rPr>
              <w:t>258-287-147</w:t>
            </w:r>
            <w:r>
              <w:rPr>
                <w:rFonts w:hint="eastAsia" w:ascii="宋体" w:hAnsi="宋体"/>
                <w:szCs w:val="21"/>
              </w:rPr>
              <w:t>（免密，入会前必须改名为“</w:t>
            </w:r>
            <w:r>
              <w:rPr>
                <w:rFonts w:hint="eastAsia" w:ascii="宋体" w:hAnsi="宋体"/>
                <w:b/>
                <w:bCs/>
                <w:szCs w:val="21"/>
              </w:rPr>
              <w:t>公司简称+姓名</w:t>
            </w:r>
            <w:r>
              <w:rPr>
                <w:rFonts w:hint="eastAsia" w:ascii="宋体" w:hAnsi="宋体"/>
                <w:szCs w:val="21"/>
              </w:rPr>
              <w:t>”,会议期间</w:t>
            </w:r>
            <w:r>
              <w:rPr>
                <w:rFonts w:hint="eastAsia" w:ascii="宋体" w:hAnsi="宋体"/>
                <w:b/>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highlight w:val="yellow"/>
              </w:rPr>
              <w:t>https://cg.szcec.com/sharing/6tpMAUJUL</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b/>
                <w:bCs/>
                <w:szCs w:val="21"/>
                <w:highlight w:val="yellow"/>
              </w:rPr>
            </w:pPr>
            <w:r>
              <w:rPr>
                <w:rFonts w:ascii="宋体" w:hAnsi="宋体"/>
                <w:b/>
                <w:bCs/>
                <w:kern w:val="0"/>
                <w:szCs w:val="21"/>
                <w:highlight w:val="yellow"/>
              </w:rPr>
              <w:sym w:font="Wingdings 2" w:char="0052"/>
            </w:r>
            <w:r>
              <w:rPr>
                <w:rFonts w:hint="eastAsia" w:ascii="宋体" w:hAnsi="宋体" w:cstheme="minorBidi"/>
                <w:b/>
                <w:bCs/>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8"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ascii="宋体" w:hAnsi="宋体" w:cs="Segoe UI Symbol"/>
                <w:b/>
                <w:bCs/>
                <w:kern w:val="0"/>
                <w:szCs w:val="21"/>
                <w:highlight w:val="yellow"/>
              </w:rPr>
              <w:sym w:font="Wingdings 2" w:char="0052"/>
            </w:r>
            <w:r>
              <w:rPr>
                <w:rFonts w:hint="eastAsia" w:ascii="宋体" w:hAnsi="宋体" w:cstheme="minorBidi"/>
                <w:b/>
                <w:bCs/>
                <w:kern w:val="0"/>
                <w:szCs w:val="21"/>
                <w:highlight w:val="yellow"/>
              </w:rPr>
              <w:t>不组织</w:t>
            </w:r>
            <w:r>
              <w:rPr>
                <w:rFonts w:hint="eastAsia" w:ascii="宋体" w:hAnsi="宋体" w:cstheme="minorBidi"/>
                <w:kern w:val="0"/>
                <w:szCs w:val="21"/>
              </w:rPr>
              <w:t>。</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□组织，踏勘要求：</w:t>
            </w:r>
          </w:p>
          <w:p>
            <w:pPr>
              <w:pStyle w:val="25"/>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p>
          <w:p>
            <w:pPr>
              <w:pStyle w:val="25"/>
              <w:numPr>
                <w:ilvl w:val="0"/>
                <w:numId w:val="7"/>
              </w:numPr>
              <w:autoSpaceDE w:val="0"/>
              <w:autoSpaceDN w:val="0"/>
              <w:adjustRightInd w:val="0"/>
              <w:snapToGrid w:val="0"/>
              <w:ind w:left="536" w:hanging="536" w:firstLineChars="0"/>
              <w:rPr>
                <w:rFonts w:ascii="宋体" w:hAnsi="宋体" w:eastAsia="宋体" w:cs="Segoe UI Symbol"/>
                <w:b/>
                <w:bCs/>
                <w:kern w:val="0"/>
                <w:szCs w:val="21"/>
                <w:highlight w:val="yellow"/>
              </w:rPr>
            </w:pPr>
            <w:r>
              <w:rPr>
                <w:rFonts w:ascii="宋体" w:hAnsi="宋体" w:eastAsia="宋体" w:cs="Segoe UI Symbol"/>
                <w:b/>
                <w:bCs/>
                <w:kern w:val="0"/>
                <w:szCs w:val="21"/>
                <w:highlight w:val="yellow"/>
              </w:rPr>
              <w:sym w:font="Wingdings 2" w:char="0052"/>
            </w:r>
            <w:r>
              <w:rPr>
                <w:rFonts w:hint="eastAsia" w:ascii="宋体" w:hAnsi="宋体" w:eastAsia="宋体" w:cs="Segoe UI Symbol"/>
                <w:b/>
                <w:bCs/>
                <w:kern w:val="0"/>
                <w:szCs w:val="21"/>
                <w:highlight w:val="yellow"/>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ascii="宋体" w:hAnsi="宋体" w:eastAsia="宋体" w:cs="Segoe UI Symbol"/>
                <w:kern w:val="0"/>
                <w:szCs w:val="21"/>
                <w:u w:val="single"/>
              </w:rPr>
              <w:t>/</w:t>
            </w:r>
            <w:r>
              <w:rPr>
                <w:rFonts w:hint="eastAsia" w:ascii="宋体" w:hAnsi="宋体" w:eastAsia="宋体" w:cs="Segoe UI Symbol"/>
                <w:kern w:val="0"/>
                <w:szCs w:val="21"/>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hint="eastAsia" w:ascii="宋体" w:hAnsi="宋体" w:cs="Segoe UI Symbol"/>
                <w:kern w:val="0"/>
                <w:szCs w:val="21"/>
                <w:u w:val="single"/>
              </w:rPr>
              <w:t>／</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pPr>
            <w:r>
              <w:rPr/>
              <w:sym w:font="Wingdings 2" w:char="00A3"/>
            </w:r>
            <w:r>
              <w:rPr>
                <w:rFonts w:hint="eastAsia"/>
              </w:rPr>
              <w:t>不要求递交投标样品</w:t>
            </w:r>
          </w:p>
          <w:p>
            <w:pPr>
              <w:spacing w:line="0" w:lineRule="atLeast"/>
              <w:outlineLvl w:val="1"/>
              <w:rPr>
                <w:b/>
                <w:bCs/>
                <w:highlight w:val="yellow"/>
              </w:rPr>
            </w:pPr>
            <w:r>
              <w:rPr>
                <w:b/>
                <w:bCs/>
                <w:highlight w:val="yellow"/>
              </w:rPr>
              <w:sym w:font="Wingdings 2" w:char="0052"/>
            </w:r>
            <w:r>
              <w:rPr>
                <w:rFonts w:hint="eastAsia"/>
                <w:b/>
                <w:bCs/>
                <w:highlight w:val="yellow"/>
              </w:rPr>
              <w:t>递交投标样品</w:t>
            </w:r>
          </w:p>
          <w:p>
            <w:pPr>
              <w:spacing w:line="0" w:lineRule="atLeast"/>
              <w:outlineLvl w:val="1"/>
              <w:rPr>
                <w:highlight w:val="yellow"/>
              </w:rPr>
            </w:pPr>
            <w:r>
              <w:rPr>
                <w:rFonts w:hint="eastAsia"/>
                <w:highlight w:val="yellow"/>
                <w:lang w:val="en-US" w:eastAsia="zh-CN"/>
              </w:rPr>
              <w:t>1.</w:t>
            </w:r>
            <w:r>
              <w:rPr>
                <w:rFonts w:hint="eastAsia"/>
                <w:highlight w:val="yellow"/>
              </w:rPr>
              <w:t>具体要求：按项目技术</w:t>
            </w:r>
            <w:r>
              <w:rPr>
                <w:highlight w:val="yellow"/>
              </w:rPr>
              <w:t>/服务需求</w:t>
            </w:r>
            <w:r>
              <w:rPr>
                <w:rFonts w:hint="eastAsia"/>
                <w:highlight w:val="yellow"/>
              </w:rPr>
              <w:t>自行提供样品（样品包含但不限于：椅子实样</w:t>
            </w:r>
            <w:r>
              <w:rPr>
                <w:rFonts w:hint="eastAsia"/>
                <w:highlight w:val="yellow"/>
                <w:lang w:val="en-US" w:eastAsia="zh-CN"/>
              </w:rPr>
              <w:t>各</w:t>
            </w:r>
            <w:r>
              <w:rPr>
                <w:rFonts w:hint="eastAsia"/>
                <w:highlight w:val="yellow"/>
              </w:rPr>
              <w:t>1把，所用管材、</w:t>
            </w:r>
            <w:r>
              <w:rPr>
                <w:rFonts w:hint="eastAsia"/>
                <w:highlight w:val="yellow"/>
                <w:lang w:val="en-US" w:eastAsia="zh-CN"/>
              </w:rPr>
              <w:t>木材、</w:t>
            </w:r>
            <w:r>
              <w:rPr>
                <w:rFonts w:hint="eastAsia"/>
                <w:highlight w:val="yellow"/>
              </w:rPr>
              <w:t>海绵</w:t>
            </w:r>
            <w:r>
              <w:rPr>
                <w:rFonts w:hint="eastAsia"/>
                <w:highlight w:val="yellow"/>
                <w:lang w:eastAsia="zh-CN"/>
              </w:rPr>
              <w:t>、</w:t>
            </w:r>
            <w:r>
              <w:rPr>
                <w:rFonts w:hint="eastAsia"/>
                <w:highlight w:val="yellow"/>
                <w:lang w:val="en-US" w:eastAsia="zh-CN"/>
              </w:rPr>
              <w:t>覆面面料</w:t>
            </w:r>
            <w:r>
              <w:rPr>
                <w:rFonts w:hint="eastAsia"/>
                <w:highlight w:val="yellow"/>
              </w:rPr>
              <w:t>等主要材质样品）。材质样品提供小样，尺寸不限，便于评委评审即可，样品须采用高质耐用的自封口密封袋封装，加盖投标人公章。</w:t>
            </w:r>
          </w:p>
          <w:p>
            <w:pPr>
              <w:tabs>
                <w:tab w:val="left" w:pos="531"/>
              </w:tabs>
              <w:snapToGrid w:val="0"/>
              <w:rPr>
                <w:highlight w:val="yellow"/>
              </w:rPr>
            </w:pPr>
            <w:r>
              <w:rPr>
                <w:rFonts w:hint="eastAsia"/>
                <w:highlight w:val="yellow"/>
                <w:lang w:val="en-US" w:eastAsia="zh-CN"/>
              </w:rPr>
              <w:t>2.</w:t>
            </w:r>
            <w:r>
              <w:rPr>
                <w:rFonts w:hint="eastAsia"/>
                <w:highlight w:val="yellow"/>
              </w:rPr>
              <w:t>特别注意：投标样品属投标文件中不可分割的一部分，投标人须确保投标样品于投标文件递交截止时间前投递或送达至招标人指定地点，并致电确认。如因投标样品投递不及时造成的一切不利影响由投标人负责。</w:t>
            </w:r>
          </w:p>
          <w:p>
            <w:pPr>
              <w:tabs>
                <w:tab w:val="left" w:pos="531"/>
              </w:tabs>
              <w:snapToGrid w:val="0"/>
              <w:rPr>
                <w:rFonts w:hint="eastAsia"/>
                <w:highlight w:val="yellow"/>
              </w:rPr>
            </w:pPr>
            <w:r>
              <w:rPr>
                <w:rFonts w:hint="eastAsia"/>
                <w:highlight w:val="yellow"/>
                <w:lang w:val="en-US" w:eastAsia="zh-CN"/>
              </w:rPr>
              <w:t>3.</w:t>
            </w:r>
            <w:r>
              <w:rPr>
                <w:rFonts w:hint="eastAsia"/>
                <w:highlight w:val="yellow"/>
              </w:rPr>
              <w:t>投递信息：</w:t>
            </w:r>
          </w:p>
          <w:p>
            <w:pPr>
              <w:tabs>
                <w:tab w:val="left" w:pos="531"/>
              </w:tabs>
              <w:snapToGrid w:val="0"/>
              <w:rPr>
                <w:rFonts w:hint="eastAsia" w:eastAsia="宋体"/>
                <w:highlight w:val="yellow"/>
                <w:lang w:eastAsia="zh-CN"/>
              </w:rPr>
            </w:pPr>
            <w:r>
              <w:rPr>
                <w:rFonts w:hint="eastAsia"/>
                <w:highlight w:val="yellow"/>
              </w:rPr>
              <w:t>1</w:t>
            </w:r>
            <w:r>
              <w:rPr>
                <w:rFonts w:hint="eastAsia"/>
                <w:highlight w:val="yellow"/>
                <w:lang w:eastAsia="zh-CN"/>
              </w:rPr>
              <w:t>）</w:t>
            </w:r>
            <w:r>
              <w:rPr>
                <w:rFonts w:hint="eastAsia"/>
                <w:highlight w:val="yellow"/>
              </w:rPr>
              <w:t>地址：深圳会展中心管理有限责任公司北三门岗亭</w:t>
            </w:r>
            <w:r>
              <w:rPr>
                <w:rFonts w:hint="eastAsia"/>
                <w:highlight w:val="yellow"/>
                <w:lang w:eastAsia="zh-CN"/>
              </w:rPr>
              <w:t>。</w:t>
            </w:r>
          </w:p>
          <w:p>
            <w:pPr>
              <w:tabs>
                <w:tab w:val="left" w:pos="531"/>
              </w:tabs>
              <w:snapToGrid w:val="0"/>
              <w:ind w:firstLine="0" w:firstLineChars="0"/>
              <w:rPr>
                <w:rFonts w:hint="eastAsia" w:eastAsia="宋体"/>
                <w:highlight w:val="yellow"/>
                <w:lang w:eastAsia="zh-CN"/>
              </w:rPr>
            </w:pPr>
            <w:r>
              <w:rPr>
                <w:rFonts w:hint="eastAsia"/>
                <w:highlight w:val="yellow"/>
              </w:rPr>
              <w:t>2</w:t>
            </w:r>
            <w:r>
              <w:rPr>
                <w:rFonts w:hint="eastAsia"/>
                <w:highlight w:val="yellow"/>
                <w:lang w:eastAsia="zh-CN"/>
              </w:rPr>
              <w:t>）</w:t>
            </w:r>
            <w:r>
              <w:rPr>
                <w:rFonts w:hint="eastAsia"/>
                <w:highlight w:val="yellow"/>
              </w:rPr>
              <w:t>收件人：采购业务部（区女士）</w:t>
            </w:r>
            <w:r>
              <w:rPr>
                <w:rFonts w:hint="eastAsia"/>
                <w:highlight w:val="yellow"/>
                <w:lang w:eastAsia="zh-CN"/>
              </w:rPr>
              <w:t>。</w:t>
            </w:r>
          </w:p>
          <w:p>
            <w:pPr>
              <w:autoSpaceDE w:val="0"/>
              <w:autoSpaceDN w:val="0"/>
              <w:adjustRightInd w:val="0"/>
              <w:snapToGrid w:val="0"/>
              <w:ind w:firstLine="0" w:firstLineChars="0"/>
              <w:jc w:val="left"/>
              <w:rPr>
                <w:highlight w:val="yellow"/>
              </w:rPr>
            </w:pPr>
            <w:r>
              <w:rPr>
                <w:rFonts w:hint="eastAsia"/>
                <w:highlight w:val="yellow"/>
              </w:rPr>
              <w:t>3</w:t>
            </w:r>
            <w:r>
              <w:rPr>
                <w:rFonts w:hint="eastAsia"/>
                <w:highlight w:val="yellow"/>
                <w:lang w:eastAsia="zh-CN"/>
              </w:rPr>
              <w:t>）</w:t>
            </w:r>
            <w:r>
              <w:rPr>
                <w:rFonts w:hint="eastAsia"/>
                <w:highlight w:val="yellow"/>
              </w:rPr>
              <w:t>联系电话：0755-82848795。</w:t>
            </w:r>
          </w:p>
          <w:p>
            <w:pPr>
              <w:pStyle w:val="2"/>
              <w:ind w:left="0" w:leftChars="0" w:firstLine="0" w:firstLineChars="0"/>
            </w:pPr>
            <w:r>
              <w:rPr>
                <w:rFonts w:hint="eastAsia"/>
                <w:highlight w:val="yellow"/>
              </w:rPr>
              <w:t>4</w:t>
            </w:r>
            <w:r>
              <w:rPr>
                <w:rFonts w:hint="eastAsia"/>
                <w:highlight w:val="yellow"/>
                <w:lang w:eastAsia="zh-CN"/>
              </w:rPr>
              <w:t>）</w:t>
            </w:r>
            <w:r>
              <w:rPr>
                <w:rFonts w:hint="eastAsia"/>
                <w:highlight w:val="yellow"/>
              </w:rPr>
              <w:t>递交样品时间：于2024年3月</w:t>
            </w:r>
            <w:r>
              <w:rPr>
                <w:rFonts w:hint="eastAsia"/>
                <w:highlight w:val="yellow"/>
                <w:lang w:val="en-US" w:eastAsia="zh-CN"/>
              </w:rPr>
              <w:t>24</w:t>
            </w:r>
            <w:r>
              <w:rPr>
                <w:rFonts w:hint="eastAsia"/>
                <w:highlight w:val="yellow"/>
              </w:rPr>
              <w:t>号</w:t>
            </w:r>
            <w:r>
              <w:rPr>
                <w:rFonts w:hint="eastAsia"/>
                <w:highlight w:val="yellow"/>
                <w:lang w:val="en-US" w:eastAsia="zh-CN"/>
              </w:rPr>
              <w:t>9</w:t>
            </w:r>
            <w:r>
              <w:rPr>
                <w:rFonts w:hint="eastAsia"/>
                <w:highlight w:val="yellow"/>
              </w:rPr>
              <w:t>点截止。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7" w:name="_Toc82684706"/>
      <w:bookmarkEnd w:id="7"/>
      <w:bookmarkStart w:id="8" w:name="_Toc82684591"/>
      <w:bookmarkEnd w:id="8"/>
      <w:bookmarkStart w:id="9" w:name="_Toc82591925"/>
      <w:bookmarkEnd w:id="9"/>
      <w:bookmarkStart w:id="10" w:name="_Toc82685541"/>
      <w:bookmarkEnd w:id="10"/>
      <w:bookmarkStart w:id="11" w:name="_Toc82685540"/>
      <w:bookmarkEnd w:id="11"/>
      <w:bookmarkStart w:id="12" w:name="_Toc82684590"/>
      <w:bookmarkEnd w:id="12"/>
      <w:bookmarkStart w:id="13" w:name="_Toc82591927"/>
      <w:bookmarkEnd w:id="13"/>
      <w:bookmarkStart w:id="14" w:name="_Toc82684704"/>
      <w:bookmarkEnd w:id="14"/>
      <w:bookmarkStart w:id="15" w:name="_Toc82591926"/>
      <w:bookmarkEnd w:id="15"/>
      <w:bookmarkStart w:id="16" w:name="_Toc82684589"/>
      <w:bookmarkEnd w:id="16"/>
      <w:bookmarkStart w:id="17" w:name="_Toc82591928"/>
      <w:bookmarkEnd w:id="17"/>
      <w:bookmarkStart w:id="18" w:name="_Toc82684588"/>
      <w:bookmarkEnd w:id="18"/>
      <w:bookmarkStart w:id="19" w:name="_Toc82684703"/>
      <w:bookmarkEnd w:id="19"/>
      <w:bookmarkStart w:id="20" w:name="_Toc82685543"/>
      <w:bookmarkEnd w:id="20"/>
      <w:bookmarkStart w:id="21" w:name="_Toc82685542"/>
      <w:bookmarkEnd w:id="21"/>
      <w:bookmarkStart w:id="22" w:name="_Toc82684705"/>
      <w:bookmarkEnd w:id="22"/>
      <w:bookmarkStart w:id="23" w:name="_Toc116550346"/>
      <w:r>
        <w:rPr>
          <w:rFonts w:hint="eastAsia" w:ascii="宋体" w:hAnsi="宋体"/>
          <w:b/>
          <w:szCs w:val="21"/>
        </w:rPr>
        <w:t>特别说明</w:t>
      </w:r>
      <w:bookmarkEnd w:id="23"/>
    </w:p>
    <w:p>
      <w:pPr>
        <w:pStyle w:val="25"/>
        <w:numPr>
          <w:ilvl w:val="0"/>
          <w:numId w:val="9"/>
        </w:numPr>
        <w:spacing w:line="360" w:lineRule="auto"/>
        <w:ind w:left="0" w:firstLine="420" w:firstLineChars="0"/>
        <w:rPr>
          <w:rFonts w:ascii="宋体" w:hAnsi="宋体" w:eastAsia="宋体" w:cs="宋体"/>
          <w:szCs w:val="21"/>
        </w:rPr>
      </w:pPr>
      <w:bookmarkStart w:id="24" w:name="_Toc478387747"/>
      <w:bookmarkStart w:id="25" w:name="_Toc45028463"/>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8"/>
      <w:bookmarkEnd w:id="27"/>
      <w:bookmarkStart w:id="28" w:name="_Toc82591930"/>
      <w:bookmarkEnd w:id="28"/>
      <w:bookmarkStart w:id="29" w:name="_Toc82684593"/>
      <w:bookmarkEnd w:id="29"/>
      <w:bookmarkStart w:id="30" w:name="_Toc82685545"/>
      <w:bookmarkEnd w:id="30"/>
      <w:bookmarkStart w:id="31" w:name="_Toc82684708"/>
      <w:bookmarkEnd w:id="31"/>
      <w:bookmarkStart w:id="32" w:name="_Toc82591989"/>
      <w:bookmarkEnd w:id="32"/>
      <w:bookmarkStart w:id="33" w:name="_Toc82591985"/>
      <w:bookmarkEnd w:id="33"/>
      <w:bookmarkStart w:id="34" w:name="_Toc82591987"/>
      <w:bookmarkEnd w:id="34"/>
      <w:bookmarkStart w:id="35" w:name="_Toc82591986"/>
      <w:bookmarkEnd w:id="35"/>
      <w:bookmarkStart w:id="36" w:name="_Toc116550347"/>
      <w:r>
        <w:rPr>
          <w:rFonts w:hint="eastAsia" w:ascii="宋体" w:hAnsi="宋体"/>
          <w:b/>
          <w:szCs w:val="21"/>
        </w:rPr>
        <w:t>投标文件编制</w:t>
      </w:r>
      <w:bookmarkEnd w:id="36"/>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8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141"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555"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732"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6042"/>
        <w:gridCol w:w="705"/>
        <w:gridCol w:w="69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rPr>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tabs>
                <w:tab w:val="left" w:pos="531"/>
              </w:tabs>
              <w:snapToGrid w:val="0"/>
              <w:spacing w:line="360" w:lineRule="auto"/>
              <w:ind w:left="-1"/>
            </w:pPr>
            <w:r>
              <w:rPr>
                <w:rFonts w:hint="eastAsia" w:ascii="宋体" w:hAnsi="宋体" w:cs="仿宋_GB2312"/>
                <w:szCs w:val="21"/>
              </w:rPr>
              <w:t>（2）投标人代表必须是投标单位的法定代表人或持有法定代表人亲自签署的法人授权委托证明书的人员。（提供法定代表人证明书、法人授权委托证明书及法定代表人、被委托人身份证扫描件并加盖投标人公章；如投标人法定代表人为本项目授权代表，则仅提供法定代表人证明书及身份证复印件，各证明书须加盖公章，身份证原件备查）。</w:t>
            </w:r>
          </w:p>
          <w:p>
            <w:pPr>
              <w:tabs>
                <w:tab w:val="left" w:pos="531"/>
              </w:tabs>
              <w:snapToGrid w:val="0"/>
              <w:spacing w:line="360" w:lineRule="auto"/>
              <w:ind w:left="-1"/>
              <w:rPr>
                <w:rFonts w:ascii="宋体" w:hAnsi="宋体" w:cs="仿宋_GB2312"/>
                <w:szCs w:val="21"/>
                <w:highlight w:val="none"/>
              </w:rPr>
            </w:pPr>
            <w:r>
              <w:rPr>
                <w:rFonts w:hint="eastAsia" w:ascii="宋体" w:hAnsi="宋体" w:cs="仿宋_GB2312"/>
                <w:szCs w:val="21"/>
              </w:rPr>
              <w:t>（3）投标</w:t>
            </w:r>
            <w:r>
              <w:rPr>
                <w:rFonts w:hint="eastAsia" w:ascii="宋体" w:hAnsi="宋体" w:cs="仿宋_GB2312"/>
                <w:szCs w:val="21"/>
                <w:highlight w:val="none"/>
              </w:rPr>
              <w:t>人必须是同类家具直接生产厂家。投标人须提供经营范围网页截图（形式不限）并加盖公章。</w:t>
            </w:r>
          </w:p>
          <w:p>
            <w:pPr>
              <w:tabs>
                <w:tab w:val="left" w:pos="531"/>
              </w:tabs>
              <w:snapToGrid w:val="0"/>
              <w:spacing w:line="360" w:lineRule="auto"/>
              <w:ind w:left="-1"/>
              <w:rPr>
                <w:rFonts w:ascii="宋体" w:hAnsi="宋体" w:cs="仿宋_GB2312"/>
                <w:szCs w:val="21"/>
              </w:rPr>
            </w:pPr>
            <w:r>
              <w:rPr>
                <w:rFonts w:hint="eastAsia" w:ascii="宋体" w:hAnsi="宋体" w:cs="仿宋_GB2312"/>
                <w:szCs w:val="21"/>
                <w:highlight w:val="none"/>
              </w:rPr>
              <w:t>（4）投标人最少提供3份时间自</w:t>
            </w:r>
            <w:bookmarkStart w:id="38" w:name="OLE_LINK1"/>
            <w:r>
              <w:rPr>
                <w:rFonts w:ascii="宋体" w:hAnsi="宋体" w:cs="仿宋_GB2312"/>
                <w:szCs w:val="21"/>
                <w:highlight w:val="none"/>
              </w:rPr>
              <w:t>2021</w:t>
            </w:r>
            <w:r>
              <w:rPr>
                <w:rFonts w:hint="eastAsia" w:ascii="宋体" w:hAnsi="宋体" w:cs="仿宋_GB2312"/>
                <w:szCs w:val="21"/>
                <w:highlight w:val="none"/>
              </w:rPr>
              <w:t>年</w:t>
            </w:r>
            <w:r>
              <w:rPr>
                <w:rFonts w:ascii="宋体" w:hAnsi="宋体" w:cs="仿宋_GB2312"/>
                <w:szCs w:val="21"/>
                <w:highlight w:val="none"/>
              </w:rPr>
              <w:t>3</w:t>
            </w:r>
            <w:r>
              <w:rPr>
                <w:rFonts w:hint="eastAsia" w:ascii="宋体" w:hAnsi="宋体" w:cs="仿宋_GB2312"/>
                <w:szCs w:val="21"/>
                <w:highlight w:val="none"/>
              </w:rPr>
              <w:t>月1日至今（截止至招标文件发布之日）</w:t>
            </w:r>
            <w:r>
              <w:rPr>
                <w:rFonts w:hint="eastAsia"/>
                <w:highlight w:val="none"/>
              </w:rPr>
              <w:t>同类别宴会家具且单笔合同金额为</w:t>
            </w:r>
            <w:r>
              <w:rPr>
                <w:highlight w:val="none"/>
              </w:rPr>
              <w:t>80</w:t>
            </w:r>
            <w:r>
              <w:rPr>
                <w:rFonts w:hint="eastAsia"/>
                <w:highlight w:val="none"/>
              </w:rPr>
              <w:t>万元以上的业绩</w:t>
            </w:r>
            <w:bookmarkEnd w:id="38"/>
            <w:r>
              <w:rPr>
                <w:rFonts w:hint="eastAsia" w:ascii="宋体" w:hAnsi="宋体" w:cs="仿宋_GB2312"/>
                <w:szCs w:val="21"/>
                <w:highlight w:val="none"/>
              </w:rPr>
              <w:t>。投标人须提供合同关键页复印件（合同关键页包含但不限于：项目名称、业主方名称</w:t>
            </w:r>
            <w:r>
              <w:rPr>
                <w:rFonts w:hint="eastAsia" w:ascii="宋体" w:hAnsi="宋体" w:cs="仿宋_GB2312"/>
                <w:szCs w:val="21"/>
              </w:rPr>
              <w:t>、合同主要内容、合同金额、签订时间、甲乙双方盖章等信息）、结算发票复印件并加盖投标人公章。</w:t>
            </w:r>
          </w:p>
          <w:p>
            <w:pPr>
              <w:tabs>
                <w:tab w:val="left" w:pos="531"/>
              </w:tabs>
              <w:snapToGrid w:val="0"/>
              <w:spacing w:line="360" w:lineRule="auto"/>
              <w:ind w:left="-1"/>
              <w:rPr>
                <w:rFonts w:ascii="宋体" w:hAnsi="宋体" w:cs="宋体"/>
                <w:color w:val="FF0000"/>
                <w:spacing w:val="-5"/>
                <w:highlight w:val="yellow"/>
              </w:rPr>
            </w:pPr>
            <w:r>
              <w:rPr>
                <w:rFonts w:hint="eastAsia" w:ascii="宋体" w:hAnsi="宋体" w:cs="仿宋_GB2312"/>
                <w:szCs w:val="21"/>
              </w:rPr>
              <w:t>（</w:t>
            </w:r>
            <w:r>
              <w:rPr>
                <w:rFonts w:ascii="宋体" w:hAnsi="宋体" w:cs="仿宋_GB2312"/>
                <w:szCs w:val="21"/>
              </w:rPr>
              <w:t>5</w:t>
            </w:r>
            <w:r>
              <w:rPr>
                <w:rFonts w:hint="eastAsia" w:ascii="宋体" w:hAnsi="宋体" w:cs="仿宋_GB2312"/>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1</w:t>
            </w:r>
            <w:r>
              <w:rPr>
                <w:rFonts w:hint="eastAsia" w:ascii="宋体" w:hAnsi="宋体" w:cs="仿宋_GB2312"/>
                <w:szCs w:val="21"/>
              </w:rPr>
              <w:t>）报价以人民币为结算币种，《投标一览表》应包含税率、税额、未税及含税总金额。</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2</w:t>
            </w:r>
            <w:r>
              <w:rPr>
                <w:rFonts w:hint="eastAsia" w:ascii="宋体" w:hAnsi="宋体" w:cs="仿宋_GB2312"/>
                <w:szCs w:val="21"/>
              </w:rPr>
              <w:t>）投标报价不得出现可选择性的报价</w:t>
            </w:r>
            <w:r>
              <w:rPr>
                <w:rFonts w:ascii="宋体" w:hAnsi="宋体" w:cs="仿宋_GB2312"/>
                <w:szCs w:val="21"/>
              </w:rPr>
              <w:t>,含有备选方案的报价将导致废标。</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3）本项目为全包价，包含但不仅限于人工费、材料费、设计费、税费、安装费、现场搬运费、运输装卸费、成品保护费、检测费、打样费、仓储费等一切完成本项目可能发生的全部费用。招标人不再支付其他任何费用。</w:t>
            </w:r>
          </w:p>
          <w:p>
            <w:pPr>
              <w:tabs>
                <w:tab w:val="left" w:pos="531"/>
              </w:tabs>
              <w:snapToGrid w:val="0"/>
              <w:spacing w:line="360" w:lineRule="auto"/>
              <w:ind w:left="-1"/>
              <w:rPr>
                <w:color w:val="FF0000"/>
                <w:spacing w:val="-5"/>
                <w:highlight w:val="yellow"/>
              </w:rPr>
            </w:pPr>
            <w:r>
              <w:rPr>
                <w:rFonts w:hint="eastAsia" w:ascii="宋体" w:hAnsi="宋体" w:cs="仿宋_GB2312"/>
                <w:szCs w:val="21"/>
              </w:rPr>
              <w:t>（4）本次投标的费用由投标人自理。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（1）本项目采购控制总金额为人民币</w:t>
            </w:r>
            <w:r>
              <w:rPr>
                <w:rFonts w:hint="default" w:ascii="宋体" w:hAnsi="宋体" w:cs="仿宋_GB2312"/>
                <w:szCs w:val="21"/>
                <w:lang w:val="en-US"/>
              </w:rPr>
              <w:t>85</w:t>
            </w:r>
            <w:r>
              <w:rPr>
                <w:rFonts w:hint="eastAsia" w:ascii="宋体" w:hAnsi="宋体" w:cs="仿宋_GB2312"/>
                <w:szCs w:val="21"/>
              </w:rPr>
              <w:t>万元（含增值税），按实结算</w:t>
            </w:r>
            <w:r>
              <w:rPr>
                <w:rFonts w:hint="eastAsia"/>
              </w:rPr>
              <w:t>，报价超过上述控制金额的投标文件作废标处理</w:t>
            </w:r>
            <w:r>
              <w:rPr>
                <w:rFonts w:hint="eastAsia" w:ascii="宋体" w:hAnsi="宋体" w:cs="仿宋_GB2312"/>
                <w:szCs w:val="21"/>
              </w:rPr>
              <w:t>。</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（2）本项目</w:t>
            </w:r>
            <w:r>
              <w:rPr>
                <w:rFonts w:ascii="宋体" w:hAnsi="宋体" w:cs="仿宋_GB2312"/>
                <w:szCs w:val="21"/>
              </w:rPr>
              <w:t>投标</w:t>
            </w:r>
            <w:r>
              <w:rPr>
                <w:rFonts w:hint="eastAsia" w:ascii="宋体" w:hAnsi="宋体" w:cs="仿宋_GB2312"/>
                <w:szCs w:val="21"/>
              </w:rPr>
              <w:t>单</w:t>
            </w:r>
            <w:r>
              <w:rPr>
                <w:rFonts w:ascii="宋体" w:hAnsi="宋体" w:cs="仿宋_GB2312"/>
                <w:szCs w:val="21"/>
              </w:rPr>
              <w:t>价不得</w:t>
            </w:r>
            <w:r>
              <w:rPr>
                <w:rFonts w:hint="eastAsia" w:ascii="宋体" w:hAnsi="宋体" w:cs="仿宋_GB2312"/>
                <w:szCs w:val="21"/>
              </w:rPr>
              <w:t>高于《附件</w:t>
            </w:r>
            <w:r>
              <w:rPr>
                <w:rFonts w:ascii="宋体" w:hAnsi="宋体" w:cs="仿宋_GB2312"/>
                <w:szCs w:val="21"/>
              </w:rPr>
              <w:t>7：报价一览表（货物）</w:t>
            </w:r>
            <w:r>
              <w:rPr>
                <w:rFonts w:hint="eastAsia" w:ascii="宋体" w:hAnsi="宋体" w:cs="仿宋_GB2312"/>
                <w:szCs w:val="21"/>
              </w:rPr>
              <w:t>》中最高控制单价（含税）</w:t>
            </w:r>
            <w:r>
              <w:rPr>
                <w:rFonts w:ascii="宋体" w:hAnsi="宋体" w:cs="仿宋_GB2312"/>
                <w:szCs w:val="21"/>
              </w:rPr>
              <w:t>，报价超过上述控制</w:t>
            </w:r>
            <w:r>
              <w:rPr>
                <w:rFonts w:hint="eastAsia" w:ascii="宋体" w:hAnsi="宋体" w:cs="仿宋_GB2312"/>
                <w:szCs w:val="21"/>
              </w:rPr>
              <w:t>价格</w:t>
            </w:r>
            <w:r>
              <w:rPr>
                <w:rFonts w:ascii="宋体" w:hAnsi="宋体" w:cs="仿宋_GB2312"/>
                <w:szCs w:val="21"/>
              </w:rPr>
              <w:t>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1）本项目</w:t>
            </w:r>
            <w:r>
              <w:rPr>
                <w:rFonts w:hint="eastAsia" w:ascii="宋体" w:hAnsi="宋体" w:cs="宋体"/>
                <w:szCs w:val="21"/>
              </w:rPr>
              <w:t>全部货物验收合格后出具验收报告，招标人据实结算付款金额，一次性支付实际结算金额97%款项。</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2）实际结算金额3%作为质量保证金，</w:t>
            </w:r>
            <w:r>
              <w:rPr>
                <w:rFonts w:hint="eastAsia" w:ascii="宋体" w:hAnsi="宋体" w:cs="仿宋_GB2312"/>
                <w:szCs w:val="21"/>
              </w:rPr>
              <w:t>待质保期满、无质量和遗留问题，且完成罚金、违约金等清算后，一次性无息付清（质量保证期为期</w:t>
            </w:r>
            <w:r>
              <w:rPr>
                <w:rFonts w:ascii="宋体" w:hAnsi="宋体" w:cs="仿宋_GB2312"/>
                <w:szCs w:val="21"/>
              </w:rPr>
              <w:t>1</w:t>
            </w:r>
            <w:r>
              <w:rPr>
                <w:rFonts w:hint="eastAsia" w:ascii="宋体" w:hAnsi="宋体" w:cs="仿宋_GB2312"/>
                <w:szCs w:val="21"/>
              </w:rPr>
              <w:t>年，自验收合格之日起开始计算）。</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3）本项目实际结算金额为实际验收合格数量乘</w:t>
            </w:r>
            <w:r>
              <w:rPr>
                <w:rFonts w:hint="eastAsia" w:ascii="宋体" w:hAnsi="宋体" w:cs="仿宋_GB2312"/>
                <w:szCs w:val="21"/>
              </w:rPr>
              <w:t>合同单价（即中标单价）。</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4）如招标人需要增补采购，中标单位必须按照中标价格结算，不得以任何理由提高价格。</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5）招标人支付款项前，中标单位须提供全额或相应金额有效</w:t>
            </w:r>
            <w:r>
              <w:rPr>
                <w:rFonts w:hint="eastAsia" w:ascii="宋体" w:hAnsi="宋体" w:cs="仿宋_GB2312"/>
                <w:szCs w:val="21"/>
              </w:rPr>
              <w:t>、合法增值税专用发票。因中标单位不及时或未按照要求提供有效的正规发票导致招标人延期付款，招标人不承担任何责任。</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6）有关付款详细事宜以合同条款为准。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cs="宋体"/>
                <w:szCs w:val="21"/>
              </w:rPr>
            </w:pPr>
            <w:r>
              <w:rPr>
                <w:rFonts w:hint="eastAsia" w:ascii="Times New Roman" w:hAnsi="Times New Roman" w:eastAsia="宋体"/>
              </w:rPr>
              <w:t>工期</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cs="仿宋_GB2312"/>
                <w:szCs w:val="21"/>
              </w:rPr>
            </w:pPr>
            <w:r>
              <w:rPr>
                <w:rFonts w:ascii="宋体" w:hAnsi="宋体" w:cs="仿宋_GB2312"/>
                <w:szCs w:val="21"/>
                <w:highlight w:val="none"/>
              </w:rPr>
              <w:t>2</w:t>
            </w:r>
            <w:r>
              <w:rPr>
                <w:rFonts w:hint="eastAsia" w:ascii="宋体" w:hAnsi="宋体" w:cs="仿宋_GB2312"/>
                <w:szCs w:val="21"/>
                <w:highlight w:val="none"/>
              </w:rPr>
              <w:t>0</w:t>
            </w:r>
            <w:r>
              <w:rPr>
                <w:rFonts w:hint="eastAsia" w:ascii="宋体" w:hAnsi="宋体" w:cs="仿宋_GB2312"/>
                <w:szCs w:val="21"/>
              </w:rPr>
              <w:t>个日历日（自接到中标通知书之日起算，期间包含材料确认及定样时间）</w:t>
            </w:r>
          </w:p>
        </w:tc>
        <w:tc>
          <w:tcPr>
            <w:tcW w:w="78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eastAsia="宋体"/>
              </w:rPr>
            </w:pPr>
            <w:r>
              <w:rPr>
                <w:rFonts w:hint="eastAsia" w:ascii="Times New Roman" w:hAnsi="Times New Roman" w:eastAsia="宋体"/>
              </w:rPr>
              <w:t>不可</w:t>
            </w:r>
          </w:p>
          <w:p>
            <w:pPr>
              <w:pStyle w:val="13"/>
              <w:jc w:val="center"/>
              <w:rPr>
                <w:rFonts w:ascii="宋体" w:cs="宋体"/>
                <w:szCs w:val="21"/>
              </w:rPr>
            </w:pPr>
            <w:r>
              <w:rPr>
                <w:rFonts w:hint="eastAsia" w:ascii="Times New Roman" w:hAnsi="Times New Roman" w:eastAsia="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验收要求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1）招标人根据中标单位投标文件所述及合同所约定的全部技术标准、中标单位所供材料小样及成品封样，对中标单位交付的</w:t>
            </w:r>
            <w:r>
              <w:rPr>
                <w:rFonts w:hint="eastAsia" w:ascii="宋体" w:hAnsi="宋体" w:cs="仿宋_GB2312"/>
                <w:szCs w:val="21"/>
              </w:rPr>
              <w:t>批量产品各项技术参数进行验收。中标单位所交</w:t>
            </w:r>
            <w:r>
              <w:rPr>
                <w:rFonts w:hint="eastAsia"/>
              </w:rPr>
              <w:t>批量产品各项参数等级应等同或优于封样标准。</w:t>
            </w:r>
          </w:p>
          <w:p>
            <w:pPr>
              <w:tabs>
                <w:tab w:val="left" w:pos="531"/>
              </w:tabs>
              <w:snapToGrid w:val="0"/>
              <w:spacing w:line="360" w:lineRule="auto"/>
              <w:ind w:left="-1"/>
              <w:rPr>
                <w:rFonts w:ascii="宋体" w:cs="仿宋_GB2312"/>
                <w:szCs w:val="21"/>
              </w:rPr>
            </w:pPr>
            <w:r>
              <w:rPr>
                <w:rFonts w:hint="eastAsia" w:ascii="宋体" w:hAnsi="宋体" w:cs="仿宋_GB2312"/>
                <w:szCs w:val="21"/>
              </w:rPr>
              <w:t>（</w:t>
            </w:r>
            <w:r>
              <w:rPr>
                <w:rFonts w:ascii="宋体" w:hAnsi="宋体" w:cs="仿宋_GB2312"/>
                <w:szCs w:val="21"/>
              </w:rPr>
              <w:t>2）中标单位须</w:t>
            </w:r>
            <w:r>
              <w:rPr>
                <w:rFonts w:hint="eastAsia" w:ascii="宋体" w:hAnsi="宋体" w:cs="仿宋_GB2312"/>
                <w:szCs w:val="21"/>
              </w:rPr>
              <w:t>提供由有资质的第三方质检机构出具的关于本项目所用材料的包含必要检测项的《产品质量检测报告》，必要检测项要求包括但不限于如下方面：甲醛释放量检测、力学性能检测、安全性检测。</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质保期</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1）本项目要求质保期最低为</w:t>
            </w:r>
            <w:r>
              <w:rPr>
                <w:rFonts w:hint="eastAsia" w:ascii="宋体" w:hAnsi="宋体" w:cs="仿宋_GB2312"/>
                <w:szCs w:val="21"/>
              </w:rPr>
              <w:t>1年，自验收合格之日起计。</w:t>
            </w:r>
          </w:p>
          <w:p>
            <w:pPr>
              <w:tabs>
                <w:tab w:val="left" w:pos="531"/>
              </w:tabs>
              <w:snapToGrid w:val="0"/>
              <w:spacing w:line="360" w:lineRule="auto"/>
              <w:ind w:left="-1"/>
              <w:rPr>
                <w:rFonts w:ascii="宋体" w:cs="仿宋_GB2312"/>
                <w:szCs w:val="21"/>
              </w:rPr>
            </w:pPr>
            <w:r>
              <w:rPr>
                <w:rFonts w:hint="eastAsia" w:ascii="宋体" w:hAnsi="宋体" w:cs="仿宋_GB2312"/>
                <w:szCs w:val="21"/>
              </w:rPr>
              <w:t>（</w:t>
            </w:r>
            <w:r>
              <w:rPr>
                <w:rFonts w:ascii="宋体" w:hAnsi="宋体" w:cs="仿宋_GB2312"/>
                <w:szCs w:val="21"/>
              </w:rPr>
              <w:t>2）质保期内非因招标人的人为原因而出现质量问题的，由中标单位负责包修、包换或者包退，并承担由此产生的一切费用。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cs="宋体"/>
                <w:szCs w:val="21"/>
              </w:rPr>
            </w:pPr>
            <w:r>
              <w:rPr>
                <w:rFonts w:hint="eastAsia" w:ascii="Times New Roman" w:hAnsi="Times New Roman" w:eastAsia="宋体"/>
              </w:rPr>
              <w:t>售后服务</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1）投标人提供《附件13：售后服务承诺书（质量保证服务承诺书）》。</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2）售后服务内容包括但不限于：</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2-1）质保期内及期满后出现质量问题的保修承诺；</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2-2）提交免费保修期年限承诺；提供24小时保修服务电话、联系人、责任人；</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2-3）响应时间要求：中标单位接到招标人需求电话后，须在2小时内响应、6小时内到达现场、24小时以内解决问题，以保证用户的正常使用。</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2-4）质保期满后，中标单位须配合招标人继续提供质保服务，但可视实际情况收取维修成本费用。</w:t>
            </w:r>
          </w:p>
        </w:tc>
        <w:tc>
          <w:tcPr>
            <w:tcW w:w="78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eastAsia="宋体"/>
              </w:rPr>
            </w:pPr>
            <w:r>
              <w:rPr>
                <w:rFonts w:hint="eastAsia" w:ascii="Times New Roman" w:hAnsi="Times New Roman" w:eastAsia="宋体"/>
              </w:rPr>
              <w:t>不可</w:t>
            </w:r>
          </w:p>
          <w:p>
            <w:pPr>
              <w:pStyle w:val="13"/>
              <w:jc w:val="center"/>
              <w:rPr>
                <w:rFonts w:ascii="宋体" w:cs="宋体"/>
                <w:szCs w:val="21"/>
              </w:rPr>
            </w:pPr>
            <w:r>
              <w:rPr>
                <w:rFonts w:hint="eastAsia" w:ascii="Times New Roman" w:hAnsi="Times New Roman" w:eastAsia="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2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042"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单位</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数量</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b/>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Cs w:val="21"/>
                <w:highlight w:val="none"/>
                <w:lang w:val="en-US" w:eastAsia="zh-CN"/>
              </w:rPr>
            </w:pPr>
            <w:r>
              <w:rPr>
                <w:rFonts w:hint="eastAsia"/>
                <w:highlight w:val="none"/>
              </w:rPr>
              <w:t>接待椅</w:t>
            </w:r>
            <w:r>
              <w:rPr>
                <w:rFonts w:hint="eastAsia"/>
                <w:highlight w:val="none"/>
                <w:lang w:val="en-US" w:eastAsia="zh-CN"/>
              </w:rPr>
              <w:t>1</w:t>
            </w:r>
          </w:p>
        </w:tc>
        <w:tc>
          <w:tcPr>
            <w:tcW w:w="6042"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tabs>
                <w:tab w:val="left" w:pos="531"/>
              </w:tabs>
              <w:snapToGrid w:val="0"/>
              <w:spacing w:line="360" w:lineRule="auto"/>
              <w:ind w:left="0"/>
              <w:jc w:val="left"/>
              <w:rPr>
                <w:rFonts w:hint="eastAsia" w:ascii="宋体" w:hAnsi="宋体" w:eastAsia="宋体" w:cs="仿宋_GB2312"/>
                <w:szCs w:val="21"/>
                <w:highlight w:val="none"/>
                <w:lang w:val="en-US" w:eastAsia="zh-CN"/>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1</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预估尺寸</w:t>
            </w:r>
            <w:r>
              <w:rPr>
                <w:rFonts w:hint="eastAsia" w:ascii="宋体" w:hAnsi="宋体" w:cs="仿宋_GB2312"/>
                <w:szCs w:val="21"/>
                <w:highlight w:val="none"/>
              </w:rPr>
              <w:t>：520mm×</w:t>
            </w:r>
            <w:r>
              <w:rPr>
                <w:rFonts w:ascii="宋体" w:hAnsi="宋体" w:cs="仿宋_GB2312"/>
                <w:szCs w:val="21"/>
                <w:highlight w:val="none"/>
              </w:rPr>
              <w:t>460</w:t>
            </w:r>
            <w:r>
              <w:rPr>
                <w:rFonts w:hint="eastAsia" w:ascii="宋体" w:hAnsi="宋体" w:cs="仿宋_GB2312"/>
                <w:szCs w:val="21"/>
                <w:highlight w:val="none"/>
              </w:rPr>
              <w:t>mm×</w:t>
            </w:r>
            <w:r>
              <w:rPr>
                <w:rFonts w:ascii="宋体" w:hAnsi="宋体" w:cs="仿宋_GB2312"/>
                <w:szCs w:val="21"/>
                <w:highlight w:val="none"/>
              </w:rPr>
              <w:t>890</w:t>
            </w:r>
            <w:r>
              <w:rPr>
                <w:rFonts w:hint="eastAsia" w:ascii="宋体" w:hAnsi="宋体" w:cs="仿宋_GB2312"/>
                <w:szCs w:val="21"/>
                <w:highlight w:val="none"/>
              </w:rPr>
              <w:t>mm（长*宽*高）</w:t>
            </w:r>
            <w:r>
              <w:rPr>
                <w:rFonts w:hint="eastAsia" w:ascii="宋体" w:hAnsi="宋体" w:cs="仿宋_GB2312"/>
                <w:szCs w:val="21"/>
                <w:highlight w:val="none"/>
                <w:lang w:eastAsia="zh-CN"/>
              </w:rPr>
              <w:t>。</w:t>
            </w:r>
          </w:p>
          <w:p>
            <w:pPr>
              <w:widowControl/>
              <w:numPr>
                <w:ilvl w:val="-1"/>
                <w:numId w:val="0"/>
              </w:numPr>
              <w:tabs>
                <w:tab w:val="left" w:pos="531"/>
              </w:tabs>
              <w:snapToGrid w:val="0"/>
              <w:spacing w:line="360" w:lineRule="auto"/>
              <w:ind w:left="0"/>
              <w:jc w:val="left"/>
              <w:rPr>
                <w:rFonts w:ascii="宋体" w:hAnsi="宋体" w:cs="仿宋_GB2312"/>
                <w:szCs w:val="21"/>
                <w:highlight w:val="none"/>
              </w:rPr>
            </w:pPr>
            <w:r>
              <w:rPr>
                <w:rFonts w:hint="eastAsia" w:ascii="宋体" w:hAnsi="宋体" w:cs="仿宋_GB2312"/>
                <w:szCs w:val="21"/>
                <w:highlight w:val="none"/>
              </w:rPr>
              <w:t>（2）技术参数要求：（2-1）管材采用2mm厚6063#高级铝合金管椅架,表面做金属烤漆/静电粉末喷涂处理。</w:t>
            </w:r>
          </w:p>
          <w:p>
            <w:pPr>
              <w:widowControl/>
              <w:tabs>
                <w:tab w:val="left" w:pos="531"/>
              </w:tabs>
              <w:snapToGrid w:val="0"/>
              <w:spacing w:line="360" w:lineRule="auto"/>
              <w:ind w:left="-1"/>
              <w:jc w:val="left"/>
              <w:rPr>
                <w:rFonts w:ascii="宋体" w:hAnsi="宋体" w:cs="仿宋_GB2312"/>
                <w:szCs w:val="21"/>
                <w:highlight w:val="none"/>
              </w:rPr>
            </w:pPr>
            <w:r>
              <w:rPr>
                <w:rFonts w:hint="eastAsia" w:ascii="宋体" w:hAnsi="宋体" w:cs="仿宋_GB2312"/>
                <w:szCs w:val="21"/>
                <w:highlight w:val="none"/>
              </w:rPr>
              <w:t>（2-2）底座及背板采用9mm厚高强度实木夹板材（符合家具应用E1级别板材）。</w:t>
            </w:r>
          </w:p>
          <w:p>
            <w:pPr>
              <w:widowControl/>
              <w:tabs>
                <w:tab w:val="left" w:pos="531"/>
              </w:tabs>
              <w:snapToGrid w:val="0"/>
              <w:spacing w:line="360" w:lineRule="auto"/>
              <w:ind w:left="-1"/>
              <w:jc w:val="left"/>
              <w:rPr>
                <w:rFonts w:ascii="宋体" w:hAnsi="宋体" w:cs="仿宋_GB2312"/>
                <w:szCs w:val="21"/>
                <w:highlight w:val="none"/>
              </w:rPr>
            </w:pPr>
            <w:r>
              <w:rPr>
                <w:rFonts w:hint="eastAsia" w:ascii="宋体" w:hAnsi="宋体" w:cs="仿宋_GB2312"/>
                <w:szCs w:val="21"/>
                <w:highlight w:val="none"/>
              </w:rPr>
              <w:t>（2-3）椅脚采用透明、高强度工程塑料椅脚。</w:t>
            </w:r>
          </w:p>
          <w:p>
            <w:pPr>
              <w:widowControl/>
              <w:tabs>
                <w:tab w:val="left" w:pos="531"/>
              </w:tabs>
              <w:snapToGrid w:val="0"/>
              <w:spacing w:line="360" w:lineRule="auto"/>
              <w:ind w:left="-1"/>
              <w:jc w:val="left"/>
              <w:rPr>
                <w:rFonts w:ascii="宋体" w:hAnsi="宋体" w:cs="仿宋_GB2312"/>
                <w:szCs w:val="21"/>
                <w:highlight w:val="none"/>
              </w:rPr>
            </w:pPr>
            <w:r>
              <w:rPr>
                <w:rFonts w:hint="eastAsia" w:ascii="宋体" w:hAnsi="宋体" w:cs="仿宋_GB2312"/>
                <w:szCs w:val="21"/>
                <w:highlight w:val="none"/>
              </w:rPr>
              <w:t>（2-4）饰面采用优质专用布艺软包，外形饱满圆滑挺直、表面缝纫应走线均匀一致、经纬线平直、无明显浮线跳针；工程件牢固光滑、颜色均匀。</w:t>
            </w:r>
          </w:p>
          <w:p>
            <w:pPr>
              <w:widowControl/>
              <w:tabs>
                <w:tab w:val="left" w:pos="531"/>
              </w:tabs>
              <w:snapToGrid w:val="0"/>
              <w:spacing w:line="360" w:lineRule="auto"/>
              <w:ind w:left="-1"/>
              <w:jc w:val="left"/>
              <w:rPr>
                <w:rFonts w:ascii="宋体" w:hAnsi="宋体" w:cs="仿宋_GB2312"/>
                <w:szCs w:val="21"/>
                <w:highlight w:val="none"/>
              </w:rPr>
            </w:pPr>
            <w:r>
              <w:rPr>
                <w:rFonts w:hint="eastAsia" w:ascii="宋体" w:hAnsi="宋体" w:cs="仿宋_GB2312"/>
                <w:szCs w:val="21"/>
                <w:highlight w:val="none"/>
              </w:rPr>
              <w:t>（2-5）海绵采用品牌高弹定型海绵坐垫（确保相关技术参数符合国家行业标准）。</w:t>
            </w:r>
          </w:p>
          <w:p>
            <w:pPr>
              <w:widowControl/>
              <w:tabs>
                <w:tab w:val="left" w:pos="531"/>
              </w:tabs>
              <w:snapToGrid w:val="0"/>
              <w:spacing w:line="360" w:lineRule="auto"/>
              <w:ind w:left="-1"/>
              <w:jc w:val="left"/>
              <w:rPr>
                <w:rFonts w:ascii="宋体" w:hAnsi="宋体" w:cs="仿宋_GB2312"/>
                <w:szCs w:val="21"/>
                <w:highlight w:val="none"/>
              </w:rPr>
            </w:pPr>
            <w:r>
              <w:rPr>
                <w:rFonts w:hint="eastAsia" w:ascii="宋体" w:hAnsi="宋体" w:cs="仿宋_GB2312"/>
                <w:szCs w:val="21"/>
                <w:highlight w:val="none"/>
              </w:rPr>
              <w:t>（3）产品着地平稳，不含对人体有害物质。</w:t>
            </w:r>
          </w:p>
          <w:p>
            <w:pPr>
              <w:widowControl/>
              <w:tabs>
                <w:tab w:val="left" w:pos="531"/>
              </w:tabs>
              <w:snapToGrid w:val="0"/>
              <w:spacing w:line="360" w:lineRule="auto"/>
              <w:ind w:left="-1"/>
              <w:jc w:val="left"/>
              <w:rPr>
                <w:rFonts w:ascii="宋体" w:hAnsi="宋体" w:cs="仿宋_GB2312"/>
                <w:szCs w:val="21"/>
                <w:highlight w:val="none"/>
              </w:rPr>
            </w:pPr>
            <w:r>
              <w:rPr>
                <w:rFonts w:hint="eastAsia" w:ascii="宋体" w:hAnsi="宋体" w:cs="仿宋_GB2312"/>
                <w:szCs w:val="21"/>
                <w:highlight w:val="none"/>
              </w:rPr>
              <w:t>（4）布料参数及颜色按照投标人设计方案待选。</w:t>
            </w:r>
          </w:p>
          <w:p>
            <w:pPr>
              <w:tabs>
                <w:tab w:val="left" w:pos="531"/>
              </w:tabs>
              <w:snapToGrid w:val="0"/>
              <w:spacing w:line="360" w:lineRule="auto"/>
              <w:ind w:left="-1"/>
              <w:rPr>
                <w:rFonts w:ascii="宋体" w:hAnsi="宋体" w:cs="宋体"/>
                <w:b/>
                <w:szCs w:val="21"/>
                <w:highlight w:val="none"/>
              </w:rPr>
            </w:pPr>
            <w:r>
              <w:rPr>
                <w:rFonts w:hint="eastAsia" w:ascii="宋体" w:hAnsi="宋体" w:cs="仿宋_GB2312"/>
                <w:szCs w:val="21"/>
                <w:highlight w:val="none"/>
              </w:rPr>
              <w:t>（5）所有使用材料必须采用符合国家相关规定的环保产品，确保货物交付时验收无异味。</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highlight w:val="none"/>
              </w:rPr>
            </w:pPr>
            <w:r>
              <w:rPr>
                <w:rFonts w:hint="eastAsia" w:ascii="宋体" w:hAnsi="宋体" w:cs="宋体"/>
                <w:kern w:val="0"/>
                <w:sz w:val="22"/>
                <w:szCs w:val="22"/>
                <w:highlight w:val="none"/>
              </w:rPr>
              <w:t>张</w:t>
            </w:r>
          </w:p>
        </w:tc>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highlight w:val="none"/>
              </w:rPr>
            </w:pPr>
            <w:r>
              <w:rPr>
                <w:rFonts w:hint="eastAsia" w:ascii="宋体" w:hAnsi="宋体" w:cs="宋体"/>
                <w:kern w:val="0"/>
                <w:sz w:val="22"/>
                <w:szCs w:val="22"/>
                <w:highlight w:val="none"/>
              </w:rPr>
              <w:t>2</w:t>
            </w:r>
            <w:r>
              <w:rPr>
                <w:rFonts w:hint="eastAsia" w:ascii="宋体" w:hAnsi="宋体" w:cs="宋体"/>
                <w:kern w:val="0"/>
                <w:sz w:val="22"/>
                <w:szCs w:val="22"/>
                <w:highlight w:val="none"/>
                <w:lang w:val="en-US" w:eastAsia="zh-CN"/>
              </w:rPr>
              <w:t>2</w:t>
            </w:r>
            <w:r>
              <w:rPr>
                <w:rFonts w:hint="eastAsia" w:ascii="宋体" w:hAnsi="宋体" w:cs="宋体"/>
                <w:kern w:val="0"/>
                <w:sz w:val="22"/>
                <w:szCs w:val="22"/>
                <w:highlight w:val="none"/>
              </w:rPr>
              <w:t>00</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highlight w:val="none"/>
              </w:rPr>
            </w:pPr>
            <w:r>
              <w:rPr>
                <w:rFonts w:hint="eastAsia"/>
                <w:highlight w:val="none"/>
              </w:rPr>
              <w:t>接待椅</w:t>
            </w:r>
            <w:r>
              <w:rPr>
                <w:rFonts w:hint="eastAsia"/>
                <w:highlight w:val="none"/>
                <w:lang w:val="en-US" w:eastAsia="zh-CN"/>
              </w:rPr>
              <w:t>2</w:t>
            </w:r>
          </w:p>
        </w:tc>
        <w:tc>
          <w:tcPr>
            <w:tcW w:w="6042"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hint="eastAsia" w:ascii="宋体" w:hAnsi="宋体" w:eastAsia="宋体" w:cs="仿宋_GB2312"/>
                <w:szCs w:val="21"/>
                <w:highlight w:val="none"/>
                <w:lang w:eastAsia="zh-CN"/>
              </w:rPr>
            </w:pPr>
            <w:r>
              <w:rPr>
                <w:rFonts w:hint="eastAsia" w:ascii="宋体" w:hAnsi="宋体" w:cs="仿宋_GB2312"/>
                <w:szCs w:val="21"/>
                <w:highlight w:val="none"/>
              </w:rPr>
              <w:t>（</w:t>
            </w:r>
            <w:r>
              <w:rPr>
                <w:rFonts w:hint="eastAsia" w:ascii="宋体" w:hAnsi="宋体" w:cs="仿宋_GB2312"/>
                <w:szCs w:val="21"/>
                <w:highlight w:val="none"/>
                <w:lang w:val="en-US" w:eastAsia="zh-CN"/>
              </w:rPr>
              <w:t>1</w:t>
            </w:r>
            <w:r>
              <w:rPr>
                <w:rFonts w:hint="eastAsia" w:ascii="宋体" w:hAnsi="宋体" w:cs="仿宋_GB2312"/>
                <w:szCs w:val="21"/>
                <w:highlight w:val="none"/>
              </w:rPr>
              <w:t>）</w:t>
            </w:r>
            <w:r>
              <w:rPr>
                <w:rFonts w:hint="eastAsia" w:ascii="宋体" w:hAnsi="宋体" w:cs="仿宋_GB2312"/>
                <w:szCs w:val="21"/>
                <w:highlight w:val="none"/>
                <w:lang w:val="en-US" w:eastAsia="zh-CN"/>
              </w:rPr>
              <w:t>预估</w:t>
            </w:r>
            <w:r>
              <w:rPr>
                <w:rFonts w:hint="eastAsia" w:ascii="宋体" w:hAnsi="宋体" w:eastAsia="宋体" w:cs="仿宋_GB2312"/>
                <w:sz w:val="21"/>
                <w:szCs w:val="21"/>
                <w:highlight w:val="none"/>
              </w:rPr>
              <w:t>尺寸</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t>640</w:t>
            </w:r>
            <w:r>
              <w:rPr>
                <w:rFonts w:hint="eastAsia" w:ascii="宋体" w:hAnsi="宋体" w:cs="仿宋_GB2312"/>
                <w:sz w:val="21"/>
                <w:szCs w:val="21"/>
                <w:highlight w:val="none"/>
                <w:lang w:val="en-US" w:eastAsia="zh-CN"/>
              </w:rPr>
              <w:t>mm</w:t>
            </w:r>
            <w:r>
              <w:rPr>
                <w:rFonts w:hint="eastAsia" w:ascii="宋体" w:hAnsi="宋体" w:eastAsia="宋体" w:cs="仿宋_GB2312"/>
                <w:sz w:val="21"/>
                <w:szCs w:val="21"/>
                <w:highlight w:val="none"/>
              </w:rPr>
              <w:t>*630</w:t>
            </w:r>
            <w:r>
              <w:rPr>
                <w:rFonts w:hint="eastAsia" w:ascii="宋体" w:hAnsi="宋体" w:cs="仿宋_GB2312"/>
                <w:sz w:val="21"/>
                <w:szCs w:val="21"/>
                <w:highlight w:val="none"/>
                <w:lang w:val="en-US" w:eastAsia="zh-CN"/>
              </w:rPr>
              <w:t>mm</w:t>
            </w:r>
            <w:r>
              <w:rPr>
                <w:rFonts w:hint="eastAsia" w:ascii="宋体" w:hAnsi="宋体" w:eastAsia="宋体" w:cs="仿宋_GB2312"/>
                <w:sz w:val="21"/>
                <w:szCs w:val="21"/>
                <w:highlight w:val="none"/>
              </w:rPr>
              <w:t>*1000</w:t>
            </w:r>
            <w:r>
              <w:rPr>
                <w:rFonts w:hint="eastAsia" w:ascii="宋体" w:hAnsi="宋体" w:cs="仿宋_GB2312"/>
                <w:sz w:val="21"/>
                <w:szCs w:val="21"/>
                <w:highlight w:val="none"/>
                <w:lang w:val="en-US" w:eastAsia="zh-CN"/>
              </w:rPr>
              <w:t>m</w:t>
            </w:r>
            <w:r>
              <w:rPr>
                <w:rFonts w:hint="eastAsia" w:ascii="宋体" w:hAnsi="宋体" w:eastAsia="宋体" w:cs="仿宋_GB2312"/>
                <w:sz w:val="21"/>
                <w:szCs w:val="21"/>
                <w:highlight w:val="none"/>
              </w:rPr>
              <w:t>m</w:t>
            </w:r>
            <w:r>
              <w:rPr>
                <w:rFonts w:hint="eastAsia" w:ascii="宋体" w:hAnsi="宋体" w:cs="仿宋_GB2312"/>
                <w:szCs w:val="21"/>
                <w:highlight w:val="none"/>
              </w:rPr>
              <w:t>（长*宽*高）</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br w:type="textWrapping"/>
            </w:r>
            <w:r>
              <w:rPr>
                <w:rFonts w:hint="eastAsia" w:ascii="宋体" w:hAnsi="宋体" w:cs="仿宋_GB2312"/>
                <w:szCs w:val="21"/>
                <w:highlight w:val="none"/>
              </w:rPr>
              <w:t>（</w:t>
            </w:r>
            <w:r>
              <w:rPr>
                <w:rFonts w:hint="eastAsia" w:ascii="宋体" w:hAnsi="宋体" w:cs="仿宋_GB2312"/>
                <w:szCs w:val="21"/>
                <w:highlight w:val="none"/>
                <w:lang w:val="en-US" w:eastAsia="zh-CN"/>
              </w:rPr>
              <w:t>2</w:t>
            </w:r>
            <w:r>
              <w:rPr>
                <w:rFonts w:hint="eastAsia" w:ascii="宋体" w:hAnsi="宋体" w:cs="仿宋_GB2312"/>
                <w:szCs w:val="21"/>
                <w:highlight w:val="none"/>
              </w:rPr>
              <w:t>）</w:t>
            </w:r>
            <w:r>
              <w:rPr>
                <w:rFonts w:hint="eastAsia" w:ascii="宋体" w:hAnsi="宋体" w:eastAsia="宋体" w:cs="仿宋_GB2312"/>
                <w:sz w:val="21"/>
                <w:szCs w:val="21"/>
                <w:highlight w:val="none"/>
              </w:rPr>
              <w:t>材质</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t>进口橡胶木实木</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br w:type="textWrapping"/>
            </w:r>
            <w:r>
              <w:rPr>
                <w:rFonts w:hint="eastAsia" w:ascii="宋体" w:hAnsi="宋体" w:cs="仿宋_GB2312"/>
                <w:szCs w:val="21"/>
                <w:highlight w:val="none"/>
              </w:rPr>
              <w:t>（</w:t>
            </w:r>
            <w:r>
              <w:rPr>
                <w:rFonts w:hint="eastAsia" w:ascii="宋体" w:hAnsi="宋体" w:cs="仿宋_GB2312"/>
                <w:szCs w:val="21"/>
                <w:highlight w:val="none"/>
                <w:lang w:val="en-US" w:eastAsia="zh-CN"/>
              </w:rPr>
              <w:t>3</w:t>
            </w:r>
            <w:r>
              <w:rPr>
                <w:rFonts w:hint="eastAsia" w:ascii="宋体" w:hAnsi="宋体" w:cs="仿宋_GB2312"/>
                <w:szCs w:val="21"/>
                <w:highlight w:val="none"/>
              </w:rPr>
              <w:t>）</w:t>
            </w:r>
            <w:r>
              <w:rPr>
                <w:rFonts w:hint="eastAsia" w:ascii="宋体" w:hAnsi="宋体" w:eastAsia="宋体" w:cs="仿宋_GB2312"/>
                <w:sz w:val="21"/>
                <w:szCs w:val="21"/>
                <w:highlight w:val="none"/>
              </w:rPr>
              <w:t>坐垫</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t>45密度高回弹性海棉</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br w:type="textWrapping"/>
            </w:r>
            <w:r>
              <w:rPr>
                <w:rFonts w:hint="eastAsia" w:ascii="宋体" w:hAnsi="宋体" w:cs="仿宋_GB2312"/>
                <w:szCs w:val="21"/>
                <w:highlight w:val="none"/>
              </w:rPr>
              <w:t>（</w:t>
            </w:r>
            <w:r>
              <w:rPr>
                <w:rFonts w:hint="eastAsia" w:ascii="宋体" w:hAnsi="宋体" w:cs="仿宋_GB2312"/>
                <w:szCs w:val="21"/>
                <w:highlight w:val="none"/>
                <w:lang w:val="en-US" w:eastAsia="zh-CN"/>
              </w:rPr>
              <w:t>4</w:t>
            </w:r>
            <w:r>
              <w:rPr>
                <w:rFonts w:hint="eastAsia" w:ascii="宋体" w:hAnsi="宋体" w:cs="仿宋_GB2312"/>
                <w:szCs w:val="21"/>
                <w:highlight w:val="none"/>
              </w:rPr>
              <w:t>）</w:t>
            </w:r>
            <w:r>
              <w:rPr>
                <w:rFonts w:hint="eastAsia" w:ascii="宋体" w:hAnsi="宋体" w:eastAsia="宋体" w:cs="仿宋_GB2312"/>
                <w:sz w:val="21"/>
                <w:szCs w:val="21"/>
                <w:highlight w:val="none"/>
              </w:rPr>
              <w:t>布料</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t>优质布艺覆面</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br w:type="textWrapping"/>
            </w:r>
            <w:r>
              <w:rPr>
                <w:rFonts w:hint="eastAsia" w:ascii="宋体" w:hAnsi="宋体" w:cs="仿宋_GB2312"/>
                <w:szCs w:val="21"/>
                <w:highlight w:val="none"/>
              </w:rPr>
              <w:t>（5）</w:t>
            </w:r>
            <w:r>
              <w:rPr>
                <w:rFonts w:hint="eastAsia" w:ascii="宋体" w:hAnsi="宋体" w:eastAsia="宋体" w:cs="仿宋_GB2312"/>
                <w:sz w:val="21"/>
                <w:szCs w:val="21"/>
                <w:highlight w:val="none"/>
              </w:rPr>
              <w:t>油漆</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t>五底三面工艺，嘉宝莉环保油漆。</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张</w:t>
            </w:r>
          </w:p>
        </w:tc>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100</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hint="eastAsia" w:ascii="宋体" w:hAnsi="宋体" w:cs="宋体"/>
                <w:szCs w:val="21"/>
                <w:highlight w:val="none"/>
              </w:rPr>
            </w:pPr>
            <w:r>
              <w:rPr>
                <w:rFonts w:hint="eastAsia" w:ascii="宋体" w:hAnsi="宋体" w:cs="宋体"/>
                <w:szCs w:val="21"/>
                <w:highlight w:val="none"/>
              </w:rPr>
              <w:t>不可偏离</w:t>
            </w:r>
          </w:p>
        </w:tc>
      </w:tr>
    </w:tbl>
    <w:p>
      <w:pPr>
        <w:jc w:val="left"/>
        <w:outlineLvl w:val="1"/>
        <w:rPr>
          <w:rFonts w:ascii="宋体" w:hAnsi="宋体"/>
          <w:b/>
          <w:szCs w:val="21"/>
        </w:rPr>
      </w:pPr>
      <w:bookmarkStart w:id="39" w:name="_Toc82684600"/>
      <w:bookmarkEnd w:id="39"/>
      <w:bookmarkStart w:id="40" w:name="_Toc82591996"/>
      <w:bookmarkEnd w:id="40"/>
      <w:bookmarkStart w:id="41" w:name="_Toc82685552"/>
      <w:bookmarkEnd w:id="41"/>
      <w:bookmarkStart w:id="42" w:name="_Toc82684715"/>
      <w:bookmarkEnd w:id="42"/>
      <w:bookmarkStart w:id="43"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3"/>
    </w:p>
    <w:p>
      <w:pPr>
        <w:widowControl/>
        <w:jc w:val="left"/>
        <w:rPr>
          <w:color w:val="FF0000"/>
          <w:highlight w:val="yellow"/>
        </w:rPr>
      </w:pPr>
      <w:r>
        <w:rPr>
          <w:rFonts w:hint="eastAsia"/>
        </w:rPr>
        <w:t xml:space="preserve">    无</w:t>
      </w:r>
      <w:r>
        <w:rPr>
          <w:color w:val="FF0000"/>
          <w:highlight w:val="yellow"/>
        </w:rPr>
        <w:br w:type="page"/>
      </w:r>
    </w:p>
    <w:p>
      <w:pPr>
        <w:spacing w:line="360" w:lineRule="auto"/>
        <w:jc w:val="center"/>
        <w:outlineLvl w:val="0"/>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16550351"/>
      <w:bookmarkStart w:id="46" w:name="_Toc104994641"/>
      <w:bookmarkStart w:id="47" w:name="_Hlk104908581"/>
      <w:bookmarkStart w:id="48" w:name="_Hlk104908397"/>
      <w:r>
        <w:rPr>
          <w:rFonts w:hint="eastAsia"/>
          <w:b/>
        </w:rPr>
        <w:t>开标阶段</w:t>
      </w:r>
      <w:bookmarkEnd w:id="45"/>
      <w:bookmarkEnd w:id="46"/>
    </w:p>
    <w:bookmarkEnd w:id="47"/>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16550352"/>
      <w:bookmarkStart w:id="50" w:name="_Toc104994642"/>
      <w:r>
        <w:rPr>
          <w:rFonts w:hint="eastAsia"/>
          <w:b/>
        </w:rPr>
        <w:t>评标阶段</w:t>
      </w:r>
      <w:bookmarkEnd w:id="49"/>
      <w:bookmarkEnd w:id="50"/>
    </w:p>
    <w:p>
      <w:pPr>
        <w:pStyle w:val="25"/>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51" w:name="_Toc11655035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ind w:firstLine="420" w:firstLineChars="200"/>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90" w:type="dxa"/>
            <w:gridSpan w:val="4"/>
            <w:vAlign w:val="center"/>
          </w:tcPr>
          <w:p>
            <w:pPr>
              <w:pStyle w:val="5"/>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ascii="宋体" w:hAnsi="宋体"/>
                <w:szCs w:val="21"/>
              </w:rPr>
              <w:t>2</w:t>
            </w:r>
            <w:r>
              <w:rPr>
                <w:rFonts w:hint="eastAsia" w:ascii="宋体" w:hAnsi="宋体"/>
                <w:szCs w:val="21"/>
                <w:lang w:val="en-US" w:eastAsia="zh-CN"/>
              </w:rPr>
              <w:t>2</w:t>
            </w:r>
            <w:r>
              <w:rPr>
                <w:rFonts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ascii="宋体" w:hAnsi="宋体"/>
                <w:szCs w:val="21"/>
              </w:rPr>
              <w:t>3</w:t>
            </w:r>
            <w:r>
              <w:rPr>
                <w:rFonts w:hint="eastAsia" w:ascii="宋体" w:hAnsi="宋体"/>
                <w:szCs w:val="21"/>
                <w:lang w:val="en-US" w:eastAsia="zh-CN"/>
              </w:rPr>
              <w:t>8</w:t>
            </w:r>
            <w:r>
              <w:rPr>
                <w:rFonts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5"/>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5"/>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2"/>
        </w:numPr>
        <w:spacing w:beforeLines="50"/>
        <w:ind w:left="720" w:hanging="720"/>
        <w:jc w:val="left"/>
        <w:outlineLvl w:val="2"/>
        <w:rPr>
          <w:rStyle w:val="32"/>
          <w:rFonts w:ascii="宋体" w:hAnsi="宋体"/>
          <w:b/>
          <w:spacing w:val="-5"/>
          <w:kern w:val="0"/>
          <w:sz w:val="20"/>
          <w:szCs w:val="21"/>
        </w:rPr>
      </w:pPr>
      <w:bookmarkStart w:id="53" w:name="_Toc116550355"/>
      <w:r>
        <w:rPr>
          <w:rStyle w:val="32"/>
          <w:rFonts w:hint="eastAsia" w:ascii="宋体" w:hAnsi="宋体"/>
          <w:b/>
          <w:bCs/>
          <w:szCs w:val="21"/>
        </w:rPr>
        <w:t>符合性检查</w:t>
      </w:r>
      <w:bookmarkEnd w:id="53"/>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356" w:hRule="atLeast"/>
          <w:tblCellSpacing w:w="0" w:type="dxa"/>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jc w:val="left"/>
              <w:rPr>
                <w:rFonts w:ascii="宋体" w:hAnsi="宋体" w:cs="仿宋"/>
                <w:szCs w:val="21"/>
              </w:rPr>
            </w:pPr>
            <w:r>
              <w:rPr>
                <w:rFonts w:hint="eastAsia" w:ascii="宋体" w:hAnsi="宋体" w:cs="仿宋_GB2312"/>
                <w:szCs w:val="21"/>
              </w:rPr>
              <w:t>投标人提交的投标文件是否按要求编制目录、加密；投标文件的加密密码按要求发送至招标人</w:t>
            </w:r>
            <w:r>
              <w:rPr>
                <w:rFonts w:ascii="宋体" w:hAnsi="宋体" w:cs="仿宋_GB2312"/>
                <w:szCs w:val="21"/>
              </w:rPr>
              <w:t>且</w:t>
            </w:r>
            <w:r>
              <w:rPr>
                <w:rFonts w:hint="eastAsia" w:ascii="宋体" w:hAnsi="宋体" w:cs="仿宋_GB2312"/>
                <w:szCs w:val="21"/>
              </w:rPr>
              <w:t>保证</w:t>
            </w:r>
            <w:r>
              <w:rPr>
                <w:rFonts w:ascii="宋体" w:hAnsi="宋体" w:cs="仿宋_GB2312"/>
                <w:szCs w:val="21"/>
              </w:rPr>
              <w:t>文件完整可正常打开；</w:t>
            </w:r>
            <w:r>
              <w:rPr>
                <w:rFonts w:hint="eastAsia" w:ascii="宋体" w:hAnsi="宋体" w:cs="仿宋_GB2312"/>
                <w:szCs w:val="21"/>
              </w:rPr>
              <w:t>投标人必须提供由法人代表或其书面授权人签署并加盖投标人公章的投标响应文件。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584" w:hRule="atLeast"/>
          <w:tblCellSpacing w:w="0" w:type="dxa"/>
        </w:trPr>
        <w:tc>
          <w:tcPr>
            <w:tcW w:w="1881" w:type="dxa"/>
            <w:tcBorders>
              <w:tl2br w:val="nil"/>
              <w:tr2bl w:val="nil"/>
            </w:tcBorders>
            <w:vAlign w:val="center"/>
          </w:tcPr>
          <w:p>
            <w:pPr>
              <w:spacing w:line="360" w:lineRule="auto"/>
              <w:jc w:val="center"/>
              <w:rPr>
                <w:rFonts w:ascii="宋体" w:hAnsi="宋体" w:cs="仿宋_GB2312"/>
                <w:szCs w:val="21"/>
              </w:rPr>
            </w:pPr>
            <w:r>
              <w:rPr>
                <w:rFonts w:hint="eastAsia" w:ascii="宋体" w:hAnsi="宋体" w:cs="仿宋_GB2312"/>
                <w:szCs w:val="21"/>
              </w:rPr>
              <w:t>法定代表人证明书及授权委托证明书</w:t>
            </w:r>
          </w:p>
        </w:tc>
        <w:tc>
          <w:tcPr>
            <w:tcW w:w="7635" w:type="dxa"/>
            <w:tcBorders>
              <w:tl2br w:val="nil"/>
              <w:tr2bl w:val="nil"/>
            </w:tcBorders>
            <w:vAlign w:val="center"/>
          </w:tcPr>
          <w:p>
            <w:pPr>
              <w:spacing w:line="360" w:lineRule="auto"/>
              <w:jc w:val="left"/>
              <w:rPr>
                <w:rFonts w:ascii="宋体" w:hAnsi="宋体" w:cs="仿宋_GB2312"/>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26" w:hRule="atLeast"/>
          <w:tblCellSpacing w:w="0" w:type="dxa"/>
        </w:trPr>
        <w:tc>
          <w:tcPr>
            <w:tcW w:w="1881" w:type="dxa"/>
            <w:tcBorders>
              <w:tl2br w:val="nil"/>
              <w:tr2bl w:val="nil"/>
            </w:tcBorders>
            <w:vAlign w:val="center"/>
          </w:tcPr>
          <w:p>
            <w:pPr>
              <w:spacing w:line="360" w:lineRule="auto"/>
              <w:jc w:val="center"/>
              <w:rPr>
                <w:rFonts w:ascii="宋体" w:hAnsi="宋体" w:cs="仿宋_GB2312"/>
                <w:szCs w:val="21"/>
              </w:rPr>
            </w:pPr>
            <w:r>
              <w:rPr>
                <w:rFonts w:hint="eastAsia" w:ascii="宋体" w:hAnsi="宋体" w:cs="仿宋_GB2312"/>
                <w:szCs w:val="21"/>
              </w:rPr>
              <w:t>资格证明文件</w:t>
            </w:r>
          </w:p>
        </w:tc>
        <w:tc>
          <w:tcPr>
            <w:tcW w:w="7635" w:type="dxa"/>
            <w:tcBorders>
              <w:tl2br w:val="nil"/>
              <w:tr2bl w:val="nil"/>
            </w:tcBorders>
            <w:vAlign w:val="center"/>
          </w:tcPr>
          <w:p>
            <w:pPr>
              <w:numPr>
                <w:ilvl w:val="255"/>
                <w:numId w:val="0"/>
              </w:numPr>
              <w:spacing w:line="360" w:lineRule="auto"/>
              <w:jc w:val="left"/>
              <w:rPr>
                <w:rFonts w:ascii="宋体" w:hAnsi="宋体" w:cs="仿宋_GB2312"/>
                <w:szCs w:val="21"/>
              </w:rPr>
            </w:pPr>
            <w:r>
              <w:rPr>
                <w:rFonts w:hint="eastAsia" w:ascii="宋体" w:hAnsi="宋体" w:cs="仿宋_GB2312"/>
                <w:szCs w:val="21"/>
              </w:rPr>
              <w:t>（</w:t>
            </w:r>
            <w:r>
              <w:rPr>
                <w:rFonts w:ascii="宋体" w:hAnsi="宋体" w:cs="仿宋_GB2312"/>
                <w:szCs w:val="21"/>
              </w:rPr>
              <w:t>1</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t>
            </w:r>
            <w:r>
              <w:rPr>
                <w:rFonts w:ascii="宋体" w:hAnsi="宋体" w:cs="仿宋_GB2312"/>
                <w:szCs w:val="21"/>
              </w:rPr>
              <w:t>www.creditchina.gov.cn“信用服务”栏查询“严重失信主体名单查询”、“经营异常名录信息查询”结果网页截图，并加盖投标人公章。被列入失信主体、经营异常的，将被拒绝参与本项目的采购活动。）</w:t>
            </w:r>
          </w:p>
          <w:p>
            <w:pPr>
              <w:numPr>
                <w:ilvl w:val="255"/>
                <w:numId w:val="0"/>
              </w:numPr>
              <w:spacing w:line="360" w:lineRule="auto"/>
              <w:jc w:val="left"/>
              <w:rPr>
                <w:rFonts w:ascii="宋体" w:hAnsi="宋体" w:cs="仿宋_GB2312"/>
                <w:szCs w:val="21"/>
              </w:rPr>
            </w:pPr>
            <w:r>
              <w:rPr>
                <w:rFonts w:hint="eastAsia" w:ascii="宋体" w:hAnsi="宋体" w:cs="仿宋_GB2312"/>
                <w:szCs w:val="21"/>
              </w:rPr>
              <w:t>（2）投标人必须是同类家具直接生产厂家。投标人须提供经营范围网页截图（形式不限）并加盖公章。</w:t>
            </w:r>
          </w:p>
          <w:p>
            <w:pPr>
              <w:numPr>
                <w:ilvl w:val="255"/>
                <w:numId w:val="0"/>
              </w:numPr>
              <w:spacing w:line="360" w:lineRule="auto"/>
              <w:jc w:val="left"/>
              <w:rPr>
                <w:rFonts w:ascii="宋体" w:hAnsi="宋体" w:cs="仿宋_GB2312"/>
                <w:szCs w:val="21"/>
              </w:rPr>
            </w:pPr>
            <w:r>
              <w:rPr>
                <w:rFonts w:hint="eastAsia" w:ascii="宋体" w:hAnsi="宋体" w:cs="仿宋_GB2312"/>
                <w:szCs w:val="21"/>
              </w:rPr>
              <w:t>（3）投标人最少提供3份时间自2021年3月1日至今（截止至招标文件发布之日）同类别宴会家具且单笔合同金额为</w:t>
            </w:r>
            <w:r>
              <w:rPr>
                <w:rFonts w:ascii="宋体" w:hAnsi="宋体" w:cs="仿宋_GB2312"/>
                <w:szCs w:val="21"/>
              </w:rPr>
              <w:t>80</w:t>
            </w:r>
            <w:r>
              <w:rPr>
                <w:rFonts w:hint="eastAsia" w:ascii="宋体" w:hAnsi="宋体" w:cs="仿宋_GB2312"/>
                <w:szCs w:val="21"/>
              </w:rPr>
              <w:t>万元以上的业绩。投标人须提供合同关键页复印件（合同关键页包含但不限于：项目名称、业主方名称、合同主要内容、合同金额、签订时间、甲乙双方盖章等信息）、结算发票复印件并加盖投标人公章。</w:t>
            </w:r>
          </w:p>
          <w:p>
            <w:pPr>
              <w:numPr>
                <w:ilvl w:val="255"/>
                <w:numId w:val="0"/>
              </w:numPr>
              <w:spacing w:line="360" w:lineRule="auto"/>
              <w:jc w:val="left"/>
              <w:rPr>
                <w:rFonts w:ascii="宋体" w:hAnsi="宋体" w:cs="仿宋_GB2312"/>
                <w:szCs w:val="21"/>
              </w:rPr>
            </w:pPr>
            <w:r>
              <w:rPr>
                <w:rFonts w:hint="eastAsia" w:ascii="宋体" w:hAnsi="宋体" w:cs="仿宋_GB2312"/>
                <w:szCs w:val="21"/>
              </w:rPr>
              <w:t>（4）本项目不接受联合体投标，严禁转包或非法分包。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156"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widowControl/>
              <w:numPr>
                <w:ilvl w:val="255"/>
                <w:numId w:val="0"/>
              </w:numPr>
              <w:spacing w:line="360" w:lineRule="auto"/>
              <w:jc w:val="left"/>
              <w:rPr>
                <w:rFonts w:ascii="宋体" w:hAnsi="宋体" w:cs="仿宋_GB2312"/>
                <w:szCs w:val="21"/>
              </w:rPr>
            </w:pPr>
            <w:r>
              <w:rPr>
                <w:rFonts w:hint="eastAsia" w:ascii="宋体" w:hAnsi="宋体" w:cs="仿宋_GB2312"/>
                <w:szCs w:val="21"/>
              </w:rPr>
              <w:t>（1）本项目采购控制总金额为人民币</w:t>
            </w:r>
            <w:r>
              <w:rPr>
                <w:rFonts w:hint="default" w:ascii="宋体" w:hAnsi="宋体" w:cs="仿宋_GB2312"/>
                <w:szCs w:val="21"/>
                <w:lang w:val="en-US"/>
              </w:rPr>
              <w:t>85</w:t>
            </w:r>
            <w:r>
              <w:rPr>
                <w:rFonts w:hint="eastAsia" w:ascii="宋体" w:hAnsi="宋体" w:cs="仿宋_GB2312"/>
                <w:szCs w:val="21"/>
              </w:rPr>
              <w:t>万元（含增值税），按实结算，报价超过上述控制金额的投标文件作废标处理。</w:t>
            </w:r>
          </w:p>
          <w:p>
            <w:pPr>
              <w:widowControl/>
              <w:spacing w:line="360" w:lineRule="auto"/>
              <w:jc w:val="left"/>
              <w:rPr>
                <w:rFonts w:ascii="宋体" w:hAnsi="宋体" w:cs="仿宋"/>
                <w:szCs w:val="21"/>
              </w:rPr>
            </w:pPr>
            <w:r>
              <w:rPr>
                <w:rFonts w:hint="eastAsia" w:ascii="宋体" w:hAnsi="宋体" w:cs="仿宋_GB2312"/>
                <w:szCs w:val="21"/>
              </w:rPr>
              <w:t>（2）本项目投标单价不得高于《附件7：报价一览表（货物）》中最高控制单价，报价超过上述控制价格的投标文件作废标处理。</w:t>
            </w:r>
          </w:p>
        </w:tc>
      </w:tr>
    </w:tbl>
    <w:p>
      <w:pPr>
        <w:spacing w:beforeLines="50"/>
        <w:jc w:val="left"/>
        <w:outlineLvl w:val="2"/>
        <w:rPr>
          <w:rStyle w:val="32"/>
          <w:rFonts w:ascii="宋体" w:hAnsi="宋体"/>
          <w:b/>
          <w:bCs/>
          <w:szCs w:val="21"/>
        </w:rPr>
      </w:pPr>
      <w:bookmarkStart w:id="54" w:name="_Toc116550356"/>
      <w:bookmarkStart w:id="55" w:name="_Toc114675512"/>
    </w:p>
    <w:p>
      <w:pPr>
        <w:numPr>
          <w:ilvl w:val="0"/>
          <w:numId w:val="12"/>
        </w:numPr>
        <w:spacing w:beforeLines="50"/>
        <w:ind w:left="720" w:hanging="720"/>
        <w:jc w:val="left"/>
        <w:outlineLvl w:val="2"/>
        <w:rPr>
          <w:rStyle w:val="32"/>
          <w:rFonts w:ascii="宋体" w:hAnsi="宋体"/>
          <w:b/>
          <w:bCs/>
          <w:szCs w:val="21"/>
        </w:rPr>
      </w:pPr>
      <w:r>
        <w:rPr>
          <w:rStyle w:val="32"/>
          <w:rFonts w:hint="eastAsia" w:ascii="宋体" w:hAnsi="宋体"/>
          <w:b/>
          <w:bCs/>
          <w:szCs w:val="21"/>
        </w:rPr>
        <w:t>不可偏离项检查</w:t>
      </w:r>
      <w:bookmarkEnd w:id="54"/>
      <w:bookmarkEnd w:id="55"/>
    </w:p>
    <w:p>
      <w:pPr>
        <w:pStyle w:val="5"/>
        <w:ind w:left="0" w:firstLine="200" w:firstLineChars="100"/>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2"/>
        </w:numPr>
        <w:ind w:left="0" w:firstLine="0"/>
        <w:jc w:val="left"/>
        <w:outlineLvl w:val="2"/>
        <w:rPr>
          <w:rFonts w:ascii="宋体" w:hAnsi="宋体"/>
          <w:szCs w:val="21"/>
        </w:rPr>
      </w:pPr>
      <w:r>
        <w:rPr>
          <w:rStyle w:val="32"/>
          <w:rFonts w:hint="eastAsia" w:ascii="宋体" w:hAnsi="宋体"/>
          <w:b/>
          <w:bCs/>
          <w:szCs w:val="21"/>
        </w:rPr>
        <w:t>综合评议指标表</w:t>
      </w:r>
    </w:p>
    <w:tbl>
      <w:tblPr>
        <w:tblStyle w:val="17"/>
        <w:tblpPr w:leftFromText="180" w:rightFromText="180" w:vertAnchor="text" w:horzAnchor="page" w:tblpX="1299" w:tblpY="726"/>
        <w:tblOverlap w:val="never"/>
        <w:tblW w:w="9587" w:type="dxa"/>
        <w:tblCellSpacing w:w="0"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1563"/>
        <w:gridCol w:w="6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6" w:name="_Toc116550357"/>
            <w:bookmarkStart w:id="57" w:name="_Toc114675513"/>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1563"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186"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587"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商务评议项（22分）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2" w:hRule="atLeast"/>
          <w:tblCellSpacing w:w="0" w:type="dxa"/>
        </w:trPr>
        <w:tc>
          <w:tcPr>
            <w:tcW w:w="704" w:type="dxa"/>
            <w:tcBorders>
              <w:tl2br w:val="nil"/>
              <w:tr2bl w:val="nil"/>
            </w:tcBorders>
            <w:vAlign w:val="center"/>
          </w:tcPr>
          <w:p>
            <w:pPr>
              <w:pStyle w:val="25"/>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kern w:val="0"/>
                <w:szCs w:val="21"/>
              </w:rPr>
              <w:t>企业资质情况</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rPr>
              <w:t>10分</w:t>
            </w:r>
          </w:p>
        </w:tc>
        <w:tc>
          <w:tcPr>
            <w:tcW w:w="6186" w:type="dxa"/>
            <w:tcBorders>
              <w:tl2br w:val="nil"/>
              <w:tr2bl w:val="nil"/>
            </w:tcBorders>
            <w:tcMar>
              <w:top w:w="15" w:type="dxa"/>
              <w:left w:w="15" w:type="dxa"/>
              <w:bottom w:w="15" w:type="dxa"/>
              <w:right w:w="15" w:type="dxa"/>
            </w:tcMar>
            <w:vAlign w:val="center"/>
          </w:tcPr>
          <w:p>
            <w:pPr>
              <w:widowControl/>
              <w:spacing w:line="360" w:lineRule="auto"/>
              <w:jc w:val="left"/>
              <w:rPr>
                <w:b/>
                <w:bCs/>
              </w:rPr>
            </w:pPr>
            <w:r>
              <w:rPr>
                <w:rFonts w:hint="eastAsia"/>
                <w:b/>
                <w:bCs/>
              </w:rPr>
              <w:t>评审标准：以下（</w:t>
            </w:r>
            <w:r>
              <w:rPr>
                <w:b/>
                <w:bCs/>
              </w:rPr>
              <w:t>1）+（2）合计为本项得分。</w:t>
            </w:r>
          </w:p>
          <w:p>
            <w:pPr>
              <w:widowControl/>
              <w:numPr>
                <w:ilvl w:val="255"/>
                <w:numId w:val="0"/>
              </w:numPr>
              <w:spacing w:line="360" w:lineRule="auto"/>
              <w:jc w:val="left"/>
              <w:rPr>
                <w:rFonts w:ascii="宋体"/>
              </w:rPr>
            </w:pPr>
            <w:r>
              <w:rPr>
                <w:rFonts w:hint="eastAsia" w:ascii="宋体"/>
              </w:rPr>
              <w:t>（</w:t>
            </w:r>
            <w:r>
              <w:rPr>
                <w:rFonts w:ascii="宋体"/>
              </w:rPr>
              <w:t>1</w:t>
            </w:r>
            <w:r>
              <w:rPr>
                <w:rFonts w:hint="eastAsia" w:ascii="宋体"/>
              </w:rPr>
              <w:t>）投标人获得质量管理体系认证证书、环境管理体系认证证书、职业健康安全管理体系认证证书</w:t>
            </w:r>
            <w:r>
              <w:rPr>
                <w:rFonts w:hint="eastAsia" w:ascii="宋体"/>
                <w:lang w:val="en-US" w:eastAsia="zh-CN"/>
              </w:rPr>
              <w:t>、履约能力评价服务认证5A级证书</w:t>
            </w:r>
            <w:r>
              <w:rPr>
                <w:rFonts w:hint="eastAsia" w:ascii="宋体"/>
              </w:rPr>
              <w:t>、</w:t>
            </w:r>
            <w:r>
              <w:rPr>
                <w:rFonts w:hint="eastAsia" w:ascii="宋体"/>
                <w:lang w:val="en-US" w:eastAsia="zh-CN"/>
              </w:rPr>
              <w:t>五星级售后服务认证证书、</w:t>
            </w:r>
            <w:r>
              <w:rPr>
                <w:rFonts w:hint="eastAsia"/>
              </w:rPr>
              <w:t>碳中和诚信承诺示范</w:t>
            </w:r>
            <w:r>
              <w:rPr>
                <w:rFonts w:hint="eastAsia"/>
                <w:lang w:val="en-US" w:eastAsia="zh-CN"/>
              </w:rPr>
              <w:t>单位证书</w:t>
            </w:r>
            <w:r>
              <w:rPr>
                <w:rFonts w:hint="eastAsia" w:ascii="宋体"/>
              </w:rPr>
              <w:t>，每提供一份得</w:t>
            </w:r>
            <w:r>
              <w:rPr>
                <w:rFonts w:ascii="宋体"/>
              </w:rPr>
              <w:t>1</w:t>
            </w:r>
            <w:r>
              <w:rPr>
                <w:rFonts w:hint="eastAsia" w:ascii="宋体"/>
              </w:rPr>
              <w:t>分，最高得</w:t>
            </w:r>
            <w:r>
              <w:rPr>
                <w:rFonts w:ascii="宋体"/>
              </w:rPr>
              <w:t>6</w:t>
            </w:r>
            <w:r>
              <w:rPr>
                <w:rFonts w:hint="eastAsia" w:ascii="宋体"/>
              </w:rPr>
              <w:t>分。</w:t>
            </w:r>
          </w:p>
          <w:p>
            <w:pPr>
              <w:widowControl/>
              <w:numPr>
                <w:ilvl w:val="255"/>
                <w:numId w:val="0"/>
              </w:numPr>
              <w:spacing w:line="360" w:lineRule="auto"/>
              <w:jc w:val="left"/>
              <w:rPr>
                <w:rFonts w:ascii="宋体"/>
              </w:rPr>
            </w:pPr>
            <w:r>
              <w:rPr>
                <w:rFonts w:hint="eastAsia" w:ascii="宋体"/>
              </w:rPr>
              <w:t>（</w:t>
            </w:r>
            <w:r>
              <w:rPr>
                <w:rFonts w:ascii="宋体"/>
              </w:rPr>
              <w:t>2</w:t>
            </w:r>
            <w:r>
              <w:rPr>
                <w:rFonts w:hint="eastAsia" w:ascii="宋体"/>
              </w:rPr>
              <w:t>）投标人获得</w:t>
            </w:r>
            <w:r>
              <w:rPr>
                <w:rFonts w:hint="eastAsia"/>
              </w:rPr>
              <w:t>高新技术企业</w:t>
            </w:r>
            <w:r>
              <w:rPr>
                <w:rFonts w:hint="eastAsia" w:ascii="宋体"/>
              </w:rPr>
              <w:t>证书，得</w:t>
            </w:r>
            <w:r>
              <w:rPr>
                <w:rFonts w:ascii="宋体"/>
              </w:rPr>
              <w:t>4</w:t>
            </w:r>
            <w:r>
              <w:rPr>
                <w:rFonts w:hint="eastAsia" w:ascii="宋体"/>
              </w:rPr>
              <w:t>分。</w:t>
            </w:r>
          </w:p>
          <w:p>
            <w:pPr>
              <w:widowControl/>
              <w:numPr>
                <w:ilvl w:val="255"/>
                <w:numId w:val="0"/>
              </w:numPr>
              <w:spacing w:line="360" w:lineRule="auto"/>
              <w:jc w:val="left"/>
              <w:rPr>
                <w:b/>
                <w:bCs/>
              </w:rPr>
            </w:pPr>
            <w:r>
              <w:rPr>
                <w:rFonts w:hint="eastAsia" w:ascii="宋体"/>
                <w:b/>
                <w:bCs/>
              </w:rPr>
              <w:t>证明文件：</w:t>
            </w:r>
          </w:p>
          <w:p>
            <w:pPr>
              <w:widowControl/>
              <w:numPr>
                <w:ilvl w:val="0"/>
                <w:numId w:val="14"/>
              </w:numPr>
              <w:spacing w:line="360" w:lineRule="auto"/>
              <w:jc w:val="left"/>
            </w:pPr>
            <w:r>
              <w:rPr>
                <w:rFonts w:hint="eastAsia" w:ascii="宋体"/>
              </w:rPr>
              <w:t>提供上述有效证书复印</w:t>
            </w:r>
            <w:r>
              <w:rPr>
                <w:rFonts w:hint="eastAsia" w:ascii="宋体"/>
                <w:lang w:val="en-US" w:eastAsia="zh-CN"/>
              </w:rPr>
              <w:t>件并</w:t>
            </w:r>
            <w:r>
              <w:rPr>
                <w:rFonts w:hint="eastAsia" w:ascii="宋体"/>
              </w:rPr>
              <w:t>加盖投标人公章（原件备查）。</w:t>
            </w:r>
          </w:p>
          <w:p>
            <w:pPr>
              <w:pStyle w:val="2"/>
              <w:numPr>
                <w:ilvl w:val="255"/>
                <w:numId w:val="0"/>
              </w:numPr>
            </w:pPr>
            <w:r>
              <w:rPr>
                <w:rFonts w:hint="eastAsia" w:ascii="宋体" w:hAnsi="宋体" w:cs="仿宋_GB2312"/>
                <w:szCs w:val="21"/>
              </w:rPr>
              <w:t>（2）未提供或提供的相关证明文件不清晰、不完整或不符合要求的，不得分。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highlight w:val="yellow"/>
              </w:rPr>
            </w:pPr>
            <w:r>
              <w:rPr>
                <w:rFonts w:hint="eastAsia" w:ascii="宋体" w:hAnsi="宋体" w:cs="宋体"/>
                <w:kern w:val="0"/>
                <w:szCs w:val="21"/>
              </w:rPr>
              <w:t>企业同类工程业绩情况</w:t>
            </w:r>
          </w:p>
        </w:tc>
        <w:tc>
          <w:tcPr>
            <w:tcW w:w="1563" w:type="dxa"/>
            <w:tcBorders>
              <w:tl2br w:val="nil"/>
              <w:tr2bl w:val="nil"/>
            </w:tcBorders>
            <w:tcMar>
              <w:top w:w="15" w:type="dxa"/>
              <w:left w:w="15" w:type="dxa"/>
              <w:bottom w:w="15" w:type="dxa"/>
              <w:right w:w="15" w:type="dxa"/>
            </w:tcMar>
            <w:vAlign w:val="center"/>
          </w:tcPr>
          <w:p>
            <w:pPr>
              <w:jc w:val="center"/>
            </w:pPr>
            <w:r>
              <w:rPr>
                <w:rFonts w:hint="eastAsia"/>
              </w:rPr>
              <w:t>12分</w:t>
            </w:r>
          </w:p>
        </w:tc>
        <w:tc>
          <w:tcPr>
            <w:tcW w:w="6186" w:type="dxa"/>
            <w:tcBorders>
              <w:tl2br w:val="nil"/>
              <w:tr2bl w:val="nil"/>
            </w:tcBorders>
            <w:tcMar>
              <w:top w:w="15" w:type="dxa"/>
              <w:left w:w="15" w:type="dxa"/>
              <w:bottom w:w="15" w:type="dxa"/>
              <w:right w:w="15" w:type="dxa"/>
            </w:tcMar>
            <w:vAlign w:val="center"/>
          </w:tcPr>
          <w:p>
            <w:pPr>
              <w:widowControl/>
              <w:spacing w:line="360" w:lineRule="auto"/>
              <w:jc w:val="left"/>
              <w:rPr>
                <w:rFonts w:ascii="宋体" w:hAnsi="宋体" w:cs="仿宋_GB2312"/>
                <w:b/>
                <w:bCs/>
                <w:szCs w:val="21"/>
              </w:rPr>
            </w:pPr>
            <w:r>
              <w:rPr>
                <w:rFonts w:hint="eastAsia" w:ascii="宋体" w:hAnsi="宋体" w:cs="仿宋_GB2312"/>
                <w:b/>
                <w:bCs/>
                <w:szCs w:val="21"/>
              </w:rPr>
              <w:t>评审标准：</w:t>
            </w:r>
          </w:p>
          <w:p>
            <w:pPr>
              <w:widowControl/>
              <w:spacing w:line="360" w:lineRule="auto"/>
              <w:jc w:val="left"/>
              <w:rPr>
                <w:rFonts w:ascii="宋体" w:hAnsi="宋体" w:cs="仿宋_GB2312"/>
                <w:szCs w:val="21"/>
              </w:rPr>
            </w:pPr>
            <w:r>
              <w:rPr>
                <w:rFonts w:hint="eastAsia" w:ascii="宋体" w:hAnsi="宋体" w:cs="仿宋_GB2312"/>
                <w:szCs w:val="21"/>
              </w:rPr>
              <w:t>根据投标人提供的业绩情况横向综合比较，提供时间自2021年3月1日至今（截</w:t>
            </w:r>
            <w:r>
              <w:rPr>
                <w:rFonts w:hint="eastAsia" w:ascii="宋体" w:hAnsi="宋体" w:cs="仿宋_GB2312"/>
                <w:szCs w:val="21"/>
                <w:highlight w:val="none"/>
              </w:rPr>
              <w:t>止至招标文件发布之日）宴会家具类合同且单笔合同金额为</w:t>
            </w:r>
            <w:r>
              <w:rPr>
                <w:rFonts w:ascii="宋体" w:hAnsi="宋体" w:cs="仿宋_GB2312"/>
                <w:szCs w:val="21"/>
                <w:highlight w:val="none"/>
              </w:rPr>
              <w:t>80</w:t>
            </w:r>
            <w:r>
              <w:rPr>
                <w:rFonts w:hint="eastAsia" w:ascii="宋体" w:hAnsi="宋体" w:cs="仿宋_GB2312"/>
                <w:szCs w:val="21"/>
                <w:highlight w:val="none"/>
              </w:rPr>
              <w:t>万元</w:t>
            </w:r>
            <w:r>
              <w:rPr>
                <w:rFonts w:hint="eastAsia" w:ascii="宋体" w:hAnsi="宋体" w:cs="仿宋_GB2312"/>
                <w:szCs w:val="21"/>
              </w:rPr>
              <w:t>以上的业绩，</w:t>
            </w:r>
            <w:r>
              <w:rPr>
                <w:rFonts w:hint="eastAsia" w:ascii="宋体" w:hAnsi="宋体" w:cs="仿宋_GB2312"/>
                <w:szCs w:val="21"/>
                <w:lang w:val="en-US" w:eastAsia="zh-CN"/>
              </w:rPr>
              <w:t>在满足资质要求提供3份业绩的基础上，</w:t>
            </w:r>
            <w:r>
              <w:rPr>
                <w:rFonts w:hint="eastAsia" w:ascii="宋体" w:hAnsi="宋体" w:cs="仿宋_GB2312"/>
                <w:szCs w:val="21"/>
              </w:rPr>
              <w:t>每</w:t>
            </w:r>
            <w:r>
              <w:rPr>
                <w:rFonts w:hint="eastAsia" w:ascii="宋体" w:hAnsi="宋体" w:cs="仿宋_GB2312"/>
                <w:szCs w:val="21"/>
                <w:lang w:val="en-US" w:eastAsia="zh-CN"/>
              </w:rPr>
              <w:t>增加</w:t>
            </w:r>
            <w:r>
              <w:rPr>
                <w:rFonts w:hint="eastAsia" w:ascii="宋体" w:hAnsi="宋体" w:cs="仿宋_GB2312"/>
                <w:szCs w:val="21"/>
              </w:rPr>
              <w:t>提供一份</w:t>
            </w:r>
            <w:r>
              <w:rPr>
                <w:rFonts w:hint="eastAsia" w:ascii="宋体" w:hAnsi="宋体" w:cs="仿宋_GB2312"/>
                <w:szCs w:val="21"/>
                <w:lang w:val="en-US" w:eastAsia="zh-CN"/>
              </w:rPr>
              <w:t>业绩</w:t>
            </w:r>
            <w:r>
              <w:rPr>
                <w:rFonts w:hint="eastAsia" w:ascii="宋体" w:hAnsi="宋体" w:cs="仿宋_GB2312"/>
                <w:szCs w:val="21"/>
              </w:rPr>
              <w:t>加2分，最高得12分。</w:t>
            </w:r>
          </w:p>
          <w:p>
            <w:pPr>
              <w:widowControl/>
              <w:spacing w:line="360" w:lineRule="auto"/>
              <w:jc w:val="left"/>
              <w:rPr>
                <w:rFonts w:ascii="宋体" w:hAnsi="宋体" w:cs="仿宋_GB2312"/>
                <w:b/>
                <w:bCs/>
                <w:szCs w:val="21"/>
              </w:rPr>
            </w:pPr>
            <w:r>
              <w:rPr>
                <w:rFonts w:hint="eastAsia" w:ascii="宋体" w:hAnsi="宋体" w:cs="仿宋_GB2312"/>
                <w:b/>
                <w:bCs/>
                <w:szCs w:val="21"/>
              </w:rPr>
              <w:t>证明文件：</w:t>
            </w:r>
          </w:p>
          <w:p>
            <w:pPr>
              <w:widowControl/>
              <w:numPr>
                <w:ilvl w:val="0"/>
                <w:numId w:val="15"/>
              </w:numPr>
              <w:spacing w:line="360" w:lineRule="auto"/>
              <w:jc w:val="left"/>
              <w:rPr>
                <w:rFonts w:ascii="宋体" w:hAnsi="宋体" w:cs="仿宋_GB2312"/>
                <w:szCs w:val="21"/>
              </w:rPr>
            </w:pPr>
            <w:r>
              <w:rPr>
                <w:rFonts w:hint="eastAsia" w:ascii="宋体" w:hAnsi="宋体" w:cs="仿宋_GB2312"/>
                <w:szCs w:val="21"/>
              </w:rPr>
              <w:t>投标人须提供上述业绩合同关键页复印件（合同关键页包含但不限于：项目名称、业主方名称、合同主要内容、合同金额、签订时间、甲乙双方盖章等信息）、结算发票复印件并加盖投标人公章。</w:t>
            </w:r>
          </w:p>
          <w:p>
            <w:pPr>
              <w:widowControl/>
              <w:numPr>
                <w:ilvl w:val="0"/>
                <w:numId w:val="15"/>
              </w:numPr>
              <w:spacing w:line="360" w:lineRule="auto"/>
              <w:jc w:val="left"/>
              <w:rPr>
                <w:rFonts w:ascii="宋体" w:hAnsi="宋体" w:cs="仿宋_GB2312"/>
                <w:szCs w:val="21"/>
              </w:rPr>
            </w:pPr>
            <w:r>
              <w:rPr>
                <w:rFonts w:hint="eastAsia" w:ascii="宋体" w:hAnsi="宋体" w:cs="仿宋_GB2312"/>
                <w:szCs w:val="21"/>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883"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技术服务评议项（38</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highlight w:val="yellow"/>
              </w:rPr>
            </w:pPr>
            <w:r>
              <w:rPr>
                <w:rFonts w:hint="eastAsia" w:ascii="宋体" w:hAnsi="宋体" w:cs="宋体"/>
                <w:kern w:val="0"/>
                <w:szCs w:val="21"/>
              </w:rPr>
              <w:t>生产设备情况</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rPr>
              <w:t>6分</w:t>
            </w:r>
          </w:p>
        </w:tc>
        <w:tc>
          <w:tcPr>
            <w:tcW w:w="6186" w:type="dxa"/>
            <w:tcBorders>
              <w:tl2br w:val="nil"/>
              <w:tr2bl w:val="nil"/>
            </w:tcBorders>
            <w:tcMar>
              <w:top w:w="15" w:type="dxa"/>
              <w:left w:w="15" w:type="dxa"/>
              <w:bottom w:w="15" w:type="dxa"/>
              <w:right w:w="15" w:type="dxa"/>
            </w:tcMar>
            <w:vAlign w:val="center"/>
          </w:tcPr>
          <w:p>
            <w:pPr>
              <w:spacing w:line="360" w:lineRule="auto"/>
              <w:rPr>
                <w:rFonts w:ascii="宋体" w:hAnsi="宋体" w:cs="宋体"/>
                <w:b/>
                <w:bCs/>
                <w:kern w:val="0"/>
                <w:szCs w:val="21"/>
              </w:rPr>
            </w:pPr>
            <w:r>
              <w:rPr>
                <w:rFonts w:hint="eastAsia" w:ascii="宋体" w:hAnsi="宋体" w:cs="宋体"/>
                <w:b/>
                <w:bCs/>
                <w:kern w:val="0"/>
                <w:szCs w:val="21"/>
              </w:rPr>
              <w:t>评审标准：</w:t>
            </w:r>
          </w:p>
          <w:p>
            <w:pPr>
              <w:spacing w:line="360" w:lineRule="auto"/>
              <w:rPr>
                <w:rFonts w:hint="eastAsia" w:ascii="宋体" w:hAnsi="宋体" w:eastAsia="宋体" w:cs="宋体"/>
                <w:kern w:val="0"/>
                <w:szCs w:val="21"/>
                <w:lang w:val="en-US" w:eastAsia="zh-CN"/>
              </w:rPr>
            </w:pPr>
            <w:r>
              <w:rPr>
                <w:rFonts w:hint="eastAsia" w:ascii="宋体" w:hAnsi="宋体" w:cs="宋体"/>
                <w:kern w:val="0"/>
                <w:szCs w:val="21"/>
              </w:rPr>
              <w:t>根据投标人具备与本项目相关</w:t>
            </w:r>
            <w:r>
              <w:rPr>
                <w:rFonts w:hint="eastAsia" w:ascii="宋体" w:hAnsi="宋体" w:cs="宋体"/>
                <w:kern w:val="0"/>
                <w:szCs w:val="21"/>
                <w:lang w:val="en-US" w:eastAsia="zh-CN"/>
              </w:rPr>
              <w:t>专业</w:t>
            </w:r>
            <w:r>
              <w:rPr>
                <w:rFonts w:hint="eastAsia" w:ascii="宋体" w:hAnsi="宋体" w:cs="宋体"/>
                <w:kern w:val="0"/>
                <w:szCs w:val="21"/>
              </w:rPr>
              <w:t>生产设备的情况</w:t>
            </w:r>
            <w:r>
              <w:rPr>
                <w:rFonts w:hint="eastAsia"/>
              </w:rPr>
              <w:t>横向综合比较：</w:t>
            </w:r>
            <w:r>
              <w:rPr>
                <w:rFonts w:hint="eastAsia" w:ascii="宋体" w:hAnsi="宋体" w:cs="宋体"/>
                <w:kern w:val="0"/>
                <w:szCs w:val="21"/>
                <w:lang w:val="en-US" w:eastAsia="zh-CN"/>
              </w:rPr>
              <w:t>每具备一项，得1分，最高6分</w:t>
            </w:r>
            <w:r>
              <w:rPr>
                <w:rFonts w:hint="eastAsia" w:ascii="宋体" w:hAnsi="宋体" w:cs="宋体"/>
                <w:kern w:val="0"/>
                <w:szCs w:val="21"/>
              </w:rPr>
              <w:t>。相关</w:t>
            </w:r>
            <w:r>
              <w:rPr>
                <w:rFonts w:hint="eastAsia" w:ascii="宋体" w:hAnsi="宋体" w:cs="宋体"/>
                <w:kern w:val="0"/>
                <w:szCs w:val="21"/>
                <w:lang w:val="en-US" w:eastAsia="zh-CN"/>
              </w:rPr>
              <w:t>专业</w:t>
            </w:r>
            <w:r>
              <w:rPr>
                <w:rFonts w:hint="eastAsia" w:ascii="宋体" w:hAnsi="宋体" w:cs="宋体"/>
                <w:kern w:val="0"/>
                <w:szCs w:val="21"/>
              </w:rPr>
              <w:t>生产设备</w:t>
            </w:r>
            <w:r>
              <w:rPr>
                <w:rFonts w:hint="eastAsia" w:ascii="宋体" w:hAnsi="宋体" w:cs="宋体"/>
                <w:kern w:val="0"/>
                <w:szCs w:val="21"/>
                <w:lang w:val="en-US" w:eastAsia="zh-CN"/>
              </w:rPr>
              <w:t>包括：</w:t>
            </w:r>
            <w:r>
              <w:rPr>
                <w:rFonts w:hint="eastAsia" w:ascii="宋体" w:hAnsi="宋体" w:cs="宋体"/>
                <w:kern w:val="0"/>
                <w:szCs w:val="21"/>
              </w:rPr>
              <w:t>全自动激光切割机、全自动封边机、单头弯管机、牛眼生产线、手持激光焊接机、机器人焊接设备</w:t>
            </w:r>
            <w:r>
              <w:rPr>
                <w:rFonts w:hint="eastAsia" w:ascii="宋体" w:hAnsi="宋体" w:cs="宋体"/>
                <w:kern w:val="0"/>
                <w:szCs w:val="21"/>
                <w:lang w:eastAsia="zh-CN"/>
              </w:rPr>
              <w:t>。</w:t>
            </w:r>
          </w:p>
          <w:p>
            <w:pPr>
              <w:spacing w:line="360" w:lineRule="auto"/>
              <w:rPr>
                <w:rFonts w:ascii="宋体" w:hAnsi="宋体" w:cs="宋体"/>
                <w:b/>
                <w:bCs/>
                <w:kern w:val="0"/>
                <w:szCs w:val="21"/>
              </w:rPr>
            </w:pPr>
            <w:r>
              <w:rPr>
                <w:rFonts w:hint="eastAsia" w:ascii="宋体" w:hAnsi="宋体" w:cs="宋体"/>
                <w:b/>
                <w:bCs/>
                <w:kern w:val="0"/>
                <w:szCs w:val="21"/>
              </w:rPr>
              <w:t>评审依据：</w:t>
            </w:r>
          </w:p>
          <w:p>
            <w:pPr>
              <w:numPr>
                <w:ilvl w:val="0"/>
                <w:numId w:val="17"/>
              </w:numPr>
              <w:spacing w:line="360" w:lineRule="auto"/>
              <w:rPr>
                <w:rFonts w:ascii="宋体" w:hAnsi="宋体" w:cs="宋体"/>
                <w:kern w:val="0"/>
                <w:szCs w:val="21"/>
              </w:rPr>
            </w:pPr>
            <w:r>
              <w:rPr>
                <w:rFonts w:hint="eastAsia" w:ascii="宋体" w:hAnsi="宋体" w:cs="宋体"/>
                <w:kern w:val="0"/>
                <w:szCs w:val="21"/>
              </w:rPr>
              <w:t>投标人提供</w:t>
            </w:r>
            <w:r>
              <w:rPr>
                <w:rFonts w:hint="eastAsia" w:ascii="宋体" w:hAnsi="宋体" w:cs="宋体"/>
                <w:kern w:val="0"/>
                <w:szCs w:val="21"/>
                <w:lang w:val="en-US" w:eastAsia="zh-CN"/>
              </w:rPr>
              <w:t>所具备设备的</w:t>
            </w:r>
            <w:r>
              <w:rPr>
                <w:rFonts w:hint="eastAsia" w:ascii="宋体" w:hAnsi="宋体" w:cs="宋体"/>
                <w:kern w:val="0"/>
                <w:szCs w:val="21"/>
              </w:rPr>
              <w:t>图片及购买发票（购买方应为投标人）复印件，并加盖公章。</w:t>
            </w:r>
          </w:p>
          <w:p>
            <w:pPr>
              <w:numPr>
                <w:ilvl w:val="0"/>
                <w:numId w:val="17"/>
              </w:numPr>
              <w:spacing w:line="360" w:lineRule="auto"/>
              <w:rPr>
                <w:rFonts w:ascii="宋体" w:hAnsi="宋体" w:cs="宋体"/>
                <w:kern w:val="0"/>
                <w:szCs w:val="21"/>
              </w:rPr>
            </w:pPr>
            <w:r>
              <w:rPr>
                <w:rFonts w:hint="eastAsia" w:ascii="宋体" w:hAnsi="宋体" w:cs="仿宋_GB2312"/>
                <w:szCs w:val="21"/>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highlight w:val="yellow"/>
              </w:rPr>
            </w:pPr>
            <w:r>
              <w:rPr>
                <w:rFonts w:hint="eastAsia" w:ascii="宋体" w:hAnsi="宋体" w:cs="宋体"/>
                <w:kern w:val="0"/>
                <w:szCs w:val="21"/>
              </w:rPr>
              <w:t>材质样品情况</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rPr>
              <w:t>15分</w:t>
            </w:r>
          </w:p>
        </w:tc>
        <w:tc>
          <w:tcPr>
            <w:tcW w:w="6186" w:type="dxa"/>
            <w:tcBorders>
              <w:tl2br w:val="nil"/>
              <w:tr2bl w:val="nil"/>
            </w:tcBorders>
            <w:tcMar>
              <w:top w:w="15" w:type="dxa"/>
              <w:left w:w="15" w:type="dxa"/>
              <w:bottom w:w="15" w:type="dxa"/>
              <w:right w:w="15" w:type="dxa"/>
            </w:tcMar>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评审标准：</w:t>
            </w:r>
          </w:p>
          <w:p>
            <w:pPr>
              <w:widowControl/>
              <w:spacing w:line="360" w:lineRule="auto"/>
              <w:jc w:val="left"/>
              <w:rPr>
                <w:rFonts w:ascii="宋体" w:hAnsi="宋体" w:cs="宋体"/>
                <w:kern w:val="0"/>
                <w:szCs w:val="21"/>
              </w:rPr>
            </w:pPr>
            <w:r>
              <w:rPr>
                <w:rFonts w:hint="eastAsia" w:ascii="宋体" w:hAnsi="宋体" w:cs="宋体"/>
                <w:kern w:val="0"/>
                <w:szCs w:val="21"/>
              </w:rPr>
              <w:t>根据投标人所供</w:t>
            </w:r>
            <w:r>
              <w:rPr>
                <w:rFonts w:hint="eastAsia" w:ascii="宋体" w:hAnsi="宋体" w:cs="宋体"/>
                <w:szCs w:val="21"/>
              </w:rPr>
              <w:t>样品的技术规范、材质的优良性、材料的舒适性等</w:t>
            </w:r>
            <w:r>
              <w:rPr>
                <w:rFonts w:hint="eastAsia" w:ascii="宋体" w:hAnsi="宋体" w:cs="宋体"/>
                <w:kern w:val="0"/>
                <w:szCs w:val="21"/>
              </w:rPr>
              <w:t>横向综合比较：优得15-10分；良得9-5分；一般得4-1分。</w:t>
            </w:r>
          </w:p>
          <w:p>
            <w:pPr>
              <w:tabs>
                <w:tab w:val="left" w:pos="531"/>
              </w:tabs>
              <w:snapToGrid w:val="0"/>
              <w:spacing w:line="360" w:lineRule="auto"/>
              <w:rPr>
                <w:rFonts w:ascii="宋体" w:hAnsi="宋体" w:cs="宋体"/>
                <w:b/>
                <w:bCs/>
                <w:kern w:val="0"/>
                <w:szCs w:val="21"/>
              </w:rPr>
            </w:pPr>
            <w:r>
              <w:rPr>
                <w:rFonts w:hint="eastAsia" w:ascii="宋体" w:hAnsi="宋体" w:cs="宋体"/>
                <w:b/>
                <w:bCs/>
                <w:kern w:val="0"/>
                <w:szCs w:val="21"/>
              </w:rPr>
              <w:t>评审依据：</w:t>
            </w:r>
          </w:p>
          <w:p>
            <w:pPr>
              <w:numPr>
                <w:ilvl w:val="0"/>
                <w:numId w:val="18"/>
              </w:numPr>
              <w:tabs>
                <w:tab w:val="left" w:pos="531"/>
              </w:tabs>
              <w:snapToGrid w:val="0"/>
              <w:spacing w:line="360" w:lineRule="auto"/>
              <w:rPr>
                <w:rFonts w:ascii="宋体" w:hAnsi="宋体" w:cs="宋体"/>
                <w:kern w:val="0"/>
                <w:szCs w:val="21"/>
              </w:rPr>
            </w:pPr>
            <w:r>
              <w:rPr>
                <w:rFonts w:hint="eastAsia" w:ascii="宋体" w:hAnsi="宋体" w:cs="宋体"/>
                <w:kern w:val="0"/>
                <w:szCs w:val="21"/>
              </w:rPr>
              <w:t>依据投标人提供的椅子实样及材质样品（小样）进行评议。</w:t>
            </w:r>
          </w:p>
          <w:p>
            <w:pPr>
              <w:numPr>
                <w:ilvl w:val="255"/>
                <w:numId w:val="0"/>
              </w:numPr>
              <w:tabs>
                <w:tab w:val="left" w:pos="531"/>
              </w:tabs>
              <w:snapToGrid w:val="0"/>
              <w:spacing w:line="360" w:lineRule="auto"/>
              <w:rPr>
                <w:rFonts w:ascii="宋体" w:hAnsi="宋体" w:cs="宋体"/>
                <w:color w:val="FF0000"/>
                <w:kern w:val="0"/>
                <w:szCs w:val="21"/>
              </w:rPr>
            </w:pPr>
            <w:r>
              <w:rPr>
                <w:rFonts w:hint="eastAsia" w:ascii="宋体" w:hAnsi="宋体" w:cs="宋体"/>
                <w:kern w:val="0"/>
                <w:szCs w:val="21"/>
              </w:rPr>
              <w:t>（2）未提供椅子实样或材质样品（小样）的，均不得分。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highlight w:val="yellow"/>
              </w:rPr>
            </w:pPr>
            <w:r>
              <w:rPr>
                <w:rFonts w:hint="eastAsia" w:ascii="宋体" w:hAnsi="宋体" w:cs="宋体"/>
                <w:kern w:val="0"/>
                <w:szCs w:val="21"/>
              </w:rPr>
              <w:t>设计方案</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rPr>
              <w:t>15分</w:t>
            </w:r>
          </w:p>
        </w:tc>
        <w:tc>
          <w:tcPr>
            <w:tcW w:w="6186" w:type="dxa"/>
            <w:tcBorders>
              <w:tl2br w:val="nil"/>
              <w:tr2bl w:val="nil"/>
            </w:tcBorders>
            <w:tcMar>
              <w:top w:w="15" w:type="dxa"/>
              <w:left w:w="15" w:type="dxa"/>
              <w:bottom w:w="15" w:type="dxa"/>
              <w:right w:w="15" w:type="dxa"/>
            </w:tcMar>
            <w:vAlign w:val="center"/>
          </w:tcPr>
          <w:p>
            <w:pPr>
              <w:tabs>
                <w:tab w:val="left" w:pos="531"/>
              </w:tabs>
              <w:snapToGrid w:val="0"/>
              <w:spacing w:line="360" w:lineRule="auto"/>
              <w:rPr>
                <w:rFonts w:ascii="宋体" w:hAnsi="宋体" w:cs="宋体"/>
                <w:b/>
                <w:bCs/>
                <w:kern w:val="0"/>
                <w:szCs w:val="21"/>
              </w:rPr>
            </w:pPr>
            <w:r>
              <w:rPr>
                <w:rFonts w:hint="eastAsia" w:ascii="宋体" w:hAnsi="宋体" w:cs="宋体"/>
                <w:b/>
                <w:bCs/>
                <w:kern w:val="0"/>
                <w:szCs w:val="21"/>
              </w:rPr>
              <w:t>评审标准：</w:t>
            </w:r>
          </w:p>
          <w:p>
            <w:pPr>
              <w:tabs>
                <w:tab w:val="left" w:pos="531"/>
              </w:tabs>
              <w:snapToGrid w:val="0"/>
              <w:spacing w:line="360" w:lineRule="auto"/>
              <w:rPr>
                <w:rFonts w:ascii="宋体" w:hAnsi="宋体" w:cs="宋体"/>
                <w:kern w:val="0"/>
                <w:szCs w:val="21"/>
              </w:rPr>
            </w:pPr>
            <w:r>
              <w:rPr>
                <w:rFonts w:hint="eastAsia" w:ascii="宋体" w:hAnsi="宋体" w:cs="宋体"/>
                <w:kern w:val="0"/>
                <w:szCs w:val="21"/>
              </w:rPr>
              <w:t>根据投标人所供设计彩色效果图，根据招标人多场景的实用性、使用需求的符合性进行横向综合比较，进行评议：优得15-10分；良得9-5分；一般得4-1分。</w:t>
            </w:r>
          </w:p>
          <w:p>
            <w:pPr>
              <w:tabs>
                <w:tab w:val="left" w:pos="531"/>
              </w:tabs>
              <w:snapToGrid w:val="0"/>
              <w:spacing w:line="360" w:lineRule="auto"/>
              <w:rPr>
                <w:rFonts w:ascii="宋体" w:hAnsi="宋体" w:cs="宋体"/>
                <w:b/>
                <w:bCs/>
                <w:kern w:val="0"/>
                <w:szCs w:val="21"/>
              </w:rPr>
            </w:pPr>
            <w:r>
              <w:rPr>
                <w:rFonts w:hint="eastAsia" w:ascii="宋体" w:hAnsi="宋体" w:cs="宋体"/>
                <w:b/>
                <w:bCs/>
                <w:kern w:val="0"/>
                <w:szCs w:val="21"/>
              </w:rPr>
              <w:t>评审依据：</w:t>
            </w:r>
          </w:p>
          <w:p>
            <w:pPr>
              <w:numPr>
                <w:ilvl w:val="0"/>
                <w:numId w:val="19"/>
              </w:numPr>
              <w:tabs>
                <w:tab w:val="left" w:pos="531"/>
              </w:tabs>
              <w:snapToGrid w:val="0"/>
              <w:spacing w:line="360" w:lineRule="auto"/>
              <w:rPr>
                <w:rFonts w:ascii="宋体" w:hAnsi="宋体" w:cs="宋体"/>
                <w:kern w:val="0"/>
                <w:szCs w:val="21"/>
              </w:rPr>
            </w:pPr>
            <w:r>
              <w:rPr>
                <w:rFonts w:hint="eastAsia" w:ascii="宋体" w:hAnsi="宋体" w:cs="宋体"/>
                <w:kern w:val="0"/>
                <w:szCs w:val="21"/>
              </w:rPr>
              <w:t>投标人按照招标人的实际使用需求，自行提供设计图纸、彩色效果图纸及简单方案介绍。</w:t>
            </w:r>
          </w:p>
          <w:p>
            <w:pPr>
              <w:numPr>
                <w:ilvl w:val="255"/>
                <w:numId w:val="0"/>
              </w:numPr>
              <w:tabs>
                <w:tab w:val="left" w:pos="531"/>
              </w:tabs>
              <w:snapToGrid w:val="0"/>
              <w:spacing w:line="360" w:lineRule="auto"/>
              <w:rPr>
                <w:rFonts w:ascii="宋体" w:hAnsi="宋体" w:cs="宋体"/>
                <w:color w:val="FF0000"/>
                <w:kern w:val="0"/>
                <w:szCs w:val="21"/>
              </w:rPr>
            </w:pPr>
            <w:r>
              <w:rPr>
                <w:rFonts w:hint="eastAsia" w:ascii="宋体"/>
              </w:rPr>
              <w:t>（2）未提供或提供的设计方案不清晰、不完整或不符合需求的，不得分。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highlight w:val="yellow"/>
              </w:rPr>
            </w:pPr>
            <w:r>
              <w:rPr>
                <w:rFonts w:hint="eastAsia"/>
              </w:rPr>
              <w:t>质保时间</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rPr>
              <w:t>2分</w:t>
            </w:r>
          </w:p>
        </w:tc>
        <w:tc>
          <w:tcPr>
            <w:tcW w:w="6186" w:type="dxa"/>
            <w:tcBorders>
              <w:tl2br w:val="nil"/>
              <w:tr2bl w:val="nil"/>
            </w:tcBorders>
            <w:tcMar>
              <w:top w:w="15" w:type="dxa"/>
              <w:left w:w="15" w:type="dxa"/>
              <w:bottom w:w="15" w:type="dxa"/>
              <w:right w:w="15" w:type="dxa"/>
            </w:tcMar>
            <w:vAlign w:val="center"/>
          </w:tcPr>
          <w:p>
            <w:pPr>
              <w:tabs>
                <w:tab w:val="left" w:pos="531"/>
              </w:tabs>
              <w:snapToGrid w:val="0"/>
              <w:spacing w:line="360" w:lineRule="auto"/>
              <w:rPr>
                <w:b/>
                <w:bCs/>
              </w:rPr>
            </w:pPr>
            <w:r>
              <w:rPr>
                <w:rFonts w:hint="eastAsia"/>
                <w:b/>
                <w:bCs/>
              </w:rPr>
              <w:t>评审标准：</w:t>
            </w:r>
          </w:p>
          <w:p>
            <w:pPr>
              <w:tabs>
                <w:tab w:val="left" w:pos="531"/>
              </w:tabs>
              <w:snapToGrid w:val="0"/>
              <w:spacing w:line="360" w:lineRule="auto"/>
              <w:rPr>
                <w:rFonts w:ascii="宋体" w:hAnsi="宋体" w:cs="宋体"/>
                <w:kern w:val="0"/>
                <w:szCs w:val="21"/>
              </w:rPr>
            </w:pPr>
            <w:r>
              <w:rPr>
                <w:rFonts w:hint="eastAsia"/>
              </w:rPr>
              <w:t>投标人满足最低质保期1年基础上，</w:t>
            </w:r>
            <w:r>
              <w:rPr>
                <w:rFonts w:hint="eastAsia"/>
                <w:lang w:val="en-US" w:eastAsia="zh-CN"/>
              </w:rPr>
              <w:t>质保期</w:t>
            </w:r>
            <w:r>
              <w:rPr>
                <w:rFonts w:hint="eastAsia"/>
              </w:rPr>
              <w:t>每增加1年得1分，最高得2分。（原定1年质保时间后支付质保金，保持不变，质保金支付完毕后不得影响质保服务的</w:t>
            </w:r>
            <w:r>
              <w:rPr>
                <w:rFonts w:hint="eastAsia" w:ascii="宋体" w:hAnsi="宋体" w:cs="宋体"/>
                <w:kern w:val="0"/>
                <w:szCs w:val="21"/>
              </w:rPr>
              <w:t>提供。</w:t>
            </w:r>
            <w:r>
              <w:rPr>
                <w:rFonts w:hint="eastAsia"/>
              </w:rPr>
              <w:t>）</w:t>
            </w:r>
          </w:p>
          <w:p>
            <w:pPr>
              <w:tabs>
                <w:tab w:val="left" w:pos="531"/>
              </w:tabs>
              <w:snapToGrid w:val="0"/>
              <w:spacing w:line="360" w:lineRule="auto"/>
              <w:rPr>
                <w:rFonts w:ascii="宋体" w:hAnsi="宋体" w:cs="宋体"/>
                <w:b/>
                <w:bCs/>
                <w:kern w:val="0"/>
                <w:szCs w:val="21"/>
              </w:rPr>
            </w:pPr>
            <w:r>
              <w:rPr>
                <w:rFonts w:hint="eastAsia" w:ascii="宋体" w:hAnsi="宋体" w:cs="宋体"/>
                <w:b/>
                <w:bCs/>
                <w:kern w:val="0"/>
                <w:szCs w:val="21"/>
              </w:rPr>
              <w:t>评审依据：</w:t>
            </w:r>
          </w:p>
          <w:p>
            <w:pPr>
              <w:tabs>
                <w:tab w:val="left" w:pos="531"/>
              </w:tabs>
              <w:snapToGrid w:val="0"/>
              <w:spacing w:line="360" w:lineRule="auto"/>
            </w:pPr>
            <w:r>
              <w:rPr>
                <w:rFonts w:hint="eastAsia" w:ascii="宋体" w:hAnsi="宋体" w:cs="宋体"/>
                <w:kern w:val="0"/>
                <w:szCs w:val="21"/>
              </w:rPr>
              <w:t>依据</w:t>
            </w:r>
            <w:r>
              <w:rPr>
                <w:rFonts w:hint="eastAsia"/>
              </w:rPr>
              <w:t>投标人所供《附件13：售后服务承诺书（质量保证服务承诺书）》承诺内容进行评议。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587" w:type="dxa"/>
            <w:gridSpan w:val="4"/>
            <w:tcBorders>
              <w:tl2br w:val="nil"/>
              <w:tr2bl w:val="nil"/>
            </w:tcBorders>
          </w:tcPr>
          <w:p>
            <w:pPr>
              <w:jc w:val="center"/>
              <w:rPr>
                <w:b/>
                <w:bCs/>
              </w:rPr>
            </w:pPr>
            <w:r>
              <w:rPr>
                <w:rFonts w:hint="eastAsia"/>
                <w:b/>
                <w:bCs/>
              </w:rPr>
              <w:t>价格评议项（40分）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883"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749" w:type="dxa"/>
            <w:gridSpan w:val="2"/>
            <w:tcBorders>
              <w:tl2br w:val="nil"/>
              <w:tr2bl w:val="nil"/>
            </w:tcBorders>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rPr>
            </w:pPr>
            <w:r>
              <w:rPr>
                <w:rFonts w:hint="eastAsia" w:ascii="宋体" w:hAnsi="宋体"/>
                <w:szCs w:val="21"/>
              </w:rPr>
              <w:sym w:font="Wingdings 2" w:char="0052"/>
            </w: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rPr>
            </w:pPr>
            <w:r>
              <w:rPr>
                <w:rFonts w:hint="eastAsia" w:ascii="宋体" w:hAnsi="宋体"/>
                <w:szCs w:val="21"/>
              </w:rPr>
              <w:sym w:font="Wingdings 2" w:char="00A3"/>
            </w: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tcBorders>
              <w:tl2br w:val="nil"/>
              <w:tr2bl w:val="nil"/>
            </w:tcBorders>
            <w:vAlign w:val="center"/>
          </w:tcPr>
          <w:p>
            <w:pPr>
              <w:spacing w:line="360" w:lineRule="auto"/>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186" w:type="dxa"/>
            <w:tcBorders>
              <w:tl2br w:val="nil"/>
              <w:tr2bl w:val="nil"/>
            </w:tcBorders>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spacing w:line="360" w:lineRule="auto"/>
              <w:jc w:val="left"/>
              <w:rPr>
                <w:rFonts w:ascii="宋体" w:cs="宋体"/>
                <w:kern w:val="0"/>
                <w:szCs w:val="21"/>
              </w:rPr>
            </w:pPr>
            <w:r>
              <w:rPr>
                <w:rFonts w:hint="eastAsia" w:ascii="宋体" w:hAnsi="宋体"/>
                <w:szCs w:val="21"/>
              </w:rPr>
              <w:t>M=（价格评价分项满分值），N=，投标价格每高于N％时，扣分；每低于N％时，扣分；最低得0分。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cs="宋体"/>
                <w:kern w:val="0"/>
                <w:szCs w:val="21"/>
              </w:rPr>
            </w:pPr>
            <w:r>
              <w:rPr>
                <w:rFonts w:hint="eastAsia" w:ascii="宋体" w:hAnsi="宋体"/>
                <w:szCs w:val="21"/>
              </w:rPr>
              <w:t>□固定乘积法</w:t>
            </w:r>
          </w:p>
        </w:tc>
        <w:tc>
          <w:tcPr>
            <w:tcW w:w="6186" w:type="dxa"/>
            <w:tcBorders>
              <w:tl2br w:val="nil"/>
              <w:tr2bl w:val="nil"/>
            </w:tcBorders>
            <w:vAlign w:val="center"/>
          </w:tcPr>
          <w:p>
            <w:pPr>
              <w:autoSpaceDE w:val="0"/>
              <w:autoSpaceDN w:val="0"/>
              <w:adjustRightInd w:val="0"/>
              <w:snapToGrid w:val="0"/>
              <w:spacing w:line="360" w:lineRule="auto"/>
              <w:jc w:val="left"/>
              <w:rPr>
                <w:rStyle w:val="22"/>
                <w:rFonts w:ascii="宋体" w:hAnsi="宋体"/>
              </w:rPr>
            </w:pPr>
            <w:r>
              <w:rPr>
                <w:rStyle w:val="22"/>
                <w:rFonts w:hint="eastAsia" w:ascii="宋体" w:hAnsi="宋体"/>
              </w:rPr>
              <w:t>价格得分=（1-A×｜1-投标报价/Z｜）×M</w:t>
            </w:r>
          </w:p>
          <w:p>
            <w:pPr>
              <w:numPr>
                <w:ilvl w:val="0"/>
                <w:numId w:val="20"/>
              </w:numPr>
              <w:autoSpaceDE w:val="0"/>
              <w:autoSpaceDN w:val="0"/>
              <w:adjustRightInd w:val="0"/>
              <w:snapToGrid w:val="0"/>
              <w:spacing w:line="360" w:lineRule="auto"/>
              <w:jc w:val="left"/>
              <w:rPr>
                <w:rStyle w:val="22"/>
                <w:rFonts w:ascii="宋体" w:hAnsi="宋体"/>
              </w:rPr>
            </w:pPr>
            <w:r>
              <w:rPr>
                <w:rStyle w:val="22"/>
                <w:rFonts w:hint="eastAsia" w:ascii="宋体" w:hAnsi="宋体"/>
              </w:rPr>
              <w:t xml:space="preserve">M= </w:t>
            </w:r>
            <w:r>
              <w:rPr>
                <w:rFonts w:hint="eastAsia" w:ascii="宋体" w:hAnsi="宋体"/>
                <w:szCs w:val="21"/>
              </w:rPr>
              <w:t>××</w:t>
            </w:r>
            <w:r>
              <w:rPr>
                <w:rStyle w:val="22"/>
                <w:rFonts w:hint="eastAsia" w:ascii="宋体" w:hAnsi="宋体"/>
              </w:rPr>
              <w:t>（价格评价分项满分值），Z为本次招标基准价；</w:t>
            </w:r>
          </w:p>
          <w:p>
            <w:pPr>
              <w:numPr>
                <w:ilvl w:val="0"/>
                <w:numId w:val="20"/>
              </w:numPr>
              <w:autoSpaceDE w:val="0"/>
              <w:autoSpaceDN w:val="0"/>
              <w:adjustRightInd w:val="0"/>
              <w:snapToGrid w:val="0"/>
              <w:spacing w:line="360" w:lineRule="auto"/>
              <w:jc w:val="left"/>
              <w:rPr>
                <w:rStyle w:val="22"/>
                <w:rFonts w:ascii="宋体" w:hAnsi="宋体"/>
              </w:rPr>
            </w:pPr>
            <w:r>
              <w:rPr>
                <w:rStyle w:val="22"/>
                <w:rFonts w:hint="eastAsia" w:ascii="宋体" w:hAnsi="宋体"/>
              </w:rPr>
              <w:t>A为价格调整系数，当投标报价低于本次招标最佳报价（即基准价）时，A=0.5；当投标报价高于次招标基准价时，取A=1；</w:t>
            </w:r>
          </w:p>
          <w:p>
            <w:pPr>
              <w:numPr>
                <w:ilvl w:val="0"/>
                <w:numId w:val="20"/>
              </w:numPr>
              <w:spacing w:line="360" w:lineRule="auto"/>
              <w:jc w:val="left"/>
              <w:rPr>
                <w:rFonts w:ascii="宋体" w:cs="宋体"/>
                <w:kern w:val="0"/>
                <w:szCs w:val="21"/>
              </w:rPr>
            </w:pPr>
            <w:r>
              <w:rPr>
                <w:rStyle w:val="22"/>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6186" w:type="dxa"/>
            <w:tcBorders>
              <w:tl2br w:val="nil"/>
              <w:tr2bl w:val="nil"/>
            </w:tcBorders>
            <w:vAlign w:val="center"/>
          </w:tcPr>
          <w:p>
            <w:pPr>
              <w:widowControl/>
              <w:spacing w:line="360" w:lineRule="auto"/>
              <w:ind w:right="30"/>
              <w:jc w:val="left"/>
            </w:pPr>
            <w:r>
              <w:rPr>
                <w:rFonts w:hint="eastAsia"/>
              </w:rPr>
              <w:t>价格得分=（1-｜投标报价-基准价｜</w:t>
            </w:r>
            <w:r>
              <w:t>÷</w:t>
            </w:r>
            <w:r>
              <w:rPr>
                <w:rFonts w:hint="eastAsia"/>
              </w:rPr>
              <w:t>基准价）</w:t>
            </w:r>
            <w:r>
              <w:t>×</w:t>
            </w:r>
            <w:r>
              <w:rPr>
                <w:rFonts w:hint="eastAsia"/>
              </w:rPr>
              <w:t>价格权重分</w:t>
            </w:r>
          </w:p>
          <w:p>
            <w:pPr>
              <w:spacing w:line="360" w:lineRule="auto"/>
              <w:jc w:val="left"/>
              <w:rPr>
                <w:rFonts w:ascii="宋体" w:cs="宋体"/>
                <w:kern w:val="0"/>
                <w:szCs w:val="21"/>
              </w:rPr>
            </w:pPr>
            <w:r>
              <w:rPr>
                <w:rFonts w:hint="eastAsia"/>
              </w:rPr>
              <w:t>说明：报价最接近基准价的投标人价格分最高，价格分保留至小数点后两位。</w:t>
            </w:r>
          </w:p>
        </w:tc>
      </w:tr>
      <w:bookmarkEnd w:id="56"/>
      <w:bookmarkEnd w:id="57"/>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8" w:name="_Toc116550358"/>
      <w:r>
        <w:rPr>
          <w:rFonts w:hint="eastAsia" w:ascii="宋体" w:hAnsi="宋体"/>
          <w:b/>
          <w:sz w:val="32"/>
          <w:szCs w:val="32"/>
        </w:rPr>
        <w:t>第四部分：合同条款及格式</w:t>
      </w:r>
      <w:bookmarkEnd w:id="58"/>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9" w:name="_Hlk116549198"/>
      <w:r>
        <w:rPr>
          <w:rFonts w:hint="eastAsia" w:ascii="宋体" w:hAnsi="宋体"/>
          <w:b/>
          <w:sz w:val="32"/>
          <w:szCs w:val="32"/>
        </w:rPr>
        <w:t>深圳会展中心2024年度会议接待椅采购项目</w:t>
      </w:r>
    </w:p>
    <w:bookmarkEnd w:id="59"/>
    <w:p>
      <w:pPr>
        <w:widowControl/>
        <w:snapToGrid w:val="0"/>
        <w:spacing w:line="360" w:lineRule="auto"/>
        <w:jc w:val="center"/>
        <w:rPr>
          <w:rFonts w:ascii="宋体" w:hAnsi="宋体" w:cs="宋体"/>
          <w:b/>
          <w:kern w:val="0"/>
          <w:szCs w:val="21"/>
        </w:rPr>
      </w:pPr>
      <w:bookmarkStart w:id="60" w:name="_Hlk116549211"/>
      <w:r>
        <w:rPr>
          <w:rFonts w:hint="eastAsia" w:ascii="宋体" w:hAnsi="宋体" w:cs="宋体"/>
          <w:b/>
          <w:kern w:val="0"/>
          <w:szCs w:val="21"/>
        </w:rPr>
        <w:t>（本模板仅供参考，后续根据开标结果补充）</w:t>
      </w:r>
    </w:p>
    <w:bookmarkEnd w:id="60"/>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电话：0755-8284XXXX</w:t>
      </w:r>
    </w:p>
    <w:p>
      <w:pPr>
        <w:pStyle w:val="5"/>
        <w:spacing w:line="360" w:lineRule="auto"/>
        <w:ind w:left="0"/>
        <w:rPr>
          <w:rFonts w:ascii="宋体" w:hAnsi="宋体"/>
          <w:sz w:val="21"/>
          <w:szCs w:val="21"/>
        </w:rPr>
      </w:pPr>
      <w:r>
        <w:rPr>
          <w:rFonts w:hint="eastAsia" w:ascii="宋体" w:hAnsi="宋体" w:cs="宋体"/>
          <w:sz w:val="21"/>
          <w:szCs w:val="21"/>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乙方：XXXX公司（简称“XXXX”）</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widowControl/>
        <w:snapToGrid w:val="0"/>
        <w:spacing w:line="360" w:lineRule="auto"/>
        <w:rPr>
          <w:rFonts w:ascii="宋体" w:hAnsi="宋体" w:cs="宋体"/>
          <w:kern w:val="0"/>
          <w:szCs w:val="21"/>
        </w:rPr>
      </w:pPr>
      <w:r>
        <w:rPr>
          <w:rFonts w:hint="eastAsia" w:ascii="宋体" w:hAnsi="宋体" w:cs="宋体"/>
          <w:kern w:val="0"/>
          <w:szCs w:val="21"/>
        </w:rPr>
        <w:t>电话：0755-XXXXXX</w:t>
      </w:r>
    </w:p>
    <w:p>
      <w:pPr>
        <w:pStyle w:val="5"/>
        <w:spacing w:line="360" w:lineRule="auto"/>
        <w:ind w:left="0"/>
        <w:rPr>
          <w:rFonts w:ascii="宋体" w:hAnsi="宋体"/>
          <w:sz w:val="21"/>
          <w:szCs w:val="21"/>
        </w:rPr>
      </w:pPr>
      <w:r>
        <w:rPr>
          <w:rFonts w:hint="eastAsia" w:ascii="宋体" w:hAnsi="宋体" w:cs="宋体"/>
          <w:sz w:val="21"/>
          <w:szCs w:val="21"/>
        </w:rPr>
        <w:t>电子邮件：</w:t>
      </w:r>
    </w:p>
    <w:p>
      <w:pPr>
        <w:pStyle w:val="5"/>
        <w:spacing w:after="0" w:line="360" w:lineRule="auto"/>
        <w:ind w:left="0" w:firstLine="400" w:firstLineChars="200"/>
        <w:rPr>
          <w:rFonts w:ascii="宋体" w:hAnsi="宋体"/>
          <w:sz w:val="21"/>
          <w:szCs w:val="21"/>
        </w:rPr>
      </w:pPr>
    </w:p>
    <w:p>
      <w:pPr>
        <w:pStyle w:val="5"/>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rPr>
        <w:t>XXXXXXXXXXXX</w:t>
      </w:r>
      <w:r>
        <w:rPr>
          <w:rFonts w:hint="eastAsia" w:ascii="宋体" w:hAnsi="宋体" w:cs="Arial"/>
          <w:sz w:val="21"/>
          <w:szCs w:val="21"/>
        </w:rPr>
        <w:t>服务，甲乙双方经协商一致，签订本合同，双方保证严格遵守和执行。</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5"/>
        <w:numPr>
          <w:ilvl w:val="0"/>
          <w:numId w:val="23"/>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rPr>
        <w:t>XXXXXXXXXXXX</w:t>
      </w:r>
    </w:p>
    <w:p>
      <w:pPr>
        <w:pStyle w:val="5"/>
        <w:numPr>
          <w:ilvl w:val="0"/>
          <w:numId w:val="23"/>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5"/>
        <w:numPr>
          <w:ilvl w:val="0"/>
          <w:numId w:val="23"/>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5"/>
        <w:numPr>
          <w:ilvl w:val="0"/>
          <w:numId w:val="24"/>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5"/>
        <w:numPr>
          <w:ilvl w:val="0"/>
          <w:numId w:val="24"/>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5"/>
        <w:numPr>
          <w:ilvl w:val="0"/>
          <w:numId w:val="23"/>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增值服务（如有）</w:t>
      </w:r>
    </w:p>
    <w:p>
      <w:pPr>
        <w:pStyle w:val="5"/>
        <w:numPr>
          <w:ilvl w:val="0"/>
          <w:numId w:val="25"/>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5"/>
        <w:numPr>
          <w:ilvl w:val="0"/>
          <w:numId w:val="25"/>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5"/>
        <w:numPr>
          <w:ilvl w:val="0"/>
          <w:numId w:val="23"/>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5"/>
        <w:numPr>
          <w:ilvl w:val="0"/>
          <w:numId w:val="26"/>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5"/>
        <w:numPr>
          <w:ilvl w:val="0"/>
          <w:numId w:val="26"/>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5"/>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hint="eastAsia" w:ascii="宋体" w:hAnsi="宋体" w:cs="仿宋"/>
          <w:sz w:val="21"/>
          <w:szCs w:val="21"/>
        </w:rPr>
        <w:t>80分），则执行下一年度服务合同。如综合考核评审服务未达到优良，甲方有权终止下一年度服务合同。综合考核评审细则详见附件《XXXX考核评审细则》。</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5"/>
        <w:numPr>
          <w:ilvl w:val="1"/>
          <w:numId w:val="27"/>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5"/>
        <w:numPr>
          <w:ilvl w:val="0"/>
          <w:numId w:val="28"/>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为¥XXX万元（</w:t>
      </w:r>
      <w:r>
        <w:rPr>
          <w:rFonts w:hint="eastAsia" w:ascii="宋体" w:hAnsi="宋体" w:eastAsia="宋体" w:cs="仿宋"/>
          <w:szCs w:val="21"/>
        </w:rPr>
        <w:t>大写人民币：</w:t>
      </w:r>
      <w:r>
        <w:rPr>
          <w:rFonts w:hint="eastAsia" w:ascii="宋体" w:hAnsi="宋体" w:eastAsia="宋体" w:cs="仿宋"/>
          <w:szCs w:val="21"/>
          <w:u w:val="single"/>
        </w:rPr>
        <w:t>XXXX元整</w:t>
      </w:r>
      <w:r>
        <w:rPr>
          <w:rFonts w:hint="eastAsia" w:ascii="宋体" w:hAnsi="宋体" w:eastAsia="宋体" w:cs="仿宋"/>
          <w:szCs w:val="21"/>
        </w:rPr>
        <w:t>），税率为X%</w:t>
      </w:r>
      <w:r>
        <w:rPr>
          <w:rFonts w:hint="eastAsia" w:ascii="宋体" w:hAnsi="宋体" w:eastAsia="宋体" w:cs="仿宋"/>
          <w:spacing w:val="-2"/>
          <w:szCs w:val="21"/>
        </w:rPr>
        <w:t>。</w:t>
      </w:r>
    </w:p>
    <w:p>
      <w:pPr>
        <w:pStyle w:val="25"/>
        <w:numPr>
          <w:ilvl w:val="0"/>
          <w:numId w:val="28"/>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以上金额已经包含项目费用开具增值税专用发票所产生的税费及乙方完成本项目服务所发生的</w:t>
      </w:r>
      <w:r>
        <w:rPr>
          <w:rFonts w:hint="eastAsia" w:ascii="宋体" w:hAnsi="宋体" w:eastAsia="宋体" w:cs="仿宋"/>
          <w:szCs w:val="21"/>
        </w:rPr>
        <w:t>全部费用。</w:t>
      </w:r>
    </w:p>
    <w:p>
      <w:pPr>
        <w:pStyle w:val="25"/>
        <w:numPr>
          <w:ilvl w:val="1"/>
          <w:numId w:val="27"/>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5"/>
        <w:numPr>
          <w:ilvl w:val="255"/>
          <w:numId w:val="0"/>
        </w:numPr>
        <w:spacing w:line="360" w:lineRule="auto"/>
        <w:ind w:firstLine="420"/>
        <w:rPr>
          <w:rFonts w:ascii="宋体" w:hAnsi="宋体" w:eastAsia="宋体" w:cs="仿宋"/>
          <w:bCs/>
          <w:szCs w:val="21"/>
        </w:rPr>
      </w:pPr>
      <w:r>
        <w:rPr>
          <w:rFonts w:hint="eastAsia" w:ascii="宋体" w:hAnsi="宋体" w:eastAsia="宋体" w:cs="仿宋"/>
          <w:bCs/>
          <w:szCs w:val="21"/>
        </w:rPr>
        <w:t>1. 合同签订，乙方完成XXX后，15个工作日内甲方向乙方支付合同金额XX％款项，即人民币XXXX元（大写：XXXX元整）；</w:t>
      </w:r>
    </w:p>
    <w:p>
      <w:pPr>
        <w:pStyle w:val="25"/>
        <w:numPr>
          <w:ilvl w:val="255"/>
          <w:numId w:val="0"/>
        </w:numPr>
        <w:spacing w:line="360" w:lineRule="auto"/>
        <w:ind w:firstLine="420"/>
        <w:rPr>
          <w:rFonts w:ascii="宋体" w:hAnsi="宋体" w:eastAsia="宋体" w:cs="仿宋"/>
          <w:bCs/>
          <w:szCs w:val="21"/>
        </w:rPr>
      </w:pPr>
      <w:r>
        <w:rPr>
          <w:rFonts w:hint="eastAsia" w:ascii="宋体" w:hAnsi="宋体" w:eastAsia="宋体" w:cs="仿宋"/>
          <w:bCs/>
          <w:szCs w:val="21"/>
        </w:rPr>
        <w:t>2. 完成本项目所有服务内容并经甲方验收合格且完成违约责任清算后，甲方支付本项目剩余款项。</w:t>
      </w:r>
    </w:p>
    <w:p>
      <w:pPr>
        <w:pStyle w:val="25"/>
        <w:numPr>
          <w:ilvl w:val="255"/>
          <w:numId w:val="0"/>
        </w:numPr>
        <w:spacing w:line="360" w:lineRule="auto"/>
        <w:ind w:firstLine="420"/>
        <w:rPr>
          <w:rFonts w:ascii="宋体" w:hAnsi="宋体" w:eastAsia="宋体" w:cs="仿宋"/>
          <w:bCs/>
          <w:szCs w:val="21"/>
        </w:rPr>
      </w:pPr>
      <w:r>
        <w:rPr>
          <w:rFonts w:hint="eastAsia" w:ascii="宋体" w:hAnsi="宋体" w:eastAsia="宋体" w:cs="仿宋"/>
          <w:bCs/>
          <w:szCs w:val="21"/>
        </w:rPr>
        <w:t>3. 甲方办理合同款项支付前，乙方需先向甲方提供全额（等额）真实、合法有效的增值税专用发票。</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5"/>
        <w:numPr>
          <w:ilvl w:val="0"/>
          <w:numId w:val="29"/>
        </w:numPr>
        <w:spacing w:after="0" w:line="360" w:lineRule="auto"/>
        <w:ind w:left="0" w:firstLine="402" w:firstLineChars="200"/>
        <w:rPr>
          <w:rFonts w:ascii="宋体" w:hAnsi="宋体" w:cs="宋体"/>
          <w:sz w:val="21"/>
          <w:szCs w:val="21"/>
        </w:rPr>
      </w:pPr>
      <w:r>
        <w:rPr>
          <w:rFonts w:hint="eastAsia" w:ascii="宋体" w:hAnsi="宋体" w:cs="仿宋"/>
          <w:b/>
          <w:bCs/>
          <w:sz w:val="21"/>
          <w:szCs w:val="21"/>
        </w:rPr>
        <w:t>.</w:t>
      </w:r>
      <w:r>
        <w:rPr>
          <w:rFonts w:hint="eastAsia" w:ascii="宋体" w:hAnsi="宋体" w:cs="宋体"/>
          <w:sz w:val="21"/>
          <w:szCs w:val="21"/>
        </w:rPr>
        <w:t>.....</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5"/>
        <w:numPr>
          <w:ilvl w:val="0"/>
          <w:numId w:val="30"/>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5"/>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5"/>
        <w:numPr>
          <w:ilvl w:val="0"/>
          <w:numId w:val="31"/>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5"/>
        <w:numPr>
          <w:ilvl w:val="0"/>
          <w:numId w:val="30"/>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5"/>
        <w:numPr>
          <w:ilvl w:val="0"/>
          <w:numId w:val="32"/>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5"/>
        <w:numPr>
          <w:ilvl w:val="0"/>
          <w:numId w:val="32"/>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处罚标准（如有）</w:t>
      </w:r>
    </w:p>
    <w:p>
      <w:pPr>
        <w:pStyle w:val="5"/>
        <w:numPr>
          <w:ilvl w:val="0"/>
          <w:numId w:val="33"/>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5"/>
        <w:numPr>
          <w:ilvl w:val="0"/>
          <w:numId w:val="33"/>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知识产权归属（如有）</w:t>
      </w:r>
    </w:p>
    <w:p>
      <w:pPr>
        <w:pStyle w:val="5"/>
        <w:numPr>
          <w:ilvl w:val="0"/>
          <w:numId w:val="34"/>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5"/>
        <w:numPr>
          <w:ilvl w:val="0"/>
          <w:numId w:val="34"/>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35"/>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甲乙双方任何一方违反约定事项造成对方实际损失的，应在15天内向对方支付年度合同金额XX%的赔偿金和违约金。</w:t>
      </w:r>
    </w:p>
    <w:p>
      <w:pPr>
        <w:numPr>
          <w:ilvl w:val="0"/>
          <w:numId w:val="35"/>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5"/>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5"/>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5"/>
        <w:numPr>
          <w:ilvl w:val="0"/>
          <w:numId w:val="37"/>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5"/>
        <w:numPr>
          <w:ilvl w:val="0"/>
          <w:numId w:val="37"/>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5"/>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7"/>
        <w:numPr>
          <w:ilvl w:val="0"/>
          <w:numId w:val="38"/>
        </w:numPr>
        <w:spacing w:line="360" w:lineRule="auto"/>
        <w:rPr>
          <w:rFonts w:ascii="宋体" w:hAnsi="宋体" w:eastAsia="宋体" w:cs="仿宋"/>
          <w:szCs w:val="21"/>
        </w:rPr>
      </w:pPr>
      <w:bookmarkStart w:id="61"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1"/>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5"/>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（以下无正文，为合同签章处）</w:t>
      </w:r>
    </w:p>
    <w:p>
      <w:pPr>
        <w:pStyle w:val="5"/>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Lines="100" w:afterLines="100" w:line="360" w:lineRule="auto"/>
        <w:jc w:val="center"/>
        <w:outlineLvl w:val="0"/>
        <w:rPr>
          <w:rFonts w:ascii="仿宋" w:hAnsi="仿宋" w:eastAsia="仿宋"/>
          <w:sz w:val="32"/>
          <w:szCs w:val="32"/>
        </w:rPr>
      </w:pPr>
      <w:bookmarkStart w:id="62" w:name="_Toc116550359"/>
      <w:r>
        <w:rPr>
          <w:rFonts w:hint="eastAsia"/>
          <w:b/>
          <w:sz w:val="32"/>
          <w:szCs w:val="32"/>
        </w:rPr>
        <w:t>第五部分：参考附件</w:t>
      </w:r>
      <w:bookmarkEnd w:id="62"/>
    </w:p>
    <w:p>
      <w:pPr>
        <w:spacing w:line="0" w:lineRule="atLeast"/>
        <w:outlineLvl w:val="1"/>
        <w:rPr>
          <w:rFonts w:ascii="宋体" w:hAnsi="宋体"/>
        </w:rPr>
      </w:pPr>
      <w:bookmarkStart w:id="63" w:name="_Toc116550360"/>
      <w:r>
        <w:rPr>
          <w:rFonts w:hint="eastAsia" w:ascii="宋体" w:hAnsi="宋体"/>
          <w:szCs w:val="21"/>
        </w:rPr>
        <w:t>附件1：</w:t>
      </w:r>
      <w:r>
        <w:rPr>
          <w:rFonts w:hint="eastAsia" w:ascii="宋体" w:hAnsi="宋体"/>
        </w:rPr>
        <w:t>报名回函</w:t>
      </w:r>
      <w:bookmarkEnd w:id="63"/>
    </w:p>
    <w:p>
      <w:pPr>
        <w:pStyle w:val="13"/>
      </w:pP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4" w:name="_Toc116550361"/>
      <w:r>
        <w:rPr>
          <w:rFonts w:hint="eastAsia" w:ascii="宋体" w:hAnsi="宋体"/>
          <w:szCs w:val="21"/>
        </w:rPr>
        <w:t>附件2：投标函</w:t>
      </w:r>
      <w:bookmarkEnd w:id="6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日期：年月日</w:t>
      </w:r>
      <w:r>
        <w:rPr>
          <w:rFonts w:ascii="仿宋" w:hAnsi="仿宋" w:eastAsia="仿宋"/>
          <w:sz w:val="24"/>
        </w:rPr>
        <w:br w:type="page"/>
      </w:r>
    </w:p>
    <w:p>
      <w:pPr>
        <w:spacing w:line="0" w:lineRule="atLeast"/>
        <w:outlineLvl w:val="1"/>
        <w:rPr>
          <w:rFonts w:ascii="宋体" w:hAnsi="宋体"/>
          <w:szCs w:val="21"/>
        </w:rPr>
      </w:pPr>
      <w:bookmarkStart w:id="65" w:name="_Toc116550362"/>
      <w:r>
        <w:rPr>
          <w:rFonts w:hint="eastAsia" w:ascii="宋体" w:hAnsi="宋体"/>
          <w:szCs w:val="21"/>
        </w:rPr>
        <w:t>附件3：投标一览表</w:t>
      </w:r>
      <w:bookmarkEnd w:id="65"/>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5"/>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825"/>
        <w:gridCol w:w="1275"/>
        <w:gridCol w:w="1755"/>
        <w:gridCol w:w="1665"/>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Align w:val="center"/>
          </w:tcPr>
          <w:p>
            <w:pPr>
              <w:pStyle w:val="5"/>
              <w:spacing w:after="0" w:line="300" w:lineRule="exact"/>
              <w:ind w:left="0"/>
              <w:jc w:val="center"/>
              <w:rPr>
                <w:sz w:val="21"/>
                <w:szCs w:val="21"/>
              </w:rPr>
            </w:pPr>
            <w:r>
              <w:rPr>
                <w:rFonts w:hint="eastAsia"/>
                <w:sz w:val="21"/>
                <w:szCs w:val="21"/>
              </w:rPr>
              <w:t>税前总金额</w:t>
            </w:r>
          </w:p>
          <w:p>
            <w:pPr>
              <w:pStyle w:val="5"/>
              <w:spacing w:after="0" w:line="300" w:lineRule="exact"/>
              <w:ind w:left="0"/>
              <w:jc w:val="center"/>
              <w:rPr>
                <w:sz w:val="21"/>
                <w:szCs w:val="21"/>
              </w:rPr>
            </w:pPr>
            <w:r>
              <w:rPr>
                <w:rFonts w:hint="eastAsia"/>
                <w:sz w:val="21"/>
                <w:szCs w:val="21"/>
              </w:rPr>
              <w:t>（净价）</w:t>
            </w:r>
          </w:p>
        </w:tc>
        <w:tc>
          <w:tcPr>
            <w:tcW w:w="825" w:type="dxa"/>
            <w:vAlign w:val="center"/>
          </w:tcPr>
          <w:p>
            <w:pPr>
              <w:spacing w:line="300" w:lineRule="exact"/>
              <w:jc w:val="center"/>
              <w:rPr>
                <w:rFonts w:ascii="宋体" w:hAnsi="宋体"/>
                <w:szCs w:val="21"/>
              </w:rPr>
            </w:pPr>
            <w:r>
              <w:rPr>
                <w:rFonts w:hint="eastAsia" w:ascii="宋体" w:hAnsi="宋体"/>
                <w:szCs w:val="21"/>
              </w:rPr>
              <w:t>税率</w:t>
            </w:r>
          </w:p>
        </w:tc>
        <w:tc>
          <w:tcPr>
            <w:tcW w:w="1275" w:type="dxa"/>
            <w:vAlign w:val="center"/>
          </w:tcPr>
          <w:p>
            <w:pPr>
              <w:spacing w:line="300" w:lineRule="exact"/>
              <w:jc w:val="center"/>
              <w:rPr>
                <w:rFonts w:ascii="宋体" w:hAnsi="宋体"/>
                <w:szCs w:val="21"/>
              </w:rPr>
            </w:pPr>
            <w:r>
              <w:rPr>
                <w:rFonts w:hint="eastAsia" w:ascii="宋体" w:hAnsi="宋体"/>
                <w:szCs w:val="21"/>
              </w:rPr>
              <w:t>税额</w:t>
            </w:r>
          </w:p>
        </w:tc>
        <w:tc>
          <w:tcPr>
            <w:tcW w:w="1755" w:type="dxa"/>
            <w:vAlign w:val="center"/>
          </w:tcPr>
          <w:p>
            <w:pPr>
              <w:spacing w:line="300" w:lineRule="exact"/>
              <w:jc w:val="center"/>
              <w:rPr>
                <w:rFonts w:ascii="宋体" w:hAnsi="宋体"/>
                <w:szCs w:val="21"/>
              </w:rPr>
            </w:pPr>
            <w:r>
              <w:rPr>
                <w:rFonts w:hint="eastAsia" w:ascii="宋体" w:hAnsi="宋体"/>
                <w:szCs w:val="21"/>
              </w:rPr>
              <w:t>含税总金额</w:t>
            </w:r>
          </w:p>
        </w:tc>
        <w:tc>
          <w:tcPr>
            <w:tcW w:w="1665"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939"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spacing w:line="360" w:lineRule="auto"/>
              <w:jc w:val="center"/>
              <w:rPr>
                <w:rFonts w:ascii="宋体" w:hAnsi="宋体"/>
                <w:szCs w:val="21"/>
              </w:rPr>
            </w:pPr>
          </w:p>
        </w:tc>
        <w:tc>
          <w:tcPr>
            <w:tcW w:w="825" w:type="dxa"/>
          </w:tcPr>
          <w:p>
            <w:pPr>
              <w:spacing w:line="360" w:lineRule="auto"/>
              <w:jc w:val="center"/>
              <w:rPr>
                <w:rFonts w:ascii="宋体" w:hAnsi="宋体"/>
                <w:szCs w:val="21"/>
              </w:rPr>
            </w:pPr>
          </w:p>
        </w:tc>
        <w:tc>
          <w:tcPr>
            <w:tcW w:w="1275" w:type="dxa"/>
          </w:tcPr>
          <w:p>
            <w:pPr>
              <w:spacing w:line="360" w:lineRule="auto"/>
              <w:jc w:val="center"/>
              <w:rPr>
                <w:rFonts w:ascii="宋体" w:hAnsi="宋体"/>
                <w:szCs w:val="21"/>
              </w:rPr>
            </w:pPr>
          </w:p>
        </w:tc>
        <w:tc>
          <w:tcPr>
            <w:tcW w:w="1755" w:type="dxa"/>
          </w:tcPr>
          <w:p>
            <w:pPr>
              <w:spacing w:line="360" w:lineRule="auto"/>
              <w:jc w:val="center"/>
              <w:rPr>
                <w:rFonts w:ascii="宋体" w:hAnsi="宋体"/>
                <w:szCs w:val="21"/>
              </w:rPr>
            </w:pPr>
          </w:p>
        </w:tc>
        <w:tc>
          <w:tcPr>
            <w:tcW w:w="1665" w:type="dxa"/>
          </w:tcPr>
          <w:p>
            <w:pPr>
              <w:spacing w:line="360" w:lineRule="auto"/>
              <w:jc w:val="center"/>
              <w:rPr>
                <w:rFonts w:ascii="宋体" w:hAnsi="宋体"/>
                <w:szCs w:val="21"/>
              </w:rPr>
            </w:pPr>
          </w:p>
        </w:tc>
        <w:tc>
          <w:tcPr>
            <w:tcW w:w="1939"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p>
    <w:p>
      <w:pPr>
        <w:spacing w:line="360" w:lineRule="auto"/>
        <w:rPr>
          <w:rFonts w:ascii="宋体" w:hAnsi="宋体"/>
          <w:szCs w:val="21"/>
          <w:u w:val="single"/>
        </w:rPr>
      </w:pPr>
      <w:r>
        <w:rPr>
          <w:rFonts w:hint="eastAsia" w:ascii="宋体" w:hAnsi="宋体"/>
          <w:szCs w:val="21"/>
        </w:rPr>
        <w:t>投标人名称及盖章：</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5"/>
        <w:ind w:left="0"/>
        <w:rPr>
          <w:rFonts w:ascii="宋体" w:hAnsi="宋体"/>
          <w:szCs w:val="21"/>
        </w:rPr>
      </w:pPr>
    </w:p>
    <w:p>
      <w:pPr>
        <w:pStyle w:val="5"/>
        <w:ind w:left="0"/>
        <w:rPr>
          <w:rFonts w:ascii="宋体" w:hAnsi="宋体"/>
          <w:szCs w:val="21"/>
        </w:rPr>
      </w:pPr>
    </w:p>
    <w:p>
      <w:pPr>
        <w:pStyle w:val="5"/>
        <w:ind w:left="0"/>
        <w:rPr>
          <w:rFonts w:ascii="宋体" w:hAnsi="宋体"/>
          <w:szCs w:val="21"/>
        </w:rPr>
      </w:pPr>
    </w:p>
    <w:p>
      <w:pPr>
        <w:pStyle w:val="5"/>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7" w:name="_Toc116550363"/>
      <w:r>
        <w:rPr>
          <w:rFonts w:hint="eastAsia" w:ascii="宋体" w:hAnsi="宋体"/>
          <w:szCs w:val="21"/>
        </w:rPr>
        <w:t>附件4：考察证明</w:t>
      </w:r>
      <w:bookmarkEnd w:id="67"/>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9" w:name="_Hlk116548155"/>
      <w:r>
        <w:rPr>
          <w:rFonts w:hint="eastAsia" w:ascii="仿宋" w:hAnsi="仿宋" w:eastAsia="仿宋"/>
          <w:sz w:val="28"/>
          <w:szCs w:val="28"/>
        </w:rPr>
        <w:t>你单位已于</w:t>
      </w:r>
      <w:r>
        <w:rPr>
          <w:rFonts w:hint="eastAsia" w:ascii="仿宋" w:hAnsi="仿宋" w:eastAsia="仿宋"/>
          <w:bCs/>
          <w:sz w:val="28"/>
          <w:szCs w:val="28"/>
        </w:rPr>
        <w:t>年月日指派专人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w:t>
      </w:r>
      <w:r>
        <w:rPr>
          <w:rFonts w:hint="eastAsia" w:ascii="仿宋" w:hAnsi="仿宋" w:eastAsia="仿宋"/>
          <w:b/>
          <w:sz w:val="28"/>
          <w:szCs w:val="28"/>
          <w:u w:val="single"/>
        </w:rPr>
        <w:t xml:space="preserve">                           项目</w:t>
      </w:r>
      <w:r>
        <w:rPr>
          <w:rFonts w:hint="eastAsia" w:ascii="仿宋" w:hAnsi="仿宋" w:eastAsia="仿宋"/>
          <w:b/>
          <w:sz w:val="28"/>
          <w:szCs w:val="28"/>
        </w:rPr>
        <w:t>的现场考察</w:t>
      </w:r>
      <w:r>
        <w:rPr>
          <w:rFonts w:hint="eastAsia" w:ascii="仿宋" w:hAnsi="仿宋" w:eastAsia="仿宋"/>
          <w:sz w:val="28"/>
          <w:szCs w:val="28"/>
        </w:rPr>
        <w:t>，详细听取了招标人的讲解和要求，已经知晓招标人本次项目的所有内容以及技术要求等。</w:t>
      </w:r>
    </w:p>
    <w:bookmarkEnd w:id="6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招标人现场踏勘负责人签字：</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日期：年月日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116550364"/>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18"/>
      <w:r>
        <w:rPr>
          <w:rFonts w:hint="eastAsia" w:ascii="方正小标宋_GBK" w:hAnsi="方正小标宋_GBK" w:eastAsia="方正小标宋_GBK"/>
          <w:b/>
          <w:sz w:val="32"/>
          <w:szCs w:val="32"/>
        </w:rPr>
        <w:t>技术服务响应/偏离表</w:t>
      </w:r>
      <w:bookmarkEnd w:id="71"/>
    </w:p>
    <w:p>
      <w:pPr>
        <w:spacing w:line="360" w:lineRule="auto"/>
        <w:rPr>
          <w:rFonts w:ascii="仿宋" w:hAnsi="仿宋" w:eastAsia="仿宋"/>
          <w:sz w:val="28"/>
          <w:szCs w:val="28"/>
          <w:u w:val="single"/>
        </w:rPr>
      </w:pPr>
      <w:r>
        <w:rPr>
          <w:rFonts w:hint="eastAsia" w:ascii="仿宋" w:hAnsi="仿宋" w:eastAsia="仿宋"/>
          <w:sz w:val="28"/>
          <w:szCs w:val="28"/>
        </w:rPr>
        <w:t>投标人名称：</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keepNext w:val="0"/>
              <w:keepLines w:val="0"/>
              <w:spacing w:before="0" w:after="0" w:line="400" w:lineRule="exact"/>
              <w:ind w:firstLine="551" w:firstLineChars="196"/>
              <w:rPr>
                <w:rFonts w:ascii="仿宋" w:hAnsi="仿宋" w:eastAsia="仿宋"/>
                <w:b/>
                <w:bCs/>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w:t>
      </w:r>
      <w:r>
        <w:rPr>
          <w:rFonts w:ascii="仿宋" w:hAnsi="仿宋" w:eastAsia="仿宋"/>
          <w:sz w:val="28"/>
          <w:szCs w:val="28"/>
        </w:rPr>
        <w:t>的，视同偏离本项目要求，该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w:t>
      </w:r>
      <w:r>
        <w:rPr>
          <w:rFonts w:ascii="仿宋" w:hAnsi="仿宋" w:eastAsia="仿宋"/>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2" w:name="_Hlk127434997"/>
      <w:bookmarkStart w:id="73" w:name="_Toc211243320"/>
      <w:r>
        <w:rPr>
          <w:rFonts w:hint="eastAsia" w:ascii="仿宋" w:hAnsi="仿宋" w:eastAsia="仿宋"/>
          <w:sz w:val="30"/>
          <w:szCs w:val="30"/>
        </w:rPr>
        <w:t>法定代表人或其授权委托人（签字或盖章）：</w:t>
      </w:r>
      <w:bookmarkEnd w:id="72"/>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3"/>
      <w:bookmarkStart w:id="74" w:name="_Toc236803114"/>
      <w:bookmarkStart w:id="75" w:name="_Toc246480945"/>
      <w:r>
        <w:rPr>
          <w:rFonts w:ascii="仿宋" w:hAnsi="仿宋" w:eastAsia="仿宋"/>
          <w:sz w:val="28"/>
          <w:szCs w:val="28"/>
        </w:rPr>
        <w:br w:type="page"/>
      </w:r>
    </w:p>
    <w:p>
      <w:pPr>
        <w:spacing w:line="0" w:lineRule="atLeast"/>
        <w:outlineLvl w:val="1"/>
        <w:rPr>
          <w:rFonts w:ascii="宋体" w:hAnsi="宋体"/>
          <w:szCs w:val="21"/>
        </w:rPr>
      </w:pPr>
      <w:bookmarkStart w:id="76" w:name="_Toc116550365"/>
      <w:r>
        <w:rPr>
          <w:rFonts w:hint="eastAsia" w:ascii="宋体" w:hAnsi="宋体"/>
          <w:szCs w:val="21"/>
        </w:rPr>
        <w:t>附件6：商务条款响应/偏离表</w:t>
      </w:r>
      <w:bookmarkEnd w:id="74"/>
      <w:bookmarkEnd w:id="75"/>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7" w:name="_Toc211248420"/>
      <w:r>
        <w:rPr>
          <w:rFonts w:hint="eastAsia" w:ascii="方正小标宋_GBK" w:hAnsi="方正小标宋_GBK" w:eastAsia="方正小标宋_GBK"/>
          <w:b/>
          <w:sz w:val="32"/>
          <w:szCs w:val="32"/>
        </w:rPr>
        <w:t>商务条款响应/偏离表</w:t>
      </w:r>
      <w:bookmarkEnd w:id="77"/>
    </w:p>
    <w:p>
      <w:pPr>
        <w:spacing w:line="360" w:lineRule="auto"/>
        <w:rPr>
          <w:rFonts w:ascii="仿宋" w:hAnsi="仿宋" w:eastAsia="仿宋"/>
          <w:sz w:val="30"/>
          <w:szCs w:val="30"/>
        </w:rPr>
      </w:pPr>
      <w:r>
        <w:rPr>
          <w:rFonts w:hint="eastAsia" w:ascii="仿宋" w:hAnsi="仿宋" w:eastAsia="仿宋"/>
          <w:sz w:val="30"/>
          <w:szCs w:val="30"/>
        </w:rPr>
        <w:t>投标人名称：</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涉及偏离内容的</w:t>
      </w:r>
      <w:r>
        <w:rPr>
          <w:rFonts w:ascii="仿宋" w:hAnsi="仿宋" w:eastAsia="仿宋"/>
          <w:sz w:val="28"/>
          <w:szCs w:val="28"/>
        </w:rPr>
        <w:t>，视同偏离本项目要求，该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不可偏离项检查</w:t>
      </w:r>
      <w:r>
        <w:rPr>
          <w:rFonts w:ascii="仿宋" w:hAnsi="仿宋" w:eastAsia="仿宋"/>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8" w:name="_Toc478387764"/>
      <w:bookmarkStart w:id="79" w:name="_Toc236803111"/>
      <w:bookmarkStart w:id="80" w:name="_Toc395883088"/>
      <w:r>
        <w:rPr>
          <w:rFonts w:ascii="仿宋" w:hAnsi="仿宋" w:eastAsia="仿宋"/>
          <w:sz w:val="28"/>
          <w:szCs w:val="28"/>
        </w:rPr>
        <w:br w:type="page"/>
      </w:r>
    </w:p>
    <w:p>
      <w:pPr>
        <w:spacing w:line="0" w:lineRule="atLeast"/>
        <w:outlineLvl w:val="1"/>
        <w:rPr>
          <w:rFonts w:ascii="宋体" w:hAnsi="宋体"/>
          <w:szCs w:val="21"/>
        </w:rPr>
      </w:pPr>
      <w:bookmarkStart w:id="81" w:name="_Toc116550366"/>
      <w:r>
        <w:rPr>
          <w:rFonts w:hint="eastAsia" w:ascii="宋体" w:hAnsi="宋体"/>
          <w:szCs w:val="21"/>
        </w:rPr>
        <w:t>附件7：报价一览表（货物）</w:t>
      </w:r>
      <w:bookmarkEnd w:id="81"/>
    </w:p>
    <w:bookmarkEnd w:id="78"/>
    <w:bookmarkEnd w:id="79"/>
    <w:bookmarkEnd w:id="80"/>
    <w:p>
      <w:pPr>
        <w:spacing w:before="120" w:after="240"/>
        <w:jc w:val="center"/>
        <w:rPr>
          <w:rFonts w:ascii="宋体" w:hAnsi="宋体"/>
          <w:b/>
          <w:sz w:val="32"/>
          <w:szCs w:val="32"/>
        </w:rPr>
      </w:pPr>
      <w:bookmarkStart w:id="82" w:name="_Toc211248412"/>
      <w:r>
        <w:rPr>
          <w:rFonts w:hint="eastAsia" w:ascii="方正小标宋_GBK" w:hAnsi="方正小标宋_GBK" w:eastAsia="方正小标宋_GBK"/>
          <w:b/>
          <w:sz w:val="32"/>
          <w:szCs w:val="32"/>
        </w:rPr>
        <w:t>报价一览表</w:t>
      </w:r>
      <w:bookmarkEnd w:id="8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  交货期：</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lang w:val="en-US" w:eastAsia="zh-CN"/>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520"/>
        <w:gridCol w:w="894"/>
        <w:gridCol w:w="930"/>
        <w:gridCol w:w="1176"/>
        <w:gridCol w:w="990"/>
        <w:gridCol w:w="885"/>
        <w:gridCol w:w="1050"/>
        <w:gridCol w:w="13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52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89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93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117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最高控制单价（含税）</w:t>
            </w:r>
          </w:p>
        </w:tc>
        <w:tc>
          <w:tcPr>
            <w:tcW w:w="99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税前</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85"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税额</w:t>
            </w:r>
          </w:p>
        </w:tc>
        <w:tc>
          <w:tcPr>
            <w:tcW w:w="10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含税</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130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含税金额小计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spacing w:line="360" w:lineRule="exact"/>
              <w:jc w:val="center"/>
              <w:rPr>
                <w:rFonts w:ascii="仿宋" w:hAnsi="仿宋" w:eastAsia="仿宋"/>
                <w:sz w:val="24"/>
              </w:rPr>
            </w:pPr>
            <w:r>
              <w:rPr>
                <w:rFonts w:hint="eastAsia" w:ascii="仿宋" w:hAnsi="仿宋" w:eastAsia="仿宋"/>
                <w:sz w:val="24"/>
              </w:rPr>
              <w:t>1</w:t>
            </w:r>
          </w:p>
        </w:tc>
        <w:tc>
          <w:tcPr>
            <w:tcW w:w="1520" w:type="dxa"/>
            <w:vAlign w:val="center"/>
          </w:tcPr>
          <w:p>
            <w:pPr>
              <w:autoSpaceDE w:val="0"/>
              <w:autoSpaceDN w:val="0"/>
              <w:adjustRightInd w:val="0"/>
              <w:spacing w:line="360" w:lineRule="exact"/>
              <w:jc w:val="center"/>
              <w:rPr>
                <w:rFonts w:hint="eastAsia" w:ascii="仿宋" w:hAnsi="仿宋" w:eastAsia="仿宋"/>
                <w:sz w:val="24"/>
                <w:lang w:val="en-US" w:eastAsia="zh-CN"/>
              </w:rPr>
            </w:pPr>
            <w:r>
              <w:rPr>
                <w:rFonts w:hint="eastAsia" w:ascii="仿宋" w:hAnsi="仿宋" w:eastAsia="仿宋"/>
                <w:sz w:val="24"/>
              </w:rPr>
              <w:t>接待椅</w:t>
            </w:r>
            <w:r>
              <w:rPr>
                <w:rFonts w:hint="eastAsia" w:ascii="仿宋" w:hAnsi="仿宋" w:eastAsia="仿宋"/>
                <w:sz w:val="24"/>
                <w:lang w:val="en-US" w:eastAsia="zh-CN"/>
              </w:rPr>
              <w:t>1</w:t>
            </w:r>
          </w:p>
        </w:tc>
        <w:tc>
          <w:tcPr>
            <w:tcW w:w="894" w:type="dxa"/>
            <w:vAlign w:val="center"/>
          </w:tcPr>
          <w:p>
            <w:pPr>
              <w:autoSpaceDE w:val="0"/>
              <w:autoSpaceDN w:val="0"/>
              <w:adjustRightInd w:val="0"/>
              <w:jc w:val="center"/>
              <w:rPr>
                <w:rFonts w:ascii="仿宋" w:hAnsi="仿宋" w:eastAsia="仿宋"/>
                <w:sz w:val="24"/>
              </w:rPr>
            </w:pPr>
            <w:r>
              <w:rPr>
                <w:rFonts w:hint="eastAsia" w:ascii="仿宋" w:hAnsi="仿宋" w:eastAsia="仿宋"/>
                <w:sz w:val="24"/>
              </w:rPr>
              <w:t>张</w:t>
            </w:r>
          </w:p>
        </w:tc>
        <w:tc>
          <w:tcPr>
            <w:tcW w:w="930" w:type="dxa"/>
            <w:vAlign w:val="center"/>
          </w:tcPr>
          <w:p>
            <w:pPr>
              <w:autoSpaceDE w:val="0"/>
              <w:autoSpaceDN w:val="0"/>
              <w:adjustRightInd w:val="0"/>
              <w:jc w:val="center"/>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2</w:t>
            </w:r>
            <w:r>
              <w:rPr>
                <w:rFonts w:hint="eastAsia" w:ascii="仿宋" w:hAnsi="仿宋" w:eastAsia="仿宋"/>
                <w:sz w:val="24"/>
              </w:rPr>
              <w:t>00</w:t>
            </w:r>
          </w:p>
        </w:tc>
        <w:tc>
          <w:tcPr>
            <w:tcW w:w="1176" w:type="dxa"/>
            <w:vAlign w:val="center"/>
          </w:tcPr>
          <w:p>
            <w:pPr>
              <w:autoSpaceDE w:val="0"/>
              <w:autoSpaceDN w:val="0"/>
              <w:adjustRightInd w:val="0"/>
              <w:jc w:val="center"/>
              <w:rPr>
                <w:rFonts w:hint="default" w:ascii="仿宋" w:hAnsi="仿宋" w:eastAsia="仿宋"/>
                <w:sz w:val="24"/>
                <w:lang w:val="en-US" w:eastAsia="zh-CN"/>
              </w:rPr>
            </w:pPr>
            <w:r>
              <w:rPr>
                <w:rFonts w:hint="eastAsia" w:ascii="仿宋" w:hAnsi="仿宋" w:eastAsia="仿宋"/>
                <w:sz w:val="24"/>
              </w:rPr>
              <w:t>30</w:t>
            </w:r>
            <w:r>
              <w:rPr>
                <w:rFonts w:hint="eastAsia" w:ascii="仿宋" w:hAnsi="仿宋" w:eastAsia="仿宋"/>
                <w:sz w:val="24"/>
                <w:lang w:val="en-US" w:eastAsia="zh-CN"/>
              </w:rPr>
              <w:t>4.00</w:t>
            </w: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520" w:type="dxa"/>
            <w:vAlign w:val="center"/>
          </w:tcPr>
          <w:p>
            <w:pPr>
              <w:autoSpaceDE w:val="0"/>
              <w:autoSpaceDN w:val="0"/>
              <w:adjustRightInd w:val="0"/>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rPr>
              <w:t>接待椅</w:t>
            </w:r>
            <w:r>
              <w:rPr>
                <w:rFonts w:hint="eastAsia" w:ascii="仿宋" w:hAnsi="仿宋" w:eastAsia="仿宋"/>
                <w:sz w:val="24"/>
                <w:lang w:val="en-US" w:eastAsia="zh-CN"/>
              </w:rPr>
              <w:t>2</w:t>
            </w:r>
          </w:p>
        </w:tc>
        <w:tc>
          <w:tcPr>
            <w:tcW w:w="894" w:type="dxa"/>
            <w:vAlign w:val="center"/>
          </w:tcPr>
          <w:p>
            <w:pPr>
              <w:autoSpaceDE w:val="0"/>
              <w:autoSpaceDN w:val="0"/>
              <w:adjustRightInd w:val="0"/>
              <w:jc w:val="center"/>
              <w:rPr>
                <w:rFonts w:ascii="仿宋" w:hAnsi="仿宋" w:eastAsia="仿宋" w:cs="Times New Roman"/>
                <w:kern w:val="2"/>
                <w:sz w:val="24"/>
                <w:szCs w:val="24"/>
                <w:lang w:val="en-US" w:eastAsia="zh-CN" w:bidi="ar-SA"/>
              </w:rPr>
            </w:pPr>
            <w:r>
              <w:rPr>
                <w:rFonts w:hint="eastAsia" w:ascii="仿宋" w:hAnsi="仿宋" w:eastAsia="仿宋"/>
                <w:sz w:val="24"/>
              </w:rPr>
              <w:t>张</w:t>
            </w:r>
          </w:p>
        </w:tc>
        <w:tc>
          <w:tcPr>
            <w:tcW w:w="930" w:type="dxa"/>
            <w:vAlign w:val="center"/>
          </w:tcPr>
          <w:p>
            <w:pPr>
              <w:autoSpaceDE w:val="0"/>
              <w:autoSpaceDN w:val="0"/>
              <w:adjustRightInd w:val="0"/>
              <w:jc w:val="center"/>
              <w:rPr>
                <w:rFonts w:hint="default" w:ascii="仿宋" w:hAnsi="仿宋" w:eastAsia="仿宋"/>
                <w:sz w:val="24"/>
                <w:lang w:val="en-US" w:eastAsia="zh-CN"/>
              </w:rPr>
            </w:pPr>
            <w:r>
              <w:rPr>
                <w:rFonts w:hint="eastAsia" w:ascii="仿宋" w:hAnsi="仿宋" w:eastAsia="仿宋"/>
                <w:sz w:val="24"/>
                <w:lang w:val="en-US" w:eastAsia="zh-CN"/>
              </w:rPr>
              <w:t>100</w:t>
            </w:r>
          </w:p>
        </w:tc>
        <w:tc>
          <w:tcPr>
            <w:tcW w:w="1176" w:type="dxa"/>
            <w:vAlign w:val="center"/>
          </w:tcPr>
          <w:p>
            <w:pPr>
              <w:autoSpaceDE w:val="0"/>
              <w:autoSpaceDN w:val="0"/>
              <w:adjustRightInd w:val="0"/>
              <w:jc w:val="center"/>
              <w:rPr>
                <w:rFonts w:hint="default" w:ascii="仿宋" w:hAnsi="仿宋" w:eastAsia="仿宋"/>
                <w:sz w:val="24"/>
                <w:lang w:val="en-US" w:eastAsia="zh-CN"/>
              </w:rPr>
            </w:pPr>
            <w:r>
              <w:rPr>
                <w:rFonts w:hint="eastAsia" w:ascii="仿宋" w:hAnsi="仿宋" w:eastAsia="仿宋"/>
                <w:sz w:val="24"/>
                <w:lang w:val="en-US" w:eastAsia="zh-CN"/>
              </w:rPr>
              <w:t>1750.00</w:t>
            </w: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rPr>
                <w:rFonts w:ascii="仿宋" w:hAnsi="仿宋" w:eastAsia="仿宋"/>
                <w:sz w:val="24"/>
              </w:rPr>
            </w:pPr>
          </w:p>
        </w:tc>
        <w:tc>
          <w:tcPr>
            <w:tcW w:w="894" w:type="dxa"/>
            <w:vAlign w:val="center"/>
          </w:tcPr>
          <w:p>
            <w:pPr>
              <w:autoSpaceDE w:val="0"/>
              <w:autoSpaceDN w:val="0"/>
              <w:adjustRightInd w:val="0"/>
              <w:rPr>
                <w:rFonts w:ascii="仿宋" w:hAnsi="仿宋" w:eastAsia="仿宋"/>
                <w:sz w:val="24"/>
              </w:rPr>
            </w:pPr>
          </w:p>
        </w:tc>
        <w:tc>
          <w:tcPr>
            <w:tcW w:w="930" w:type="dxa"/>
            <w:vAlign w:val="center"/>
          </w:tcPr>
          <w:p>
            <w:pPr>
              <w:autoSpaceDE w:val="0"/>
              <w:autoSpaceDN w:val="0"/>
              <w:adjustRightInd w:val="0"/>
              <w:rPr>
                <w:rFonts w:ascii="仿宋" w:hAnsi="仿宋" w:eastAsia="仿宋"/>
                <w:sz w:val="24"/>
              </w:rPr>
            </w:pPr>
          </w:p>
        </w:tc>
        <w:tc>
          <w:tcPr>
            <w:tcW w:w="1176" w:type="dxa"/>
            <w:vAlign w:val="center"/>
          </w:tcPr>
          <w:p>
            <w:pPr>
              <w:autoSpaceDE w:val="0"/>
              <w:autoSpaceDN w:val="0"/>
              <w:adjustRightInd w:val="0"/>
              <w:rPr>
                <w:rFonts w:ascii="仿宋" w:hAnsi="仿宋" w:eastAsia="仿宋"/>
                <w:sz w:val="24"/>
              </w:rPr>
            </w:pPr>
          </w:p>
        </w:tc>
        <w:tc>
          <w:tcPr>
            <w:tcW w:w="990" w:type="dxa"/>
            <w:vAlign w:val="center"/>
          </w:tcPr>
          <w:p>
            <w:pPr>
              <w:autoSpaceDE w:val="0"/>
              <w:autoSpaceDN w:val="0"/>
              <w:adjustRightInd w:val="0"/>
              <w:rPr>
                <w:rFonts w:ascii="仿宋" w:hAnsi="仿宋" w:eastAsia="仿宋"/>
                <w:sz w:val="24"/>
              </w:rPr>
            </w:pPr>
          </w:p>
        </w:tc>
        <w:tc>
          <w:tcPr>
            <w:tcW w:w="885" w:type="dxa"/>
            <w:vAlign w:val="center"/>
          </w:tcPr>
          <w:p>
            <w:pPr>
              <w:autoSpaceDE w:val="0"/>
              <w:autoSpaceDN w:val="0"/>
              <w:adjustRightInd w:val="0"/>
              <w:rPr>
                <w:rFonts w:ascii="仿宋" w:hAnsi="仿宋" w:eastAsia="仿宋"/>
                <w:sz w:val="24"/>
              </w:rPr>
            </w:pPr>
          </w:p>
        </w:tc>
        <w:tc>
          <w:tcPr>
            <w:tcW w:w="1050" w:type="dxa"/>
            <w:vAlign w:val="center"/>
          </w:tcPr>
          <w:p>
            <w:pPr>
              <w:autoSpaceDE w:val="0"/>
              <w:autoSpaceDN w:val="0"/>
              <w:adjustRightInd w:val="0"/>
              <w:rPr>
                <w:rFonts w:ascii="仿宋" w:hAnsi="仿宋" w:eastAsia="仿宋"/>
                <w:sz w:val="24"/>
              </w:rPr>
            </w:pPr>
          </w:p>
        </w:tc>
        <w:tc>
          <w:tcPr>
            <w:tcW w:w="1306" w:type="dxa"/>
            <w:vAlign w:val="center"/>
          </w:tcPr>
          <w:p>
            <w:pPr>
              <w:autoSpaceDE w:val="0"/>
              <w:autoSpaceDN w:val="0"/>
              <w:adjustRightInd w:val="0"/>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028" w:type="dxa"/>
            <w:gridSpan w:val="8"/>
            <w:vAlign w:val="center"/>
          </w:tcPr>
          <w:p>
            <w:pPr>
              <w:autoSpaceDE w:val="0"/>
              <w:autoSpaceDN w:val="0"/>
              <w:adjustRightInd w:val="0"/>
              <w:jc w:val="right"/>
              <w:rPr>
                <w:rFonts w:ascii="仿宋" w:hAnsi="仿宋" w:eastAsia="仿宋"/>
                <w:sz w:val="24"/>
              </w:rPr>
            </w:pPr>
            <w:r>
              <w:rPr>
                <w:rFonts w:hint="eastAsia" w:ascii="仿宋" w:hAnsi="仿宋" w:eastAsia="仿宋"/>
                <w:sz w:val="28"/>
                <w:szCs w:val="28"/>
              </w:rPr>
              <w:t>含税金额合计：</w:t>
            </w:r>
          </w:p>
        </w:tc>
        <w:tc>
          <w:tcPr>
            <w:tcW w:w="1306" w:type="dxa"/>
            <w:vAlign w:val="center"/>
          </w:tcPr>
          <w:p>
            <w:pPr>
              <w:autoSpaceDE w:val="0"/>
              <w:autoSpaceDN w:val="0"/>
              <w:adjustRightInd w:val="0"/>
              <w:jc w:val="right"/>
              <w:rPr>
                <w:rFonts w:ascii="仿宋" w:hAnsi="仿宋" w:eastAsia="仿宋"/>
                <w:sz w:val="24"/>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41"/>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28"/>
          <w:szCs w:val="28"/>
        </w:rPr>
      </w:pPr>
      <w:bookmarkStart w:id="83" w:name="_Toc82359026"/>
      <w:bookmarkStart w:id="84"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3"/>
    <w:bookmarkEnd w:id="84"/>
    <w:p>
      <w:pPr>
        <w:spacing w:line="0" w:lineRule="atLeast"/>
        <w:outlineLvl w:val="1"/>
        <w:rPr>
          <w:rFonts w:ascii="宋体" w:hAnsi="宋体"/>
          <w:szCs w:val="21"/>
        </w:rPr>
      </w:pPr>
      <w:bookmarkStart w:id="85" w:name="_Toc116550367"/>
      <w:r>
        <w:rPr>
          <w:rFonts w:hint="eastAsia" w:ascii="宋体" w:hAnsi="宋体"/>
          <w:szCs w:val="21"/>
        </w:rPr>
        <w:t>附件8：报价一览表（服务）（本项目不适用）</w:t>
      </w:r>
      <w:bookmarkEnd w:id="8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p>
    <w:p>
      <w:pPr>
        <w:spacing w:after="80" w:line="360" w:lineRule="auto"/>
        <w:rPr>
          <w:rFonts w:ascii="仿宋" w:hAnsi="仿宋" w:eastAsia="仿宋"/>
          <w:sz w:val="30"/>
          <w:szCs w:val="30"/>
          <w:u w:val="single"/>
        </w:rPr>
      </w:pPr>
      <w:r>
        <w:rPr>
          <w:rFonts w:hint="eastAsia" w:ascii="仿宋" w:hAnsi="仿宋" w:eastAsia="仿宋"/>
          <w:sz w:val="28"/>
          <w:szCs w:val="28"/>
        </w:rPr>
        <w:t xml:space="preserve">币种：人民币         税率：%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6" w:name="_Toc116550368"/>
      <w:r>
        <w:rPr>
          <w:rFonts w:hint="eastAsia" w:ascii="宋体" w:hAnsi="宋体"/>
          <w:szCs w:val="21"/>
        </w:rPr>
        <w:t>附件9：报价一览表（工程）</w:t>
      </w:r>
      <w:bookmarkEnd w:id="86"/>
      <w:r>
        <w:rPr>
          <w:rFonts w:hint="eastAsia" w:ascii="宋体" w:hAnsi="宋体"/>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43"/>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43"/>
        </w:numPr>
        <w:spacing w:line="400" w:lineRule="exact"/>
        <w:ind w:firstLineChars="0"/>
        <w:rPr>
          <w:rFonts w:ascii="仿宋_GB2312" w:hAnsi="宋体" w:eastAsia="仿宋_GB2312"/>
          <w:sz w:val="28"/>
          <w:szCs w:val="28"/>
        </w:rPr>
      </w:pPr>
      <w:r>
        <w:rPr>
          <w:rFonts w:hint="eastAsia" w:ascii="仿宋" w:hAnsi="仿宋" w:eastAsia="仿宋"/>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p>
    <w:p>
      <w:pPr>
        <w:spacing w:line="360" w:lineRule="auto"/>
        <w:rPr>
          <w:rFonts w:ascii="仿宋" w:hAnsi="仿宋" w:eastAsia="仿宋"/>
          <w:sz w:val="28"/>
          <w:szCs w:val="28"/>
        </w:rPr>
      </w:pPr>
      <w:r>
        <w:rPr>
          <w:rFonts w:hint="eastAsia" w:ascii="仿宋" w:hAnsi="仿宋" w:eastAsia="仿宋"/>
          <w:sz w:val="28"/>
          <w:szCs w:val="28"/>
        </w:rPr>
        <w:t>投标人（盖章）：</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7" w:name="_Toc116550369"/>
      <w:r>
        <w:rPr>
          <w:rFonts w:hint="eastAsia" w:ascii="宋体" w:hAnsi="宋体"/>
          <w:szCs w:val="21"/>
        </w:rPr>
        <w:t>附件10：法定代表人证明书</w:t>
      </w:r>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营业执照号码：，经济性质：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姓名：，性别：，年龄：，职务：，</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8"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 ，性别：，年龄：，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身份证号码：，职务：，</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授权委托日期：年月日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45"/>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45"/>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45"/>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11430" b="508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stlwNcAAAAHAQAADwAAAAAAAAABACAAAAAiAAAAZHJz&#10;L2Rvd25yZXYueG1sUEsBAhQAFAAAAAgAh07iQNBcsRs+AgAAngQAAA4AAAAAAAAAAQAgAAAAJgEA&#10;AGRycy9lMm9Eb2MueG1sUEsFBgAAAAAGAAYAWQEAANYF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11430" b="508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fymPbPQIAAJ4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SosqjO+Wb6EuMjdzFYTtM7dhC80hEIoxjTUtNlw7wB2c9jXTNw/e9QMWZ+eioGevZYpF2IAuL&#10;5WpOAh5rtsca4SRB1TxyNl6v4rg3e49611Gksf0OLqmBrc7UplTHrKa209hmxqcVS3txLGerX7+V&#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NSa02gAAAAoBAAAPAAAAAAAAAAEAIAAAACIAAABk&#10;cnMvZG93bnJldi54bWxQSwECFAAUAAAACACHTuJAn8pj2z0CAACeBAAADgAAAAAAAAABACAAAAAp&#10;AQAAZHJzL2Uyb0RvYy54bWxQSwUGAAAAAAYABgBZAQAA2A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9"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我方根据贵公司招标文件要求提供年月日至投标截止时间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rPr>
        <w:t>年月日</w:t>
      </w:r>
      <w:r>
        <w:rPr>
          <w:rFonts w:ascii="仿宋" w:hAnsi="仿宋" w:eastAsia="仿宋"/>
          <w:color w:val="000000"/>
          <w:sz w:val="30"/>
          <w:szCs w:val="30"/>
        </w:rPr>
        <w:br w:type="page"/>
      </w:r>
    </w:p>
    <w:p>
      <w:pPr>
        <w:spacing w:line="0" w:lineRule="atLeast"/>
        <w:outlineLvl w:val="1"/>
        <w:rPr>
          <w:rFonts w:ascii="宋体" w:hAnsi="宋体"/>
          <w:szCs w:val="21"/>
        </w:rPr>
      </w:pPr>
      <w:bookmarkStart w:id="90"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widowControl/>
        <w:jc w:val="left"/>
        <w:rPr>
          <w:rFonts w:ascii="仿宋" w:hAnsi="仿宋" w:eastAsia="仿宋"/>
          <w:sz w:val="28"/>
          <w:szCs w:val="28"/>
        </w:rPr>
      </w:pPr>
      <w:bookmarkStart w:id="91" w:name="_Toc32341"/>
      <w:r>
        <w:rPr>
          <w:rFonts w:ascii="仿宋" w:hAnsi="仿宋" w:eastAsia="仿宋"/>
          <w:sz w:val="28"/>
          <w:szCs w:val="28"/>
        </w:rPr>
        <w:br w:type="page"/>
      </w:r>
    </w:p>
    <w:p>
      <w:pPr>
        <w:spacing w:line="0" w:lineRule="atLeast"/>
        <w:outlineLvl w:val="1"/>
        <w:rPr>
          <w:rFonts w:ascii="宋体" w:hAnsi="宋体"/>
          <w:szCs w:val="21"/>
        </w:rPr>
      </w:pPr>
      <w:bookmarkStart w:id="92"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1"/>
      <w:bookmarkEnd w:id="9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（投标人名称）及法定代表人在最近三年内（年月日至报名截止时间）没有行贿犯罪记录。</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日期：年月日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93" w:name="_Toc100848654"/>
      <w:bookmarkStart w:id="94" w:name="_Toc116550374"/>
      <w:r>
        <w:rPr>
          <w:rFonts w:hint="eastAsia" w:ascii="宋体" w:hAnsi="宋体"/>
        </w:rPr>
        <w:t>附件15：投标文件密码</w:t>
      </w:r>
      <w:bookmarkEnd w:id="93"/>
      <w:r>
        <w:rPr>
          <w:rFonts w:hint="eastAsia" w:ascii="宋体" w:hAnsi="宋体"/>
        </w:rPr>
        <w:t>单</w:t>
      </w:r>
      <w:bookmarkEnd w:id="9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5"/>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【特别注意】</w:t>
      </w:r>
    </w:p>
    <w:p>
      <w:pPr>
        <w:pStyle w:val="13"/>
        <w:numPr>
          <w:ilvl w:val="0"/>
          <w:numId w:val="49"/>
        </w:numPr>
        <w:rPr>
          <w:rFonts w:ascii="仿宋" w:hAnsi="仿宋" w:eastAsia="仿宋"/>
          <w:sz w:val="28"/>
          <w:szCs w:val="28"/>
        </w:rPr>
      </w:pPr>
      <w:r>
        <w:rPr>
          <w:rFonts w:hint="eastAsia" w:ascii="仿宋" w:hAnsi="仿宋" w:eastAsia="仿宋"/>
          <w:sz w:val="28"/>
          <w:szCs w:val="28"/>
        </w:rPr>
        <w:t>密码区分大小写，且不得使用易与数字混淆的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49"/>
        </w:numPr>
        <w:rPr>
          <w:rFonts w:ascii="仿宋" w:hAnsi="仿宋" w:eastAsia="仿宋"/>
          <w:b/>
          <w:sz w:val="28"/>
          <w:szCs w:val="28"/>
        </w:rPr>
      </w:pPr>
      <w:r>
        <w:rPr>
          <w:rFonts w:hint="eastAsia" w:ascii="仿宋" w:hAnsi="仿宋" w:eastAsia="仿宋"/>
          <w:sz w:val="28"/>
          <w:szCs w:val="28"/>
        </w:rPr>
        <w:t>本单请严格按招标文件要求的时间和方式提交（切勿同投标文件一起提交）。</w:t>
      </w:r>
    </w:p>
    <w:p>
      <w:pPr>
        <w:pStyle w:val="13"/>
      </w:pPr>
    </w:p>
    <w:p>
      <w:pPr>
        <w:pStyle w:val="13"/>
      </w:pPr>
    </w:p>
    <w:p>
      <w:pPr>
        <w:spacing w:line="360" w:lineRule="auto"/>
        <w:jc w:val="left"/>
        <w:rPr>
          <w:rFonts w:ascii="仿宋" w:hAnsi="仿宋" w:eastAsia="仿宋"/>
          <w:sz w:val="28"/>
          <w:szCs w:val="28"/>
        </w:rPr>
      </w:pPr>
      <w:bookmarkStart w:id="96"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6"/>
    </w:p>
    <w:bookmarkEnd w:id="0"/>
    <w:p>
      <w:pPr>
        <w:pStyle w:val="13"/>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文鼎CS楷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7" w:name="_Hlk116546062"/>
    <w:bookmarkStart w:id="98"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7"/>
    <w:bookmarkEnd w:id="9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A78EAB6"/>
    <w:multiLevelType w:val="singleLevel"/>
    <w:tmpl w:val="8A78EAB6"/>
    <w:lvl w:ilvl="0" w:tentative="0">
      <w:start w:val="1"/>
      <w:numFmt w:val="decimal"/>
      <w:suff w:val="nothing"/>
      <w:lvlText w:val="（%1）"/>
      <w:lvlJc w:val="left"/>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A2281775"/>
    <w:multiLevelType w:val="singleLevel"/>
    <w:tmpl w:val="A2281775"/>
    <w:lvl w:ilvl="0" w:tentative="0">
      <w:start w:val="1"/>
      <w:numFmt w:val="decimal"/>
      <w:suff w:val="space"/>
      <w:lvlText w:val="%1."/>
      <w:lvlJc w:val="left"/>
    </w:lvl>
  </w:abstractNum>
  <w:abstractNum w:abstractNumId="5">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F7FE85F"/>
    <w:multiLevelType w:val="singleLevel"/>
    <w:tmpl w:val="CF7FE85F"/>
    <w:lvl w:ilvl="0" w:tentative="0">
      <w:start w:val="1"/>
      <w:numFmt w:val="decimal"/>
      <w:lvlText w:val="%1."/>
      <w:lvlJc w:val="left"/>
      <w:pPr>
        <w:ind w:left="425" w:hanging="425"/>
      </w:pPr>
      <w:rPr>
        <w:rFonts w:hint="default"/>
      </w:rPr>
    </w:lvl>
  </w:abstractNum>
  <w:abstractNum w:abstractNumId="8">
    <w:nsid w:val="D3051835"/>
    <w:multiLevelType w:val="singleLevel"/>
    <w:tmpl w:val="D3051835"/>
    <w:lvl w:ilvl="0" w:tentative="0">
      <w:start w:val="1"/>
      <w:numFmt w:val="decimal"/>
      <w:suff w:val="space"/>
      <w:lvlText w:val="%1."/>
      <w:lvlJc w:val="left"/>
    </w:lvl>
  </w:abstractNum>
  <w:abstractNum w:abstractNumId="9">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0">
    <w:nsid w:val="DAA5A57F"/>
    <w:multiLevelType w:val="singleLevel"/>
    <w:tmpl w:val="DAA5A57F"/>
    <w:lvl w:ilvl="0" w:tentative="0">
      <w:start w:val="1"/>
      <w:numFmt w:val="decimal"/>
      <w:suff w:val="space"/>
      <w:lvlText w:val="%1."/>
      <w:lvlJc w:val="left"/>
    </w:lvl>
  </w:abstractNum>
  <w:abstractNum w:abstractNumId="11">
    <w:nsid w:val="DB4D60E3"/>
    <w:multiLevelType w:val="singleLevel"/>
    <w:tmpl w:val="DB4D60E3"/>
    <w:lvl w:ilvl="0" w:tentative="0">
      <w:start w:val="1"/>
      <w:numFmt w:val="decimal"/>
      <w:suff w:val="space"/>
      <w:lvlText w:val="%1."/>
      <w:lvlJc w:val="left"/>
    </w:lvl>
  </w:abstractNum>
  <w:abstractNum w:abstractNumId="12">
    <w:nsid w:val="DCB00C42"/>
    <w:multiLevelType w:val="singleLevel"/>
    <w:tmpl w:val="DCB00C42"/>
    <w:lvl w:ilvl="0" w:tentative="0">
      <w:start w:val="1"/>
      <w:numFmt w:val="decimal"/>
      <w:suff w:val="nothing"/>
      <w:lvlText w:val="（%1）"/>
      <w:lvlJc w:val="left"/>
    </w:lvl>
  </w:abstractNum>
  <w:abstractNum w:abstractNumId="13">
    <w:nsid w:val="EBB28CBD"/>
    <w:multiLevelType w:val="singleLevel"/>
    <w:tmpl w:val="EBB28CBD"/>
    <w:lvl w:ilvl="0" w:tentative="0">
      <w:start w:val="1"/>
      <w:numFmt w:val="decimal"/>
      <w:suff w:val="space"/>
      <w:lvlText w:val="%1."/>
      <w:lvlJc w:val="left"/>
      <w:pPr>
        <w:ind w:left="520" w:firstLine="0"/>
      </w:pPr>
    </w:lvl>
  </w:abstractNum>
  <w:abstractNum w:abstractNumId="14">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9987450"/>
    <w:multiLevelType w:val="singleLevel"/>
    <w:tmpl w:val="19987450"/>
    <w:lvl w:ilvl="0" w:tentative="0">
      <w:start w:val="1"/>
      <w:numFmt w:val="decimal"/>
      <w:suff w:val="nothing"/>
      <w:lvlText w:val="（%1）"/>
      <w:lvlJc w:val="left"/>
    </w:lvl>
  </w:abstractNum>
  <w:abstractNum w:abstractNumId="23">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0AB9193"/>
    <w:multiLevelType w:val="singleLevel"/>
    <w:tmpl w:val="20AB9193"/>
    <w:lvl w:ilvl="0" w:tentative="0">
      <w:start w:val="1"/>
      <w:numFmt w:val="decimal"/>
      <w:lvlText w:val="%1."/>
      <w:lvlJc w:val="left"/>
      <w:pPr>
        <w:ind w:left="425" w:hanging="425"/>
      </w:pPr>
      <w:rPr>
        <w:rFonts w:hint="default"/>
      </w:rPr>
    </w:lvl>
  </w:abstractNum>
  <w:abstractNum w:abstractNumId="25">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7">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8E10C89"/>
    <w:multiLevelType w:val="singleLevel"/>
    <w:tmpl w:val="28E10C89"/>
    <w:lvl w:ilvl="0" w:tentative="0">
      <w:start w:val="1"/>
      <w:numFmt w:val="decimal"/>
      <w:suff w:val="space"/>
      <w:lvlText w:val="%1."/>
      <w:lvlJc w:val="left"/>
    </w:lvl>
  </w:abstractNum>
  <w:abstractNum w:abstractNumId="3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3A26D2"/>
    <w:multiLevelType w:val="multilevel"/>
    <w:tmpl w:val="353A26D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9117DCD"/>
    <w:multiLevelType w:val="singleLevel"/>
    <w:tmpl w:val="39117DCD"/>
    <w:lvl w:ilvl="0" w:tentative="0">
      <w:start w:val="1"/>
      <w:numFmt w:val="decimal"/>
      <w:suff w:val="nothing"/>
      <w:lvlText w:val="（%1）"/>
      <w:lvlJc w:val="left"/>
    </w:lvl>
  </w:abstractNum>
  <w:abstractNum w:abstractNumId="34">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5">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9">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2">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5">
    <w:nsid w:val="6A4CA7BB"/>
    <w:multiLevelType w:val="singleLevel"/>
    <w:tmpl w:val="6A4CA7BB"/>
    <w:lvl w:ilvl="0" w:tentative="0">
      <w:start w:val="1"/>
      <w:numFmt w:val="decimal"/>
      <w:suff w:val="nothing"/>
      <w:lvlText w:val="（%1）"/>
      <w:lvlJc w:val="left"/>
    </w:lvl>
  </w:abstractNum>
  <w:abstractNum w:abstractNumId="4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7">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41"/>
  </w:num>
  <w:num w:numId="2">
    <w:abstractNumId w:val="46"/>
  </w:num>
  <w:num w:numId="3">
    <w:abstractNumId w:val="32"/>
  </w:num>
  <w:num w:numId="4">
    <w:abstractNumId w:val="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2"/>
  </w:num>
  <w:num w:numId="8">
    <w:abstractNumId w:val="36"/>
  </w:num>
  <w:num w:numId="9">
    <w:abstractNumId w:val="20"/>
  </w:num>
  <w:num w:numId="10">
    <w:abstractNumId w:val="8"/>
  </w:num>
  <w:num w:numId="11">
    <w:abstractNumId w:val="29"/>
  </w:num>
  <w:num w:numId="12">
    <w:abstractNumId w:val="17"/>
  </w:num>
  <w:num w:numId="13">
    <w:abstractNumId w:val="23"/>
  </w:num>
  <w:num w:numId="14">
    <w:abstractNumId w:val="1"/>
  </w:num>
  <w:num w:numId="15">
    <w:abstractNumId w:val="45"/>
  </w:num>
  <w:num w:numId="16">
    <w:abstractNumId w:val="31"/>
  </w:num>
  <w:num w:numId="17">
    <w:abstractNumId w:val="12"/>
  </w:num>
  <w:num w:numId="18">
    <w:abstractNumId w:val="22"/>
  </w:num>
  <w:num w:numId="19">
    <w:abstractNumId w:val="33"/>
  </w:num>
  <w:num w:numId="20">
    <w:abstractNumId w:val="4"/>
  </w:num>
  <w:num w:numId="21">
    <w:abstractNumId w:val="10"/>
  </w:num>
  <w:num w:numId="22">
    <w:abstractNumId w:val="37"/>
  </w:num>
  <w:num w:numId="23">
    <w:abstractNumId w:val="34"/>
  </w:num>
  <w:num w:numId="24">
    <w:abstractNumId w:val="13"/>
  </w:num>
  <w:num w:numId="25">
    <w:abstractNumId w:val="24"/>
  </w:num>
  <w:num w:numId="26">
    <w:abstractNumId w:val="7"/>
  </w:num>
  <w:num w:numId="27">
    <w:abstractNumId w:val="43"/>
  </w:num>
  <w:num w:numId="28">
    <w:abstractNumId w:val="19"/>
  </w:num>
  <w:num w:numId="29">
    <w:abstractNumId w:val="5"/>
  </w:num>
  <w:num w:numId="30">
    <w:abstractNumId w:val="26"/>
  </w:num>
  <w:num w:numId="31">
    <w:abstractNumId w:val="2"/>
  </w:num>
  <w:num w:numId="32">
    <w:abstractNumId w:val="11"/>
  </w:num>
  <w:num w:numId="33">
    <w:abstractNumId w:val="9"/>
  </w:num>
  <w:num w:numId="34">
    <w:abstractNumId w:val="47"/>
  </w:num>
  <w:num w:numId="35">
    <w:abstractNumId w:val="0"/>
  </w:num>
  <w:num w:numId="36">
    <w:abstractNumId w:val="3"/>
  </w:num>
  <w:num w:numId="37">
    <w:abstractNumId w:val="35"/>
  </w:num>
  <w:num w:numId="38">
    <w:abstractNumId w:val="14"/>
  </w:num>
  <w:num w:numId="39">
    <w:abstractNumId w:val="16"/>
  </w:num>
  <w:num w:numId="40">
    <w:abstractNumId w:val="15"/>
  </w:num>
  <w:num w:numId="41">
    <w:abstractNumId w:val="44"/>
  </w:num>
  <w:num w:numId="42">
    <w:abstractNumId w:val="38"/>
  </w:num>
  <w:num w:numId="43">
    <w:abstractNumId w:val="30"/>
  </w:num>
  <w:num w:numId="44">
    <w:abstractNumId w:val="27"/>
  </w:num>
  <w:num w:numId="45">
    <w:abstractNumId w:val="39"/>
  </w:num>
  <w:num w:numId="46">
    <w:abstractNumId w:val="25"/>
  </w:num>
  <w:num w:numId="47">
    <w:abstractNumId w:val="18"/>
  </w:num>
  <w:num w:numId="48">
    <w:abstractNumId w:val="4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jdhYjVlOTA1Nzc0YTExMWI5MDcwYWI1MjJiMmQ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86E6C"/>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2E2E41"/>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00FAF"/>
    <w:rsid w:val="004235D9"/>
    <w:rsid w:val="00427D5D"/>
    <w:rsid w:val="00432C74"/>
    <w:rsid w:val="00434E45"/>
    <w:rsid w:val="00441F17"/>
    <w:rsid w:val="004607EA"/>
    <w:rsid w:val="004707D2"/>
    <w:rsid w:val="00471ED2"/>
    <w:rsid w:val="00476C96"/>
    <w:rsid w:val="004775EE"/>
    <w:rsid w:val="00482493"/>
    <w:rsid w:val="00492F1D"/>
    <w:rsid w:val="004A0594"/>
    <w:rsid w:val="004A0D6B"/>
    <w:rsid w:val="004A7C1F"/>
    <w:rsid w:val="004B0D64"/>
    <w:rsid w:val="004B24F9"/>
    <w:rsid w:val="004B7B79"/>
    <w:rsid w:val="004D1901"/>
    <w:rsid w:val="004D58FC"/>
    <w:rsid w:val="004D5AC3"/>
    <w:rsid w:val="004D6F70"/>
    <w:rsid w:val="004E1C82"/>
    <w:rsid w:val="004E3802"/>
    <w:rsid w:val="004E3A19"/>
    <w:rsid w:val="004E40C8"/>
    <w:rsid w:val="004E4541"/>
    <w:rsid w:val="004E7657"/>
    <w:rsid w:val="004F2ED2"/>
    <w:rsid w:val="004F63E5"/>
    <w:rsid w:val="00506B6D"/>
    <w:rsid w:val="00544B6E"/>
    <w:rsid w:val="00547CAB"/>
    <w:rsid w:val="00550A0A"/>
    <w:rsid w:val="00554298"/>
    <w:rsid w:val="0055672B"/>
    <w:rsid w:val="00565EDC"/>
    <w:rsid w:val="005700E9"/>
    <w:rsid w:val="005815FC"/>
    <w:rsid w:val="00581FCF"/>
    <w:rsid w:val="00587572"/>
    <w:rsid w:val="005A26F8"/>
    <w:rsid w:val="005A480E"/>
    <w:rsid w:val="005B03C2"/>
    <w:rsid w:val="005B1453"/>
    <w:rsid w:val="005B328D"/>
    <w:rsid w:val="005C5034"/>
    <w:rsid w:val="005C61A2"/>
    <w:rsid w:val="005D123F"/>
    <w:rsid w:val="005E43D8"/>
    <w:rsid w:val="005E4792"/>
    <w:rsid w:val="005F16B3"/>
    <w:rsid w:val="005F71F0"/>
    <w:rsid w:val="00604C0B"/>
    <w:rsid w:val="00606010"/>
    <w:rsid w:val="006115F6"/>
    <w:rsid w:val="0061262D"/>
    <w:rsid w:val="00617330"/>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1B99"/>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670F"/>
    <w:rsid w:val="00857F72"/>
    <w:rsid w:val="0086286A"/>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4B4F"/>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AF7C75"/>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23A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49A2"/>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884E35"/>
    <w:rsid w:val="02B47C4D"/>
    <w:rsid w:val="02B93A83"/>
    <w:rsid w:val="03286A8A"/>
    <w:rsid w:val="03D609D8"/>
    <w:rsid w:val="04450729"/>
    <w:rsid w:val="04525DA3"/>
    <w:rsid w:val="04D46768"/>
    <w:rsid w:val="04F90B5F"/>
    <w:rsid w:val="053A1CC8"/>
    <w:rsid w:val="05B3352C"/>
    <w:rsid w:val="05F9537F"/>
    <w:rsid w:val="06856661"/>
    <w:rsid w:val="07680BC8"/>
    <w:rsid w:val="077B4608"/>
    <w:rsid w:val="07867E64"/>
    <w:rsid w:val="07BB74B6"/>
    <w:rsid w:val="07D7576E"/>
    <w:rsid w:val="07F32A16"/>
    <w:rsid w:val="08493DEA"/>
    <w:rsid w:val="084F532E"/>
    <w:rsid w:val="08647852"/>
    <w:rsid w:val="086E4EC9"/>
    <w:rsid w:val="08873DCD"/>
    <w:rsid w:val="09BF3BA4"/>
    <w:rsid w:val="09C8299C"/>
    <w:rsid w:val="0B734A64"/>
    <w:rsid w:val="0CDE01F2"/>
    <w:rsid w:val="0D3B2DBD"/>
    <w:rsid w:val="0DBB5D95"/>
    <w:rsid w:val="0DD201F4"/>
    <w:rsid w:val="0E055635"/>
    <w:rsid w:val="0E5C591E"/>
    <w:rsid w:val="0F4526B6"/>
    <w:rsid w:val="0FC843CA"/>
    <w:rsid w:val="10091618"/>
    <w:rsid w:val="11D85BD5"/>
    <w:rsid w:val="11DF775E"/>
    <w:rsid w:val="12622F05"/>
    <w:rsid w:val="12687C54"/>
    <w:rsid w:val="13F975F1"/>
    <w:rsid w:val="141E3891"/>
    <w:rsid w:val="145C60CF"/>
    <w:rsid w:val="14D26837"/>
    <w:rsid w:val="1513181F"/>
    <w:rsid w:val="152B64B8"/>
    <w:rsid w:val="15740DA4"/>
    <w:rsid w:val="15D12202"/>
    <w:rsid w:val="16064D61"/>
    <w:rsid w:val="16C86C92"/>
    <w:rsid w:val="17135246"/>
    <w:rsid w:val="172856B5"/>
    <w:rsid w:val="195A6BC0"/>
    <w:rsid w:val="1B101963"/>
    <w:rsid w:val="1B1118DD"/>
    <w:rsid w:val="1C5670DA"/>
    <w:rsid w:val="1CE63800"/>
    <w:rsid w:val="1D454482"/>
    <w:rsid w:val="1EC84707"/>
    <w:rsid w:val="1F520DA2"/>
    <w:rsid w:val="1F7074E6"/>
    <w:rsid w:val="1FF64E4F"/>
    <w:rsid w:val="21837674"/>
    <w:rsid w:val="21FC01FD"/>
    <w:rsid w:val="22151078"/>
    <w:rsid w:val="224D4A55"/>
    <w:rsid w:val="227A4EED"/>
    <w:rsid w:val="228D0750"/>
    <w:rsid w:val="235E3329"/>
    <w:rsid w:val="24786106"/>
    <w:rsid w:val="25A5748F"/>
    <w:rsid w:val="25BE1EBF"/>
    <w:rsid w:val="25D85A3C"/>
    <w:rsid w:val="26775E19"/>
    <w:rsid w:val="267E19B6"/>
    <w:rsid w:val="26E95967"/>
    <w:rsid w:val="27634AAD"/>
    <w:rsid w:val="27A14592"/>
    <w:rsid w:val="28251FAC"/>
    <w:rsid w:val="28A21BB6"/>
    <w:rsid w:val="28D6326A"/>
    <w:rsid w:val="293E30BA"/>
    <w:rsid w:val="29D976B5"/>
    <w:rsid w:val="2A1D36D7"/>
    <w:rsid w:val="2B7851B6"/>
    <w:rsid w:val="2B9E3425"/>
    <w:rsid w:val="2BD84FDD"/>
    <w:rsid w:val="2BFA4386"/>
    <w:rsid w:val="2C393A05"/>
    <w:rsid w:val="2C837C28"/>
    <w:rsid w:val="2CD73EA3"/>
    <w:rsid w:val="2D845ED0"/>
    <w:rsid w:val="2E402285"/>
    <w:rsid w:val="2EAB6E76"/>
    <w:rsid w:val="2ED1184F"/>
    <w:rsid w:val="30381F4F"/>
    <w:rsid w:val="305F666A"/>
    <w:rsid w:val="310B4584"/>
    <w:rsid w:val="312241A9"/>
    <w:rsid w:val="31335748"/>
    <w:rsid w:val="31AC3390"/>
    <w:rsid w:val="340A0F7F"/>
    <w:rsid w:val="34A05B77"/>
    <w:rsid w:val="34DC19C6"/>
    <w:rsid w:val="3527368D"/>
    <w:rsid w:val="354A1FFA"/>
    <w:rsid w:val="364358FC"/>
    <w:rsid w:val="36685F13"/>
    <w:rsid w:val="36CF347B"/>
    <w:rsid w:val="37097428"/>
    <w:rsid w:val="38AC36F6"/>
    <w:rsid w:val="394A3FAD"/>
    <w:rsid w:val="39D90E01"/>
    <w:rsid w:val="3A1273C6"/>
    <w:rsid w:val="3A1819E9"/>
    <w:rsid w:val="3A35120E"/>
    <w:rsid w:val="3AAD7F79"/>
    <w:rsid w:val="3B991A52"/>
    <w:rsid w:val="3BB26AC4"/>
    <w:rsid w:val="3C35255B"/>
    <w:rsid w:val="3C7A5BC5"/>
    <w:rsid w:val="3CB851A7"/>
    <w:rsid w:val="3D3679ED"/>
    <w:rsid w:val="3E941738"/>
    <w:rsid w:val="408D7227"/>
    <w:rsid w:val="40A27FD0"/>
    <w:rsid w:val="40D16B7C"/>
    <w:rsid w:val="41407E51"/>
    <w:rsid w:val="415D352B"/>
    <w:rsid w:val="4166285A"/>
    <w:rsid w:val="416718EC"/>
    <w:rsid w:val="42425C56"/>
    <w:rsid w:val="43873B5A"/>
    <w:rsid w:val="439D7A21"/>
    <w:rsid w:val="43D97719"/>
    <w:rsid w:val="444E229E"/>
    <w:rsid w:val="447267E8"/>
    <w:rsid w:val="44950F74"/>
    <w:rsid w:val="44E431E5"/>
    <w:rsid w:val="45E510BA"/>
    <w:rsid w:val="46410063"/>
    <w:rsid w:val="46466DB6"/>
    <w:rsid w:val="46B30DE6"/>
    <w:rsid w:val="46E22257"/>
    <w:rsid w:val="47D8296E"/>
    <w:rsid w:val="47EF4992"/>
    <w:rsid w:val="492A4A83"/>
    <w:rsid w:val="495C1F5C"/>
    <w:rsid w:val="4989499C"/>
    <w:rsid w:val="4A9174E4"/>
    <w:rsid w:val="4AF77150"/>
    <w:rsid w:val="4B390BF7"/>
    <w:rsid w:val="4B8B03E4"/>
    <w:rsid w:val="4BCE762D"/>
    <w:rsid w:val="4C086C1F"/>
    <w:rsid w:val="4C5875C6"/>
    <w:rsid w:val="4CA47620"/>
    <w:rsid w:val="4CF46CCF"/>
    <w:rsid w:val="4D9A3F67"/>
    <w:rsid w:val="4DDF67CC"/>
    <w:rsid w:val="4E9F0430"/>
    <w:rsid w:val="4EE12BFB"/>
    <w:rsid w:val="4F1B40D5"/>
    <w:rsid w:val="4F925019"/>
    <w:rsid w:val="500209D0"/>
    <w:rsid w:val="50FA6A61"/>
    <w:rsid w:val="51794BC1"/>
    <w:rsid w:val="53D25371"/>
    <w:rsid w:val="540F1FD2"/>
    <w:rsid w:val="54A32478"/>
    <w:rsid w:val="54E603D9"/>
    <w:rsid w:val="561F6663"/>
    <w:rsid w:val="57315BF2"/>
    <w:rsid w:val="57594B93"/>
    <w:rsid w:val="57B14223"/>
    <w:rsid w:val="594A6990"/>
    <w:rsid w:val="59CF3E80"/>
    <w:rsid w:val="5A2E0F40"/>
    <w:rsid w:val="5AF57272"/>
    <w:rsid w:val="5C616646"/>
    <w:rsid w:val="5C747ABC"/>
    <w:rsid w:val="5CA8668D"/>
    <w:rsid w:val="5CE91D7D"/>
    <w:rsid w:val="5D8B3B05"/>
    <w:rsid w:val="5E8307E5"/>
    <w:rsid w:val="5F0869DE"/>
    <w:rsid w:val="60475C3F"/>
    <w:rsid w:val="60785544"/>
    <w:rsid w:val="60A60070"/>
    <w:rsid w:val="60B06C30"/>
    <w:rsid w:val="61292A40"/>
    <w:rsid w:val="612C0778"/>
    <w:rsid w:val="61A26997"/>
    <w:rsid w:val="622C21AB"/>
    <w:rsid w:val="62642898"/>
    <w:rsid w:val="62D00ABF"/>
    <w:rsid w:val="63222E31"/>
    <w:rsid w:val="63AA53EE"/>
    <w:rsid w:val="640C25AF"/>
    <w:rsid w:val="64A74421"/>
    <w:rsid w:val="6541126B"/>
    <w:rsid w:val="65EA44AF"/>
    <w:rsid w:val="6604096B"/>
    <w:rsid w:val="667A1C2F"/>
    <w:rsid w:val="66F66FFA"/>
    <w:rsid w:val="67116A1B"/>
    <w:rsid w:val="683A303D"/>
    <w:rsid w:val="68E97B63"/>
    <w:rsid w:val="697D3521"/>
    <w:rsid w:val="6A5B2F9C"/>
    <w:rsid w:val="6B1E605C"/>
    <w:rsid w:val="6B976E22"/>
    <w:rsid w:val="6C3A466C"/>
    <w:rsid w:val="6C3D667F"/>
    <w:rsid w:val="6C5E0507"/>
    <w:rsid w:val="6C6B5505"/>
    <w:rsid w:val="6DF67C63"/>
    <w:rsid w:val="6E136122"/>
    <w:rsid w:val="6E3F209B"/>
    <w:rsid w:val="6ED02117"/>
    <w:rsid w:val="6F204459"/>
    <w:rsid w:val="7013167E"/>
    <w:rsid w:val="723942F4"/>
    <w:rsid w:val="724C7A91"/>
    <w:rsid w:val="725336E8"/>
    <w:rsid w:val="72B019CC"/>
    <w:rsid w:val="72D17CEA"/>
    <w:rsid w:val="73011B3E"/>
    <w:rsid w:val="731B0410"/>
    <w:rsid w:val="73345874"/>
    <w:rsid w:val="74783A1C"/>
    <w:rsid w:val="74AB354D"/>
    <w:rsid w:val="74B05132"/>
    <w:rsid w:val="766C2079"/>
    <w:rsid w:val="76C52AAF"/>
    <w:rsid w:val="76E063E5"/>
    <w:rsid w:val="772A35DE"/>
    <w:rsid w:val="7764106D"/>
    <w:rsid w:val="77F13F5A"/>
    <w:rsid w:val="781B5752"/>
    <w:rsid w:val="78F84707"/>
    <w:rsid w:val="79175EB6"/>
    <w:rsid w:val="793B19BF"/>
    <w:rsid w:val="796A3CBD"/>
    <w:rsid w:val="798425C1"/>
    <w:rsid w:val="79870BE5"/>
    <w:rsid w:val="79A35F22"/>
    <w:rsid w:val="79BF662E"/>
    <w:rsid w:val="7A751935"/>
    <w:rsid w:val="7A90382B"/>
    <w:rsid w:val="7B2952F2"/>
    <w:rsid w:val="7C2535BA"/>
    <w:rsid w:val="7C7A0F46"/>
    <w:rsid w:val="7CF46BD3"/>
    <w:rsid w:val="7DC539FE"/>
    <w:rsid w:val="7F757F07"/>
    <w:rsid w:val="7F9364DF"/>
    <w:rsid w:val="7FF97783"/>
    <w:rsid w:val="7FFC2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semiHidden/>
    <w:qFormat/>
    <w:uiPriority w:val="0"/>
    <w:pPr>
      <w:ind w:left="-2" w:leftChars="-1" w:firstLine="420" w:firstLineChars="200"/>
    </w:pPr>
  </w:style>
  <w:style w:type="paragraph" w:styleId="4">
    <w:name w:val="annotation text"/>
    <w:basedOn w:val="1"/>
    <w:link w:val="27"/>
    <w:unhideWhenUsed/>
    <w:qFormat/>
    <w:uiPriority w:val="99"/>
    <w:pPr>
      <w:jc w:val="left"/>
    </w:pPr>
  </w:style>
  <w:style w:type="paragraph" w:styleId="5">
    <w:name w:val="Body Text"/>
    <w:basedOn w:val="1"/>
    <w:next w:val="1"/>
    <w:qFormat/>
    <w:uiPriority w:val="0"/>
    <w:pPr>
      <w:widowControl/>
      <w:spacing w:after="220" w:line="180" w:lineRule="atLeast"/>
      <w:ind w:left="835"/>
    </w:pPr>
    <w:rPr>
      <w:rFonts w:ascii="Arial" w:hAnsi="Arial"/>
      <w:spacing w:val="-5"/>
      <w:kern w:val="0"/>
      <w:sz w:val="20"/>
    </w:r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Title"/>
    <w:basedOn w:val="1"/>
    <w:next w:val="1"/>
    <w:qFormat/>
    <w:uiPriority w:val="0"/>
    <w:pPr>
      <w:jc w:val="center"/>
      <w:outlineLvl w:val="0"/>
    </w:pPr>
    <w:rPr>
      <w:b/>
      <w:sz w:val="32"/>
      <w:szCs w:val="20"/>
    </w:rPr>
  </w:style>
  <w:style w:type="paragraph" w:styleId="16">
    <w:name w:val="annotation subject"/>
    <w:basedOn w:val="4"/>
    <w:next w:val="4"/>
    <w:link w:val="33"/>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出段落 Char"/>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Char"/>
    <w:link w:val="4"/>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Char"/>
    <w:basedOn w:val="19"/>
    <w:link w:val="7"/>
    <w:semiHidden/>
    <w:qFormat/>
    <w:uiPriority w:val="99"/>
    <w:rPr>
      <w:rFonts w:ascii="Times New Roman" w:hAnsi="Times New Roman" w:eastAsia="宋体" w:cs="Times New Roman"/>
      <w:sz w:val="18"/>
      <w:szCs w:val="18"/>
    </w:rPr>
  </w:style>
  <w:style w:type="character" w:customStyle="1" w:styleId="30">
    <w:name w:val="页眉 Char"/>
    <w:basedOn w:val="19"/>
    <w:link w:val="9"/>
    <w:qFormat/>
    <w:uiPriority w:val="99"/>
    <w:rPr>
      <w:rFonts w:ascii="Times New Roman" w:hAnsi="Times New Roman" w:eastAsia="宋体" w:cs="Times New Roman"/>
      <w:sz w:val="18"/>
      <w:szCs w:val="18"/>
    </w:rPr>
  </w:style>
  <w:style w:type="character" w:customStyle="1" w:styleId="31">
    <w:name w:val="页脚 Char"/>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Char"/>
    <w:basedOn w:val="27"/>
    <w:link w:val="16"/>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Char"/>
    <w:basedOn w:val="19"/>
    <w:link w:val="13"/>
    <w:qFormat/>
    <w:uiPriority w:val="0"/>
    <w:rPr>
      <w:rFonts w:ascii="仿宋_GB2312" w:hAnsi="宋体" w:eastAsia="仿宋_GB2312"/>
      <w:kern w:val="2"/>
      <w:sz w:val="21"/>
      <w:szCs w:val="24"/>
    </w:rPr>
  </w:style>
  <w:style w:type="character" w:customStyle="1" w:styleId="36">
    <w:name w:val="脚注文本 Char"/>
    <w:basedOn w:val="19"/>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8">
    <w:name w:val="_Style 2"/>
    <w:basedOn w:val="1"/>
    <w:qFormat/>
    <w:uiPriority w:val="34"/>
    <w:pPr>
      <w:ind w:firstLine="420" w:firstLineChars="200"/>
    </w:pPr>
  </w:style>
  <w:style w:type="paragraph" w:customStyle="1" w:styleId="39">
    <w:name w:val="表格文字"/>
    <w:qFormat/>
    <w:uiPriority w:val="0"/>
    <w:pPr>
      <w:widowControl w:val="0"/>
      <w:autoSpaceDE w:val="0"/>
      <w:autoSpaceDN w:val="0"/>
      <w:adjustRightInd w:val="0"/>
      <w:spacing w:line="420" w:lineRule="atLeast"/>
      <w:ind w:firstLine="510"/>
      <w:jc w:val="both"/>
    </w:pPr>
    <w:rPr>
      <w:rFonts w:ascii="文鼎CS楷体" w:hAnsi="Times New Roman" w:eastAsia="文鼎CS楷体" w:cs="Times New Roman"/>
      <w:color w:val="000000"/>
      <w:sz w:val="22"/>
      <w:szCs w:val="22"/>
      <w:lang w:val="en-US" w:eastAsia="zh-CN" w:bidi="ar-SA"/>
    </w:rPr>
  </w:style>
  <w:style w:type="paragraph" w:customStyle="1" w:styleId="40">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2933</Words>
  <Characters>16723</Characters>
  <Lines>139</Lines>
  <Paragraphs>39</Paragraphs>
  <TotalTime>4</TotalTime>
  <ScaleCrop>false</ScaleCrop>
  <LinksUpToDate>false</LinksUpToDate>
  <CharactersWithSpaces>19617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2024-03-06T02:28:00Z</dcterms:created>
  <dc:creator>Tony Young</dc:creator>
  <cp:lastModifiedBy>宛</cp:lastModifiedBy>
  <dcterms:modified xsi:type="dcterms:W3CDTF">2024-03-13T09:13:04Z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39A3EC1CB9634803A8F7BD4709765C31_13</vt:lpwstr>
  </property>
</Properties>
</file>