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bookmarkStart w:id="0" w:name="_Hlk160547384"/>
    </w:p>
    <w:p>
      <w:pPr>
        <w:spacing w:beforeLines="50"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Lines="50"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1" w:name="_Hlk116548958"/>
      <w:r>
        <w:rPr>
          <w:rFonts w:hint="eastAsia" w:ascii="方正小标宋简体" w:hAnsi="方正小标宋_GBK" w:eastAsia="方正小标宋简体" w:cs="方正小标宋_GBK"/>
          <w:b/>
          <w:sz w:val="32"/>
          <w:szCs w:val="32"/>
        </w:rPr>
        <w:t>深圳会展中心</w:t>
      </w:r>
      <w:bookmarkEnd w:id="1"/>
      <w:r>
        <w:rPr>
          <w:rFonts w:hint="eastAsia" w:ascii="方正小标宋简体" w:hAnsi="方正小标宋_GBK" w:eastAsia="方正小标宋简体" w:cs="方正小标宋_GBK"/>
          <w:b/>
          <w:sz w:val="32"/>
          <w:szCs w:val="32"/>
        </w:rPr>
        <w:t>国际性会议餐饮服务商采购项目</w:t>
      </w:r>
    </w:p>
    <w:p>
      <w:pPr>
        <w:tabs>
          <w:tab w:val="left" w:pos="2127"/>
          <w:tab w:val="left" w:pos="2694"/>
        </w:tabs>
        <w:spacing w:line="360" w:lineRule="auto"/>
        <w:ind w:firstLine="2030" w:firstLineChars="632"/>
        <w:rPr>
          <w:rFonts w:ascii="宋体" w:hAnsi="宋体"/>
          <w:b/>
          <w:sz w:val="32"/>
          <w:szCs w:val="32"/>
        </w:rPr>
      </w:pPr>
    </w:p>
    <w:p>
      <w:pPr>
        <w:pStyle w:val="2"/>
      </w:pPr>
    </w:p>
    <w:p>
      <w:pPr>
        <w:jc w:val="center"/>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pStyle w:val="5"/>
        <w:rPr>
          <w:rFonts w:ascii="方正小标宋_GBK" w:hAnsi="方正小标宋_GBK" w:eastAsia="方正小标宋_GBK" w:cs="方正小标宋_GBK"/>
          <w:b/>
          <w:sz w:val="32"/>
          <w:szCs w:val="32"/>
        </w:rPr>
      </w:pPr>
    </w:p>
    <w:p>
      <w:pPr>
        <w:pStyle w:val="5"/>
        <w:ind w:left="0"/>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2024年3月</w:t>
      </w:r>
      <w:r>
        <w:rPr>
          <w:rFonts w:hint="eastAsia" w:ascii="方正小标宋简体" w:hAnsi="方正小标宋_GBK" w:eastAsia="方正小标宋简体" w:cs="方正小标宋_GBK"/>
          <w:b/>
          <w:sz w:val="32"/>
          <w:szCs w:val="32"/>
        </w:rPr>
        <w:br w:type="page"/>
      </w:r>
    </w:p>
    <w:p>
      <w:pPr>
        <w:pStyle w:val="10"/>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1"/>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1"/>
          <w:rFonts w:ascii="宋体" w:hAnsi="宋体" w:cs="仿宋"/>
          <w:bCs/>
        </w:rPr>
        <w:t>一、</w:t>
      </w:r>
      <w:r>
        <w:rPr>
          <w:rStyle w:val="21"/>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1"/>
          <w:rFonts w:ascii="宋体" w:hAnsi="宋体" w:cs="仿宋"/>
          <w:bCs/>
        </w:rPr>
        <w:t>二、</w:t>
      </w:r>
      <w:r>
        <w:rPr>
          <w:rStyle w:val="21"/>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1"/>
          <w:rFonts w:ascii="宋体" w:hAnsi="宋体" w:cs="仿宋"/>
          <w:bCs/>
        </w:rPr>
        <w:t>三、</w:t>
      </w:r>
      <w:r>
        <w:rPr>
          <w:rStyle w:val="21"/>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1"/>
          <w:rFonts w:ascii="宋体" w:hAnsi="宋体" w:cs="仿宋"/>
          <w:bCs/>
        </w:rPr>
        <w:t>四、</w:t>
      </w:r>
      <w:r>
        <w:rPr>
          <w:rStyle w:val="21"/>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1"/>
          <w:rFonts w:ascii="宋体" w:hAnsi="宋体" w:cs="仿宋"/>
          <w:bCs/>
        </w:rPr>
        <w:t>五、</w:t>
      </w:r>
      <w:r>
        <w:rPr>
          <w:rStyle w:val="21"/>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1"/>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1"/>
          <w:rFonts w:ascii="宋体" w:hAnsi="宋体" w:cs="仿宋"/>
          <w:bCs/>
        </w:rPr>
        <w:t>六、</w:t>
      </w:r>
      <w:r>
        <w:rPr>
          <w:rStyle w:val="21"/>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1"/>
          <w:rFonts w:ascii="宋体" w:hAnsi="宋体" w:cs="仿宋"/>
          <w:bCs/>
        </w:rPr>
        <w:t>七、</w:t>
      </w:r>
      <w:r>
        <w:rPr>
          <w:rStyle w:val="21"/>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1"/>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1"/>
          <w:rFonts w:ascii="宋体" w:hAnsi="宋体" w:cs="仿宋"/>
          <w:bCs/>
        </w:rPr>
        <w:t>八、</w:t>
      </w:r>
      <w:r>
        <w:rPr>
          <w:rStyle w:val="21"/>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1"/>
          <w:rFonts w:ascii="宋体" w:hAnsi="宋体"/>
        </w:rPr>
        <w:t>（一）</w:t>
      </w:r>
      <w:r>
        <w:rPr>
          <w:rFonts w:asciiTheme="minorHAnsi" w:hAnsiTheme="minorHAnsi" w:eastAsiaTheme="minorEastAsia" w:cstheme="minorBidi"/>
          <w:szCs w:val="22"/>
        </w:rPr>
        <w:tab/>
      </w:r>
      <w:r>
        <w:rPr>
          <w:rStyle w:val="21"/>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1"/>
          <w:rFonts w:ascii="宋体" w:hAnsi="宋体"/>
          <w:bCs/>
        </w:rPr>
        <w:t>（二）</w:t>
      </w:r>
      <w:r>
        <w:rPr>
          <w:rFonts w:asciiTheme="minorHAnsi" w:hAnsiTheme="minorHAnsi" w:eastAsiaTheme="minorEastAsia" w:cstheme="minorBidi"/>
          <w:szCs w:val="22"/>
        </w:rPr>
        <w:tab/>
      </w:r>
      <w:r>
        <w:rPr>
          <w:rStyle w:val="21"/>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1"/>
          <w:rFonts w:ascii="宋体" w:hAnsi="宋体"/>
          <w:bCs/>
        </w:rPr>
        <w:t>（三）</w:t>
      </w:r>
      <w:r>
        <w:rPr>
          <w:rFonts w:asciiTheme="minorHAnsi" w:hAnsiTheme="minorHAnsi" w:eastAsiaTheme="minorEastAsia" w:cstheme="minorBidi"/>
          <w:szCs w:val="22"/>
        </w:rPr>
        <w:tab/>
      </w:r>
      <w:r>
        <w:rPr>
          <w:rStyle w:val="21"/>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1"/>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1"/>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1"/>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1"/>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1"/>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1"/>
          <w:rFonts w:ascii="宋体" w:hAnsi="宋体"/>
        </w:rPr>
        <w:t>附件4：考察证明（本项目不适用）</w:t>
      </w:r>
      <w:r>
        <w:tab/>
      </w:r>
      <w:r>
        <w:fldChar w:fldCharType="begin"/>
      </w:r>
      <w:r>
        <w:instrText xml:space="preserve"> PAGEREF _Toc116550363 \h </w:instrText>
      </w:r>
      <w:r>
        <w:fldChar w:fldCharType="separate"/>
      </w:r>
      <w:r>
        <w:t>19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1"/>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1"/>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1"/>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1"/>
          <w:rFonts w:ascii="宋体" w:hAnsi="宋体"/>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1"/>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1"/>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1"/>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1"/>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1"/>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1"/>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1"/>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2" w:name="_Toc116550344"/>
      <w:r>
        <w:rPr>
          <w:rFonts w:hint="eastAsia" w:ascii="宋体" w:hAnsi="宋体"/>
          <w:b/>
          <w:sz w:val="32"/>
          <w:szCs w:val="32"/>
        </w:rPr>
        <w:t>第一部分 项目要求</w:t>
      </w:r>
      <w:bookmarkEnd w:id="2"/>
    </w:p>
    <w:p>
      <w:pPr>
        <w:numPr>
          <w:ilvl w:val="0"/>
          <w:numId w:val="1"/>
        </w:numPr>
        <w:spacing w:beforeLines="50" w:line="360" w:lineRule="auto"/>
        <w:outlineLvl w:val="1"/>
        <w:rPr>
          <w:rFonts w:ascii="宋体" w:hAnsi="宋体"/>
          <w:b/>
          <w:szCs w:val="21"/>
        </w:rPr>
      </w:pPr>
      <w:bookmarkStart w:id="3" w:name="_Toc116550345"/>
      <w:r>
        <w:rPr>
          <w:rFonts w:hint="eastAsia" w:ascii="宋体" w:hAnsi="宋体"/>
          <w:b/>
          <w:szCs w:val="21"/>
        </w:rPr>
        <w:t>投标人须知</w:t>
      </w:r>
      <w:bookmarkEnd w:id="3"/>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联系人：区女士</w:t>
            </w:r>
          </w:p>
          <w:p>
            <w:pPr>
              <w:wordWrap w:val="0"/>
              <w:autoSpaceDE w:val="0"/>
              <w:autoSpaceDN w:val="0"/>
              <w:adjustRightInd w:val="0"/>
              <w:snapToGrid w:val="0"/>
              <w:rPr>
                <w:rFonts w:ascii="宋体" w:hAnsi="宋体"/>
                <w:szCs w:val="21"/>
              </w:rPr>
            </w:pPr>
            <w:r>
              <w:rPr>
                <w:rFonts w:hint="eastAsia" w:ascii="宋体" w:hAnsi="宋体"/>
                <w:szCs w:val="21"/>
              </w:rPr>
              <w:t>电话：0755-82848795</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邮箱：ouwx@chtf.com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wordWrap w:val="0"/>
              <w:autoSpaceDE w:val="0"/>
              <w:autoSpaceDN w:val="0"/>
              <w:adjustRightInd w:val="0"/>
              <w:snapToGrid w:val="0"/>
              <w:jc w:val="left"/>
              <w:rPr>
                <w:rFonts w:ascii="宋体" w:hAnsi="宋体"/>
                <w:szCs w:val="21"/>
              </w:rPr>
            </w:pPr>
            <w:r>
              <w:rPr>
                <w:rFonts w:hint="eastAsia" w:ascii="宋体" w:hAnsi="宋体"/>
                <w:szCs w:val="21"/>
              </w:rPr>
              <w:t>深圳会展中心国际性会议餐饮服务商采购项目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rPr>
                <w:rFonts w:ascii="宋体" w:hAnsi="宋体"/>
                <w:i/>
                <w:color w:val="FF0000"/>
                <w:szCs w:val="21"/>
                <w:highlight w:val="yellow"/>
              </w:rPr>
            </w:pPr>
            <w:r>
              <w:rPr>
                <w:rFonts w:hint="eastAsia" w:ascii="宋体" w:hAnsi="宋体" w:cs="宋体"/>
                <w:spacing w:val="-6"/>
                <w:szCs w:val="21"/>
              </w:rPr>
              <w:t>深圳会展中心近期举办国际性会议，计划</w:t>
            </w:r>
            <w:r>
              <w:rPr>
                <w:rFonts w:hint="eastAsia" w:ascii="宋体" w:hAnsi="宋体"/>
                <w:szCs w:val="21"/>
              </w:rPr>
              <w:t>采购1家餐饮服务供应商，</w:t>
            </w:r>
            <w:r>
              <w:rPr>
                <w:rFonts w:hint="eastAsia" w:ascii="宋体" w:hAnsi="宋体" w:cs="宋体"/>
                <w:spacing w:val="-6"/>
                <w:szCs w:val="21"/>
              </w:rPr>
              <w:t>为1000多名来自世界各地的参会人员提供两场宴会、自助午餐、商务简餐、茶歇等餐饮服务</w:t>
            </w:r>
            <w:r>
              <w:rPr>
                <w:rFonts w:hint="eastAsia" w:ascii="宋体" w:hAnsi="宋体"/>
                <w:szCs w:val="21"/>
              </w:rPr>
              <w:t>。</w:t>
            </w:r>
            <w:r>
              <w:rPr>
                <w:rFonts w:hint="eastAsia" w:ascii="宋体" w:hAnsi="宋体" w:cs="宋体"/>
                <w:spacing w:val="-6"/>
                <w:szCs w:val="21"/>
              </w:rPr>
              <w:t>服务内容包括但不仅限于菜单食品、服务人员、餐桌椅、布草、餐具、鲜花摆台等。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s="仿宋_GB2312"/>
                <w:szCs w:val="21"/>
                <w:highlight w:val="yellow"/>
              </w:rPr>
              <w:t>4个日历日</w:t>
            </w:r>
            <w:r>
              <w:rPr>
                <w:rFonts w:hint="eastAsia" w:ascii="宋体" w:hAnsi="宋体" w:cs="仿宋_GB2312"/>
                <w:szCs w:val="21"/>
                <w:highlight w:val="yellow"/>
                <w:lang w:eastAsia="zh-CN"/>
              </w:rPr>
              <w:t>（</w:t>
            </w:r>
            <w:r>
              <w:rPr>
                <w:rFonts w:hint="eastAsia" w:ascii="宋体" w:hAnsi="宋体" w:cs="仿宋_GB2312"/>
                <w:szCs w:val="21"/>
                <w:highlight w:val="yellow"/>
                <w:lang w:val="en-US" w:eastAsia="zh-CN"/>
              </w:rPr>
              <w:t>具体时间以招标人通知为准</w:t>
            </w:r>
            <w:r>
              <w:rPr>
                <w:rFonts w:hint="eastAsia" w:ascii="宋体" w:hAnsi="宋体" w:cs="仿宋_GB2312"/>
                <w:szCs w:val="21"/>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w:t>
            </w:r>
            <w:r>
              <w:rPr>
                <w:rFonts w:hint="eastAsia" w:ascii="宋体" w:hAnsi="宋体"/>
                <w:b/>
                <w:bCs/>
                <w:szCs w:val="21"/>
                <w:highlight w:val="yellow"/>
              </w:rPr>
              <w:t>3</w:t>
            </w:r>
            <w:r>
              <w:rPr>
                <w:rFonts w:ascii="宋体" w:hAnsi="宋体"/>
                <w:b/>
                <w:highlight w:val="yellow"/>
              </w:rPr>
              <w:t>-</w:t>
            </w:r>
            <w:r>
              <w:rPr>
                <w:rFonts w:hint="eastAsia" w:ascii="宋体" w:hAnsi="宋体"/>
                <w:b/>
                <w:bCs/>
                <w:szCs w:val="21"/>
                <w:highlight w:val="yellow"/>
                <w:lang w:val="en-US" w:eastAsia="zh-CN"/>
              </w:rPr>
              <w:t>22</w:t>
            </w:r>
            <w:r>
              <w:rPr>
                <w:rFonts w:hint="eastAsia"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rPr>
              <w:t>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highlight w:val="yellow"/>
              </w:rPr>
              <w:t>https://cg.szcec.com/sharing/OzAN9hHWB</w:t>
            </w:r>
            <w:r>
              <w:rPr>
                <w:rFonts w:hint="eastAsia" w:ascii="宋体" w:hAnsi="宋体"/>
                <w:bCs/>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1"/>
                <w:rFonts w:ascii="宋体" w:hAnsi="宋体"/>
                <w:color w:val="auto"/>
                <w:szCs w:val="21"/>
              </w:rPr>
              <w:t>https://www.szcec.com/News/index/id/256.html</w:t>
            </w:r>
            <w:r>
              <w:rPr>
                <w:rStyle w:val="21"/>
                <w:rFonts w:ascii="宋体" w:hAnsi="宋体"/>
                <w:color w:val="auto"/>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jc w:val="left"/>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w:t>
            </w:r>
            <w:r>
              <w:rPr>
                <w:rFonts w:hint="eastAsia" w:ascii="宋体" w:hAnsi="宋体"/>
                <w:b/>
                <w:bCs/>
                <w:szCs w:val="21"/>
                <w:highlight w:val="yellow"/>
              </w:rPr>
              <w:t>3</w:t>
            </w:r>
            <w:r>
              <w:rPr>
                <w:rFonts w:ascii="宋体" w:hAnsi="宋体"/>
                <w:b/>
                <w:highlight w:val="yellow"/>
              </w:rPr>
              <w:t>-</w:t>
            </w:r>
            <w:r>
              <w:rPr>
                <w:rFonts w:hint="eastAsia" w:ascii="宋体" w:hAnsi="宋体"/>
                <w:b/>
                <w:bCs/>
                <w:szCs w:val="21"/>
                <w:highlight w:val="yellow"/>
                <w:lang w:val="en-US" w:eastAsia="zh-CN"/>
              </w:rPr>
              <w:t>27</w:t>
            </w:r>
            <w:r>
              <w:rPr>
                <w:rFonts w:hint="eastAsia"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rPr>
              <w:t>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w:t>
            </w:r>
            <w:r>
              <w:rPr>
                <w:rFonts w:hint="eastAsia" w:ascii="宋体" w:hAnsi="宋体"/>
                <w:b/>
                <w:bCs/>
                <w:szCs w:val="21"/>
                <w:highlight w:val="yellow"/>
              </w:rPr>
              <w:t>3</w:t>
            </w:r>
            <w:r>
              <w:rPr>
                <w:rFonts w:ascii="宋体" w:hAnsi="宋体"/>
                <w:b/>
                <w:highlight w:val="yellow"/>
              </w:rPr>
              <w:t>-</w:t>
            </w:r>
            <w:r>
              <w:rPr>
                <w:rFonts w:hint="eastAsia" w:ascii="宋体" w:hAnsi="宋体"/>
                <w:b/>
                <w:bCs/>
                <w:szCs w:val="21"/>
                <w:highlight w:val="yellow"/>
                <w:lang w:val="en-US" w:eastAsia="zh-CN"/>
              </w:rPr>
              <w:t>27</w:t>
            </w:r>
            <w:r>
              <w:rPr>
                <w:rFonts w:hint="eastAsia"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rPr>
              <w:t>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w:t>
            </w:r>
            <w:r>
              <w:rPr>
                <w:rFonts w:hint="eastAsia" w:ascii="宋体" w:hAnsi="宋体"/>
                <w:b/>
                <w:bCs/>
                <w:szCs w:val="21"/>
                <w:highlight w:val="yellow"/>
              </w:rPr>
              <w:t>3</w:t>
            </w:r>
            <w:r>
              <w:rPr>
                <w:rFonts w:ascii="宋体" w:hAnsi="宋体"/>
                <w:b/>
                <w:highlight w:val="yellow"/>
              </w:rPr>
              <w:t>-</w:t>
            </w:r>
            <w:r>
              <w:rPr>
                <w:rFonts w:hint="eastAsia" w:ascii="宋体" w:hAnsi="宋体"/>
                <w:b/>
                <w:bCs/>
                <w:szCs w:val="21"/>
                <w:highlight w:val="yellow"/>
                <w:lang w:val="en-US" w:eastAsia="zh-CN"/>
              </w:rPr>
              <w:t>28</w:t>
            </w:r>
            <w:r>
              <w:rPr>
                <w:rFonts w:hint="eastAsia"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rPr>
              <w:t>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04</w:t>
            </w:r>
            <w:r>
              <w:rPr>
                <w:rFonts w:ascii="宋体" w:hAnsi="宋体"/>
                <w:b/>
                <w:highlight w:val="yellow"/>
              </w:rPr>
              <w:t>-</w:t>
            </w:r>
            <w:r>
              <w:rPr>
                <w:rFonts w:hint="eastAsia" w:ascii="宋体" w:hAnsi="宋体"/>
                <w:b/>
                <w:highlight w:val="yellow"/>
                <w:lang w:val="en-US" w:eastAsia="zh-CN"/>
              </w:rPr>
              <w:t>0</w:t>
            </w:r>
            <w:r>
              <w:rPr>
                <w:rFonts w:hint="eastAsia" w:ascii="宋体" w:hAnsi="宋体"/>
                <w:b/>
                <w:bCs/>
                <w:szCs w:val="21"/>
                <w:highlight w:val="yellow"/>
                <w:lang w:val="en-US" w:eastAsia="zh-CN"/>
              </w:rPr>
              <w:t>1</w:t>
            </w:r>
            <w:r>
              <w:rPr>
                <w:rFonts w:hint="eastAsia"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rPr>
              <w:t>00（北京时间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highlight w:val="yellow"/>
              </w:rPr>
              <w:t>https://cg.szcec.com/sharing/BKbBUaLJ2</w:t>
            </w:r>
            <w:r>
              <w:rPr>
                <w:rFonts w:hint="eastAsia" w:ascii="宋体" w:hAnsi="宋体"/>
                <w:bCs/>
              </w:rPr>
              <w:t>，</w:t>
            </w:r>
            <w:r>
              <w:rPr>
                <w:rFonts w:hint="eastAsia" w:ascii="宋体" w:hAnsi="宋体"/>
                <w:szCs w:val="21"/>
              </w:rPr>
              <w:t>并致电确认</w:t>
            </w:r>
            <w:bookmarkStart w:id="4" w:name="_Toc478392822"/>
            <w:bookmarkStart w:id="5" w:name="_Toc478110532"/>
            <w:bookmarkStart w:id="6" w:name="_Toc478393187"/>
            <w:r>
              <w:rPr>
                <w:rFonts w:hint="eastAsia" w:ascii="宋体" w:hAnsi="宋体"/>
                <w:szCs w:val="21"/>
              </w:rPr>
              <w:t>。</w:t>
            </w:r>
            <w:r>
              <w:rPr>
                <w:rFonts w:hint="eastAsia" w:ascii="宋体" w:hAnsi="宋体"/>
              </w:rPr>
              <w:t>注意事项如下：</w:t>
            </w:r>
          </w:p>
          <w:p>
            <w:pPr>
              <w:pStyle w:val="25"/>
              <w:numPr>
                <w:ilvl w:val="0"/>
                <w:numId w:val="3"/>
              </w:numPr>
              <w:ind w:left="0" w:firstLine="0" w:firstLineChars="0"/>
              <w:rPr>
                <w:rFonts w:ascii="宋体" w:hAnsi="宋体" w:eastAsia="宋体"/>
                <w:szCs w:val="21"/>
              </w:rPr>
            </w:pPr>
            <w:bookmarkStart w:id="7"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szCs w:val="21"/>
              </w:rPr>
              <w:t>建议</w:t>
            </w:r>
            <w:r>
              <w:rPr>
                <w:rFonts w:hint="eastAsia" w:ascii="宋体" w:hAnsi="宋体" w:eastAsia="宋体"/>
                <w:b/>
                <w:bCs/>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7"/>
            <w:r>
              <w:rPr>
                <w:rFonts w:hint="eastAsia" w:ascii="宋体" w:hAnsi="宋体" w:eastAsia="宋体"/>
                <w:szCs w:val="21"/>
              </w:rPr>
              <w:t>。</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rPr>
              <w:t>4</w:t>
            </w:r>
            <w:r>
              <w:rPr>
                <w:rFonts w:ascii="宋体" w:hAnsi="宋体"/>
                <w:b/>
                <w:bCs/>
                <w:szCs w:val="21"/>
                <w:highlight w:val="yellow"/>
              </w:rPr>
              <w:t>-</w:t>
            </w:r>
            <w:r>
              <w:rPr>
                <w:rFonts w:hint="eastAsia" w:ascii="宋体" w:hAnsi="宋体"/>
                <w:b/>
                <w:bCs/>
                <w:szCs w:val="21"/>
                <w:highlight w:val="yellow"/>
                <w:lang w:val="en-US" w:eastAsia="zh-CN"/>
              </w:rPr>
              <w:t>04</w:t>
            </w:r>
            <w:r>
              <w:rPr>
                <w:rFonts w:ascii="宋体" w:hAnsi="宋体"/>
                <w:b/>
                <w:highlight w:val="yellow"/>
              </w:rPr>
              <w:t>-</w:t>
            </w:r>
            <w:r>
              <w:rPr>
                <w:rFonts w:hint="eastAsia" w:ascii="宋体" w:hAnsi="宋体"/>
                <w:b/>
                <w:highlight w:val="yellow"/>
                <w:lang w:val="en-US" w:eastAsia="zh-CN"/>
              </w:rPr>
              <w:t>0</w:t>
            </w:r>
            <w:r>
              <w:rPr>
                <w:rFonts w:hint="eastAsia" w:ascii="宋体" w:hAnsi="宋体"/>
                <w:b/>
                <w:bCs/>
                <w:szCs w:val="21"/>
                <w:highlight w:val="yellow"/>
                <w:lang w:val="en-US" w:eastAsia="zh-CN"/>
              </w:rPr>
              <w:t>2</w:t>
            </w:r>
            <w:r>
              <w:rPr>
                <w:rFonts w:hint="eastAsia"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3</w:t>
            </w:r>
            <w:r>
              <w:rPr>
                <w:rFonts w:hint="eastAsia" w:ascii="宋体" w:hAnsi="宋体"/>
                <w:b/>
                <w:bCs/>
                <w:szCs w:val="21"/>
                <w:highlight w:val="yellow"/>
              </w:rPr>
              <w:t>0（北京时间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b/>
                <w:highlight w:val="yellow"/>
                <w:lang w:val="en-US" w:eastAsia="zh-CN"/>
              </w:rPr>
              <w:t>760-516-960</w:t>
            </w:r>
            <w:r>
              <w:rPr>
                <w:rFonts w:hint="eastAsia" w:ascii="宋体" w:hAnsi="宋体"/>
                <w:szCs w:val="21"/>
              </w:rPr>
              <w:t>（免密，入会前必须改名为“</w:t>
            </w:r>
            <w:r>
              <w:rPr>
                <w:rFonts w:hint="eastAsia" w:ascii="宋体" w:hAnsi="宋体"/>
                <w:b/>
                <w:bCs/>
                <w:szCs w:val="21"/>
              </w:rPr>
              <w:t>公司简称+姓名</w:t>
            </w:r>
            <w:r>
              <w:rPr>
                <w:rFonts w:hint="eastAsia" w:ascii="宋体" w:hAnsi="宋体"/>
                <w:szCs w:val="21"/>
              </w:rPr>
              <w:t>”,会议期间</w:t>
            </w:r>
            <w:r>
              <w:rPr>
                <w:rFonts w:hint="eastAsia" w:ascii="宋体" w:hAnsi="宋体"/>
                <w:b/>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highlight w:val="yellow"/>
              </w:rPr>
              <w:t>https://cg.szcec.com/sharing/8tlBCMn8e</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b/>
                <w:bCs/>
                <w:szCs w:val="21"/>
                <w:highlight w:val="yellow"/>
              </w:rPr>
            </w:pPr>
            <w:r>
              <w:rPr>
                <w:rFonts w:ascii="宋体" w:hAnsi="宋体"/>
                <w:b/>
                <w:bCs/>
                <w:kern w:val="0"/>
                <w:szCs w:val="21"/>
                <w:highlight w:val="yellow"/>
              </w:rPr>
              <w:sym w:font="Wingdings 2" w:char="0052"/>
            </w:r>
            <w:r>
              <w:rPr>
                <w:rFonts w:hint="eastAsia" w:ascii="宋体" w:hAnsi="宋体" w:cstheme="minorBidi"/>
                <w:b/>
                <w:bCs/>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8"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ascii="宋体" w:hAnsi="宋体" w:cs="Segoe UI Symbol"/>
                <w:b/>
                <w:bCs/>
                <w:kern w:val="0"/>
                <w:szCs w:val="21"/>
                <w:highlight w:val="yellow"/>
              </w:rPr>
              <w:sym w:font="Wingdings 2" w:char="0052"/>
            </w:r>
            <w:r>
              <w:rPr>
                <w:rFonts w:hint="eastAsia" w:ascii="宋体" w:hAnsi="宋体" w:cstheme="minorBidi"/>
                <w:b/>
                <w:bCs/>
                <w:kern w:val="0"/>
                <w:szCs w:val="21"/>
                <w:highlight w:val="yellow"/>
              </w:rPr>
              <w:t>不组织</w:t>
            </w:r>
            <w:r>
              <w:rPr>
                <w:rFonts w:hint="eastAsia" w:ascii="宋体" w:hAnsi="宋体" w:cstheme="minorBidi"/>
                <w:kern w:val="0"/>
                <w:szCs w:val="21"/>
              </w:rPr>
              <w:t>。</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rPr>
              <w:t>□组织，踏勘要求：</w:t>
            </w:r>
          </w:p>
          <w:p>
            <w:pPr>
              <w:pStyle w:val="25"/>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5"/>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5"/>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p>
          <w:p>
            <w:pPr>
              <w:pStyle w:val="25"/>
              <w:numPr>
                <w:ilvl w:val="0"/>
                <w:numId w:val="7"/>
              </w:numPr>
              <w:autoSpaceDE w:val="0"/>
              <w:autoSpaceDN w:val="0"/>
              <w:adjustRightInd w:val="0"/>
              <w:snapToGrid w:val="0"/>
              <w:ind w:left="536" w:hanging="536" w:firstLineChars="0"/>
              <w:rPr>
                <w:rFonts w:ascii="宋体" w:hAnsi="宋体" w:eastAsia="宋体" w:cs="Segoe UI Symbol"/>
                <w:b/>
                <w:bCs/>
                <w:kern w:val="0"/>
                <w:szCs w:val="21"/>
                <w:highlight w:val="yellow"/>
              </w:rPr>
            </w:pPr>
            <w:r>
              <w:rPr>
                <w:rFonts w:ascii="宋体" w:hAnsi="宋体" w:eastAsia="宋体" w:cs="Segoe UI Symbol"/>
                <w:b/>
                <w:bCs/>
                <w:kern w:val="0"/>
                <w:szCs w:val="21"/>
                <w:highlight w:val="yellow"/>
              </w:rPr>
              <w:sym w:font="Wingdings 2" w:char="0052"/>
            </w:r>
            <w:r>
              <w:rPr>
                <w:rFonts w:hint="eastAsia" w:ascii="宋体" w:hAnsi="宋体" w:eastAsia="宋体" w:cs="Segoe UI Symbol"/>
                <w:b/>
                <w:bCs/>
                <w:kern w:val="0"/>
                <w:szCs w:val="21"/>
                <w:highlight w:val="yellow"/>
              </w:rPr>
              <w:t>不要求</w:t>
            </w:r>
          </w:p>
          <w:p>
            <w:pPr>
              <w:pStyle w:val="25"/>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ascii="宋体" w:hAnsi="宋体" w:eastAsia="宋体" w:cs="Segoe UI Symbol"/>
                <w:kern w:val="0"/>
                <w:szCs w:val="21"/>
                <w:u w:val="single"/>
              </w:rPr>
              <w:t>/</w:t>
            </w:r>
            <w:r>
              <w:rPr>
                <w:rFonts w:hint="eastAsia" w:ascii="宋体" w:hAnsi="宋体" w:eastAsia="宋体" w:cs="Segoe UI Symbol"/>
                <w:kern w:val="0"/>
                <w:szCs w:val="21"/>
              </w:rPr>
              <w:t>元</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□银行转账□现金</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hint="eastAsia" w:ascii="宋体" w:hAnsi="宋体" w:cs="Segoe UI Symbol"/>
                <w:kern w:val="0"/>
                <w:szCs w:val="21"/>
                <w:u w:val="single"/>
              </w:rPr>
              <w:t>／</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hint="eastAsia" w:ascii="宋体" w:hAnsi="宋体" w:cs="Segoe UI Symbol"/>
                <w:kern w:val="0"/>
                <w:szCs w:val="21"/>
                <w:u w:val="single"/>
              </w:rPr>
              <w:t>／</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spacing w:line="0" w:lineRule="atLeast"/>
              <w:jc w:val="left"/>
              <w:outlineLvl w:val="1"/>
              <w:rPr>
                <w:rFonts w:ascii="宋体" w:hAnsi="宋体" w:cs="Segoe UI Symbol"/>
                <w:b/>
                <w:bCs/>
                <w:kern w:val="0"/>
                <w:szCs w:val="21"/>
                <w:highlight w:val="yellow"/>
              </w:rPr>
            </w:pPr>
            <w:r>
              <w:rPr>
                <w:rFonts w:ascii="宋体" w:hAnsi="宋体" w:cs="Segoe UI Symbol"/>
                <w:b/>
                <w:bCs/>
                <w:kern w:val="0"/>
                <w:szCs w:val="21"/>
                <w:highlight w:val="yellow"/>
              </w:rPr>
              <w:sym w:font="Wingdings 2" w:char="0052"/>
            </w:r>
            <w:r>
              <w:rPr>
                <w:rFonts w:ascii="宋体" w:hAnsi="宋体" w:cs="Segoe UI Symbol"/>
                <w:b/>
                <w:bCs/>
                <w:kern w:val="0"/>
                <w:szCs w:val="21"/>
                <w:highlight w:val="yellow"/>
              </w:rPr>
              <w:t>不要求递交投标样品</w:t>
            </w:r>
          </w:p>
          <w:p>
            <w:pPr>
              <w:spacing w:line="0" w:lineRule="atLeast"/>
              <w:outlineLvl w:val="1"/>
              <w:rPr>
                <w:rFonts w:ascii="宋体" w:hAnsi="宋体" w:cs="Segoe UI Symbol"/>
                <w:kern w:val="0"/>
                <w:szCs w:val="21"/>
              </w:rPr>
            </w:pPr>
            <w:r>
              <w:rPr>
                <w:rFonts w:ascii="宋体" w:hAnsi="宋体" w:cs="Segoe UI Symbol"/>
                <w:kern w:val="0"/>
                <w:szCs w:val="21"/>
              </w:rPr>
              <w:sym w:font="Wingdings 2" w:char="00A3"/>
            </w:r>
            <w:r>
              <w:rPr>
                <w:rFonts w:ascii="宋体" w:hAnsi="宋体" w:cs="Segoe UI Symbol"/>
                <w:kern w:val="0"/>
                <w:szCs w:val="21"/>
              </w:rPr>
              <w:t>递交投标样品</w:t>
            </w:r>
          </w:p>
          <w:p>
            <w:pPr>
              <w:spacing w:line="0" w:lineRule="atLeast"/>
              <w:outlineLvl w:val="1"/>
              <w:rPr>
                <w:rFonts w:ascii="宋体" w:hAnsi="宋体" w:cs="Segoe UI Symbol"/>
                <w:kern w:val="0"/>
                <w:szCs w:val="21"/>
              </w:rPr>
            </w:pPr>
            <w:r>
              <w:rPr>
                <w:rFonts w:ascii="宋体" w:hAnsi="宋体" w:cs="Segoe UI Symbol"/>
                <w:kern w:val="0"/>
                <w:szCs w:val="21"/>
              </w:rPr>
              <w:t>1.具体要求：按项目技术/服务需求自行提供样品一套</w:t>
            </w:r>
            <w:r>
              <w:rPr>
                <w:rFonts w:hint="eastAsia" w:ascii="宋体" w:hAnsi="宋体" w:cs="Segoe UI Symbol"/>
                <w:kern w:val="0"/>
                <w:szCs w:val="21"/>
              </w:rPr>
              <w:t>，</w:t>
            </w:r>
            <w:r>
              <w:rPr>
                <w:rFonts w:ascii="宋体" w:hAnsi="宋体" w:cs="Segoe UI Symbol"/>
                <w:kern w:val="0"/>
                <w:szCs w:val="21"/>
              </w:rPr>
              <w:t>样品须采用高质耐用的自封口密封袋封装，加盖投标人公章。</w:t>
            </w:r>
          </w:p>
          <w:p>
            <w:pPr>
              <w:tabs>
                <w:tab w:val="left" w:pos="531"/>
              </w:tabs>
              <w:snapToGrid w:val="0"/>
              <w:rPr>
                <w:rFonts w:ascii="宋体" w:hAnsi="宋体" w:cs="Segoe UI Symbol"/>
                <w:kern w:val="0"/>
                <w:szCs w:val="21"/>
              </w:rPr>
            </w:pPr>
            <w:r>
              <w:rPr>
                <w:rFonts w:ascii="宋体" w:hAnsi="宋体" w:cs="Segoe UI Symbol"/>
                <w:kern w:val="0"/>
                <w:szCs w:val="21"/>
              </w:rPr>
              <w:t>2.特别注意：投标样品属投标文件中不可分割的一部分，投标人须确保投标样品于投标文件递交截止时间前投递或送达至招标人指定地点，并致电确认。如因投标样品投递不及时造成的一切不利影响由投标人负责。</w:t>
            </w:r>
          </w:p>
          <w:p>
            <w:pPr>
              <w:tabs>
                <w:tab w:val="left" w:pos="531"/>
              </w:tabs>
              <w:snapToGrid w:val="0"/>
              <w:rPr>
                <w:rFonts w:ascii="宋体" w:hAnsi="宋体" w:cs="Segoe UI Symbol"/>
                <w:kern w:val="0"/>
                <w:szCs w:val="21"/>
              </w:rPr>
            </w:pPr>
            <w:r>
              <w:rPr>
                <w:rFonts w:ascii="宋体" w:hAnsi="宋体" w:cs="Segoe UI Symbol"/>
                <w:kern w:val="0"/>
                <w:szCs w:val="21"/>
              </w:rPr>
              <w:t>3.投递信息：</w:t>
            </w:r>
          </w:p>
          <w:p>
            <w:pPr>
              <w:tabs>
                <w:tab w:val="left" w:pos="531"/>
              </w:tabs>
              <w:snapToGrid w:val="0"/>
              <w:rPr>
                <w:rFonts w:ascii="宋体" w:hAnsi="宋体" w:cs="Segoe UI Symbol"/>
                <w:kern w:val="0"/>
                <w:szCs w:val="21"/>
              </w:rPr>
            </w:pPr>
            <w:r>
              <w:rPr>
                <w:rFonts w:ascii="宋体" w:hAnsi="宋体" w:cs="Segoe UI Symbol"/>
                <w:kern w:val="0"/>
                <w:szCs w:val="21"/>
              </w:rPr>
              <w:t>1）地址：深圳会展中心管理有限责任公司北三门岗亭。</w:t>
            </w:r>
          </w:p>
          <w:p>
            <w:pPr>
              <w:tabs>
                <w:tab w:val="left" w:pos="531"/>
              </w:tabs>
              <w:snapToGrid w:val="0"/>
              <w:rPr>
                <w:rFonts w:ascii="宋体" w:hAnsi="宋体" w:cs="Segoe UI Symbol"/>
                <w:kern w:val="0"/>
                <w:szCs w:val="21"/>
              </w:rPr>
            </w:pPr>
            <w:r>
              <w:rPr>
                <w:rFonts w:ascii="宋体" w:hAnsi="宋体" w:cs="Segoe UI Symbol"/>
                <w:kern w:val="0"/>
                <w:szCs w:val="21"/>
              </w:rPr>
              <w:t>2）收件人：采购业务部（区女士）。</w:t>
            </w:r>
          </w:p>
          <w:p>
            <w:pPr>
              <w:autoSpaceDE w:val="0"/>
              <w:autoSpaceDN w:val="0"/>
              <w:adjustRightInd w:val="0"/>
              <w:snapToGrid w:val="0"/>
              <w:jc w:val="left"/>
              <w:rPr>
                <w:rFonts w:ascii="宋体" w:hAnsi="宋体" w:cs="Segoe UI Symbol"/>
                <w:kern w:val="0"/>
                <w:szCs w:val="21"/>
              </w:rPr>
            </w:pPr>
            <w:r>
              <w:rPr>
                <w:rFonts w:ascii="宋体" w:hAnsi="宋体" w:cs="Segoe UI Symbol"/>
                <w:kern w:val="0"/>
                <w:szCs w:val="21"/>
              </w:rPr>
              <w:t>3）联系电话：0755-82848795。</w:t>
            </w:r>
          </w:p>
          <w:p>
            <w:pPr>
              <w:pStyle w:val="2"/>
              <w:ind w:left="0" w:leftChars="0" w:firstLine="0" w:firstLineChars="0"/>
            </w:pPr>
            <w:r>
              <w:rPr>
                <w:rFonts w:ascii="宋体" w:hAnsi="宋体" w:cs="Segoe UI Symbol"/>
                <w:kern w:val="0"/>
                <w:szCs w:val="21"/>
              </w:rPr>
              <w:t>4）递交样品时间：于2024年</w:t>
            </w:r>
            <w:r>
              <w:rPr>
                <w:rFonts w:hint="eastAsia" w:ascii="宋体" w:hAnsi="宋体" w:cs="Segoe UI Symbol"/>
                <w:kern w:val="0"/>
                <w:szCs w:val="21"/>
              </w:rPr>
              <w:t>**</w:t>
            </w:r>
            <w:r>
              <w:rPr>
                <w:rFonts w:ascii="宋体" w:hAnsi="宋体" w:cs="Segoe UI Symbol"/>
                <w:kern w:val="0"/>
                <w:szCs w:val="21"/>
              </w:rPr>
              <w:t>月</w:t>
            </w:r>
            <w:r>
              <w:rPr>
                <w:rFonts w:hint="eastAsia" w:ascii="宋体" w:hAnsi="宋体" w:cs="Segoe UI Symbol"/>
                <w:kern w:val="0"/>
                <w:szCs w:val="21"/>
              </w:rPr>
              <w:t>**</w:t>
            </w:r>
            <w:r>
              <w:rPr>
                <w:rFonts w:ascii="宋体" w:hAnsi="宋体" w:cs="Segoe UI Symbol"/>
                <w:kern w:val="0"/>
                <w:szCs w:val="21"/>
              </w:rPr>
              <w:t>号</w:t>
            </w:r>
            <w:r>
              <w:rPr>
                <w:rFonts w:hint="eastAsia" w:ascii="宋体" w:hAnsi="宋体" w:cs="Segoe UI Symbol"/>
                <w:kern w:val="0"/>
                <w:szCs w:val="21"/>
              </w:rPr>
              <w:t>*</w:t>
            </w:r>
            <w:r>
              <w:rPr>
                <w:rFonts w:ascii="宋体" w:hAnsi="宋体" w:cs="Segoe UI Symbol"/>
                <w:kern w:val="0"/>
                <w:szCs w:val="21"/>
              </w:rPr>
              <w:t>点截止。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8" w:name="_Toc82591925"/>
      <w:bookmarkEnd w:id="8"/>
      <w:bookmarkStart w:id="9" w:name="_Toc82591928"/>
      <w:bookmarkEnd w:id="9"/>
      <w:bookmarkStart w:id="10" w:name="_Toc82591927"/>
      <w:bookmarkEnd w:id="10"/>
      <w:bookmarkStart w:id="11" w:name="_Toc82685542"/>
      <w:bookmarkEnd w:id="11"/>
      <w:bookmarkStart w:id="12" w:name="_Toc82684703"/>
      <w:bookmarkEnd w:id="12"/>
      <w:bookmarkStart w:id="13" w:name="_Toc82684588"/>
      <w:bookmarkEnd w:id="13"/>
      <w:bookmarkStart w:id="14" w:name="_Toc82685543"/>
      <w:bookmarkEnd w:id="14"/>
      <w:bookmarkStart w:id="15" w:name="_Toc82684706"/>
      <w:bookmarkEnd w:id="15"/>
      <w:bookmarkStart w:id="16" w:name="_Toc82591926"/>
      <w:bookmarkEnd w:id="16"/>
      <w:bookmarkStart w:id="17" w:name="_Toc82684589"/>
      <w:bookmarkEnd w:id="17"/>
      <w:bookmarkStart w:id="18" w:name="_Toc82685541"/>
      <w:bookmarkEnd w:id="18"/>
      <w:bookmarkStart w:id="19" w:name="_Toc82684590"/>
      <w:bookmarkEnd w:id="19"/>
      <w:bookmarkStart w:id="20" w:name="_Toc82684705"/>
      <w:bookmarkEnd w:id="20"/>
      <w:bookmarkStart w:id="21" w:name="_Toc82684704"/>
      <w:bookmarkEnd w:id="21"/>
      <w:bookmarkStart w:id="22" w:name="_Toc82684591"/>
      <w:bookmarkEnd w:id="22"/>
      <w:bookmarkStart w:id="23" w:name="_Toc82685540"/>
      <w:bookmarkEnd w:id="23"/>
      <w:bookmarkStart w:id="24" w:name="_Toc116550346"/>
      <w:r>
        <w:rPr>
          <w:rFonts w:hint="eastAsia" w:ascii="宋体" w:hAnsi="宋体"/>
          <w:b/>
          <w:szCs w:val="21"/>
        </w:rPr>
        <w:t>特别说明</w:t>
      </w:r>
      <w:bookmarkEnd w:id="24"/>
    </w:p>
    <w:p>
      <w:pPr>
        <w:pStyle w:val="25"/>
        <w:numPr>
          <w:ilvl w:val="0"/>
          <w:numId w:val="9"/>
        </w:numPr>
        <w:spacing w:line="360" w:lineRule="auto"/>
        <w:ind w:left="0" w:firstLine="420" w:firstLineChars="0"/>
        <w:rPr>
          <w:rFonts w:ascii="宋体" w:hAnsi="宋体" w:eastAsia="宋体" w:cs="宋体"/>
          <w:szCs w:val="21"/>
        </w:rPr>
      </w:pPr>
      <w:bookmarkStart w:id="25" w:name="_Toc517278751"/>
      <w:bookmarkStart w:id="26" w:name="_Toc478387747"/>
      <w:bookmarkStart w:id="27"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5"/>
    <w:bookmarkEnd w:id="26"/>
    <w:bookmarkEnd w:id="27"/>
    <w:p>
      <w:pPr>
        <w:numPr>
          <w:ilvl w:val="0"/>
          <w:numId w:val="1"/>
        </w:numPr>
        <w:spacing w:line="560" w:lineRule="exact"/>
        <w:outlineLvl w:val="1"/>
        <w:rPr>
          <w:rFonts w:ascii="宋体" w:hAnsi="宋体"/>
          <w:b/>
          <w:szCs w:val="21"/>
        </w:rPr>
      </w:pPr>
      <w:bookmarkStart w:id="28" w:name="_Toc82684593"/>
      <w:bookmarkEnd w:id="28"/>
      <w:bookmarkStart w:id="29" w:name="_Toc82685545"/>
      <w:bookmarkEnd w:id="29"/>
      <w:bookmarkStart w:id="30" w:name="_Toc82591930"/>
      <w:bookmarkEnd w:id="30"/>
      <w:bookmarkStart w:id="31" w:name="_Toc82591987"/>
      <w:bookmarkEnd w:id="31"/>
      <w:bookmarkStart w:id="32" w:name="_Toc82591988"/>
      <w:bookmarkEnd w:id="32"/>
      <w:bookmarkStart w:id="33" w:name="_Toc82591985"/>
      <w:bookmarkEnd w:id="33"/>
      <w:bookmarkStart w:id="34" w:name="_Toc82591986"/>
      <w:bookmarkEnd w:id="34"/>
      <w:bookmarkStart w:id="35" w:name="_Toc82684708"/>
      <w:bookmarkEnd w:id="35"/>
      <w:bookmarkStart w:id="36" w:name="_Toc82591989"/>
      <w:bookmarkEnd w:id="36"/>
      <w:bookmarkStart w:id="37" w:name="_Toc116550347"/>
      <w:r>
        <w:rPr>
          <w:rFonts w:hint="eastAsia" w:ascii="宋体" w:hAnsi="宋体"/>
          <w:b/>
          <w:szCs w:val="21"/>
        </w:rPr>
        <w:t>投标文件编制</w:t>
      </w:r>
      <w:bookmarkEnd w:id="37"/>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8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3"/>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141"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2"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p>
        </w:tc>
      </w:tr>
    </w:tbl>
    <w:p>
      <w:pPr>
        <w:numPr>
          <w:ilvl w:val="0"/>
          <w:numId w:val="1"/>
        </w:numPr>
        <w:spacing w:line="560" w:lineRule="exact"/>
        <w:outlineLvl w:val="1"/>
        <w:rPr>
          <w:rFonts w:ascii="宋体" w:hAnsi="宋体"/>
          <w:b/>
          <w:szCs w:val="21"/>
        </w:rPr>
      </w:pPr>
      <w:bookmarkStart w:id="38" w:name="_Toc116550348"/>
      <w:r>
        <w:rPr>
          <w:rFonts w:hint="eastAsia" w:ascii="宋体" w:hAnsi="宋体"/>
          <w:b/>
          <w:szCs w:val="21"/>
        </w:rPr>
        <w:t>项目要求</w:t>
      </w:r>
      <w:bookmarkEnd w:id="38"/>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rPr>
            </w:pPr>
            <w:r>
              <w:rPr>
                <w:rFonts w:hint="eastAsia" w:ascii="宋体" w:hAnsi="宋体" w:cs="仿宋_GB2312"/>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tabs>
                <w:tab w:val="left" w:pos="531"/>
              </w:tabs>
              <w:snapToGrid w:val="0"/>
              <w:spacing w:line="360" w:lineRule="auto"/>
              <w:ind w:left="-1"/>
            </w:pPr>
            <w:r>
              <w:rPr>
                <w:rFonts w:hint="eastAsia" w:ascii="宋体" w:hAnsi="宋体" w:cs="仿宋_GB2312"/>
                <w:szCs w:val="21"/>
              </w:rPr>
              <w:t>（2）投标人代表必须是投标单位的法定代表人或持有法定代表人亲自签署的法人授权委托证明书的人员。（提供法定代表人证明书、法人授权委托证明书及法定代表人、被委托人身份证或护照扫描件并加盖投标人公章；如单位法定代表人为本项目授权代表，则仅提供法定代表人证明书及身份证或护照复印件，各证明书须加盖公章，身份证或护照原件备查）。</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（3）投标人必须</w:t>
            </w:r>
            <w:r>
              <w:rPr>
                <w:rFonts w:hint="eastAsia" w:ascii="宋体" w:hAnsi="宋体" w:cs="宋体"/>
                <w:szCs w:val="21"/>
              </w:rPr>
              <w:t>具备有效的食品经营许可证（有效期不少于3个月），且餐饮服务食品安全等级为A级</w:t>
            </w:r>
            <w:r>
              <w:rPr>
                <w:rFonts w:hint="eastAsia" w:ascii="宋体" w:hAnsi="宋体" w:cs="仿宋_GB2312"/>
                <w:szCs w:val="21"/>
              </w:rPr>
              <w:t>。投标人须提供上述材料的复印件并加盖投标人公章。</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（4）投标人须为餐饮服务企业，投标人自行提供相关证明文件并加盖投标人公章。</w:t>
            </w:r>
          </w:p>
          <w:p>
            <w:pPr>
              <w:tabs>
                <w:tab w:val="left" w:pos="531"/>
              </w:tabs>
              <w:snapToGrid w:val="0"/>
              <w:spacing w:line="360" w:lineRule="auto"/>
              <w:ind w:left="-1"/>
              <w:rPr>
                <w:rFonts w:ascii="宋体" w:hAnsi="宋体" w:cs="宋体"/>
                <w:color w:val="FF0000"/>
                <w:spacing w:val="-5"/>
                <w:highlight w:val="yellow"/>
              </w:rPr>
            </w:pPr>
            <w:r>
              <w:rPr>
                <w:rFonts w:hint="eastAsia" w:ascii="宋体" w:hAnsi="宋体" w:cs="仿宋_GB2312"/>
                <w:szCs w:val="21"/>
              </w:rPr>
              <w:t>（5）本项目不接受联合体投标，严禁转包或非法分包。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1</w:t>
            </w:r>
            <w:r>
              <w:rPr>
                <w:rFonts w:hint="eastAsia" w:ascii="宋体" w:hAnsi="宋体" w:cs="仿宋_GB2312"/>
                <w:szCs w:val="21"/>
              </w:rPr>
              <w:t>）报价以人民币为结算币种，《投标一览表》应包含税率、税额、未税及含税总金额。</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2</w:t>
            </w:r>
            <w:r>
              <w:rPr>
                <w:rFonts w:hint="eastAsia" w:ascii="宋体" w:hAnsi="宋体" w:cs="仿宋_GB2312"/>
                <w:szCs w:val="21"/>
              </w:rPr>
              <w:t>）投标报价不得出现可选择性的报价</w:t>
            </w:r>
            <w:r>
              <w:rPr>
                <w:rFonts w:ascii="宋体" w:hAnsi="宋体" w:cs="仿宋_GB2312"/>
                <w:szCs w:val="21"/>
              </w:rPr>
              <w:t>,含有备选方案的报价将导致废标。</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3）本项目为全包价，包含但不仅限于人工费、材料费、服务费、税费、安装费、现场搬运费、运输装卸费、成品保护费、检测费、物料、食材等一切完成本项目可能发生的全部费用。招标人不再支付其他任何费用。</w:t>
            </w:r>
          </w:p>
          <w:p>
            <w:pPr>
              <w:tabs>
                <w:tab w:val="left" w:pos="531"/>
              </w:tabs>
              <w:snapToGrid w:val="0"/>
              <w:spacing w:line="360" w:lineRule="auto"/>
              <w:ind w:left="-1"/>
              <w:rPr>
                <w:color w:val="FF0000"/>
                <w:spacing w:val="-5"/>
                <w:highlight w:val="yellow"/>
              </w:rPr>
            </w:pPr>
            <w:r>
              <w:rPr>
                <w:rFonts w:hint="eastAsia" w:ascii="宋体" w:hAnsi="宋体" w:cs="仿宋_GB2312"/>
                <w:szCs w:val="21"/>
              </w:rPr>
              <w:t>（4）本次投标的费用由投标人自理。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spacing w:line="360" w:lineRule="auto"/>
              <w:ind w:left="-1"/>
              <w:jc w:val="left"/>
              <w:rPr>
                <w:rFonts w:ascii="宋体" w:hAnsi="宋体" w:cs="仿宋_GB2312"/>
                <w:szCs w:val="21"/>
              </w:rPr>
            </w:pPr>
            <w:r>
              <w:rPr>
                <w:rFonts w:hint="eastAsia" w:ascii="宋体" w:hAnsi="宋体" w:cs="宋体"/>
                <w:szCs w:val="21"/>
              </w:rPr>
              <w:t>本项目采购控制总金额为人民币</w:t>
            </w:r>
            <w:r>
              <w:rPr>
                <w:rFonts w:hint="eastAsia" w:ascii="宋体" w:hAnsi="宋体" w:cs="宋体"/>
                <w:szCs w:val="21"/>
                <w:highlight w:val="none"/>
              </w:rPr>
              <w:t>98.85万元</w:t>
            </w:r>
            <w:r>
              <w:rPr>
                <w:rFonts w:hint="eastAsia" w:ascii="宋体" w:hAnsi="宋体" w:cs="宋体"/>
                <w:szCs w:val="21"/>
              </w:rPr>
              <w:t>（含增值税），报价超过上述控制金额的投标文件作废标处理。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left="-1"/>
              <w:rPr>
                <w:rFonts w:ascii="宋体" w:hAnsi="宋体" w:cs="仿宋_GB2312"/>
                <w:szCs w:val="21"/>
              </w:rPr>
            </w:pPr>
            <w:r>
              <w:rPr>
                <w:rFonts w:hint="eastAsia" w:ascii="宋体" w:hAnsi="宋体" w:cs="仿宋_GB2312"/>
                <w:szCs w:val="21"/>
              </w:rPr>
              <w:t>（1）本项目合同签订后，向投标人支付合同金额20%。</w:t>
            </w:r>
          </w:p>
          <w:p>
            <w:pPr>
              <w:numPr>
                <w:ilvl w:val="255"/>
                <w:numId w:val="0"/>
              </w:numPr>
              <w:tabs>
                <w:tab w:val="left" w:pos="531"/>
              </w:tabs>
              <w:snapToGrid w:val="0"/>
              <w:spacing w:line="360" w:lineRule="auto"/>
              <w:ind w:left="-1"/>
              <w:rPr>
                <w:rFonts w:ascii="宋体" w:hAnsi="宋体" w:cs="仿宋_GB2312"/>
                <w:szCs w:val="21"/>
              </w:rPr>
            </w:pPr>
            <w:r>
              <w:rPr>
                <w:rFonts w:hint="eastAsia" w:ascii="宋体" w:hAnsi="宋体" w:cs="仿宋_GB2312"/>
                <w:szCs w:val="21"/>
              </w:rPr>
              <w:t>（2）投标人按本项目合同要求完成全部内容，由招标人验收完毕后，且完成罚金、违约金等清算（如有）后，一次性向投标人结清合同剩余款项。</w:t>
            </w:r>
          </w:p>
          <w:p>
            <w:pPr>
              <w:numPr>
                <w:ilvl w:val="255"/>
                <w:numId w:val="0"/>
              </w:numPr>
              <w:tabs>
                <w:tab w:val="left" w:pos="531"/>
              </w:tabs>
              <w:snapToGrid w:val="0"/>
              <w:spacing w:line="360" w:lineRule="auto"/>
              <w:ind w:left="-1"/>
              <w:rPr>
                <w:rFonts w:ascii="宋体" w:hAnsi="宋体" w:cs="仿宋_GB2312"/>
                <w:szCs w:val="21"/>
              </w:rPr>
            </w:pPr>
            <w:r>
              <w:rPr>
                <w:rFonts w:hint="eastAsia" w:ascii="宋体" w:hAnsi="宋体" w:cs="仿宋_GB2312"/>
                <w:szCs w:val="21"/>
              </w:rPr>
              <w:t>（3）招标人支付款项前，投标人须提供全额或相应金额、有效增值税发票。因投标人不及时或未按照要求提供有效的正规发票导致招标人延期付款，招标人不承担任何责任。</w:t>
            </w:r>
          </w:p>
          <w:p>
            <w:pPr>
              <w:tabs>
                <w:tab w:val="left" w:pos="531"/>
              </w:tabs>
              <w:snapToGrid w:val="0"/>
              <w:spacing w:line="360" w:lineRule="auto"/>
              <w:ind w:left="-1"/>
              <w:rPr>
                <w:rFonts w:ascii="宋体" w:hAnsi="宋体" w:cs="仿宋_GB2312"/>
                <w:szCs w:val="21"/>
              </w:rPr>
            </w:pPr>
            <w:r>
              <w:rPr>
                <w:rFonts w:hint="eastAsia" w:ascii="宋体" w:hAnsi="宋体" w:cs="仿宋_GB2312"/>
                <w:szCs w:val="21"/>
              </w:rPr>
              <w:t>（4）有关付款详细事宜以合同条款为准。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宋体" w:cs="宋体"/>
                <w:szCs w:val="21"/>
              </w:rPr>
            </w:pPr>
            <w:r>
              <w:rPr>
                <w:rFonts w:hint="eastAsia" w:ascii="Times New Roman" w:hAnsi="Times New Roman" w:eastAsia="宋体"/>
              </w:rPr>
              <w:t>工期</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cs="仿宋_GB2312"/>
                <w:szCs w:val="21"/>
              </w:rPr>
            </w:pPr>
            <w:r>
              <w:rPr>
                <w:rFonts w:hint="eastAsia"/>
                <w:highlight w:val="none"/>
              </w:rPr>
              <w:t>4个日历日</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具体时间以招标人通知为准</w:t>
            </w:r>
            <w:r>
              <w:rPr>
                <w:rFonts w:hint="eastAsia" w:ascii="宋体" w:hAnsi="宋体" w:cs="仿宋_GB2312"/>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eastAsia="宋体"/>
              </w:rPr>
            </w:pPr>
            <w:r>
              <w:rPr>
                <w:rFonts w:hint="eastAsia" w:ascii="Times New Roman" w:hAnsi="Times New Roman" w:eastAsia="宋体"/>
              </w:rPr>
              <w:t>不可</w:t>
            </w:r>
          </w:p>
          <w:p>
            <w:pPr>
              <w:pStyle w:val="13"/>
              <w:jc w:val="center"/>
              <w:rPr>
                <w:rFonts w:ascii="宋体" w:cs="宋体"/>
                <w:szCs w:val="21"/>
              </w:rPr>
            </w:pPr>
            <w:r>
              <w:rPr>
                <w:rFonts w:hint="eastAsia" w:ascii="Times New Roman" w:hAnsi="Times New Roman" w:eastAsia="宋体"/>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hAnsi="宋体" w:cs="仿宋_GB2312"/>
                <w:szCs w:val="21"/>
              </w:rPr>
            </w:pPr>
            <w:r>
              <w:rPr>
                <w:rFonts w:hint="eastAsia" w:ascii="宋体" w:hAnsi="宋体" w:cs="仿宋_GB2312"/>
                <w:szCs w:val="21"/>
              </w:rPr>
              <w:t>（</w:t>
            </w:r>
            <w:r>
              <w:rPr>
                <w:rFonts w:ascii="宋体" w:hAnsi="宋体" w:cs="仿宋_GB2312"/>
                <w:szCs w:val="21"/>
              </w:rPr>
              <w:t>1）招标人根据</w:t>
            </w:r>
            <w:r>
              <w:rPr>
                <w:rFonts w:hint="eastAsia" w:ascii="宋体" w:hAnsi="宋体" w:cs="仿宋_GB2312"/>
                <w:szCs w:val="21"/>
              </w:rPr>
              <w:t>投标人</w:t>
            </w:r>
            <w:r>
              <w:rPr>
                <w:rFonts w:ascii="宋体" w:hAnsi="宋体" w:cs="仿宋_GB2312"/>
                <w:szCs w:val="21"/>
              </w:rPr>
              <w:t>投标文件所述及合同所约定的全部</w:t>
            </w:r>
            <w:r>
              <w:rPr>
                <w:rFonts w:hint="eastAsia" w:ascii="宋体" w:hAnsi="宋体" w:cs="仿宋_GB2312"/>
                <w:szCs w:val="21"/>
              </w:rPr>
              <w:t>服务</w:t>
            </w:r>
            <w:r>
              <w:rPr>
                <w:rFonts w:ascii="宋体" w:hAnsi="宋体" w:cs="仿宋_GB2312"/>
                <w:szCs w:val="21"/>
              </w:rPr>
              <w:t>标准</w:t>
            </w:r>
            <w:r>
              <w:rPr>
                <w:rFonts w:hint="eastAsia" w:ascii="宋体" w:hAnsi="宋体" w:cs="仿宋_GB2312"/>
                <w:szCs w:val="21"/>
              </w:rPr>
              <w:t>，进行现场服务质量验收。投标人</w:t>
            </w:r>
            <w:r>
              <w:rPr>
                <w:rFonts w:hint="eastAsia"/>
              </w:rPr>
              <w:t>各项服务质量应等同或优于</w:t>
            </w:r>
            <w:r>
              <w:rPr>
                <w:rFonts w:hint="eastAsia" w:ascii="宋体" w:hAnsi="宋体" w:cs="仿宋_GB2312"/>
                <w:szCs w:val="21"/>
              </w:rPr>
              <w:t>投标人</w:t>
            </w:r>
            <w:r>
              <w:rPr>
                <w:rFonts w:ascii="宋体" w:hAnsi="宋体" w:cs="仿宋_GB2312"/>
                <w:szCs w:val="21"/>
              </w:rPr>
              <w:t>投标文件所述及合同所约定的</w:t>
            </w:r>
            <w:r>
              <w:rPr>
                <w:rFonts w:hint="eastAsia"/>
              </w:rPr>
              <w:t>。</w:t>
            </w:r>
          </w:p>
          <w:p>
            <w:pPr>
              <w:tabs>
                <w:tab w:val="left" w:pos="531"/>
              </w:tabs>
              <w:snapToGrid w:val="0"/>
              <w:spacing w:line="360" w:lineRule="auto"/>
              <w:ind w:left="-1"/>
              <w:rPr>
                <w:rFonts w:ascii="宋体" w:cs="仿宋_GB2312"/>
                <w:szCs w:val="21"/>
              </w:rPr>
            </w:pPr>
            <w:r>
              <w:rPr>
                <w:rFonts w:hint="eastAsia" w:ascii="宋体" w:hAnsi="宋体" w:cs="仿宋_GB2312"/>
                <w:szCs w:val="21"/>
              </w:rPr>
              <w:t>（</w:t>
            </w:r>
            <w:r>
              <w:rPr>
                <w:rFonts w:ascii="宋体" w:hAnsi="宋体" w:cs="仿宋_GB2312"/>
                <w:szCs w:val="21"/>
              </w:rPr>
              <w:t>2）</w:t>
            </w:r>
            <w:r>
              <w:rPr>
                <w:rFonts w:hint="eastAsia" w:ascii="宋体" w:hAnsi="宋体" w:cs="仿宋_GB2312"/>
                <w:szCs w:val="21"/>
              </w:rPr>
              <w:t>投标人</w:t>
            </w:r>
            <w:r>
              <w:rPr>
                <w:rFonts w:ascii="宋体" w:hAnsi="宋体" w:cs="仿宋_GB2312"/>
                <w:szCs w:val="21"/>
              </w:rPr>
              <w:t>须</w:t>
            </w:r>
            <w:r>
              <w:rPr>
                <w:rFonts w:hint="eastAsia" w:ascii="宋体" w:hAnsi="宋体" w:cs="仿宋_GB2312"/>
                <w:szCs w:val="21"/>
              </w:rPr>
              <w:t>提供由完整的食材采购台账、人员出勤记录、进场物料清单等各项材料，并形成项目验收报告，结合前款《现场服务质量验收报告》及现场照片，由招标人组织项目整体验收。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保密要求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rFonts w:ascii="宋体" w:hAnsi="宋体" w:cs="仿宋_GB2312"/>
                <w:szCs w:val="21"/>
              </w:rPr>
            </w:pPr>
            <w:r>
              <w:rPr>
                <w:rFonts w:hint="eastAsia" w:ascii="宋体" w:hAnsi="宋体" w:cs="仿宋_GB2312"/>
                <w:szCs w:val="21"/>
              </w:rPr>
              <w:t>（1）本项目执行期间，涉及本次宴会活动的人员信息及现场视频音频照片等一切活动信息的所有权均为招标人所有，属招标人之商业秘密，严禁投标人以任何形式私自记录、截留、备份或对外泄露。</w:t>
            </w:r>
          </w:p>
          <w:p>
            <w:pPr>
              <w:tabs>
                <w:tab w:val="left" w:pos="531"/>
              </w:tabs>
              <w:snapToGrid w:val="0"/>
              <w:spacing w:line="360" w:lineRule="auto"/>
              <w:ind w:left="-1"/>
              <w:rPr>
                <w:rFonts w:ascii="宋体" w:cs="仿宋_GB2312"/>
                <w:szCs w:val="21"/>
              </w:rPr>
            </w:pPr>
            <w:r>
              <w:rPr>
                <w:rFonts w:hint="eastAsia" w:ascii="宋体" w:hAnsi="宋体" w:cs="仿宋_GB2312"/>
                <w:szCs w:val="21"/>
              </w:rPr>
              <w:t>（2）投标人应对服务人员进行保密意识及要求的培训，确保服务人员在工作执行过程遵守上述保密原则。</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特别约定</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spacing w:line="360" w:lineRule="auto"/>
              <w:ind w:left="-1"/>
            </w:pPr>
            <w:r>
              <w:rPr>
                <w:rFonts w:hint="eastAsia"/>
              </w:rPr>
              <w:t>（1）因投标人提供的食品、饮料或掺有异物的食品、饮料造成第三者人身伤亡或财产损失，投标人应负赔偿责任。在项目实施过程中，因投标人造成的食品质量及卫生安全事故或纠纷，招标人负责处理相关事宜及承担一切法律责任。对招标人造成的影响和损失，招标人有权向投标人追偿。</w:t>
            </w:r>
          </w:p>
          <w:p>
            <w:pPr>
              <w:numPr>
                <w:ilvl w:val="255"/>
                <w:numId w:val="0"/>
              </w:numPr>
              <w:tabs>
                <w:tab w:val="left" w:pos="531"/>
              </w:tabs>
              <w:snapToGrid w:val="0"/>
              <w:spacing w:line="360" w:lineRule="auto"/>
            </w:pPr>
            <w:r>
              <w:rPr>
                <w:rFonts w:hint="eastAsia"/>
              </w:rPr>
              <w:t>（2）投标人评标阶段提供的服务方案后期须经招标人重新审定。本项目所有执行方案须经招标人签字确认后方可执行。投标人需要提供相应承诺函并加盖投标人公章。</w:t>
            </w:r>
          </w:p>
          <w:p>
            <w:pPr>
              <w:tabs>
                <w:tab w:val="left" w:pos="531"/>
              </w:tabs>
              <w:ind w:left="-1"/>
              <w:rPr>
                <w:rFonts w:hint="eastAsia"/>
              </w:rPr>
            </w:pPr>
            <w:r>
              <w:rPr>
                <w:rFonts w:hint="eastAsia"/>
              </w:rPr>
              <w:t>（3）如因不可抗力或政府政策等原因，导致本项目停办或延期，均由双方以实际情况进行协商，如有必要，则签订补充协议进行约定。项目停办，招标人按照已经发生的工作内容进行结算，招标人不再承担投标人由此造成的其他间接费用和损失，投标人亦不得再就上述事项进行任何形式的索赔；项目延期，按照具体工作进度安排，投标人予以无条件配合。</w:t>
            </w:r>
          </w:p>
          <w:p>
            <w:pPr>
              <w:pStyle w:val="2"/>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pPr>
            <w:r>
              <w:rPr>
                <w:rFonts w:hint="eastAsi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服务内容</w:t>
            </w:r>
          </w:p>
        </w:tc>
        <w:tc>
          <w:tcPr>
            <w:tcW w:w="7438" w:type="dxa"/>
            <w:tcBorders>
              <w:top w:val="single" w:color="auto" w:sz="4" w:space="0"/>
              <w:left w:val="single" w:color="auto" w:sz="4" w:space="0"/>
              <w:bottom w:val="single" w:color="auto" w:sz="4" w:space="0"/>
              <w:right w:val="single" w:color="auto" w:sz="4" w:space="0"/>
            </w:tcBorders>
            <w:vAlign w:val="center"/>
          </w:tcPr>
          <w:tbl>
            <w:tblPr>
              <w:tblStyle w:val="17"/>
              <w:tblW w:w="7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359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29" w:type="dxa"/>
                  <w:vAlign w:val="center"/>
                </w:tcPr>
                <w:p>
                  <w:pPr>
                    <w:widowControl/>
                    <w:jc w:val="center"/>
                    <w:rPr>
                      <w:b/>
                      <w:bCs/>
                    </w:rPr>
                  </w:pPr>
                  <w:r>
                    <w:rPr>
                      <w:rFonts w:hint="eastAsia"/>
                      <w:b/>
                      <w:bCs/>
                    </w:rPr>
                    <w:t>项目</w:t>
                  </w:r>
                </w:p>
              </w:tc>
              <w:tc>
                <w:tcPr>
                  <w:tcW w:w="3599" w:type="dxa"/>
                  <w:vAlign w:val="center"/>
                </w:tcPr>
                <w:p>
                  <w:pPr>
                    <w:widowControl/>
                    <w:spacing w:line="240" w:lineRule="auto"/>
                    <w:jc w:val="center"/>
                    <w:rPr>
                      <w:b/>
                      <w:bCs/>
                    </w:rPr>
                  </w:pPr>
                  <w:r>
                    <w:rPr>
                      <w:rFonts w:hint="eastAsia" w:ascii="Times New Roman" w:hAnsi="Times New Roman" w:eastAsia="宋体"/>
                      <w:b/>
                      <w:bCs/>
                      <w:sz w:val="21"/>
                      <w:szCs w:val="24"/>
                    </w:rPr>
                    <w:t>内容描述</w:t>
                  </w:r>
                </w:p>
              </w:tc>
              <w:tc>
                <w:tcPr>
                  <w:tcW w:w="1589" w:type="dxa"/>
                  <w:vAlign w:val="center"/>
                </w:tcPr>
                <w:p>
                  <w:pPr>
                    <w:widowControl/>
                    <w:spacing w:line="240" w:lineRule="auto"/>
                    <w:jc w:val="center"/>
                    <w:rPr>
                      <w:b/>
                      <w:bCs/>
                    </w:rPr>
                  </w:pPr>
                  <w:r>
                    <w:rPr>
                      <w:rFonts w:hint="eastAsia" w:ascii="Times New Roman" w:hAnsi="Times New Roman" w:eastAsia="宋体"/>
                      <w:b/>
                      <w:bCs/>
                      <w:sz w:val="21"/>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29" w:type="dxa"/>
                  <w:vAlign w:val="center"/>
                </w:tcPr>
                <w:p>
                  <w:pPr>
                    <w:widowControl/>
                    <w:jc w:val="center"/>
                  </w:pPr>
                  <w:r>
                    <w:rPr>
                      <w:rFonts w:hint="eastAsia"/>
                    </w:rPr>
                    <w:t>鸡尾酒会</w:t>
                  </w:r>
                </w:p>
              </w:tc>
              <w:tc>
                <w:tcPr>
                  <w:tcW w:w="3599" w:type="dxa"/>
                  <w:vAlign w:val="center"/>
                </w:tcPr>
                <w:p>
                  <w:pPr>
                    <w:widowControl/>
                    <w:spacing w:line="240" w:lineRule="auto"/>
                    <w:jc w:val="center"/>
                  </w:pPr>
                  <w:r>
                    <w:rPr>
                      <w:rFonts w:hint="eastAsia" w:ascii="Times New Roman" w:hAnsi="Times New Roman" w:eastAsia="宋体"/>
                      <w:sz w:val="21"/>
                      <w:szCs w:val="24"/>
                    </w:rPr>
                    <w:t>300人/场</w:t>
                  </w:r>
                </w:p>
              </w:tc>
              <w:tc>
                <w:tcPr>
                  <w:tcW w:w="1589" w:type="dxa"/>
                  <w:vAlign w:val="center"/>
                </w:tcPr>
                <w:p>
                  <w:pPr>
                    <w:widowControl/>
                    <w:spacing w:line="240" w:lineRule="auto"/>
                    <w:jc w:val="center"/>
                  </w:pPr>
                  <w:r>
                    <w:rPr>
                      <w:rFonts w:hint="eastAsia" w:ascii="Times New Roman" w:hAnsi="Times New Roman" w:eastAsia="宋体"/>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29" w:type="dxa"/>
                  <w:vAlign w:val="center"/>
                </w:tcPr>
                <w:p>
                  <w:pPr>
                    <w:widowControl/>
                    <w:jc w:val="center"/>
                  </w:pPr>
                  <w:r>
                    <w:rPr>
                      <w:rFonts w:hint="eastAsia"/>
                    </w:rPr>
                    <w:t>赞助商晚宴</w:t>
                  </w:r>
                </w:p>
              </w:tc>
              <w:tc>
                <w:tcPr>
                  <w:tcW w:w="3599" w:type="dxa"/>
                  <w:vAlign w:val="center"/>
                </w:tcPr>
                <w:p>
                  <w:pPr>
                    <w:widowControl/>
                    <w:spacing w:line="240" w:lineRule="auto"/>
                    <w:jc w:val="center"/>
                  </w:pPr>
                  <w:r>
                    <w:rPr>
                      <w:rFonts w:hint="eastAsia" w:ascii="Times New Roman" w:hAnsi="Times New Roman" w:eastAsia="宋体"/>
                      <w:sz w:val="21"/>
                      <w:szCs w:val="24"/>
                    </w:rPr>
                    <w:t>600人/场</w:t>
                  </w:r>
                </w:p>
              </w:tc>
              <w:tc>
                <w:tcPr>
                  <w:tcW w:w="1589" w:type="dxa"/>
                  <w:vAlign w:val="center"/>
                </w:tcPr>
                <w:p>
                  <w:pPr>
                    <w:widowControl/>
                    <w:spacing w:line="240" w:lineRule="auto"/>
                    <w:jc w:val="center"/>
                  </w:pPr>
                  <w:r>
                    <w:rPr>
                      <w:rFonts w:hint="eastAsia" w:ascii="Times New Roman" w:hAnsi="Times New Roman" w:eastAsia="宋体"/>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29" w:type="dxa"/>
                  <w:vAlign w:val="center"/>
                </w:tcPr>
                <w:p>
                  <w:pPr>
                    <w:widowControl/>
                    <w:jc w:val="center"/>
                  </w:pPr>
                  <w:r>
                    <w:rPr>
                      <w:rFonts w:hint="eastAsia"/>
                    </w:rPr>
                    <w:t>自助午餐</w:t>
                  </w:r>
                </w:p>
              </w:tc>
              <w:tc>
                <w:tcPr>
                  <w:tcW w:w="3599" w:type="dxa"/>
                  <w:vAlign w:val="center"/>
                </w:tcPr>
                <w:p>
                  <w:pPr>
                    <w:widowControl/>
                    <w:spacing w:line="240" w:lineRule="auto"/>
                    <w:jc w:val="center"/>
                  </w:pPr>
                  <w:r>
                    <w:rPr>
                      <w:rFonts w:hint="eastAsia" w:ascii="Times New Roman" w:hAnsi="Times New Roman" w:eastAsia="宋体"/>
                      <w:sz w:val="21"/>
                      <w:szCs w:val="24"/>
                    </w:rPr>
                    <w:t>1800人/场</w:t>
                  </w:r>
                </w:p>
              </w:tc>
              <w:tc>
                <w:tcPr>
                  <w:tcW w:w="1589" w:type="dxa"/>
                  <w:vAlign w:val="center"/>
                </w:tcPr>
                <w:p>
                  <w:pPr>
                    <w:widowControl/>
                    <w:spacing w:line="240" w:lineRule="auto"/>
                    <w:jc w:val="center"/>
                  </w:pPr>
                  <w:r>
                    <w:rPr>
                      <w:rFonts w:hint="eastAsia" w:ascii="Times New Roman" w:hAnsi="Times New Roman" w:eastAsia="宋体"/>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29" w:type="dxa"/>
                  <w:vAlign w:val="center"/>
                </w:tcPr>
                <w:p>
                  <w:pPr>
                    <w:widowControl/>
                    <w:jc w:val="center"/>
                  </w:pPr>
                  <w:r>
                    <w:rPr>
                      <w:rFonts w:hint="eastAsia"/>
                    </w:rPr>
                    <w:t>商务简餐</w:t>
                  </w:r>
                </w:p>
              </w:tc>
              <w:tc>
                <w:tcPr>
                  <w:tcW w:w="3599" w:type="dxa"/>
                  <w:vAlign w:val="center"/>
                </w:tcPr>
                <w:p>
                  <w:pPr>
                    <w:widowControl/>
                    <w:spacing w:line="240" w:lineRule="auto"/>
                    <w:jc w:val="center"/>
                  </w:pPr>
                  <w:r>
                    <w:rPr>
                      <w:rFonts w:hint="eastAsia" w:ascii="Times New Roman" w:hAnsi="Times New Roman" w:eastAsia="宋体"/>
                      <w:sz w:val="21"/>
                      <w:szCs w:val="24"/>
                    </w:rPr>
                    <w:t>650人/场</w:t>
                  </w:r>
                </w:p>
              </w:tc>
              <w:tc>
                <w:tcPr>
                  <w:tcW w:w="1589" w:type="dxa"/>
                  <w:vAlign w:val="center"/>
                </w:tcPr>
                <w:p>
                  <w:pPr>
                    <w:widowControl/>
                    <w:spacing w:line="240" w:lineRule="auto"/>
                    <w:jc w:val="center"/>
                  </w:pPr>
                  <w:r>
                    <w:rPr>
                      <w:rFonts w:hint="eastAsia" w:ascii="Times New Roman" w:hAnsi="Times New Roman" w:eastAsia="宋体"/>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29" w:type="dxa"/>
                  <w:vAlign w:val="center"/>
                </w:tcPr>
                <w:p>
                  <w:pPr>
                    <w:widowControl/>
                    <w:jc w:val="center"/>
                  </w:pPr>
                  <w:r>
                    <w:rPr>
                      <w:rFonts w:hint="eastAsia"/>
                    </w:rPr>
                    <w:t>茶歇</w:t>
                  </w:r>
                </w:p>
              </w:tc>
              <w:tc>
                <w:tcPr>
                  <w:tcW w:w="3599" w:type="dxa"/>
                  <w:vAlign w:val="center"/>
                </w:tcPr>
                <w:p>
                  <w:pPr>
                    <w:widowControl/>
                    <w:spacing w:line="240" w:lineRule="auto"/>
                    <w:jc w:val="center"/>
                  </w:pPr>
                  <w:r>
                    <w:rPr>
                      <w:rFonts w:hint="eastAsia" w:ascii="Times New Roman" w:hAnsi="Times New Roman" w:eastAsia="宋体"/>
                      <w:sz w:val="21"/>
                      <w:szCs w:val="24"/>
                    </w:rPr>
                    <w:t>2450人/场</w:t>
                  </w:r>
                </w:p>
              </w:tc>
              <w:tc>
                <w:tcPr>
                  <w:tcW w:w="1589" w:type="dxa"/>
                  <w:vAlign w:val="center"/>
                </w:tcPr>
                <w:p>
                  <w:pPr>
                    <w:widowControl/>
                    <w:spacing w:line="240" w:lineRule="auto"/>
                    <w:jc w:val="center"/>
                  </w:pPr>
                  <w:r>
                    <w:rPr>
                      <w:rFonts w:hint="eastAsia" w:ascii="Times New Roman" w:hAnsi="Times New Roman" w:eastAsia="宋体"/>
                      <w:sz w:val="21"/>
                      <w:szCs w:val="24"/>
                    </w:rPr>
                    <w:t>1</w:t>
                  </w:r>
                </w:p>
              </w:tc>
            </w:tr>
          </w:tbl>
          <w:p>
            <w:pPr>
              <w:widowControl/>
              <w:tabs>
                <w:tab w:val="left" w:pos="531"/>
              </w:tabs>
              <w:snapToGrid w:val="0"/>
              <w:spacing w:line="360" w:lineRule="auto"/>
              <w:jc w:val="left"/>
              <w:rPr>
                <w:rFonts w:ascii="宋体" w:hAnsi="宋体" w:cs="宋体"/>
                <w:kern w:val="0"/>
                <w:sz w:val="22"/>
                <w:szCs w:val="22"/>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b/>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Cs w:val="21"/>
              </w:rPr>
            </w:pPr>
            <w:r>
              <w:rPr>
                <w:rFonts w:hint="eastAsia"/>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（1）鸡尾酒会服务明细（五楼中厅）</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（1.1）中英文菜单（需配酒水）：菜单不得含猪肉、猪油及猪肉制品，须同时兼顾素食等方面的需求。</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（1.2）出品设计（需配图及文字说明）</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（1.3）菜品标识</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食品须配中英文菜卡（标注食材成分，提示预防食物过敏信息），酒水、饮品配中英文标识。</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（1.4）摆台设计</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（1.4.1）摆设高脚桌，配桌布、台花、纸巾等。（需配效果图）</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（1.4.2）设取餐台（需配效果图）、酒水吧台。</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（1.5）人员安排</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（1.5.1）酒会现场配卑服务经理、主管、服务人员、酒吧工作人员、厨师长、档口厨师、清洁、食品安全员、设备工程师等。</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（1.5.2）除自助食品及酒水外，现场采取服务员PASS AROUND 形式进行服务。</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（1.6）物料清单</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根据项目要求由投标人提供相关活动物料，包括但不限于食品、酒水、饮料、餐桌椅、布草餐具及鲜花摆台等。</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（2）赞助商晚宴服务</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（2.1）中英文菜单：菜单不得含猪肉、猪油及猪肉制品，须同时兼顾素食等方面的需求。</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（2.2）出品设计（需配图及文字说明）</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（2.3）菜品标识</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食品须配中英文菜卡（标注食材成分，提示预防食物过敏信息），饮品配中英文标识。</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（2.4）摆台设计</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（2.4.1）摆设宴会圆桌，配铺白色桌布、口布、圆盆桌花、摆台号架牌，另备高脚桌，配桌布、桌花、纸巾等。</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（2.4.2）设取餐台（需配效果图）、吧台。</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（2.5）人员安排</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晚宴现场配备服务经理、主管、服务人员、酒吧工作人员、厨师长、档口厨师、清洁、食品安全员、设备工程师等。</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（2.6）物料清单</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根据项目要求由投标人提供相关活动物料，包括但不限于食品、饮料、餐桌椅、布草餐具及鲜花摆台等。</w:t>
            </w:r>
          </w:p>
          <w:p>
            <w:pPr>
              <w:tabs>
                <w:tab w:val="left" w:pos="531"/>
              </w:tabs>
              <w:snapToGrid w:val="0"/>
              <w:spacing w:line="360" w:lineRule="auto"/>
              <w:jc w:val="left"/>
              <w:rPr>
                <w:rFonts w:ascii="宋体" w:hAnsi="宋体" w:cs="仿宋_GB2312"/>
                <w:szCs w:val="21"/>
              </w:rPr>
            </w:pPr>
            <w:r>
              <w:rPr>
                <w:rFonts w:hint="eastAsia" w:ascii="宋体" w:hAnsi="宋体" w:cs="仿宋_GB2312"/>
                <w:szCs w:val="21"/>
              </w:rPr>
              <w:t>（3）自助午餐、商务简餐和茶歇</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（3.1）中英文菜单：菜单不得含猪肉、猪油及猪肉制品，须同时兼顾素食等方面的需求。</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（3.2）出品设计（需配图及文字说明）</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（3.3）菜品标识</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食品须配中英文菜卡（标注食材成分，提示预防食物过敏信息），饮品配中英文标识。</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（3.4）包装设计和摆台设计</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（3.4.1）投标人所提供的商务简餐包装，要求采用环保、对人体无害的材质，且经相关卫生消毒处理。</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（3.4.2）自助午餐设取餐台，商务简餐设取餐区</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（3.5）人员安排</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现场配备管理人员、服务人员、食品安全员、设备工程师等。</w:t>
            </w:r>
          </w:p>
          <w:p>
            <w:p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（3.6）物料清单</w:t>
            </w:r>
          </w:p>
          <w:p>
            <w:pPr>
              <w:widowControl/>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根据项目要求由投标人提供相关活动物料，包括但不限于餐桌椅（高脚桌、方桌）、桌布、椅套、台花、外带餐盒、餐具（需配图）、水杯、吸管、纸巾、牙签等。</w:t>
            </w:r>
          </w:p>
          <w:p>
            <w:pPr>
              <w:widowControl/>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（4）招标人须根据上述服务要求提供相应的服务方案并加盖投标人公章，上述要求配图的内容须在服务方案中体现。</w:t>
            </w:r>
          </w:p>
          <w:p>
            <w:pPr>
              <w:widowControl/>
              <w:numPr>
                <w:ilvl w:val="255"/>
                <w:numId w:val="0"/>
              </w:num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（5）其他要求</w:t>
            </w:r>
          </w:p>
          <w:p>
            <w:pPr>
              <w:widowControl/>
              <w:numPr>
                <w:ilvl w:val="255"/>
                <w:numId w:val="0"/>
              </w:num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（5.1）按照星级酒店服务SOP提供相关餐饮服务。</w:t>
            </w:r>
          </w:p>
          <w:p>
            <w:pPr>
              <w:widowControl/>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（5.2）现场试菜，提供现场实战化出品服务，针对发现的问题及时改进。</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安全要求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tabs>
                <w:tab w:val="left" w:pos="531"/>
              </w:tabs>
              <w:snapToGrid w:val="0"/>
              <w:spacing w:line="360" w:lineRule="auto"/>
              <w:jc w:val="left"/>
              <w:rPr>
                <w:rFonts w:ascii="宋体" w:hAnsi="宋体" w:cs="仿宋_GB2312"/>
                <w:szCs w:val="21"/>
              </w:rPr>
            </w:pPr>
            <w:r>
              <w:rPr>
                <w:rFonts w:hint="eastAsia" w:ascii="宋体" w:hAnsi="宋体" w:cs="仿宋_GB2312"/>
                <w:szCs w:val="21"/>
              </w:rPr>
              <w:t>（1）人员安全</w:t>
            </w:r>
          </w:p>
          <w:p>
            <w:pPr>
              <w:widowControl/>
              <w:numPr>
                <w:ilvl w:val="255"/>
                <w:numId w:val="0"/>
              </w:numPr>
              <w:tabs>
                <w:tab w:val="left" w:pos="531"/>
              </w:tabs>
              <w:snapToGrid w:val="0"/>
              <w:spacing w:line="360" w:lineRule="auto"/>
              <w:jc w:val="left"/>
              <w:rPr>
                <w:rFonts w:ascii="宋体" w:hAnsi="宋体" w:cs="仿宋_GB2312"/>
                <w:szCs w:val="21"/>
              </w:rPr>
            </w:pPr>
            <w:r>
              <w:rPr>
                <w:rFonts w:hint="eastAsia" w:ascii="宋体" w:hAnsi="宋体" w:cs="仿宋_GB2312"/>
                <w:szCs w:val="21"/>
              </w:rPr>
              <w:t>投标人须建立安全责任制，进入现场的工作人员须遵守国家、属地政府及深圳会展中心的相关规章制度，采取有效的措施保障现场的安全、维护现场的正常工作秩序。在服务过程中要做好人员保护，确保服务过程中不出现人身安全事故、火灾事故和财产损失等重大安全事故。如因投标人管理不善、组织不力或监管缺失等造成安全责任事故及财产损失的，由投标人自行承担全部法律及经济赔偿责任。</w:t>
            </w:r>
          </w:p>
          <w:p>
            <w:pPr>
              <w:widowControl/>
              <w:numPr>
                <w:ilvl w:val="255"/>
                <w:numId w:val="0"/>
              </w:numPr>
              <w:tabs>
                <w:tab w:val="left" w:pos="531"/>
              </w:tabs>
              <w:snapToGrid w:val="0"/>
              <w:spacing w:line="360" w:lineRule="auto"/>
              <w:jc w:val="left"/>
              <w:rPr>
                <w:rFonts w:ascii="宋体" w:hAnsi="宋体" w:cs="仿宋_GB2312"/>
                <w:szCs w:val="21"/>
              </w:rPr>
            </w:pPr>
            <w:r>
              <w:rPr>
                <w:rFonts w:hint="eastAsia" w:ascii="宋体" w:hAnsi="宋体" w:cs="仿宋_GB2312"/>
                <w:szCs w:val="21"/>
              </w:rPr>
              <w:t>（2）物料安全</w:t>
            </w:r>
          </w:p>
          <w:p>
            <w:pPr>
              <w:widowControl/>
              <w:numPr>
                <w:ilvl w:val="255"/>
                <w:numId w:val="0"/>
              </w:numPr>
              <w:tabs>
                <w:tab w:val="left" w:pos="531"/>
              </w:tabs>
              <w:snapToGrid w:val="0"/>
              <w:spacing w:line="360" w:lineRule="auto"/>
              <w:jc w:val="left"/>
              <w:rPr>
                <w:rFonts w:ascii="宋体" w:hAnsi="宋体" w:cs="仿宋_GB2312"/>
                <w:szCs w:val="21"/>
              </w:rPr>
            </w:pPr>
            <w:r>
              <w:rPr>
                <w:rFonts w:hint="eastAsia" w:ascii="宋体" w:hAnsi="宋体" w:cs="仿宋_GB2312"/>
                <w:szCs w:val="21"/>
              </w:rPr>
              <w:t>投标人应对进场物料进行管理，如相关物料出现遗失、损坏等情况，投标人承担相应经济责任。</w:t>
            </w:r>
          </w:p>
          <w:p>
            <w:pPr>
              <w:widowControl/>
              <w:numPr>
                <w:ilvl w:val="255"/>
                <w:numId w:val="0"/>
              </w:numPr>
              <w:tabs>
                <w:tab w:val="left" w:pos="531"/>
              </w:tabs>
              <w:snapToGrid w:val="0"/>
              <w:spacing w:line="360" w:lineRule="auto"/>
              <w:jc w:val="left"/>
              <w:rPr>
                <w:rFonts w:ascii="宋体" w:hAnsi="宋体" w:cs="仿宋_GB2312"/>
                <w:szCs w:val="21"/>
              </w:rPr>
            </w:pPr>
            <w:r>
              <w:rPr>
                <w:rFonts w:hint="eastAsia" w:ascii="宋体" w:hAnsi="宋体" w:cs="仿宋_GB2312"/>
                <w:szCs w:val="21"/>
              </w:rPr>
              <w:t>（3）食品安全</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（3.1）服务全程接受深圳市市场监督管理局等相关部门的监督和检查。</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（3.2）投标人根据确认后的菜单提供菜式配料，确保食材通过正规进货渠道采购，建有完整采购进货台账（备查）。</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（3.3）投标人需做到每餐留取样品48小时备查。</w:t>
            </w:r>
          </w:p>
          <w:p>
            <w:pPr>
              <w:widowControl/>
              <w:numPr>
                <w:ilvl w:val="255"/>
                <w:numId w:val="0"/>
              </w:numPr>
              <w:tabs>
                <w:tab w:val="left" w:pos="531"/>
              </w:tabs>
              <w:snapToGrid w:val="0"/>
              <w:spacing w:line="360" w:lineRule="auto"/>
              <w:jc w:val="left"/>
              <w:rPr>
                <w:rFonts w:ascii="宋体" w:hAnsi="宋体" w:cs="仿宋_GB2312"/>
                <w:szCs w:val="21"/>
              </w:rPr>
            </w:pPr>
            <w:r>
              <w:rPr>
                <w:rFonts w:hint="eastAsia" w:ascii="宋体" w:hAnsi="宋体" w:cs="仿宋_GB2312"/>
                <w:szCs w:val="21"/>
              </w:rPr>
              <w:t>（3.4）所有食品制作及周转器具，均需要符合食品卫生安全相关规定。</w:t>
            </w:r>
          </w:p>
          <w:p>
            <w:pPr>
              <w:widowControl/>
              <w:tabs>
                <w:tab w:val="left" w:pos="531"/>
              </w:tabs>
              <w:snapToGrid w:val="0"/>
              <w:spacing w:line="360" w:lineRule="auto"/>
              <w:jc w:val="left"/>
              <w:rPr>
                <w:rFonts w:ascii="宋体" w:hAnsi="宋体" w:cs="宋体"/>
                <w:kern w:val="0"/>
                <w:sz w:val="22"/>
                <w:szCs w:val="22"/>
              </w:rPr>
            </w:pPr>
            <w:r>
              <w:rPr>
                <w:rFonts w:hint="eastAsia" w:ascii="宋体" w:hAnsi="宋体" w:cs="仿宋_GB2312"/>
                <w:szCs w:val="21"/>
              </w:rPr>
              <w:t>（3.5）以及其他符合食品安全监管的方面。</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bookmarkStart w:id="39" w:name="_Toc116550349"/>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（1）人员配置</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1.1）投标人须为本项目指定项目负责人1名，提供相关材料并加盖投标人公章（包括但不仅限于人员的姓名、联系电话、职务、简介及与本项目类似案例经历，并提供身份证复印件、由投标人近3个月为其连续缴纳社保的证明材料，证明材料须包含验真码）。合同执行期内，投标人不得随意更换项目负责人。若确需更换的，须书面报经招标人审批同意后方可更换，且更换后的人员资格条件及相关要求不得低于原配置人员。</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（1.2）根据项目要求，投标人所指派的项目负责人及服务团队中，具备英语口语服务沟通技能人数不低于总人数50%。经由招标人面试通过后方可上岗，否则投标人负责调配合适人选直至符合项目要求。</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（1.3）投标人所指派的项目负责人及服务团队中，须通过政治审查。</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（1.4）现场服务人员须全部具备有效的《食品从业人员健康证》，确保持证上岗，上岗前招标人现场查验。</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（1.5）上述所有文件及复印件均须加盖投标人公章，所有证明资料必须真实可查、清晰可辨。凡模糊不清、不完整或未按要求提供的，均视同未提供。</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（2）形象要求</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2.1）现场服务人员需保持脸部、手部干净，不留长指甲；制服整洁并熨烫平整须统一，无油污迹；工鞋保持光亮；男服务员穿深色袜子；女服务员丝袜保持无破洞无抽丝；不披肩散发，长发须用马尾盘起；不带过多饰物。</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（2.2）男服务员不留胡须，不可留长发。</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（2.3）女服务员画淡妆上岗。</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（3）服务标准</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（3.1）按照星级酒店餐饮服务标准提供现场服务。</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（3.2）针对特殊客人提供个性化服务。</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（4）人员培训</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（4.1）参考星级酒店餐饮培训模式进行开餐前培训。</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（4.2）重点培训内容：</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（4.2.1）现场服务人员须熟悉现场环境，了解来宾进出流线，强调避免与客人搭乘电梯，使用洗手间等。</w:t>
            </w:r>
          </w:p>
          <w:p>
            <w:pPr>
              <w:widowControl/>
              <w:tabs>
                <w:tab w:val="left" w:pos="531"/>
              </w:tabs>
              <w:snapToGrid w:val="0"/>
              <w:spacing w:line="360" w:lineRule="auto"/>
              <w:jc w:val="left"/>
              <w:rPr>
                <w:rFonts w:ascii="宋体" w:hAnsi="宋体" w:cs="宋体"/>
                <w:kern w:val="0"/>
                <w:sz w:val="22"/>
                <w:szCs w:val="22"/>
              </w:rPr>
            </w:pPr>
            <w:r>
              <w:rPr>
                <w:rFonts w:hint="eastAsia" w:ascii="宋体" w:hAnsi="宋体" w:cs="仿宋_GB2312"/>
                <w:szCs w:val="21"/>
              </w:rPr>
              <w:t>（4.2.2）特别强调礼貌环节，现场服务人员大方有礼，展现良好精神风范。</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bl>
    <w:p>
      <w:pPr>
        <w:jc w:val="left"/>
        <w:outlineLvl w:val="1"/>
        <w:rPr>
          <w:rFonts w:ascii="宋体" w:hAnsi="宋体"/>
          <w:b/>
          <w:szCs w:val="21"/>
        </w:rPr>
      </w:pPr>
      <w:bookmarkStart w:id="40" w:name="_Toc82591996"/>
      <w:bookmarkEnd w:id="40"/>
      <w:bookmarkStart w:id="41" w:name="_Toc82685552"/>
      <w:bookmarkEnd w:id="41"/>
      <w:bookmarkStart w:id="42" w:name="_Toc82684600"/>
      <w:bookmarkEnd w:id="42"/>
      <w:bookmarkStart w:id="43" w:name="_Toc82684715"/>
      <w:bookmarkEnd w:id="43"/>
    </w:p>
    <w:p>
      <w:pPr>
        <w:numPr>
          <w:ilvl w:val="0"/>
          <w:numId w:val="1"/>
        </w:numPr>
        <w:jc w:val="left"/>
        <w:outlineLvl w:val="1"/>
        <w:rPr>
          <w:rFonts w:ascii="宋体" w:hAnsi="宋体"/>
          <w:b/>
          <w:szCs w:val="21"/>
        </w:rPr>
      </w:pPr>
      <w:r>
        <w:rPr>
          <w:rFonts w:hint="eastAsia" w:ascii="宋体" w:hAnsi="宋体"/>
          <w:b/>
          <w:szCs w:val="21"/>
        </w:rPr>
        <w:t>其他项目说明资料</w:t>
      </w:r>
      <w:bookmarkEnd w:id="39"/>
    </w:p>
    <w:p>
      <w:pPr>
        <w:widowControl/>
        <w:spacing w:line="360" w:lineRule="auto"/>
      </w:pPr>
      <w:r>
        <w:rPr>
          <w:rFonts w:hint="eastAsia"/>
        </w:rPr>
        <w:t xml:space="preserve"> 无</w:t>
      </w:r>
    </w:p>
    <w:p>
      <w:pPr>
        <w:widowControl/>
        <w:spacing w:line="360" w:lineRule="auto"/>
        <w:rPr>
          <w:color w:val="FF0000"/>
        </w:rPr>
      </w:pPr>
    </w:p>
    <w:p>
      <w:pPr>
        <w:spacing w:line="360" w:lineRule="auto"/>
        <w:jc w:val="center"/>
        <w:outlineLvl w:val="0"/>
        <w:rPr>
          <w:rFonts w:ascii="宋体" w:hAnsi="宋体"/>
          <w:b/>
          <w:sz w:val="32"/>
          <w:szCs w:val="32"/>
        </w:rPr>
      </w:pPr>
      <w:bookmarkStart w:id="44" w:name="_Toc116550350"/>
      <w:r>
        <w:rPr>
          <w:rFonts w:hint="eastAsia" w:ascii="宋体" w:hAnsi="宋体"/>
          <w:b/>
          <w:sz w:val="32"/>
          <w:szCs w:val="32"/>
        </w:rPr>
        <w:t>第二部分：开标评标流程</w:t>
      </w:r>
      <w:bookmarkEnd w:id="44"/>
    </w:p>
    <w:p>
      <w:pPr>
        <w:numPr>
          <w:ilvl w:val="0"/>
          <w:numId w:val="1"/>
        </w:numPr>
        <w:spacing w:line="360" w:lineRule="auto"/>
        <w:outlineLvl w:val="1"/>
        <w:rPr>
          <w:b/>
        </w:rPr>
      </w:pPr>
      <w:bookmarkStart w:id="45" w:name="_Toc104994641"/>
      <w:bookmarkStart w:id="46" w:name="_Toc116550351"/>
      <w:bookmarkStart w:id="47" w:name="_Hlk104908581"/>
      <w:bookmarkStart w:id="48" w:name="_Hlk104908397"/>
      <w:r>
        <w:rPr>
          <w:rFonts w:hint="eastAsia"/>
          <w:b/>
        </w:rPr>
        <w:t>开标阶段</w:t>
      </w:r>
      <w:bookmarkEnd w:id="45"/>
      <w:bookmarkEnd w:id="46"/>
    </w:p>
    <w:bookmarkEnd w:id="47"/>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9" w:name="_Toc116550352"/>
      <w:bookmarkStart w:id="50" w:name="_Toc104994642"/>
      <w:r>
        <w:rPr>
          <w:rFonts w:hint="eastAsia"/>
          <w:b/>
        </w:rPr>
        <w:t>评标阶段</w:t>
      </w:r>
      <w:bookmarkEnd w:id="49"/>
      <w:bookmarkEnd w:id="50"/>
    </w:p>
    <w:p>
      <w:pPr>
        <w:pStyle w:val="25"/>
        <w:numPr>
          <w:ilvl w:val="0"/>
          <w:numId w:val="11"/>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8"/>
    <w:p>
      <w:pPr>
        <w:widowControl/>
        <w:jc w:val="left"/>
        <w:rPr>
          <w:rFonts w:ascii="仿宋_GB2312" w:hAnsi="宋体" w:eastAsia="仿宋_GB2312"/>
        </w:rPr>
      </w:pPr>
      <w:r>
        <w:br w:type="page"/>
      </w:r>
    </w:p>
    <w:p>
      <w:pPr>
        <w:spacing w:line="360" w:lineRule="auto"/>
        <w:jc w:val="center"/>
        <w:outlineLvl w:val="0"/>
        <w:rPr>
          <w:rFonts w:ascii="宋体" w:hAnsi="宋体"/>
          <w:b/>
          <w:sz w:val="32"/>
          <w:szCs w:val="32"/>
        </w:rPr>
      </w:pPr>
      <w:bookmarkStart w:id="51" w:name="_Toc116550353"/>
      <w:r>
        <w:rPr>
          <w:rFonts w:hint="eastAsia" w:ascii="宋体" w:hAnsi="宋体"/>
          <w:b/>
          <w:sz w:val="32"/>
          <w:szCs w:val="32"/>
        </w:rPr>
        <w:t>第三部分：评审办法</w:t>
      </w:r>
      <w:bookmarkEnd w:id="51"/>
    </w:p>
    <w:p>
      <w:pPr>
        <w:numPr>
          <w:ilvl w:val="0"/>
          <w:numId w:val="1"/>
        </w:numPr>
        <w:spacing w:line="360" w:lineRule="auto"/>
        <w:outlineLvl w:val="1"/>
        <w:rPr>
          <w:rFonts w:ascii="宋体" w:hAnsi="宋体"/>
          <w:szCs w:val="21"/>
        </w:rPr>
      </w:pPr>
      <w:bookmarkStart w:id="52" w:name="_Toc116550354"/>
      <w:r>
        <w:rPr>
          <w:rFonts w:hint="eastAsia" w:ascii="宋体" w:hAnsi="宋体"/>
          <w:b/>
          <w:bCs/>
          <w:szCs w:val="21"/>
        </w:rPr>
        <w:t>评审办法</w:t>
      </w:r>
      <w:bookmarkEnd w:id="52"/>
    </w:p>
    <w:p>
      <w:pPr>
        <w:ind w:firstLine="420" w:firstLineChars="200"/>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rPr>
        <w:t>100分制综合评分法</w:t>
      </w:r>
      <w:r>
        <w:rPr>
          <w:rFonts w:hint="eastAsia" w:ascii="宋体" w:hAnsi="宋体"/>
          <w:szCs w:val="21"/>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90" w:type="dxa"/>
            <w:gridSpan w:val="4"/>
            <w:vAlign w:val="center"/>
          </w:tcPr>
          <w:p>
            <w:pPr>
              <w:pStyle w:val="5"/>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szCs w:val="21"/>
              </w:rPr>
              <w:t>35</w:t>
            </w:r>
            <w:r>
              <w:rPr>
                <w:rFonts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szCs w:val="21"/>
              </w:rPr>
              <w:t>35</w:t>
            </w:r>
            <w:r>
              <w:rPr>
                <w:rFonts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szCs w:val="21"/>
              </w:rPr>
              <w:t>30</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5"/>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5"/>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2"/>
        </w:numPr>
        <w:spacing w:beforeLines="50"/>
        <w:ind w:left="720" w:hanging="720"/>
        <w:jc w:val="left"/>
        <w:outlineLvl w:val="2"/>
        <w:rPr>
          <w:rStyle w:val="32"/>
          <w:rFonts w:ascii="宋体" w:hAnsi="宋体"/>
          <w:b/>
          <w:spacing w:val="-5"/>
          <w:kern w:val="0"/>
          <w:sz w:val="20"/>
          <w:szCs w:val="21"/>
        </w:rPr>
      </w:pPr>
      <w:bookmarkStart w:id="53" w:name="_Toc116550355"/>
      <w:r>
        <w:rPr>
          <w:rStyle w:val="32"/>
          <w:rFonts w:hint="eastAsia" w:ascii="宋体" w:hAnsi="宋体"/>
          <w:b/>
          <w:bCs/>
          <w:szCs w:val="21"/>
        </w:rPr>
        <w:t>符合性检查</w:t>
      </w:r>
      <w:bookmarkEnd w:id="53"/>
    </w:p>
    <w:tbl>
      <w:tblPr>
        <w:tblStyle w:val="17"/>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356" w:hRule="atLeast"/>
          <w:tblCellSpacing w:w="0" w:type="dxa"/>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jc w:val="left"/>
              <w:rPr>
                <w:rFonts w:ascii="宋体" w:hAnsi="宋体" w:cs="仿宋"/>
                <w:szCs w:val="21"/>
              </w:rPr>
            </w:pPr>
            <w:r>
              <w:rPr>
                <w:rFonts w:hint="eastAsia" w:ascii="宋体" w:hAnsi="宋体" w:cs="仿宋_GB2312"/>
                <w:szCs w:val="21"/>
              </w:rPr>
              <w:t>投标人提交的投标文件是否按要求编制目录、加密；投标文件的加密密码按要求发送至招标人</w:t>
            </w:r>
            <w:r>
              <w:rPr>
                <w:rFonts w:ascii="宋体" w:hAnsi="宋体" w:cs="仿宋_GB2312"/>
                <w:szCs w:val="21"/>
              </w:rPr>
              <w:t>且</w:t>
            </w:r>
            <w:r>
              <w:rPr>
                <w:rFonts w:hint="eastAsia" w:ascii="宋体" w:hAnsi="宋体" w:cs="仿宋_GB2312"/>
                <w:szCs w:val="21"/>
              </w:rPr>
              <w:t>保证</w:t>
            </w:r>
            <w:r>
              <w:rPr>
                <w:rFonts w:ascii="宋体" w:hAnsi="宋体" w:cs="仿宋_GB2312"/>
                <w:szCs w:val="21"/>
              </w:rPr>
              <w:t>文件完整可正常打开；</w:t>
            </w:r>
            <w:r>
              <w:rPr>
                <w:rFonts w:hint="eastAsia" w:ascii="宋体" w:hAnsi="宋体" w:cs="仿宋_GB2312"/>
                <w:szCs w:val="21"/>
              </w:rPr>
              <w:t>投标人必须提供由法人代表或其书面授权人签署并加盖投标人公章的投标响应文件。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584" w:hRule="atLeast"/>
          <w:tblCellSpacing w:w="0" w:type="dxa"/>
        </w:trPr>
        <w:tc>
          <w:tcPr>
            <w:tcW w:w="1881" w:type="dxa"/>
            <w:tcBorders>
              <w:tl2br w:val="nil"/>
              <w:tr2bl w:val="nil"/>
            </w:tcBorders>
            <w:vAlign w:val="center"/>
          </w:tcPr>
          <w:p>
            <w:pPr>
              <w:spacing w:line="360" w:lineRule="auto"/>
              <w:jc w:val="center"/>
              <w:rPr>
                <w:rFonts w:ascii="宋体" w:hAnsi="宋体" w:cs="仿宋_GB2312"/>
                <w:szCs w:val="21"/>
              </w:rPr>
            </w:pPr>
            <w:r>
              <w:rPr>
                <w:rFonts w:hint="eastAsia" w:ascii="宋体" w:hAnsi="宋体" w:cs="仿宋_GB2312"/>
                <w:szCs w:val="21"/>
              </w:rPr>
              <w:t>法定代表人证明书及授权委托证明书</w:t>
            </w:r>
          </w:p>
        </w:tc>
        <w:tc>
          <w:tcPr>
            <w:tcW w:w="7635" w:type="dxa"/>
            <w:tcBorders>
              <w:tl2br w:val="nil"/>
              <w:tr2bl w:val="nil"/>
            </w:tcBorders>
            <w:vAlign w:val="center"/>
          </w:tcPr>
          <w:p>
            <w:pPr>
              <w:spacing w:line="360" w:lineRule="auto"/>
              <w:jc w:val="left"/>
              <w:rPr>
                <w:rFonts w:ascii="宋体" w:hAnsi="宋体" w:cs="仿宋_GB2312"/>
                <w:szCs w:val="21"/>
              </w:rPr>
            </w:pPr>
            <w:r>
              <w:rPr>
                <w:rFonts w:hint="eastAsia" w:ascii="宋体" w:hAnsi="宋体" w:cs="仿宋_GB2312"/>
                <w:szCs w:val="21"/>
              </w:rPr>
              <w:t>投标人代表必须是投标单位的法定代表人或持有法定代表人亲自签署的法人授权委托证明书的人员。（提供法定代表人证明书、法人授权委托证明书及法定代表人、被委托人身份证或护照扫描件并加盖投标人公章；如单位法定代表人为本项目授权代表，则仅提供法定代表人证明书及身份证或护照复印件，各证明书须加盖公章，身份证或护照原件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0" w:hRule="atLeast"/>
          <w:tblCellSpacing w:w="0" w:type="dxa"/>
        </w:trPr>
        <w:tc>
          <w:tcPr>
            <w:tcW w:w="1881" w:type="dxa"/>
            <w:tcBorders>
              <w:tl2br w:val="nil"/>
              <w:tr2bl w:val="nil"/>
            </w:tcBorders>
            <w:vAlign w:val="center"/>
          </w:tcPr>
          <w:p>
            <w:pPr>
              <w:spacing w:line="360" w:lineRule="auto"/>
              <w:jc w:val="center"/>
              <w:rPr>
                <w:rFonts w:ascii="宋体" w:hAnsi="宋体" w:cs="仿宋_GB2312"/>
                <w:szCs w:val="21"/>
              </w:rPr>
            </w:pPr>
            <w:r>
              <w:rPr>
                <w:rFonts w:hint="eastAsia" w:ascii="宋体" w:hAnsi="宋体" w:cs="仿宋_GB2312"/>
                <w:szCs w:val="21"/>
              </w:rPr>
              <w:t>资格证明文件</w:t>
            </w:r>
          </w:p>
        </w:tc>
        <w:tc>
          <w:tcPr>
            <w:tcW w:w="7635" w:type="dxa"/>
            <w:tcBorders>
              <w:tl2br w:val="nil"/>
              <w:tr2bl w:val="nil"/>
            </w:tcBorders>
            <w:vAlign w:val="center"/>
          </w:tcPr>
          <w:p>
            <w:pPr>
              <w:numPr>
                <w:ilvl w:val="255"/>
                <w:numId w:val="0"/>
              </w:numPr>
              <w:tabs>
                <w:tab w:val="left" w:pos="531"/>
              </w:tabs>
              <w:snapToGrid w:val="0"/>
              <w:spacing w:line="360" w:lineRule="auto"/>
              <w:ind w:left="-1"/>
            </w:pPr>
            <w:r>
              <w:rPr>
                <w:rFonts w:hint="eastAsia" w:ascii="宋体" w:hAnsi="宋体" w:cs="仿宋_GB2312"/>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255"/>
                <w:numId w:val="0"/>
              </w:numPr>
              <w:tabs>
                <w:tab w:val="left" w:pos="531"/>
              </w:tabs>
              <w:snapToGrid w:val="0"/>
              <w:spacing w:line="360" w:lineRule="auto"/>
              <w:ind w:left="-1"/>
              <w:rPr>
                <w:rFonts w:ascii="宋体" w:hAnsi="宋体" w:cs="仿宋_GB2312"/>
                <w:szCs w:val="21"/>
              </w:rPr>
            </w:pPr>
            <w:r>
              <w:rPr>
                <w:rFonts w:hint="eastAsia" w:ascii="宋体" w:hAnsi="宋体" w:cs="仿宋_GB2312"/>
                <w:szCs w:val="21"/>
              </w:rPr>
              <w:t>（2）投标人必须具备有效的食品经营许可证（有效期不少于</w:t>
            </w:r>
            <w:r>
              <w:rPr>
                <w:rFonts w:ascii="宋体" w:hAnsi="宋体" w:cs="仿宋_GB2312"/>
                <w:szCs w:val="21"/>
              </w:rPr>
              <w:t>3个月），且餐饮服务食品安全等级为A级</w:t>
            </w:r>
            <w:r>
              <w:rPr>
                <w:rFonts w:hint="eastAsia" w:ascii="宋体" w:hAnsi="宋体" w:cs="仿宋_GB2312"/>
                <w:szCs w:val="21"/>
              </w:rPr>
              <w:t>。投标人须提供上述材料的复印件并加盖投标人公章。</w:t>
            </w:r>
          </w:p>
          <w:p>
            <w:pPr>
              <w:numPr>
                <w:ilvl w:val="255"/>
                <w:numId w:val="0"/>
              </w:numPr>
              <w:tabs>
                <w:tab w:val="left" w:pos="531"/>
              </w:tabs>
              <w:snapToGrid w:val="0"/>
              <w:spacing w:line="360" w:lineRule="auto"/>
              <w:ind w:left="-1"/>
              <w:rPr>
                <w:rFonts w:ascii="宋体" w:hAnsi="宋体" w:cs="仿宋_GB2312"/>
                <w:szCs w:val="21"/>
              </w:rPr>
            </w:pPr>
            <w:r>
              <w:rPr>
                <w:rFonts w:hint="eastAsia" w:ascii="宋体" w:hAnsi="宋体" w:cs="仿宋_GB2312"/>
                <w:szCs w:val="21"/>
              </w:rPr>
              <w:t>（3）投标人须为餐饮服务企业，投标人自行提供相关证明文件并加盖投标人公章。</w:t>
            </w:r>
          </w:p>
          <w:p>
            <w:pPr>
              <w:numPr>
                <w:ilvl w:val="255"/>
                <w:numId w:val="0"/>
              </w:numPr>
              <w:tabs>
                <w:tab w:val="left" w:pos="531"/>
              </w:tabs>
              <w:snapToGrid w:val="0"/>
              <w:spacing w:line="360" w:lineRule="auto"/>
              <w:ind w:left="-1"/>
              <w:jc w:val="left"/>
              <w:rPr>
                <w:rFonts w:ascii="宋体" w:hAnsi="宋体" w:cs="仿宋_GB2312"/>
                <w:szCs w:val="21"/>
              </w:rPr>
            </w:pPr>
            <w:r>
              <w:rPr>
                <w:rFonts w:hint="eastAsia" w:ascii="宋体" w:hAnsi="宋体" w:cs="仿宋_GB2312"/>
                <w:szCs w:val="21"/>
              </w:rPr>
              <w:t>（4）本项目不接受联合体投标，严禁转包或非法分包。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16"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widowControl/>
              <w:jc w:val="left"/>
              <w:rPr>
                <w:rFonts w:ascii="宋体" w:hAnsi="宋体" w:cs="仿宋"/>
                <w:szCs w:val="21"/>
              </w:rPr>
            </w:pPr>
            <w:r>
              <w:rPr>
                <w:rFonts w:hint="eastAsia" w:ascii="宋体" w:hAnsi="宋体" w:cs="仿宋"/>
                <w:szCs w:val="21"/>
              </w:rPr>
              <w:t>本项目采购控制总金额为人民</w:t>
            </w:r>
            <w:r>
              <w:rPr>
                <w:rFonts w:hint="eastAsia" w:ascii="宋体" w:hAnsi="宋体" w:cs="仿宋"/>
                <w:szCs w:val="21"/>
                <w:highlight w:val="none"/>
              </w:rPr>
              <w:t>币</w:t>
            </w:r>
            <w:r>
              <w:rPr>
                <w:rFonts w:ascii="宋体" w:hAnsi="宋体" w:cs="仿宋"/>
                <w:szCs w:val="21"/>
                <w:highlight w:val="none"/>
              </w:rPr>
              <w:t>98.85</w:t>
            </w:r>
            <w:r>
              <w:rPr>
                <w:rFonts w:hint="eastAsia" w:ascii="宋体" w:hAnsi="宋体" w:cs="仿宋"/>
                <w:szCs w:val="21"/>
                <w:highlight w:val="none"/>
              </w:rPr>
              <w:t>万</w:t>
            </w:r>
            <w:r>
              <w:rPr>
                <w:rFonts w:hint="eastAsia" w:ascii="宋体" w:hAnsi="宋体" w:cs="仿宋"/>
                <w:szCs w:val="21"/>
              </w:rPr>
              <w:t>元（含增值税），报价超</w:t>
            </w:r>
            <w:bookmarkStart w:id="99" w:name="_GoBack"/>
            <w:bookmarkEnd w:id="99"/>
            <w:r>
              <w:rPr>
                <w:rFonts w:hint="eastAsia" w:ascii="宋体" w:hAnsi="宋体" w:cs="仿宋"/>
                <w:szCs w:val="21"/>
              </w:rPr>
              <w:t>过上述控制金额的投标文件作废标处理。</w:t>
            </w:r>
          </w:p>
        </w:tc>
      </w:tr>
    </w:tbl>
    <w:p>
      <w:pPr>
        <w:numPr>
          <w:ilvl w:val="0"/>
          <w:numId w:val="12"/>
        </w:numPr>
        <w:spacing w:beforeLines="50"/>
        <w:ind w:left="720" w:hanging="720"/>
        <w:jc w:val="left"/>
        <w:outlineLvl w:val="2"/>
        <w:rPr>
          <w:rStyle w:val="32"/>
          <w:rFonts w:ascii="宋体" w:hAnsi="宋体"/>
          <w:b/>
          <w:bCs/>
          <w:szCs w:val="21"/>
        </w:rPr>
      </w:pPr>
      <w:bookmarkStart w:id="54" w:name="_Toc114675512"/>
      <w:bookmarkStart w:id="55" w:name="_Toc116550356"/>
      <w:r>
        <w:rPr>
          <w:rStyle w:val="32"/>
          <w:rFonts w:hint="eastAsia" w:ascii="宋体" w:hAnsi="宋体"/>
          <w:b/>
          <w:bCs/>
          <w:szCs w:val="21"/>
        </w:rPr>
        <w:t>不可偏离项检查</w:t>
      </w:r>
      <w:bookmarkEnd w:id="54"/>
      <w:bookmarkEnd w:id="55"/>
    </w:p>
    <w:p>
      <w:pPr>
        <w:pStyle w:val="5"/>
        <w:ind w:left="0" w:firstLine="200" w:firstLineChars="100"/>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2"/>
        </w:numPr>
        <w:ind w:left="0" w:firstLine="0"/>
        <w:jc w:val="left"/>
        <w:outlineLvl w:val="2"/>
        <w:rPr>
          <w:rFonts w:ascii="宋体" w:hAnsi="宋体"/>
          <w:szCs w:val="21"/>
        </w:rPr>
      </w:pPr>
      <w:r>
        <w:rPr>
          <w:rStyle w:val="32"/>
          <w:rFonts w:hint="eastAsia" w:ascii="宋体" w:hAnsi="宋体"/>
          <w:b/>
          <w:bCs/>
          <w:szCs w:val="21"/>
        </w:rPr>
        <w:t>综合评议指标表</w:t>
      </w:r>
    </w:p>
    <w:tbl>
      <w:tblPr>
        <w:tblStyle w:val="17"/>
        <w:tblpPr w:leftFromText="180" w:rightFromText="180" w:vertAnchor="text" w:horzAnchor="page" w:tblpX="1299" w:tblpY="726"/>
        <w:tblOverlap w:val="never"/>
        <w:tblW w:w="9587" w:type="dxa"/>
        <w:tblCellSpacing w:w="0"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1563"/>
        <w:gridCol w:w="61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bookmarkStart w:id="56" w:name="_Toc116550357"/>
            <w:bookmarkStart w:id="57" w:name="_Toc114675513"/>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1563"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186" w:type="dxa"/>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blCellSpacing w:w="0" w:type="dxa"/>
        </w:trPr>
        <w:tc>
          <w:tcPr>
            <w:tcW w:w="9587" w:type="dxa"/>
            <w:gridSpan w:val="4"/>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商务评议项（35分）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2" w:hRule="atLeast"/>
          <w:tblCellSpacing w:w="0" w:type="dxa"/>
        </w:trPr>
        <w:tc>
          <w:tcPr>
            <w:tcW w:w="704" w:type="dxa"/>
            <w:tcBorders>
              <w:tl2br w:val="nil"/>
              <w:tr2bl w:val="nil"/>
            </w:tcBorders>
            <w:vAlign w:val="center"/>
          </w:tcPr>
          <w:p>
            <w:pPr>
              <w:pStyle w:val="25"/>
              <w:numPr>
                <w:ilvl w:val="0"/>
                <w:numId w:val="1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spacing w:val="-5"/>
                <w:kern w:val="0"/>
                <w:szCs w:val="21"/>
              </w:rPr>
              <w:t>同类业绩</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szCs w:val="21"/>
              </w:rPr>
              <w:t>22分</w:t>
            </w:r>
          </w:p>
        </w:tc>
        <w:tc>
          <w:tcPr>
            <w:tcW w:w="6186" w:type="dxa"/>
            <w:tcBorders>
              <w:tl2br w:val="nil"/>
              <w:tr2bl w:val="nil"/>
            </w:tcBorders>
            <w:tcMar>
              <w:top w:w="15" w:type="dxa"/>
              <w:left w:w="15" w:type="dxa"/>
              <w:bottom w:w="15" w:type="dxa"/>
              <w:right w:w="15" w:type="dxa"/>
            </w:tcMar>
            <w:vAlign w:val="center"/>
          </w:tcPr>
          <w:p>
            <w:pPr>
              <w:widowControl/>
              <w:tabs>
                <w:tab w:val="left" w:pos="531"/>
              </w:tabs>
              <w:snapToGrid w:val="0"/>
              <w:spacing w:line="360" w:lineRule="auto"/>
              <w:jc w:val="left"/>
              <w:rPr>
                <w:rFonts w:ascii="宋体" w:hAnsi="宋体" w:cs="仿宋_GB2312"/>
                <w:b/>
                <w:bCs/>
                <w:szCs w:val="21"/>
              </w:rPr>
            </w:pPr>
            <w:r>
              <w:rPr>
                <w:rFonts w:hint="eastAsia" w:ascii="宋体" w:hAnsi="宋体" w:cs="仿宋_GB2312"/>
                <w:b/>
                <w:bCs/>
                <w:szCs w:val="21"/>
              </w:rPr>
              <w:t>评审标准：以下（1）+（2）合计为本项得分。</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根据投标人提供的业绩情况横向综合比较，时间自2021年3月1日至今（截止至招标文件发布之日）多菜系外卖现场宴会服务（含特调饮品）的业绩：服务人数达2000人及以上的，每提供一份业绩得4分；服务人数500人及以上的，每提供一份业绩得2分；服务人数</w:t>
            </w:r>
            <w:r>
              <w:rPr>
                <w:rFonts w:ascii="宋体" w:hAnsi="宋体" w:cs="仿宋_GB2312"/>
                <w:szCs w:val="21"/>
              </w:rPr>
              <w:t>100-500</w:t>
            </w:r>
            <w:r>
              <w:rPr>
                <w:rFonts w:hint="eastAsia" w:ascii="宋体" w:hAnsi="宋体" w:cs="仿宋_GB2312"/>
                <w:szCs w:val="21"/>
              </w:rPr>
              <w:t>人，每提供一份业绩得</w:t>
            </w:r>
            <w:r>
              <w:rPr>
                <w:rFonts w:ascii="宋体" w:hAnsi="宋体" w:cs="仿宋_GB2312"/>
                <w:szCs w:val="21"/>
              </w:rPr>
              <w:t>1</w:t>
            </w:r>
            <w:r>
              <w:rPr>
                <w:rFonts w:hint="eastAsia" w:ascii="宋体" w:hAnsi="宋体" w:cs="仿宋_GB2312"/>
                <w:szCs w:val="21"/>
              </w:rPr>
              <w:t>分，其余不得分，最高得14分。</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（2）投标人自2021年3月1日至今（截止至招标文件发布之日）为世界500强企业提供现场宴会服务的，每提供一份业绩得4分,最高得8分。</w:t>
            </w:r>
          </w:p>
          <w:p>
            <w:pPr>
              <w:widowControl/>
              <w:tabs>
                <w:tab w:val="left" w:pos="531"/>
              </w:tabs>
              <w:snapToGrid w:val="0"/>
              <w:spacing w:line="360" w:lineRule="auto"/>
              <w:jc w:val="left"/>
              <w:rPr>
                <w:rFonts w:ascii="宋体" w:hAnsi="宋体" w:cs="仿宋_GB2312"/>
                <w:b/>
                <w:bCs/>
                <w:szCs w:val="21"/>
              </w:rPr>
            </w:pPr>
            <w:r>
              <w:rPr>
                <w:rFonts w:hint="eastAsia" w:ascii="宋体" w:hAnsi="宋体" w:cs="仿宋_GB2312"/>
                <w:b/>
                <w:bCs/>
                <w:szCs w:val="21"/>
              </w:rPr>
              <w:t>证明文件：</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投标人须提供上述业绩合同关键页复印件并加盖投标人公章。（合同关键页包含但不限于：项目名称、业主方名称、合同主要内容、现场宴会接待人数、合同金额、签订时间、甲乙双方盖章等信息）。如合同无法体现业绩总金额的，还须提供相应结算发票复印件并加盖投标人公章。</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（2）投标人须自行提供相关业绩业主方为世界500强企业的证明。</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（3）未提供或提供的相关证明文件不清晰、不完整或不符合要求的，不得分。</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（4）上述业绩同时符合两项标准可累计加分。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atLeast"/>
          <w:tblCellSpacing w:w="0" w:type="dxa"/>
        </w:trPr>
        <w:tc>
          <w:tcPr>
            <w:tcW w:w="704" w:type="dxa"/>
            <w:tcBorders>
              <w:tl2br w:val="nil"/>
              <w:tr2bl w:val="nil"/>
            </w:tcBorders>
            <w:vAlign w:val="center"/>
          </w:tcPr>
          <w:p>
            <w:pPr>
              <w:pStyle w:val="25"/>
              <w:numPr>
                <w:ilvl w:val="0"/>
                <w:numId w:val="1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color w:val="FF0000"/>
              </w:rPr>
            </w:pPr>
            <w:r>
              <w:rPr>
                <w:rFonts w:hint="eastAsia" w:ascii="宋体" w:hAnsi="宋体"/>
                <w:szCs w:val="21"/>
              </w:rPr>
              <w:t>公众责任险</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s="宋体"/>
                <w:szCs w:val="21"/>
              </w:rPr>
            </w:pPr>
            <w:r>
              <w:rPr>
                <w:rFonts w:hint="eastAsia" w:ascii="宋体" w:hAnsi="宋体" w:cs="宋体"/>
                <w:szCs w:val="21"/>
              </w:rPr>
              <w:t>7分</w:t>
            </w:r>
          </w:p>
        </w:tc>
        <w:tc>
          <w:tcPr>
            <w:tcW w:w="6186" w:type="dxa"/>
            <w:tcBorders>
              <w:tl2br w:val="nil"/>
              <w:tr2bl w:val="nil"/>
            </w:tcBorders>
            <w:tcMar>
              <w:top w:w="15" w:type="dxa"/>
              <w:left w:w="15" w:type="dxa"/>
              <w:bottom w:w="15" w:type="dxa"/>
              <w:right w:w="15" w:type="dxa"/>
            </w:tcMar>
            <w:vAlign w:val="center"/>
          </w:tcPr>
          <w:p>
            <w:pPr>
              <w:rPr>
                <w:rFonts w:ascii="宋体" w:hAnsi="宋体" w:cs="宋体"/>
                <w:b/>
                <w:bCs/>
                <w:kern w:val="0"/>
                <w:szCs w:val="21"/>
              </w:rPr>
            </w:pPr>
            <w:r>
              <w:rPr>
                <w:rFonts w:hint="eastAsia" w:ascii="宋体" w:hAnsi="宋体" w:cs="宋体"/>
                <w:b/>
                <w:bCs/>
                <w:kern w:val="0"/>
                <w:szCs w:val="21"/>
              </w:rPr>
              <w:t>评审标准：</w:t>
            </w:r>
          </w:p>
          <w:p>
            <w:pPr>
              <w:widowControl/>
              <w:tabs>
                <w:tab w:val="left" w:pos="531"/>
              </w:tabs>
              <w:snapToGrid w:val="0"/>
              <w:spacing w:line="360" w:lineRule="auto"/>
              <w:jc w:val="left"/>
              <w:rPr>
                <w:rFonts w:ascii="宋体" w:hAnsi="宋体" w:cs="仿宋_GB2312"/>
                <w:b/>
                <w:bCs/>
                <w:szCs w:val="21"/>
              </w:rPr>
            </w:pPr>
            <w:r>
              <w:rPr>
                <w:rFonts w:hint="eastAsia" w:ascii="宋体" w:hAnsi="宋体" w:cs="仿宋_GB2312"/>
                <w:szCs w:val="21"/>
              </w:rPr>
              <w:t>投标人须提供有效的公众责任保险：保额为1000万美元（或等值人民币）（含）以上的，得7分；保额为800万-10000万美元（或等值人民币）（含）以上的，得3分；保额为600-800万美元（或等值人民币）（含）以上的，得1分。无保险则不得分。</w:t>
            </w:r>
          </w:p>
          <w:p>
            <w:pPr>
              <w:widowControl/>
              <w:tabs>
                <w:tab w:val="left" w:pos="531"/>
              </w:tabs>
              <w:snapToGrid w:val="0"/>
              <w:spacing w:line="360" w:lineRule="auto"/>
              <w:jc w:val="left"/>
              <w:rPr>
                <w:rFonts w:ascii="宋体" w:hAnsi="宋体" w:cs="仿宋_GB2312"/>
                <w:b/>
                <w:bCs/>
                <w:szCs w:val="21"/>
              </w:rPr>
            </w:pPr>
            <w:r>
              <w:rPr>
                <w:rFonts w:hint="eastAsia" w:ascii="宋体" w:hAnsi="宋体" w:cs="仿宋_GB2312"/>
                <w:b/>
                <w:bCs/>
                <w:szCs w:val="21"/>
              </w:rPr>
              <w:t>评审依据：</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（1）投标人须提供有效期内证明材料(如保单或保险合同)并加盖公章。</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（2）未提供或提供的相关证明文件不清晰、不完整或不符合要求的，不得分。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atLeast"/>
          <w:tblCellSpacing w:w="0" w:type="dxa"/>
        </w:trPr>
        <w:tc>
          <w:tcPr>
            <w:tcW w:w="704" w:type="dxa"/>
            <w:tcBorders>
              <w:tl2br w:val="nil"/>
              <w:tr2bl w:val="nil"/>
            </w:tcBorders>
            <w:vAlign w:val="center"/>
          </w:tcPr>
          <w:p>
            <w:pPr>
              <w:pStyle w:val="25"/>
              <w:numPr>
                <w:ilvl w:val="0"/>
                <w:numId w:val="1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企业规模</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s="宋体"/>
                <w:szCs w:val="21"/>
              </w:rPr>
            </w:pPr>
            <w:r>
              <w:rPr>
                <w:rFonts w:hint="eastAsia" w:ascii="宋体" w:hAnsi="宋体" w:cs="宋体"/>
                <w:szCs w:val="21"/>
              </w:rPr>
              <w:t>6分</w:t>
            </w:r>
          </w:p>
        </w:tc>
        <w:tc>
          <w:tcPr>
            <w:tcW w:w="6186" w:type="dxa"/>
            <w:tcBorders>
              <w:tl2br w:val="nil"/>
              <w:tr2bl w:val="nil"/>
            </w:tcBorders>
            <w:tcMar>
              <w:top w:w="15" w:type="dxa"/>
              <w:left w:w="15" w:type="dxa"/>
              <w:bottom w:w="15" w:type="dxa"/>
              <w:right w:w="15" w:type="dxa"/>
            </w:tcMar>
            <w:vAlign w:val="center"/>
          </w:tcPr>
          <w:p>
            <w:pPr>
              <w:rPr>
                <w:rFonts w:ascii="宋体" w:hAnsi="宋体" w:cs="宋体"/>
                <w:b/>
                <w:bCs/>
                <w:kern w:val="0"/>
                <w:szCs w:val="21"/>
              </w:rPr>
            </w:pPr>
            <w:r>
              <w:rPr>
                <w:rFonts w:hint="eastAsia" w:ascii="宋体" w:hAnsi="宋体" w:cs="宋体"/>
                <w:b/>
                <w:bCs/>
                <w:kern w:val="0"/>
                <w:szCs w:val="21"/>
              </w:rPr>
              <w:t>评审标准：</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根据投标人企业规模进行评议：公司实际缴纳社保总人数≥300人，得6分；200≤公司实际缴纳社保总人数＜300人，得3分；公司实际缴纳社保总人数＜200人，等1分。</w:t>
            </w:r>
          </w:p>
          <w:p>
            <w:pPr>
              <w:widowControl/>
              <w:tabs>
                <w:tab w:val="left" w:pos="531"/>
              </w:tabs>
              <w:snapToGrid w:val="0"/>
              <w:spacing w:line="360" w:lineRule="auto"/>
              <w:jc w:val="left"/>
              <w:rPr>
                <w:rFonts w:ascii="宋体" w:hAnsi="宋体" w:cs="仿宋_GB2312"/>
                <w:b/>
                <w:bCs/>
                <w:szCs w:val="21"/>
              </w:rPr>
            </w:pPr>
            <w:r>
              <w:rPr>
                <w:rFonts w:hint="eastAsia" w:ascii="宋体" w:hAnsi="宋体" w:cs="仿宋_GB2312"/>
                <w:b/>
                <w:bCs/>
                <w:szCs w:val="21"/>
              </w:rPr>
              <w:t>评审依据：</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（1）投标人须提供近3个月连续缴纳社保的总体情况证明材料，证明材料须包含验真码，并加盖投标人公章。</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（2）未提供或提供的相关证明文件不清晰、不完整或不符合要求的，不得分。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883" w:type="dxa"/>
            <w:gridSpan w:val="3"/>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rPr>
            </w:pPr>
            <w:r>
              <w:rPr>
                <w:rFonts w:hint="eastAsia" w:ascii="宋体" w:hAnsi="宋体"/>
                <w:b/>
                <w:szCs w:val="21"/>
              </w:rPr>
              <w:t>技术服务评议项（35</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color w:val="FF0000"/>
              </w:rPr>
            </w:pPr>
            <w:r>
              <w:rPr>
                <w:rFonts w:hint="eastAsia" w:ascii="宋体" w:hAnsi="宋体" w:cs="宋体"/>
                <w:kern w:val="0"/>
                <w:szCs w:val="21"/>
              </w:rPr>
              <w:t>服务方案</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szCs w:val="21"/>
              </w:rPr>
              <w:t>15分</w:t>
            </w:r>
          </w:p>
        </w:tc>
        <w:tc>
          <w:tcPr>
            <w:tcW w:w="6186" w:type="dxa"/>
            <w:tcBorders>
              <w:tl2br w:val="nil"/>
              <w:tr2bl w:val="nil"/>
            </w:tcBorders>
            <w:tcMar>
              <w:top w:w="15" w:type="dxa"/>
              <w:left w:w="15" w:type="dxa"/>
              <w:bottom w:w="15" w:type="dxa"/>
              <w:right w:w="15" w:type="dxa"/>
            </w:tcMar>
            <w:vAlign w:val="center"/>
          </w:tcPr>
          <w:p>
            <w:pPr>
              <w:widowControl/>
              <w:tabs>
                <w:tab w:val="left" w:pos="531"/>
              </w:tabs>
              <w:snapToGrid w:val="0"/>
              <w:spacing w:line="360" w:lineRule="auto"/>
              <w:jc w:val="left"/>
              <w:rPr>
                <w:rFonts w:ascii="宋体" w:hAnsi="宋体" w:cs="仿宋_GB2312"/>
                <w:b/>
                <w:bCs/>
                <w:szCs w:val="21"/>
              </w:rPr>
            </w:pPr>
            <w:r>
              <w:rPr>
                <w:rFonts w:hint="eastAsia" w:ascii="宋体" w:hAnsi="宋体" w:cs="仿宋_GB2312"/>
                <w:b/>
                <w:bCs/>
                <w:szCs w:val="21"/>
              </w:rPr>
              <w:t>评审标准：</w:t>
            </w:r>
          </w:p>
          <w:p>
            <w:pPr>
              <w:widowControl/>
              <w:tabs>
                <w:tab w:val="left" w:pos="531"/>
              </w:tabs>
              <w:snapToGrid w:val="0"/>
              <w:spacing w:line="360" w:lineRule="auto"/>
              <w:jc w:val="left"/>
              <w:rPr>
                <w:rFonts w:ascii="宋体" w:hAnsi="宋体" w:cs="仿宋_GB2312"/>
                <w:szCs w:val="21"/>
              </w:rPr>
            </w:pPr>
            <w:r>
              <w:rPr>
                <w:rFonts w:hint="eastAsia" w:ascii="宋体" w:hAnsi="宋体" w:cs="仿宋_GB2312"/>
                <w:szCs w:val="21"/>
              </w:rPr>
              <w:t>根据投标人提供的服务方案中摆台设计、餐单设计、针对特殊客人提供个性化服务内容、为完成本项目所供物料的品质、服务流程、人员配置的符合性、创新性、全面性等进行横向综合比较，进行评议：优得15-10分；良得9-5分；一般得4-1分。</w:t>
            </w:r>
          </w:p>
          <w:p>
            <w:pPr>
              <w:widowControl/>
              <w:tabs>
                <w:tab w:val="left" w:pos="531"/>
              </w:tabs>
              <w:snapToGrid w:val="0"/>
              <w:spacing w:line="360" w:lineRule="auto"/>
              <w:jc w:val="left"/>
              <w:rPr>
                <w:rFonts w:ascii="宋体" w:hAnsi="宋体" w:cs="仿宋_GB2312"/>
                <w:b/>
                <w:bCs/>
                <w:szCs w:val="21"/>
              </w:rPr>
            </w:pPr>
            <w:r>
              <w:rPr>
                <w:rFonts w:hint="eastAsia" w:ascii="宋体" w:hAnsi="宋体" w:cs="仿宋_GB2312"/>
                <w:b/>
                <w:bCs/>
                <w:szCs w:val="21"/>
              </w:rPr>
              <w:t>评审依据：</w:t>
            </w:r>
          </w:p>
          <w:p>
            <w:pPr>
              <w:numPr>
                <w:ilvl w:val="255"/>
                <w:numId w:val="0"/>
              </w:numPr>
              <w:tabs>
                <w:tab w:val="left" w:pos="531"/>
              </w:tabs>
              <w:snapToGrid w:val="0"/>
              <w:spacing w:line="360" w:lineRule="auto"/>
              <w:rPr>
                <w:rFonts w:ascii="宋体" w:hAnsi="宋体" w:cs="宋体"/>
                <w:kern w:val="0"/>
                <w:szCs w:val="21"/>
              </w:rPr>
            </w:pPr>
            <w:r>
              <w:rPr>
                <w:rFonts w:hint="eastAsia" w:ascii="宋体" w:hAnsi="宋体" w:cs="宋体"/>
                <w:kern w:val="0"/>
                <w:szCs w:val="21"/>
              </w:rPr>
              <w:t>（1）根据投标人提供的服务方案</w:t>
            </w:r>
            <w:r>
              <w:rPr>
                <w:rFonts w:hint="eastAsia" w:ascii="宋体" w:hAnsi="宋体" w:cs="仿宋_GB2312"/>
                <w:szCs w:val="21"/>
              </w:rPr>
              <w:t>（加盖投标人公章）</w:t>
            </w:r>
            <w:r>
              <w:rPr>
                <w:rFonts w:hint="eastAsia" w:ascii="宋体" w:hAnsi="宋体" w:cs="宋体"/>
                <w:kern w:val="0"/>
                <w:szCs w:val="21"/>
              </w:rPr>
              <w:t>相关内容进行评议。</w:t>
            </w:r>
          </w:p>
          <w:p>
            <w:pPr>
              <w:widowControl/>
              <w:tabs>
                <w:tab w:val="left" w:pos="531"/>
              </w:tabs>
              <w:snapToGrid w:val="0"/>
              <w:spacing w:line="360" w:lineRule="auto"/>
              <w:jc w:val="left"/>
              <w:rPr>
                <w:rFonts w:ascii="宋体" w:hAnsi="宋体" w:cs="宋体"/>
                <w:kern w:val="0"/>
                <w:szCs w:val="21"/>
              </w:rPr>
            </w:pPr>
            <w:r>
              <w:rPr>
                <w:rFonts w:hint="eastAsia" w:ascii="宋体"/>
              </w:rPr>
              <w:t>（2）未提供或提供的服务方案不清晰、不完整或不符合需求的，不得分。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cs="宋体"/>
                <w:kern w:val="0"/>
                <w:szCs w:val="21"/>
              </w:rPr>
            </w:pPr>
            <w:r>
              <w:rPr>
                <w:rFonts w:hint="eastAsia" w:ascii="宋体" w:hAnsi="宋体" w:cs="宋体"/>
                <w:kern w:val="0"/>
                <w:szCs w:val="21"/>
              </w:rPr>
              <w:t>应急服务</w:t>
            </w:r>
          </w:p>
          <w:p>
            <w:pPr>
              <w:jc w:val="center"/>
              <w:rPr>
                <w:color w:val="FF0000"/>
              </w:rPr>
            </w:pPr>
            <w:r>
              <w:rPr>
                <w:rFonts w:hint="eastAsia" w:ascii="宋体" w:hAnsi="宋体" w:cs="宋体"/>
                <w:kern w:val="0"/>
                <w:szCs w:val="21"/>
              </w:rPr>
              <w:t>方案</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szCs w:val="21"/>
              </w:rPr>
              <w:t>10分</w:t>
            </w:r>
          </w:p>
        </w:tc>
        <w:tc>
          <w:tcPr>
            <w:tcW w:w="6186" w:type="dxa"/>
            <w:tcBorders>
              <w:tl2br w:val="nil"/>
              <w:tr2bl w:val="nil"/>
            </w:tcBorders>
            <w:tcMar>
              <w:top w:w="15" w:type="dxa"/>
              <w:left w:w="15" w:type="dxa"/>
              <w:bottom w:w="15" w:type="dxa"/>
              <w:right w:w="15" w:type="dxa"/>
            </w:tcMar>
            <w:vAlign w:val="center"/>
          </w:tcPr>
          <w:p>
            <w:pPr>
              <w:widowControl/>
              <w:tabs>
                <w:tab w:val="left" w:pos="531"/>
              </w:tabs>
              <w:snapToGrid w:val="0"/>
              <w:spacing w:line="360" w:lineRule="auto"/>
              <w:jc w:val="left"/>
              <w:rPr>
                <w:rFonts w:ascii="宋体" w:hAnsi="宋体" w:cs="宋体"/>
                <w:kern w:val="0"/>
                <w:szCs w:val="21"/>
              </w:rPr>
            </w:pPr>
            <w:r>
              <w:rPr>
                <w:rFonts w:hint="eastAsia" w:ascii="宋体" w:hAnsi="宋体" w:cs="宋体"/>
                <w:b/>
                <w:bCs/>
                <w:kern w:val="0"/>
                <w:szCs w:val="21"/>
              </w:rPr>
              <w:t>评审标准：</w:t>
            </w:r>
          </w:p>
          <w:p>
            <w:pPr>
              <w:widowControl/>
              <w:tabs>
                <w:tab w:val="left" w:pos="531"/>
              </w:tabs>
              <w:snapToGrid w:val="0"/>
              <w:spacing w:line="360" w:lineRule="auto"/>
              <w:jc w:val="left"/>
              <w:rPr>
                <w:rFonts w:ascii="宋体" w:hAnsi="宋体" w:cs="宋体"/>
                <w:kern w:val="0"/>
                <w:szCs w:val="21"/>
              </w:rPr>
            </w:pPr>
            <w:r>
              <w:rPr>
                <w:rFonts w:hint="eastAsia" w:ascii="宋体" w:hAnsi="宋体" w:cs="宋体"/>
                <w:kern w:val="0"/>
                <w:szCs w:val="21"/>
              </w:rPr>
              <w:t>根据投标人</w:t>
            </w:r>
            <w:r>
              <w:rPr>
                <w:rFonts w:hint="eastAsia" w:ascii="宋体" w:hAnsi="宋体" w:cs="仿宋_GB2312"/>
                <w:szCs w:val="21"/>
              </w:rPr>
              <w:t>提供的应急服务方案中应急</w:t>
            </w:r>
            <w:r>
              <w:rPr>
                <w:rFonts w:hint="eastAsia" w:ascii="宋体" w:hAnsi="宋体" w:cs="宋体"/>
                <w:kern w:val="0"/>
                <w:szCs w:val="21"/>
              </w:rPr>
              <w:t>人员响应、应急出餐响应、响应速度</w:t>
            </w:r>
            <w:r>
              <w:rPr>
                <w:rFonts w:hint="eastAsia" w:ascii="宋体" w:hAnsi="宋体" w:cs="仿宋_GB2312"/>
                <w:szCs w:val="21"/>
              </w:rPr>
              <w:t>等方面进行横向综合比较，进行评议：</w:t>
            </w:r>
            <w:r>
              <w:rPr>
                <w:rFonts w:hint="eastAsia" w:ascii="宋体" w:hAnsi="宋体" w:cs="宋体"/>
                <w:kern w:val="0"/>
                <w:szCs w:val="21"/>
              </w:rPr>
              <w:t>优得10-7分；良得6-4分；一般得3-1分。</w:t>
            </w:r>
          </w:p>
          <w:p>
            <w:pPr>
              <w:tabs>
                <w:tab w:val="left" w:pos="531"/>
              </w:tabs>
              <w:snapToGrid w:val="0"/>
              <w:spacing w:line="360" w:lineRule="auto"/>
              <w:rPr>
                <w:rFonts w:ascii="宋体" w:hAnsi="宋体" w:cs="宋体"/>
                <w:b/>
                <w:bCs/>
                <w:kern w:val="0"/>
                <w:szCs w:val="21"/>
              </w:rPr>
            </w:pPr>
            <w:r>
              <w:rPr>
                <w:rFonts w:hint="eastAsia" w:ascii="宋体" w:hAnsi="宋体" w:cs="宋体"/>
                <w:b/>
                <w:bCs/>
                <w:kern w:val="0"/>
                <w:szCs w:val="21"/>
              </w:rPr>
              <w:t>评审依据：</w:t>
            </w:r>
          </w:p>
          <w:p>
            <w:pPr>
              <w:numPr>
                <w:ilvl w:val="255"/>
                <w:numId w:val="0"/>
              </w:numPr>
              <w:tabs>
                <w:tab w:val="left" w:pos="531"/>
              </w:tabs>
              <w:snapToGrid w:val="0"/>
              <w:spacing w:line="360" w:lineRule="auto"/>
              <w:rPr>
                <w:rFonts w:ascii="宋体" w:hAnsi="宋体" w:cs="宋体"/>
                <w:kern w:val="0"/>
                <w:szCs w:val="21"/>
              </w:rPr>
            </w:pPr>
            <w:r>
              <w:rPr>
                <w:rFonts w:hint="eastAsia" w:ascii="宋体" w:hAnsi="宋体" w:cs="宋体"/>
                <w:kern w:val="0"/>
                <w:szCs w:val="21"/>
              </w:rPr>
              <w:t>（1）根据投标人提供的</w:t>
            </w:r>
            <w:r>
              <w:rPr>
                <w:rFonts w:hint="eastAsia" w:ascii="宋体" w:hAnsi="宋体" w:cs="仿宋_GB2312"/>
                <w:szCs w:val="21"/>
              </w:rPr>
              <w:t>应急服务方案（加盖投标人公章）</w:t>
            </w:r>
            <w:r>
              <w:rPr>
                <w:rFonts w:hint="eastAsia" w:ascii="宋体" w:hAnsi="宋体" w:cs="宋体"/>
                <w:kern w:val="0"/>
                <w:szCs w:val="21"/>
              </w:rPr>
              <w:t>进行评议。</w:t>
            </w:r>
          </w:p>
          <w:p>
            <w:pPr>
              <w:numPr>
                <w:ilvl w:val="255"/>
                <w:numId w:val="0"/>
              </w:numPr>
              <w:tabs>
                <w:tab w:val="left" w:pos="531"/>
              </w:tabs>
              <w:snapToGrid w:val="0"/>
              <w:spacing w:line="360" w:lineRule="auto"/>
              <w:rPr>
                <w:rFonts w:ascii="宋体" w:hAnsi="宋体" w:cs="宋体"/>
                <w:color w:val="FF0000"/>
                <w:kern w:val="0"/>
                <w:szCs w:val="21"/>
              </w:rPr>
            </w:pPr>
            <w:r>
              <w:rPr>
                <w:rFonts w:hint="eastAsia" w:ascii="宋体" w:hAnsi="宋体" w:cs="宋体"/>
                <w:kern w:val="0"/>
                <w:szCs w:val="21"/>
              </w:rPr>
              <w:t>（2）</w:t>
            </w:r>
            <w:r>
              <w:rPr>
                <w:rFonts w:hint="eastAsia" w:ascii="宋体"/>
              </w:rPr>
              <w:t>未提供或提供的应急服务方案不清晰、不完整或不符合需求的，不得分。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1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cs="宋体"/>
                <w:kern w:val="0"/>
                <w:szCs w:val="21"/>
              </w:rPr>
            </w:pPr>
            <w:r>
              <w:rPr>
                <w:rFonts w:hint="eastAsia" w:ascii="宋体" w:hAnsi="宋体" w:cs="宋体"/>
                <w:kern w:val="0"/>
                <w:szCs w:val="21"/>
              </w:rPr>
              <w:t>安全</w:t>
            </w:r>
          </w:p>
          <w:p>
            <w:pPr>
              <w:jc w:val="center"/>
              <w:rPr>
                <w:color w:val="FF0000"/>
              </w:rPr>
            </w:pPr>
            <w:r>
              <w:rPr>
                <w:rFonts w:hint="eastAsia"/>
              </w:rPr>
              <w:t>应急预案</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rPr>
              <w:t>10分</w:t>
            </w:r>
          </w:p>
        </w:tc>
        <w:tc>
          <w:tcPr>
            <w:tcW w:w="6186" w:type="dxa"/>
            <w:tcBorders>
              <w:tl2br w:val="nil"/>
              <w:tr2bl w:val="nil"/>
            </w:tcBorders>
            <w:tcMar>
              <w:top w:w="15" w:type="dxa"/>
              <w:left w:w="15" w:type="dxa"/>
              <w:bottom w:w="15" w:type="dxa"/>
              <w:right w:w="15" w:type="dxa"/>
            </w:tcMar>
            <w:vAlign w:val="center"/>
          </w:tcPr>
          <w:p>
            <w:pPr>
              <w:widowControl/>
              <w:tabs>
                <w:tab w:val="left" w:pos="531"/>
              </w:tabs>
              <w:snapToGrid w:val="0"/>
              <w:spacing w:line="360" w:lineRule="auto"/>
              <w:jc w:val="left"/>
              <w:rPr>
                <w:rFonts w:ascii="宋体" w:hAnsi="宋体" w:cs="宋体"/>
                <w:b/>
                <w:bCs/>
                <w:kern w:val="0"/>
                <w:szCs w:val="21"/>
              </w:rPr>
            </w:pPr>
            <w:r>
              <w:rPr>
                <w:rFonts w:hint="eastAsia" w:ascii="宋体" w:hAnsi="宋体" w:cs="宋体"/>
                <w:b/>
                <w:bCs/>
                <w:kern w:val="0"/>
                <w:szCs w:val="21"/>
              </w:rPr>
              <w:t>评审标准：</w:t>
            </w:r>
          </w:p>
          <w:p>
            <w:pPr>
              <w:numPr>
                <w:ilvl w:val="255"/>
                <w:numId w:val="0"/>
              </w:numPr>
              <w:tabs>
                <w:tab w:val="left" w:pos="531"/>
              </w:tabs>
              <w:snapToGrid w:val="0"/>
              <w:spacing w:line="360" w:lineRule="auto"/>
              <w:rPr>
                <w:rFonts w:ascii="宋体" w:hAnsi="宋体" w:cs="宋体"/>
                <w:kern w:val="0"/>
                <w:szCs w:val="21"/>
              </w:rPr>
            </w:pPr>
            <w:r>
              <w:rPr>
                <w:rFonts w:hint="eastAsia" w:ascii="宋体" w:hAnsi="宋体" w:cs="宋体"/>
                <w:kern w:val="0"/>
                <w:szCs w:val="21"/>
              </w:rPr>
              <w:t>根据投标人提供的安全应急预案中人员及食品安全应急预案、事故后续处理等方面进行横向综合比较，进行评议：优得10-7分；良得6-4分；一般得3-1分。</w:t>
            </w:r>
          </w:p>
          <w:p>
            <w:pPr>
              <w:widowControl/>
              <w:tabs>
                <w:tab w:val="left" w:pos="531"/>
              </w:tabs>
              <w:snapToGrid w:val="0"/>
              <w:spacing w:line="360" w:lineRule="auto"/>
              <w:jc w:val="left"/>
              <w:rPr>
                <w:rFonts w:ascii="宋体" w:hAnsi="宋体" w:cs="宋体"/>
                <w:b/>
                <w:bCs/>
                <w:kern w:val="0"/>
                <w:szCs w:val="21"/>
              </w:rPr>
            </w:pPr>
            <w:r>
              <w:rPr>
                <w:rFonts w:hint="eastAsia" w:ascii="宋体" w:hAnsi="宋体" w:cs="宋体"/>
                <w:b/>
                <w:bCs/>
                <w:kern w:val="0"/>
                <w:szCs w:val="21"/>
              </w:rPr>
              <w:t>证明文件：</w:t>
            </w:r>
          </w:p>
          <w:p>
            <w:pPr>
              <w:numPr>
                <w:ilvl w:val="255"/>
                <w:numId w:val="0"/>
              </w:numPr>
              <w:tabs>
                <w:tab w:val="left" w:pos="531"/>
              </w:tabs>
              <w:snapToGrid w:val="0"/>
              <w:spacing w:line="360" w:lineRule="auto"/>
              <w:rPr>
                <w:rFonts w:ascii="宋体" w:hAnsi="宋体" w:cs="宋体"/>
                <w:kern w:val="0"/>
                <w:szCs w:val="21"/>
              </w:rPr>
            </w:pPr>
            <w:r>
              <w:rPr>
                <w:rFonts w:hint="eastAsia" w:ascii="宋体" w:hAnsi="宋体" w:cs="宋体"/>
                <w:kern w:val="0"/>
                <w:szCs w:val="21"/>
              </w:rPr>
              <w:t>（1）根据投标人提供的食品安全应急预案（加盖投标人公章）进行评议。</w:t>
            </w:r>
          </w:p>
          <w:p>
            <w:pPr>
              <w:widowControl/>
              <w:numPr>
                <w:ilvl w:val="255"/>
                <w:numId w:val="0"/>
              </w:numPr>
              <w:spacing w:line="360" w:lineRule="auto"/>
              <w:jc w:val="left"/>
              <w:rPr>
                <w:rFonts w:ascii="宋体" w:hAnsi="宋体" w:cs="宋体"/>
                <w:color w:val="FF0000"/>
                <w:kern w:val="0"/>
                <w:szCs w:val="21"/>
              </w:rPr>
            </w:pPr>
            <w:r>
              <w:rPr>
                <w:rFonts w:hint="eastAsia" w:ascii="宋体" w:hAnsi="宋体" w:cs="宋体"/>
                <w:kern w:val="0"/>
                <w:szCs w:val="21"/>
              </w:rPr>
              <w:t>（2）未提供或提供的应急服务方案不清晰、不完整或不符合需求的，不得分。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587" w:type="dxa"/>
            <w:gridSpan w:val="4"/>
            <w:tcBorders>
              <w:tl2br w:val="nil"/>
              <w:tr2bl w:val="nil"/>
            </w:tcBorders>
          </w:tcPr>
          <w:p>
            <w:pPr>
              <w:jc w:val="center"/>
              <w:rPr>
                <w:b/>
                <w:bCs/>
              </w:rPr>
            </w:pPr>
            <w:r>
              <w:rPr>
                <w:rFonts w:hint="eastAsia"/>
                <w:b/>
                <w:bCs/>
              </w:rPr>
              <w:t>价格评议项（30分）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883"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749" w:type="dxa"/>
            <w:gridSpan w:val="2"/>
            <w:tcBorders>
              <w:tl2br w:val="nil"/>
              <w:tr2bl w:val="nil"/>
            </w:tcBorders>
            <w:vAlign w:val="center"/>
          </w:tcPr>
          <w:p>
            <w:pPr>
              <w:autoSpaceDE w:val="0"/>
              <w:autoSpaceDN w:val="0"/>
              <w:adjustRightInd w:val="0"/>
              <w:snapToGrid w:val="0"/>
              <w:spacing w:line="360" w:lineRule="auto"/>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标报价大于n家时，去掉一个最高和最低报价后的算术平均值乘以％。当有效投标报价少于n（含）家时，则以所有有效投标报价的算术平均值乘以％。n=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49" w:type="dxa"/>
            <w:gridSpan w:val="2"/>
            <w:tcBorders>
              <w:tl2br w:val="nil"/>
              <w:tr2bl w:val="nil"/>
            </w:tcBorders>
            <w:vAlign w:val="center"/>
          </w:tcPr>
          <w:p>
            <w:pPr>
              <w:spacing w:line="360" w:lineRule="auto"/>
              <w:jc w:val="left"/>
              <w:rPr>
                <w:rFonts w:ascii="宋体" w:hAnsi="宋体"/>
                <w:szCs w:val="21"/>
              </w:rPr>
            </w:pPr>
            <w:r>
              <w:rPr>
                <w:rFonts w:hint="eastAsia" w:ascii="宋体" w:hAnsi="宋体"/>
                <w:szCs w:val="21"/>
              </w:rPr>
              <w:sym w:font="Wingdings 2" w:char="0052"/>
            </w:r>
            <w:r>
              <w:rPr>
                <w:rFonts w:hint="eastAsia" w:ascii="宋体" w:hAnsi="宋体"/>
                <w:szCs w:val="21"/>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49" w:type="dxa"/>
            <w:gridSpan w:val="2"/>
            <w:tcBorders>
              <w:tl2br w:val="nil"/>
              <w:tr2bl w:val="nil"/>
            </w:tcBorders>
            <w:vAlign w:val="center"/>
          </w:tcPr>
          <w:p>
            <w:pPr>
              <w:spacing w:line="360" w:lineRule="auto"/>
              <w:jc w:val="left"/>
              <w:rPr>
                <w:rFonts w:ascii="宋体" w:hAnsi="宋体"/>
                <w:szCs w:val="21"/>
              </w:rPr>
            </w:pPr>
            <w:r>
              <w:rPr>
                <w:rFonts w:hint="eastAsia" w:ascii="宋体" w:hAnsi="宋体"/>
                <w:szCs w:val="21"/>
              </w:rPr>
              <w:sym w:font="Wingdings 2" w:char="00A3"/>
            </w:r>
            <w:r>
              <w:rPr>
                <w:rFonts w:hint="eastAsia" w:ascii="宋体" w:hAnsi="宋体"/>
                <w:szCs w:val="21"/>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tcBorders>
              <w:tl2br w:val="nil"/>
              <w:tr2bl w:val="nil"/>
            </w:tcBorders>
            <w:vAlign w:val="center"/>
          </w:tcPr>
          <w:p>
            <w:pPr>
              <w:spacing w:line="360" w:lineRule="auto"/>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6186" w:type="dxa"/>
            <w:tcBorders>
              <w:tl2br w:val="nil"/>
              <w:tr2bl w:val="nil"/>
            </w:tcBorders>
            <w:vAlign w:val="center"/>
          </w:tcPr>
          <w:p>
            <w:pPr>
              <w:autoSpaceDE w:val="0"/>
              <w:autoSpaceDN w:val="0"/>
              <w:adjustRightInd w:val="0"/>
              <w:snapToGrid w:val="0"/>
              <w:spacing w:line="360" w:lineRule="auto"/>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spacing w:line="360" w:lineRule="auto"/>
              <w:jc w:val="left"/>
              <w:rPr>
                <w:rFonts w:ascii="宋体" w:cs="宋体"/>
                <w:kern w:val="0"/>
                <w:szCs w:val="21"/>
              </w:rPr>
            </w:pPr>
            <w:r>
              <w:rPr>
                <w:rFonts w:hint="eastAsia" w:ascii="宋体" w:hAnsi="宋体"/>
                <w:szCs w:val="21"/>
              </w:rPr>
              <w:t>M=（价格评价分项满分值），N=，投标价格每高于N％时，扣分；每低于N％时，扣分；最低得0分。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tcBorders>
              <w:tl2br w:val="nil"/>
              <w:tr2bl w:val="nil"/>
            </w:tcBorders>
            <w:vAlign w:val="center"/>
          </w:tcPr>
          <w:p>
            <w:pPr>
              <w:spacing w:line="360" w:lineRule="auto"/>
              <w:jc w:val="center"/>
              <w:rPr>
                <w:rFonts w:ascii="宋体" w:cs="宋体"/>
                <w:kern w:val="0"/>
                <w:szCs w:val="21"/>
              </w:rPr>
            </w:pPr>
            <w:r>
              <w:rPr>
                <w:rFonts w:hint="eastAsia" w:ascii="宋体" w:hAnsi="宋体"/>
                <w:szCs w:val="21"/>
              </w:rPr>
              <w:t>□固定乘积法</w:t>
            </w:r>
          </w:p>
        </w:tc>
        <w:tc>
          <w:tcPr>
            <w:tcW w:w="6186" w:type="dxa"/>
            <w:tcBorders>
              <w:tl2br w:val="nil"/>
              <w:tr2bl w:val="nil"/>
            </w:tcBorders>
            <w:vAlign w:val="center"/>
          </w:tcPr>
          <w:p>
            <w:pPr>
              <w:autoSpaceDE w:val="0"/>
              <w:autoSpaceDN w:val="0"/>
              <w:adjustRightInd w:val="0"/>
              <w:snapToGrid w:val="0"/>
              <w:spacing w:line="360" w:lineRule="auto"/>
              <w:jc w:val="left"/>
              <w:rPr>
                <w:rStyle w:val="22"/>
                <w:rFonts w:ascii="宋体" w:hAnsi="宋体"/>
              </w:rPr>
            </w:pPr>
            <w:r>
              <w:rPr>
                <w:rStyle w:val="22"/>
                <w:rFonts w:hint="eastAsia" w:ascii="宋体" w:hAnsi="宋体"/>
              </w:rPr>
              <w:t>价格得分=（1-A×｜1-投标报价/Z｜）×M</w:t>
            </w:r>
          </w:p>
          <w:p>
            <w:pPr>
              <w:numPr>
                <w:ilvl w:val="0"/>
                <w:numId w:val="15"/>
              </w:numPr>
              <w:autoSpaceDE w:val="0"/>
              <w:autoSpaceDN w:val="0"/>
              <w:adjustRightInd w:val="0"/>
              <w:snapToGrid w:val="0"/>
              <w:spacing w:line="360" w:lineRule="auto"/>
              <w:jc w:val="left"/>
              <w:rPr>
                <w:rStyle w:val="22"/>
                <w:rFonts w:ascii="宋体" w:hAnsi="宋体"/>
              </w:rPr>
            </w:pPr>
            <w:r>
              <w:rPr>
                <w:rStyle w:val="22"/>
                <w:rFonts w:hint="eastAsia" w:ascii="宋体" w:hAnsi="宋体"/>
              </w:rPr>
              <w:t xml:space="preserve">M= </w:t>
            </w:r>
            <w:r>
              <w:rPr>
                <w:rFonts w:hint="eastAsia" w:ascii="宋体" w:hAnsi="宋体"/>
                <w:szCs w:val="21"/>
              </w:rPr>
              <w:t>××</w:t>
            </w:r>
            <w:r>
              <w:rPr>
                <w:rStyle w:val="22"/>
                <w:rFonts w:hint="eastAsia" w:ascii="宋体" w:hAnsi="宋体"/>
              </w:rPr>
              <w:t>（价格评价分项满分值），Z为本次招标基准价；</w:t>
            </w:r>
          </w:p>
          <w:p>
            <w:pPr>
              <w:numPr>
                <w:ilvl w:val="0"/>
                <w:numId w:val="15"/>
              </w:numPr>
              <w:autoSpaceDE w:val="0"/>
              <w:autoSpaceDN w:val="0"/>
              <w:adjustRightInd w:val="0"/>
              <w:snapToGrid w:val="0"/>
              <w:spacing w:line="360" w:lineRule="auto"/>
              <w:jc w:val="left"/>
              <w:rPr>
                <w:rStyle w:val="22"/>
                <w:rFonts w:ascii="宋体" w:hAnsi="宋体"/>
              </w:rPr>
            </w:pPr>
            <w:r>
              <w:rPr>
                <w:rStyle w:val="22"/>
                <w:rFonts w:hint="eastAsia" w:ascii="宋体" w:hAnsi="宋体"/>
              </w:rPr>
              <w:t>A为价格调整系数，当投标报价低于本次招标最佳报价（即基准价）时，A=0.5；当投标报价高于次招标基准价时，取A=1；</w:t>
            </w:r>
          </w:p>
          <w:p>
            <w:pPr>
              <w:numPr>
                <w:ilvl w:val="0"/>
                <w:numId w:val="15"/>
              </w:numPr>
              <w:spacing w:line="360" w:lineRule="auto"/>
              <w:jc w:val="left"/>
              <w:rPr>
                <w:rFonts w:ascii="宋体" w:cs="宋体"/>
                <w:kern w:val="0"/>
                <w:szCs w:val="21"/>
              </w:rPr>
            </w:pPr>
            <w:r>
              <w:rPr>
                <w:rStyle w:val="22"/>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tcBorders>
              <w:tl2br w:val="nil"/>
              <w:tr2bl w:val="nil"/>
            </w:tcBorders>
            <w:vAlign w:val="center"/>
          </w:tcPr>
          <w:p>
            <w:pPr>
              <w:spacing w:line="360" w:lineRule="auto"/>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6186" w:type="dxa"/>
            <w:tcBorders>
              <w:tl2br w:val="nil"/>
              <w:tr2bl w:val="nil"/>
            </w:tcBorders>
            <w:vAlign w:val="center"/>
          </w:tcPr>
          <w:p>
            <w:pPr>
              <w:widowControl/>
              <w:spacing w:line="360" w:lineRule="auto"/>
              <w:ind w:right="30"/>
              <w:jc w:val="left"/>
            </w:pPr>
            <w:r>
              <w:rPr>
                <w:rFonts w:hint="eastAsia"/>
              </w:rPr>
              <w:t>价格得分=（1-｜投标报价-基准价｜</w:t>
            </w:r>
            <w:r>
              <w:t>÷</w:t>
            </w:r>
            <w:r>
              <w:rPr>
                <w:rFonts w:hint="eastAsia"/>
              </w:rPr>
              <w:t>基准价）</w:t>
            </w:r>
            <w:r>
              <w:t>×</w:t>
            </w:r>
            <w:r>
              <w:rPr>
                <w:rFonts w:hint="eastAsia"/>
              </w:rPr>
              <w:t>价格权重分</w:t>
            </w:r>
          </w:p>
          <w:p>
            <w:pPr>
              <w:spacing w:line="360" w:lineRule="auto"/>
              <w:jc w:val="left"/>
              <w:rPr>
                <w:rFonts w:ascii="宋体" w:cs="宋体"/>
                <w:kern w:val="0"/>
                <w:szCs w:val="21"/>
              </w:rPr>
            </w:pPr>
            <w:r>
              <w:rPr>
                <w:rFonts w:hint="eastAsia"/>
              </w:rPr>
              <w:t>说明：报价最接近基准价的投标人价格分最高，价格分保留至小数点后两位。</w:t>
            </w:r>
          </w:p>
        </w:tc>
      </w:tr>
      <w:bookmarkEnd w:id="56"/>
      <w:bookmarkEnd w:id="57"/>
    </w:tbl>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8" w:name="_Toc116550358"/>
      <w:r>
        <w:rPr>
          <w:rFonts w:hint="eastAsia" w:ascii="宋体" w:hAnsi="宋体"/>
          <w:b/>
          <w:sz w:val="32"/>
          <w:szCs w:val="32"/>
        </w:rPr>
        <w:t>第四部分：合同条款及格式</w:t>
      </w:r>
      <w:bookmarkEnd w:id="58"/>
    </w:p>
    <w:p>
      <w:pPr>
        <w:jc w:val="center"/>
        <w:rPr>
          <w:rFonts w:ascii="方正小标宋简体" w:hAnsi="方正小标宋简体" w:eastAsia="方正小标宋简体" w:cs="方正小标宋简体"/>
          <w:bCs/>
          <w:kern w:val="0"/>
          <w:sz w:val="28"/>
          <w:szCs w:val="28"/>
        </w:rPr>
      </w:pPr>
    </w:p>
    <w:p>
      <w:pPr>
        <w:widowControl/>
        <w:snapToGrid w:val="0"/>
        <w:spacing w:line="360" w:lineRule="auto"/>
        <w:jc w:val="center"/>
        <w:rPr>
          <w:rFonts w:ascii="宋体" w:hAnsi="宋体" w:cs="宋体"/>
          <w:b/>
          <w:kern w:val="0"/>
          <w:szCs w:val="21"/>
        </w:rPr>
      </w:pPr>
      <w:bookmarkStart w:id="59" w:name="_Hlk116549198"/>
      <w:r>
        <w:rPr>
          <w:rFonts w:hint="eastAsia" w:ascii="宋体" w:hAnsi="宋体" w:eastAsia="宋体" w:cs="宋体"/>
          <w:b/>
          <w:kern w:val="0"/>
          <w:sz w:val="21"/>
          <w:szCs w:val="21"/>
        </w:rPr>
        <w:t>深圳会展中心国际性会议餐饮服务</w:t>
      </w:r>
      <w:r>
        <w:rPr>
          <w:rFonts w:hint="eastAsia" w:ascii="宋体" w:hAnsi="宋体" w:cs="宋体"/>
          <w:b/>
          <w:kern w:val="0"/>
          <w:szCs w:val="21"/>
        </w:rPr>
        <w:t>合同</w:t>
      </w:r>
      <w:bookmarkEnd w:id="59"/>
      <w:bookmarkStart w:id="60" w:name="_Hlk116549211"/>
    </w:p>
    <w:p>
      <w:pPr>
        <w:widowControl/>
        <w:snapToGrid w:val="0"/>
        <w:spacing w:line="360" w:lineRule="auto"/>
        <w:jc w:val="center"/>
        <w:rPr>
          <w:rFonts w:ascii="宋体" w:hAnsi="宋体" w:cs="宋体"/>
          <w:b/>
          <w:kern w:val="0"/>
          <w:szCs w:val="21"/>
        </w:rPr>
      </w:pPr>
      <w:r>
        <w:rPr>
          <w:rFonts w:hint="eastAsia" w:ascii="宋体" w:hAnsi="宋体" w:cs="宋体"/>
          <w:b/>
          <w:kern w:val="0"/>
          <w:szCs w:val="21"/>
        </w:rPr>
        <w:t>（本模板仅供参考，后续根据开标结果补充）</w:t>
      </w:r>
    </w:p>
    <w:bookmarkEnd w:id="60"/>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联系人：XXX</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电话：0755-8284XXXX</w:t>
      </w:r>
    </w:p>
    <w:p>
      <w:pPr>
        <w:pStyle w:val="5"/>
        <w:spacing w:line="360" w:lineRule="auto"/>
        <w:ind w:left="0"/>
        <w:rPr>
          <w:rFonts w:ascii="宋体" w:hAnsi="宋体"/>
          <w:sz w:val="21"/>
          <w:szCs w:val="21"/>
        </w:rPr>
      </w:pPr>
      <w:r>
        <w:rPr>
          <w:rFonts w:hint="eastAsia" w:ascii="宋体" w:hAnsi="宋体" w:cs="宋体"/>
          <w:sz w:val="21"/>
          <w:szCs w:val="21"/>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乙方：XXXX公司（简称“XXXX”）</w:t>
      </w:r>
    </w:p>
    <w:p>
      <w:pPr>
        <w:widowControl/>
        <w:snapToGrid w:val="0"/>
        <w:spacing w:line="360" w:lineRule="auto"/>
        <w:rPr>
          <w:rFonts w:ascii="宋体" w:hAnsi="宋体" w:cs="宋体"/>
          <w:kern w:val="0"/>
          <w:szCs w:val="21"/>
        </w:rPr>
      </w:pPr>
      <w:r>
        <w:rPr>
          <w:rFonts w:hint="eastAsia" w:ascii="宋体" w:hAnsi="宋体" w:cs="宋体"/>
          <w:kern w:val="0"/>
          <w:szCs w:val="21"/>
        </w:rPr>
        <w:t>法定代表人：XXX</w:t>
      </w:r>
    </w:p>
    <w:p>
      <w:pPr>
        <w:widowControl/>
        <w:snapToGrid w:val="0"/>
        <w:spacing w:line="360" w:lineRule="auto"/>
        <w:rPr>
          <w:rFonts w:ascii="宋体" w:hAnsi="宋体" w:cs="宋体"/>
          <w:kern w:val="0"/>
          <w:szCs w:val="21"/>
        </w:rPr>
      </w:pPr>
      <w:r>
        <w:rPr>
          <w:rFonts w:hint="eastAsia" w:ascii="宋体" w:hAnsi="宋体" w:cs="宋体"/>
          <w:kern w:val="0"/>
          <w:szCs w:val="21"/>
        </w:rPr>
        <w:t>地址：XXXXXXXXXXXX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联系人：XXX</w:t>
      </w:r>
    </w:p>
    <w:p>
      <w:pPr>
        <w:widowControl/>
        <w:snapToGrid w:val="0"/>
        <w:spacing w:line="360" w:lineRule="auto"/>
        <w:rPr>
          <w:rFonts w:ascii="宋体" w:hAnsi="宋体" w:cs="宋体"/>
          <w:kern w:val="0"/>
          <w:szCs w:val="21"/>
        </w:rPr>
      </w:pPr>
      <w:r>
        <w:rPr>
          <w:rFonts w:hint="eastAsia" w:ascii="宋体" w:hAnsi="宋体" w:cs="宋体"/>
          <w:kern w:val="0"/>
          <w:szCs w:val="21"/>
        </w:rPr>
        <w:t>电话：0755-XXXXXX</w:t>
      </w:r>
    </w:p>
    <w:p>
      <w:pPr>
        <w:pStyle w:val="5"/>
        <w:spacing w:line="360" w:lineRule="auto"/>
        <w:ind w:left="0"/>
        <w:rPr>
          <w:rFonts w:ascii="宋体" w:hAnsi="宋体"/>
          <w:sz w:val="21"/>
          <w:szCs w:val="21"/>
        </w:rPr>
      </w:pPr>
      <w:r>
        <w:rPr>
          <w:rFonts w:hint="eastAsia" w:ascii="宋体" w:hAnsi="宋体" w:cs="宋体"/>
          <w:sz w:val="21"/>
          <w:szCs w:val="21"/>
        </w:rPr>
        <w:t>电子邮件：</w:t>
      </w:r>
    </w:p>
    <w:p>
      <w:pPr>
        <w:pStyle w:val="5"/>
        <w:spacing w:after="0" w:line="360" w:lineRule="auto"/>
        <w:ind w:left="0" w:firstLine="400" w:firstLineChars="200"/>
        <w:rPr>
          <w:rFonts w:ascii="宋体" w:hAnsi="宋体"/>
          <w:sz w:val="21"/>
          <w:szCs w:val="21"/>
        </w:rPr>
      </w:pPr>
    </w:p>
    <w:p>
      <w:pPr>
        <w:pStyle w:val="5"/>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rPr>
        <w:t>XXXXXXXXXXXX</w:t>
      </w:r>
      <w:r>
        <w:rPr>
          <w:rFonts w:hint="eastAsia" w:ascii="宋体" w:hAnsi="宋体" w:cs="Arial"/>
          <w:sz w:val="21"/>
          <w:szCs w:val="21"/>
        </w:rPr>
        <w:t>服务，甲乙双方经协商一致，签订本合同，双方保证严格遵守和执行。</w:t>
      </w:r>
    </w:p>
    <w:p>
      <w:pPr>
        <w:pStyle w:val="5"/>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5"/>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rPr>
        <w:t>XXXXXXXXXXXX</w:t>
      </w:r>
    </w:p>
    <w:p>
      <w:pPr>
        <w:pStyle w:val="5"/>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5"/>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5"/>
        <w:numPr>
          <w:ilvl w:val="0"/>
          <w:numId w:val="19"/>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5"/>
        <w:numPr>
          <w:ilvl w:val="0"/>
          <w:numId w:val="19"/>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5"/>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增值服务（如有）</w:t>
      </w:r>
    </w:p>
    <w:p>
      <w:pPr>
        <w:pStyle w:val="5"/>
        <w:numPr>
          <w:ilvl w:val="0"/>
          <w:numId w:val="20"/>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5"/>
        <w:numPr>
          <w:ilvl w:val="0"/>
          <w:numId w:val="20"/>
        </w:numPr>
        <w:spacing w:after="0" w:line="360" w:lineRule="auto"/>
        <w:ind w:left="0" w:firstLine="400" w:firstLineChars="200"/>
        <w:rPr>
          <w:rFonts w:ascii="宋体" w:hAnsi="宋体" w:cs="仿宋"/>
          <w:sz w:val="21"/>
          <w:szCs w:val="21"/>
        </w:rPr>
      </w:pPr>
      <w:r>
        <w:rPr>
          <w:rFonts w:hint="eastAsia" w:ascii="宋体" w:hAnsi="宋体" w:cs="宋体"/>
          <w:sz w:val="21"/>
          <w:szCs w:val="21"/>
        </w:rPr>
        <w:t>......</w:t>
      </w:r>
    </w:p>
    <w:p>
      <w:pPr>
        <w:pStyle w:val="5"/>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5"/>
        <w:numPr>
          <w:ilvl w:val="0"/>
          <w:numId w:val="21"/>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5"/>
        <w:numPr>
          <w:ilvl w:val="0"/>
          <w:numId w:val="21"/>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5"/>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5"/>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rPr>
        <w:t>≥</w:t>
      </w:r>
      <w:r>
        <w:rPr>
          <w:rFonts w:hint="eastAsia" w:ascii="宋体" w:hAnsi="宋体" w:cs="仿宋"/>
          <w:sz w:val="21"/>
          <w:szCs w:val="21"/>
        </w:rPr>
        <w:t>80分），则执行下一年度服务合同。如综合考核评审服务未达到优良，甲方有权终止下一年度服务合同。综合考核评审细则详见附件《XXXX考核评审细则》。</w:t>
      </w:r>
    </w:p>
    <w:p>
      <w:pPr>
        <w:pStyle w:val="5"/>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5"/>
        <w:numPr>
          <w:ilvl w:val="1"/>
          <w:numId w:val="22"/>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5"/>
        <w:numPr>
          <w:ilvl w:val="0"/>
          <w:numId w:val="23"/>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为¥XXX万元（</w:t>
      </w:r>
      <w:r>
        <w:rPr>
          <w:rFonts w:hint="eastAsia" w:ascii="宋体" w:hAnsi="宋体" w:eastAsia="宋体" w:cs="仿宋"/>
          <w:szCs w:val="21"/>
        </w:rPr>
        <w:t>大写人民币：</w:t>
      </w:r>
      <w:r>
        <w:rPr>
          <w:rFonts w:hint="eastAsia" w:ascii="宋体" w:hAnsi="宋体" w:eastAsia="宋体" w:cs="仿宋"/>
          <w:szCs w:val="21"/>
          <w:u w:val="single"/>
        </w:rPr>
        <w:t>XXXX元整</w:t>
      </w:r>
      <w:r>
        <w:rPr>
          <w:rFonts w:hint="eastAsia" w:ascii="宋体" w:hAnsi="宋体" w:eastAsia="宋体" w:cs="仿宋"/>
          <w:szCs w:val="21"/>
        </w:rPr>
        <w:t>），税率为X%</w:t>
      </w:r>
      <w:r>
        <w:rPr>
          <w:rFonts w:hint="eastAsia" w:ascii="宋体" w:hAnsi="宋体" w:eastAsia="宋体" w:cs="仿宋"/>
          <w:spacing w:val="-2"/>
          <w:szCs w:val="21"/>
        </w:rPr>
        <w:t>。</w:t>
      </w:r>
    </w:p>
    <w:p>
      <w:pPr>
        <w:pStyle w:val="25"/>
        <w:numPr>
          <w:ilvl w:val="0"/>
          <w:numId w:val="23"/>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以上金额已经包含项目费用开具增值税专用发票所产生的税费及乙方完成本项目服务所发生的</w:t>
      </w:r>
      <w:r>
        <w:rPr>
          <w:rFonts w:hint="eastAsia" w:ascii="宋体" w:hAnsi="宋体" w:eastAsia="宋体" w:cs="仿宋"/>
          <w:szCs w:val="21"/>
        </w:rPr>
        <w:t>全部费用。</w:t>
      </w:r>
    </w:p>
    <w:p>
      <w:pPr>
        <w:pStyle w:val="25"/>
        <w:numPr>
          <w:ilvl w:val="1"/>
          <w:numId w:val="22"/>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5"/>
        <w:numPr>
          <w:ilvl w:val="255"/>
          <w:numId w:val="0"/>
        </w:numPr>
        <w:spacing w:line="360" w:lineRule="auto"/>
        <w:ind w:firstLine="420"/>
        <w:rPr>
          <w:rFonts w:ascii="宋体" w:hAnsi="宋体" w:eastAsia="宋体" w:cs="仿宋"/>
          <w:bCs/>
          <w:szCs w:val="21"/>
        </w:rPr>
      </w:pPr>
      <w:r>
        <w:rPr>
          <w:rFonts w:hint="eastAsia" w:ascii="宋体" w:hAnsi="宋体" w:eastAsia="宋体" w:cs="仿宋"/>
          <w:bCs/>
          <w:szCs w:val="21"/>
        </w:rPr>
        <w:t>1. 合同签订，乙方完成XXX后，15个工作日内甲方向乙方支付合同金额XX％款项，即人民币XXXX元（大写：XXXX元整）；</w:t>
      </w:r>
    </w:p>
    <w:p>
      <w:pPr>
        <w:pStyle w:val="25"/>
        <w:numPr>
          <w:ilvl w:val="255"/>
          <w:numId w:val="0"/>
        </w:numPr>
        <w:spacing w:line="360" w:lineRule="auto"/>
        <w:ind w:firstLine="420"/>
        <w:rPr>
          <w:rFonts w:ascii="宋体" w:hAnsi="宋体" w:eastAsia="宋体" w:cs="仿宋"/>
          <w:bCs/>
          <w:szCs w:val="21"/>
        </w:rPr>
      </w:pPr>
      <w:r>
        <w:rPr>
          <w:rFonts w:hint="eastAsia" w:ascii="宋体" w:hAnsi="宋体" w:eastAsia="宋体" w:cs="仿宋"/>
          <w:bCs/>
          <w:szCs w:val="21"/>
        </w:rPr>
        <w:t>2. 完成本项目所有服务内容并经甲方验收合格且完成违约责任清算后，甲方支付本项目剩余款项。</w:t>
      </w:r>
    </w:p>
    <w:p>
      <w:pPr>
        <w:pStyle w:val="25"/>
        <w:numPr>
          <w:ilvl w:val="255"/>
          <w:numId w:val="0"/>
        </w:numPr>
        <w:spacing w:line="360" w:lineRule="auto"/>
        <w:ind w:firstLine="420"/>
        <w:rPr>
          <w:rFonts w:ascii="宋体" w:hAnsi="宋体" w:eastAsia="宋体" w:cs="仿宋"/>
          <w:bCs/>
          <w:szCs w:val="21"/>
        </w:rPr>
      </w:pPr>
      <w:r>
        <w:rPr>
          <w:rFonts w:hint="eastAsia" w:ascii="宋体" w:hAnsi="宋体" w:eastAsia="宋体" w:cs="仿宋"/>
          <w:bCs/>
          <w:szCs w:val="21"/>
        </w:rPr>
        <w:t>3. 甲方办理合同款项支付前，乙方需先向甲方提供全额（等额）真实、合法有效的增值税专用发票。</w:t>
      </w:r>
    </w:p>
    <w:p>
      <w:pPr>
        <w:pStyle w:val="5"/>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5"/>
        <w:numPr>
          <w:ilvl w:val="0"/>
          <w:numId w:val="24"/>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w:t>
      </w:r>
    </w:p>
    <w:p>
      <w:pPr>
        <w:pStyle w:val="5"/>
        <w:numPr>
          <w:ilvl w:val="0"/>
          <w:numId w:val="24"/>
        </w:numPr>
        <w:spacing w:after="0" w:line="360" w:lineRule="auto"/>
        <w:ind w:left="0" w:firstLine="402" w:firstLineChars="200"/>
        <w:rPr>
          <w:rFonts w:ascii="宋体" w:hAnsi="宋体" w:cs="宋体"/>
          <w:sz w:val="21"/>
          <w:szCs w:val="21"/>
        </w:rPr>
      </w:pPr>
      <w:r>
        <w:rPr>
          <w:rFonts w:hint="eastAsia" w:ascii="宋体" w:hAnsi="宋体" w:cs="仿宋"/>
          <w:b/>
          <w:bCs/>
          <w:sz w:val="21"/>
          <w:szCs w:val="21"/>
        </w:rPr>
        <w:t>.</w:t>
      </w:r>
      <w:r>
        <w:rPr>
          <w:rFonts w:hint="eastAsia" w:ascii="宋体" w:hAnsi="宋体" w:cs="宋体"/>
          <w:sz w:val="21"/>
          <w:szCs w:val="21"/>
        </w:rPr>
        <w:t>.....</w:t>
      </w:r>
    </w:p>
    <w:p>
      <w:pPr>
        <w:pStyle w:val="5"/>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5"/>
        <w:numPr>
          <w:ilvl w:val="0"/>
          <w:numId w:val="25"/>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5"/>
        <w:numPr>
          <w:ilvl w:val="0"/>
          <w:numId w:val="26"/>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5"/>
        <w:numPr>
          <w:ilvl w:val="0"/>
          <w:numId w:val="26"/>
        </w:numPr>
        <w:spacing w:after="0" w:line="360" w:lineRule="auto"/>
        <w:ind w:left="0" w:firstLine="400" w:firstLineChars="200"/>
        <w:rPr>
          <w:rFonts w:ascii="宋体" w:hAnsi="宋体" w:cs="宋体"/>
          <w:sz w:val="21"/>
          <w:szCs w:val="21"/>
        </w:rPr>
      </w:pPr>
      <w:r>
        <w:rPr>
          <w:rFonts w:hint="eastAsia" w:ascii="宋体" w:hAnsi="宋体" w:cs="宋体"/>
          <w:sz w:val="21"/>
          <w:szCs w:val="21"/>
        </w:rPr>
        <w:t>......</w:t>
      </w:r>
    </w:p>
    <w:p>
      <w:pPr>
        <w:pStyle w:val="5"/>
        <w:numPr>
          <w:ilvl w:val="0"/>
          <w:numId w:val="25"/>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5"/>
        <w:numPr>
          <w:ilvl w:val="0"/>
          <w:numId w:val="27"/>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5"/>
        <w:numPr>
          <w:ilvl w:val="0"/>
          <w:numId w:val="27"/>
        </w:numPr>
        <w:spacing w:after="0" w:line="360" w:lineRule="auto"/>
        <w:ind w:left="0" w:firstLine="400" w:firstLineChars="200"/>
        <w:rPr>
          <w:rFonts w:ascii="宋体" w:hAnsi="宋体" w:cs="仿宋"/>
          <w:sz w:val="21"/>
          <w:szCs w:val="21"/>
        </w:rPr>
      </w:pPr>
      <w:r>
        <w:rPr>
          <w:rFonts w:hint="eastAsia" w:ascii="宋体" w:hAnsi="宋体" w:cs="宋体"/>
          <w:sz w:val="21"/>
          <w:szCs w:val="21"/>
        </w:rPr>
        <w:t>......</w:t>
      </w:r>
    </w:p>
    <w:p>
      <w:pPr>
        <w:pStyle w:val="5"/>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处罚标准（如有）</w:t>
      </w:r>
    </w:p>
    <w:p>
      <w:pPr>
        <w:pStyle w:val="5"/>
        <w:numPr>
          <w:ilvl w:val="0"/>
          <w:numId w:val="28"/>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5"/>
        <w:numPr>
          <w:ilvl w:val="0"/>
          <w:numId w:val="28"/>
        </w:numPr>
        <w:spacing w:after="0" w:line="360" w:lineRule="auto"/>
        <w:ind w:left="0" w:firstLine="400" w:firstLineChars="200"/>
        <w:rPr>
          <w:rFonts w:ascii="宋体" w:hAnsi="宋体" w:cs="仿宋"/>
          <w:b/>
          <w:bCs/>
          <w:sz w:val="21"/>
          <w:szCs w:val="21"/>
        </w:rPr>
      </w:pPr>
      <w:r>
        <w:rPr>
          <w:rFonts w:hint="eastAsia" w:ascii="宋体" w:hAnsi="宋体" w:cs="宋体"/>
          <w:sz w:val="21"/>
          <w:szCs w:val="21"/>
        </w:rPr>
        <w:t>......</w:t>
      </w:r>
    </w:p>
    <w:p>
      <w:pPr>
        <w:pStyle w:val="5"/>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知识产权归属（如有）</w:t>
      </w:r>
    </w:p>
    <w:p>
      <w:pPr>
        <w:pStyle w:val="5"/>
        <w:numPr>
          <w:ilvl w:val="0"/>
          <w:numId w:val="29"/>
        </w:numPr>
        <w:spacing w:after="0" w:line="360" w:lineRule="auto"/>
        <w:ind w:left="0" w:firstLine="400" w:firstLineChars="200"/>
        <w:rPr>
          <w:rFonts w:ascii="宋体" w:hAnsi="宋体" w:cs="仿宋"/>
          <w:sz w:val="21"/>
          <w:szCs w:val="21"/>
        </w:rPr>
      </w:pPr>
      <w:r>
        <w:rPr>
          <w:rFonts w:hint="eastAsia" w:ascii="宋体" w:hAnsi="宋体" w:cs="宋体"/>
          <w:sz w:val="21"/>
          <w:szCs w:val="21"/>
        </w:rPr>
        <w:t>XXXXXXXXXXXXXXXXXXXXXXXXXX</w:t>
      </w:r>
    </w:p>
    <w:p>
      <w:pPr>
        <w:pStyle w:val="5"/>
        <w:numPr>
          <w:ilvl w:val="0"/>
          <w:numId w:val="29"/>
        </w:numPr>
        <w:spacing w:after="0" w:line="360" w:lineRule="auto"/>
        <w:ind w:left="0" w:firstLine="400" w:firstLineChars="200"/>
        <w:rPr>
          <w:rFonts w:ascii="宋体" w:hAnsi="宋体" w:cs="仿宋"/>
          <w:b/>
          <w:bCs/>
          <w:sz w:val="21"/>
          <w:szCs w:val="21"/>
        </w:rPr>
      </w:pPr>
      <w:r>
        <w:rPr>
          <w:rFonts w:hint="eastAsia" w:ascii="宋体" w:hAnsi="宋体" w:cs="宋体"/>
          <w:sz w:val="21"/>
          <w:szCs w:val="21"/>
        </w:rPr>
        <w:t>......</w:t>
      </w:r>
    </w:p>
    <w:p>
      <w:pPr>
        <w:pStyle w:val="5"/>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30"/>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甲乙双方任何一方违反约定事项造成对方实际损失的，应在15天内向对方支付年度合同金额XX%的赔偿金和违约金。</w:t>
      </w:r>
    </w:p>
    <w:p>
      <w:pPr>
        <w:numPr>
          <w:ilvl w:val="0"/>
          <w:numId w:val="30"/>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5"/>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31"/>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1"/>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1"/>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5"/>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5"/>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5"/>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5"/>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5"/>
        <w:numPr>
          <w:ilvl w:val="0"/>
          <w:numId w:val="32"/>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5"/>
        <w:numPr>
          <w:ilvl w:val="0"/>
          <w:numId w:val="32"/>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5"/>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5"/>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3"/>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3"/>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7"/>
        <w:numPr>
          <w:ilvl w:val="0"/>
          <w:numId w:val="33"/>
        </w:numPr>
        <w:spacing w:line="360" w:lineRule="auto"/>
        <w:rPr>
          <w:rFonts w:ascii="宋体" w:hAnsi="宋体" w:eastAsia="宋体" w:cs="仿宋"/>
          <w:szCs w:val="21"/>
        </w:rPr>
      </w:pPr>
      <w:bookmarkStart w:id="61"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1"/>
    </w:p>
    <w:p>
      <w:pPr>
        <w:numPr>
          <w:ilvl w:val="0"/>
          <w:numId w:val="33"/>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3"/>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5"/>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（以下无正文，为合同签章处）</w:t>
      </w:r>
    </w:p>
    <w:p>
      <w:pPr>
        <w:pStyle w:val="5"/>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Lines="100" w:afterLines="100" w:line="360" w:lineRule="auto"/>
        <w:jc w:val="center"/>
        <w:outlineLvl w:val="0"/>
        <w:rPr>
          <w:rFonts w:ascii="仿宋" w:hAnsi="仿宋" w:eastAsia="仿宋"/>
          <w:sz w:val="32"/>
          <w:szCs w:val="32"/>
        </w:rPr>
      </w:pPr>
      <w:bookmarkStart w:id="62" w:name="_Toc116550359"/>
      <w:r>
        <w:rPr>
          <w:rFonts w:hint="eastAsia"/>
          <w:b/>
          <w:sz w:val="32"/>
          <w:szCs w:val="32"/>
        </w:rPr>
        <w:t>第五部分：参考附件</w:t>
      </w:r>
      <w:bookmarkEnd w:id="62"/>
    </w:p>
    <w:p>
      <w:pPr>
        <w:spacing w:line="0" w:lineRule="atLeast"/>
        <w:outlineLvl w:val="1"/>
        <w:rPr>
          <w:rFonts w:ascii="宋体" w:hAnsi="宋体"/>
        </w:rPr>
      </w:pPr>
      <w:bookmarkStart w:id="63" w:name="_Toc116550360"/>
      <w:r>
        <w:rPr>
          <w:rFonts w:hint="eastAsia" w:ascii="宋体" w:hAnsi="宋体"/>
          <w:szCs w:val="21"/>
        </w:rPr>
        <w:t>附件1：</w:t>
      </w:r>
      <w:r>
        <w:rPr>
          <w:rFonts w:hint="eastAsia" w:ascii="宋体" w:hAnsi="宋体"/>
        </w:rPr>
        <w:t>报名回函</w:t>
      </w:r>
      <w:bookmarkEnd w:id="63"/>
    </w:p>
    <w:p>
      <w:pPr>
        <w:pStyle w:val="13"/>
      </w:pPr>
    </w:p>
    <w:p>
      <w:pPr>
        <w:pStyle w:val="14"/>
        <w:jc w:val="center"/>
        <w:rPr>
          <w:rFonts w:ascii="方正小标宋简体" w:hAnsi="方正小标宋_GBK" w:eastAsia="方正小标宋简体"/>
          <w:sz w:val="32"/>
          <w:szCs w:val="32"/>
        </w:rPr>
      </w:pPr>
      <w:r>
        <w:rPr>
          <w:rStyle w:val="20"/>
          <w:rFonts w:hint="eastAsia" w:ascii="方正小标宋简体" w:hAnsi="方正小标宋_GBK" w:eastAsia="方正小标宋简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u w:val="single"/>
        </w:rPr>
        <w:t>_</w:t>
      </w:r>
      <w:r>
        <w:rPr>
          <w:rFonts w:ascii="仿宋" w:hAnsi="仿宋" w:eastAsia="仿宋" w:cs="Times New Roman"/>
          <w:b/>
          <w:kern w:val="2"/>
          <w:sz w:val="28"/>
          <w:szCs w:val="28"/>
          <w:u w:val="single"/>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4" w:name="_Toc116550361"/>
      <w:r>
        <w:rPr>
          <w:rFonts w:hint="eastAsia" w:ascii="宋体" w:hAnsi="宋体"/>
          <w:szCs w:val="21"/>
        </w:rPr>
        <w:t>附件2：投标函</w:t>
      </w:r>
      <w:bookmarkEnd w:id="64"/>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5" w:name="_Toc116550362"/>
      <w:r>
        <w:rPr>
          <w:rFonts w:hint="eastAsia" w:ascii="宋体" w:hAnsi="宋体"/>
          <w:szCs w:val="21"/>
        </w:rPr>
        <w:t>附件3：投标一览表</w:t>
      </w:r>
      <w:bookmarkEnd w:id="65"/>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5"/>
        <w:spacing w:after="0" w:line="240" w:lineRule="auto"/>
        <w:ind w:left="-2" w:leftChars="-1" w:firstLine="2" w:firstLineChars="1"/>
        <w:jc w:val="left"/>
        <w:rPr>
          <w:sz w:val="21"/>
          <w:szCs w:val="21"/>
        </w:rPr>
      </w:pPr>
      <w:bookmarkStart w:id="66"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8"/>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825"/>
        <w:gridCol w:w="1275"/>
        <w:gridCol w:w="1755"/>
        <w:gridCol w:w="1665"/>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Align w:val="center"/>
          </w:tcPr>
          <w:p>
            <w:pPr>
              <w:pStyle w:val="5"/>
              <w:spacing w:after="0" w:line="300" w:lineRule="exact"/>
              <w:ind w:left="0"/>
              <w:jc w:val="center"/>
              <w:rPr>
                <w:sz w:val="21"/>
                <w:szCs w:val="21"/>
              </w:rPr>
            </w:pPr>
            <w:r>
              <w:rPr>
                <w:rFonts w:hint="eastAsia"/>
                <w:sz w:val="21"/>
                <w:szCs w:val="21"/>
              </w:rPr>
              <w:t>税前总金额</w:t>
            </w:r>
          </w:p>
          <w:p>
            <w:pPr>
              <w:pStyle w:val="5"/>
              <w:spacing w:after="0" w:line="300" w:lineRule="exact"/>
              <w:ind w:left="0"/>
              <w:jc w:val="center"/>
              <w:rPr>
                <w:sz w:val="21"/>
                <w:szCs w:val="21"/>
              </w:rPr>
            </w:pPr>
            <w:r>
              <w:rPr>
                <w:rFonts w:hint="eastAsia"/>
                <w:sz w:val="21"/>
                <w:szCs w:val="21"/>
              </w:rPr>
              <w:t>（净价）</w:t>
            </w:r>
          </w:p>
        </w:tc>
        <w:tc>
          <w:tcPr>
            <w:tcW w:w="825" w:type="dxa"/>
            <w:vAlign w:val="center"/>
          </w:tcPr>
          <w:p>
            <w:pPr>
              <w:spacing w:line="300" w:lineRule="exact"/>
              <w:jc w:val="center"/>
              <w:rPr>
                <w:rFonts w:ascii="宋体" w:hAnsi="宋体"/>
                <w:szCs w:val="21"/>
              </w:rPr>
            </w:pPr>
            <w:r>
              <w:rPr>
                <w:rFonts w:hint="eastAsia" w:ascii="宋体" w:hAnsi="宋体"/>
                <w:szCs w:val="21"/>
              </w:rPr>
              <w:t>税率</w:t>
            </w:r>
          </w:p>
        </w:tc>
        <w:tc>
          <w:tcPr>
            <w:tcW w:w="1275" w:type="dxa"/>
            <w:vAlign w:val="center"/>
          </w:tcPr>
          <w:p>
            <w:pPr>
              <w:spacing w:line="300" w:lineRule="exact"/>
              <w:jc w:val="center"/>
              <w:rPr>
                <w:rFonts w:ascii="宋体" w:hAnsi="宋体"/>
                <w:szCs w:val="21"/>
              </w:rPr>
            </w:pPr>
            <w:r>
              <w:rPr>
                <w:rFonts w:hint="eastAsia" w:ascii="宋体" w:hAnsi="宋体"/>
                <w:szCs w:val="21"/>
              </w:rPr>
              <w:t>税额</w:t>
            </w:r>
          </w:p>
        </w:tc>
        <w:tc>
          <w:tcPr>
            <w:tcW w:w="1755" w:type="dxa"/>
            <w:vAlign w:val="center"/>
          </w:tcPr>
          <w:p>
            <w:pPr>
              <w:spacing w:line="300" w:lineRule="exact"/>
              <w:jc w:val="center"/>
              <w:rPr>
                <w:rFonts w:ascii="宋体" w:hAnsi="宋体"/>
                <w:szCs w:val="21"/>
              </w:rPr>
            </w:pPr>
            <w:r>
              <w:rPr>
                <w:rFonts w:hint="eastAsia" w:ascii="宋体" w:hAnsi="宋体"/>
                <w:szCs w:val="21"/>
              </w:rPr>
              <w:t>含税总金额</w:t>
            </w:r>
          </w:p>
        </w:tc>
        <w:tc>
          <w:tcPr>
            <w:tcW w:w="1665"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939"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Pr>
          <w:p>
            <w:pPr>
              <w:spacing w:line="360" w:lineRule="auto"/>
              <w:jc w:val="center"/>
              <w:rPr>
                <w:rFonts w:ascii="宋体" w:hAnsi="宋体"/>
                <w:szCs w:val="21"/>
              </w:rPr>
            </w:pPr>
          </w:p>
        </w:tc>
        <w:tc>
          <w:tcPr>
            <w:tcW w:w="825" w:type="dxa"/>
          </w:tcPr>
          <w:p>
            <w:pPr>
              <w:spacing w:line="360" w:lineRule="auto"/>
              <w:jc w:val="center"/>
              <w:rPr>
                <w:rFonts w:ascii="宋体" w:hAnsi="宋体"/>
                <w:szCs w:val="21"/>
              </w:rPr>
            </w:pPr>
          </w:p>
        </w:tc>
        <w:tc>
          <w:tcPr>
            <w:tcW w:w="1275" w:type="dxa"/>
          </w:tcPr>
          <w:p>
            <w:pPr>
              <w:spacing w:line="360" w:lineRule="auto"/>
              <w:jc w:val="center"/>
              <w:rPr>
                <w:rFonts w:ascii="宋体" w:hAnsi="宋体"/>
                <w:szCs w:val="21"/>
              </w:rPr>
            </w:pPr>
          </w:p>
        </w:tc>
        <w:tc>
          <w:tcPr>
            <w:tcW w:w="1755" w:type="dxa"/>
          </w:tcPr>
          <w:p>
            <w:pPr>
              <w:spacing w:line="360" w:lineRule="auto"/>
              <w:jc w:val="center"/>
              <w:rPr>
                <w:rFonts w:ascii="宋体" w:hAnsi="宋体"/>
                <w:szCs w:val="21"/>
              </w:rPr>
            </w:pPr>
          </w:p>
        </w:tc>
        <w:tc>
          <w:tcPr>
            <w:tcW w:w="1665" w:type="dxa"/>
          </w:tcPr>
          <w:p>
            <w:pPr>
              <w:spacing w:line="360" w:lineRule="auto"/>
              <w:jc w:val="center"/>
              <w:rPr>
                <w:rFonts w:ascii="宋体" w:hAnsi="宋体"/>
                <w:szCs w:val="21"/>
              </w:rPr>
            </w:pPr>
          </w:p>
        </w:tc>
        <w:tc>
          <w:tcPr>
            <w:tcW w:w="1939"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6"/>
          </w:tcPr>
          <w:p>
            <w:pPr>
              <w:spacing w:line="360" w:lineRule="auto"/>
              <w:rPr>
                <w:rFonts w:ascii="宋体" w:hAnsi="宋体"/>
                <w:szCs w:val="21"/>
              </w:rPr>
            </w:pPr>
            <w:r>
              <w:rPr>
                <w:rFonts w:hint="eastAsia" w:ascii="宋体" w:hAnsi="宋体"/>
                <w:szCs w:val="21"/>
              </w:rPr>
              <w:t>投标人备注：</w:t>
            </w:r>
          </w:p>
        </w:tc>
      </w:tr>
      <w:bookmarkEnd w:id="66"/>
    </w:tbl>
    <w:p>
      <w:pPr>
        <w:spacing w:line="360" w:lineRule="auto"/>
        <w:rPr>
          <w:rFonts w:ascii="宋体" w:hAnsi="宋体"/>
          <w:szCs w:val="21"/>
        </w:rPr>
      </w:pPr>
    </w:p>
    <w:p>
      <w:pPr>
        <w:spacing w:line="360" w:lineRule="auto"/>
        <w:rPr>
          <w:rFonts w:ascii="宋体" w:hAnsi="宋体"/>
          <w:szCs w:val="21"/>
        </w:rPr>
      </w:pPr>
    </w:p>
    <w:p>
      <w:pPr>
        <w:spacing w:line="360" w:lineRule="auto"/>
        <w:ind w:left="124" w:hanging="124"/>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ind w:left="124" w:hanging="124"/>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ind w:left="124" w:hanging="124"/>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5"/>
        <w:ind w:left="0"/>
        <w:rPr>
          <w:rFonts w:ascii="宋体" w:hAnsi="宋体"/>
          <w:szCs w:val="21"/>
        </w:rPr>
      </w:pPr>
    </w:p>
    <w:p>
      <w:pPr>
        <w:pStyle w:val="5"/>
        <w:ind w:left="0"/>
        <w:rPr>
          <w:rFonts w:ascii="宋体" w:hAnsi="宋体"/>
          <w:szCs w:val="21"/>
        </w:rPr>
      </w:pPr>
    </w:p>
    <w:p>
      <w:pPr>
        <w:pStyle w:val="5"/>
        <w:ind w:left="0"/>
        <w:rPr>
          <w:rFonts w:ascii="宋体" w:hAnsi="宋体"/>
          <w:szCs w:val="21"/>
        </w:rPr>
      </w:pPr>
    </w:p>
    <w:p>
      <w:pPr>
        <w:pStyle w:val="5"/>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7" w:name="_Toc116550363"/>
      <w:r>
        <w:rPr>
          <w:rFonts w:hint="eastAsia" w:ascii="宋体" w:hAnsi="宋体"/>
          <w:szCs w:val="21"/>
        </w:rPr>
        <w:t>附件4：考察证明</w:t>
      </w:r>
      <w:bookmarkEnd w:id="67"/>
      <w:r>
        <w:rPr>
          <w:rFonts w:hint="eastAsia" w:ascii="宋体" w:hAnsi="宋体"/>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8"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9" w:name="_Hlk116548155"/>
      <w:r>
        <w:rPr>
          <w:rFonts w:hint="eastAsia" w:ascii="仿宋" w:hAnsi="仿宋" w:eastAsia="仿宋"/>
          <w:sz w:val="28"/>
          <w:szCs w:val="28"/>
        </w:rPr>
        <w:t>你单位已于</w:t>
      </w:r>
      <w:r>
        <w:rPr>
          <w:rFonts w:hint="eastAsia" w:ascii="仿宋" w:hAnsi="仿宋" w:eastAsia="仿宋"/>
          <w:bCs/>
          <w:sz w:val="28"/>
          <w:szCs w:val="28"/>
        </w:rPr>
        <w:t>年月日指派专人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w:t>
      </w:r>
      <w:r>
        <w:rPr>
          <w:rFonts w:hint="eastAsia" w:ascii="仿宋" w:hAnsi="仿宋" w:eastAsia="仿宋"/>
          <w:b/>
          <w:sz w:val="28"/>
          <w:szCs w:val="28"/>
          <w:u w:val="single"/>
        </w:rPr>
        <w:t xml:space="preserve">                           项目</w:t>
      </w:r>
      <w:r>
        <w:rPr>
          <w:rFonts w:hint="eastAsia" w:ascii="仿宋" w:hAnsi="仿宋" w:eastAsia="仿宋"/>
          <w:b/>
          <w:sz w:val="28"/>
          <w:szCs w:val="28"/>
        </w:rPr>
        <w:t>的现场考察</w:t>
      </w:r>
      <w:r>
        <w:rPr>
          <w:rFonts w:hint="eastAsia" w:ascii="仿宋" w:hAnsi="仿宋" w:eastAsia="仿宋"/>
          <w:sz w:val="28"/>
          <w:szCs w:val="28"/>
        </w:rPr>
        <w:t>，详细听取了招标人的讲解和要求，已经知晓招标人本次项目的所有内容以及技术要求等。</w:t>
      </w:r>
    </w:p>
    <w:bookmarkEnd w:id="6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ind w:left="165" w:hanging="165"/>
        <w:jc w:val="center"/>
        <w:rPr>
          <w:rFonts w:ascii="仿宋" w:hAnsi="仿宋" w:eastAsia="仿宋"/>
          <w:sz w:val="28"/>
          <w:szCs w:val="28"/>
          <w:u w:val="single"/>
        </w:rPr>
      </w:pP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jc w:val="right"/>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8"/>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0" w:name="_Toc116550364"/>
      <w:r>
        <w:rPr>
          <w:rFonts w:hint="eastAsia" w:ascii="宋体" w:hAnsi="宋体"/>
          <w:szCs w:val="21"/>
        </w:rPr>
        <w:t>附件5：技术服务响应/偏离表</w:t>
      </w:r>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1" w:name="_Toc211248418"/>
      <w:r>
        <w:rPr>
          <w:rFonts w:hint="eastAsia" w:ascii="方正小标宋_GBK" w:hAnsi="方正小标宋_GBK" w:eastAsia="方正小标宋_GBK"/>
          <w:b/>
          <w:sz w:val="32"/>
          <w:szCs w:val="32"/>
        </w:rPr>
        <w:t>技术服务响应/偏离表</w:t>
      </w:r>
      <w:bookmarkEnd w:id="71"/>
    </w:p>
    <w:p>
      <w:pPr>
        <w:spacing w:line="360" w:lineRule="auto"/>
        <w:rPr>
          <w:rFonts w:ascii="仿宋" w:hAnsi="仿宋" w:eastAsia="仿宋"/>
          <w:sz w:val="28"/>
          <w:szCs w:val="28"/>
          <w:u w:val="single"/>
        </w:rPr>
      </w:pPr>
      <w:r>
        <w:rPr>
          <w:rFonts w:hint="eastAsia" w:ascii="仿宋" w:hAnsi="仿宋" w:eastAsia="仿宋"/>
          <w:sz w:val="28"/>
          <w:szCs w:val="28"/>
        </w:rPr>
        <w:t>投标人名称：</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cs="仿宋"/>
                <w:sz w:val="28"/>
                <w:szCs w:val="28"/>
              </w:rPr>
            </w:pPr>
          </w:p>
        </w:tc>
        <w:tc>
          <w:tcPr>
            <w:tcW w:w="5708" w:type="dxa"/>
          </w:tcPr>
          <w:p>
            <w:pPr>
              <w:spacing w:line="400" w:lineRule="exact"/>
              <w:ind w:firstLine="551" w:firstLineChars="196"/>
              <w:rPr>
                <w:rFonts w:ascii="仿宋" w:hAnsi="仿宋" w:eastAsia="仿宋"/>
                <w:b/>
                <w:bCs/>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sz w:val="28"/>
          <w:szCs w:val="28"/>
        </w:rPr>
        <w:t>“不可偏离项”响应内容</w:t>
      </w:r>
      <w:r>
        <w:rPr>
          <w:rFonts w:hint="eastAsia" w:ascii="仿宋" w:hAnsi="仿宋" w:eastAsia="仿宋"/>
          <w:sz w:val="28"/>
          <w:szCs w:val="28"/>
        </w:rPr>
        <w:t>涉及偏离内容</w:t>
      </w:r>
      <w:r>
        <w:rPr>
          <w:rFonts w:ascii="仿宋" w:hAnsi="仿宋" w:eastAsia="仿宋"/>
          <w:sz w:val="28"/>
          <w:szCs w:val="28"/>
        </w:rPr>
        <w:t>的，视同偏离本项目要求，该</w:t>
      </w:r>
      <w:r>
        <w:rPr>
          <w:rFonts w:hint="eastAsia" w:ascii="仿宋" w:hAnsi="仿宋" w:eastAsia="仿宋"/>
          <w:sz w:val="28"/>
          <w:szCs w:val="28"/>
        </w:rPr>
        <w:t>投标</w:t>
      </w:r>
      <w:r>
        <w:rPr>
          <w:rFonts w:ascii="仿宋" w:hAnsi="仿宋" w:eastAsia="仿宋"/>
          <w:sz w:val="28"/>
          <w:szCs w:val="28"/>
        </w:rPr>
        <w:t>文件不能通过</w:t>
      </w:r>
      <w:r>
        <w:rPr>
          <w:rFonts w:hint="eastAsia" w:ascii="仿宋" w:hAnsi="仿宋" w:eastAsia="仿宋"/>
          <w:sz w:val="28"/>
          <w:szCs w:val="28"/>
        </w:rPr>
        <w:t>不可偏离项</w:t>
      </w:r>
      <w:r>
        <w:rPr>
          <w:rFonts w:ascii="仿宋" w:hAnsi="仿宋" w:eastAsia="仿宋"/>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sz w:val="28"/>
          <w:szCs w:val="28"/>
        </w:rPr>
        <w:t xml:space="preserve"> 响应结果优于（或高于）本项目需求的，可在《说明》栏中作出</w:t>
      </w:r>
      <w:r>
        <w:rPr>
          <w:rFonts w:hint="eastAsia" w:ascii="仿宋" w:hAnsi="仿宋" w:eastAsia="仿宋"/>
          <w:sz w:val="28"/>
          <w:szCs w:val="28"/>
        </w:rPr>
        <w:t>优于（或高于）本项目需求的</w:t>
      </w:r>
      <w:r>
        <w:rPr>
          <w:rFonts w:ascii="仿宋" w:hAnsi="仿宋" w:eastAsia="仿宋"/>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2" w:name="_Hlk127434997"/>
      <w:bookmarkStart w:id="73" w:name="_Toc211243320"/>
      <w:r>
        <w:rPr>
          <w:rFonts w:hint="eastAsia" w:ascii="仿宋" w:hAnsi="仿宋" w:eastAsia="仿宋"/>
          <w:sz w:val="30"/>
          <w:szCs w:val="30"/>
        </w:rPr>
        <w:t>法定代表人或其授权委托人（签字或盖章）：</w:t>
      </w:r>
      <w:bookmarkEnd w:id="72"/>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3"/>
      <w:bookmarkStart w:id="74" w:name="_Toc246480945"/>
      <w:bookmarkStart w:id="75" w:name="_Toc236803114"/>
      <w:r>
        <w:rPr>
          <w:rFonts w:ascii="仿宋" w:hAnsi="仿宋" w:eastAsia="仿宋"/>
          <w:sz w:val="28"/>
          <w:szCs w:val="28"/>
        </w:rPr>
        <w:br w:type="page"/>
      </w:r>
    </w:p>
    <w:p>
      <w:pPr>
        <w:spacing w:line="0" w:lineRule="atLeast"/>
        <w:outlineLvl w:val="1"/>
        <w:rPr>
          <w:rFonts w:ascii="宋体" w:hAnsi="宋体"/>
          <w:szCs w:val="21"/>
        </w:rPr>
      </w:pPr>
      <w:bookmarkStart w:id="76" w:name="_Toc116550365"/>
      <w:r>
        <w:rPr>
          <w:rFonts w:hint="eastAsia" w:ascii="宋体" w:hAnsi="宋体"/>
          <w:szCs w:val="21"/>
        </w:rPr>
        <w:t>附件6：商务条款响应/偏离表</w:t>
      </w:r>
      <w:bookmarkEnd w:id="74"/>
      <w:bookmarkEnd w:id="75"/>
      <w:bookmarkEnd w:id="7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7" w:name="_Toc211248420"/>
      <w:r>
        <w:rPr>
          <w:rFonts w:hint="eastAsia" w:ascii="方正小标宋_GBK" w:hAnsi="方正小标宋_GBK" w:eastAsia="方正小标宋_GBK"/>
          <w:b/>
          <w:sz w:val="32"/>
          <w:szCs w:val="32"/>
        </w:rPr>
        <w:t>商务条款响应/偏离表</w:t>
      </w:r>
      <w:bookmarkEnd w:id="77"/>
    </w:p>
    <w:p>
      <w:pPr>
        <w:spacing w:line="360" w:lineRule="auto"/>
        <w:rPr>
          <w:rFonts w:ascii="仿宋" w:hAnsi="仿宋" w:eastAsia="仿宋"/>
          <w:sz w:val="30"/>
          <w:szCs w:val="30"/>
        </w:rPr>
      </w:pPr>
      <w:r>
        <w:rPr>
          <w:rFonts w:hint="eastAsia" w:ascii="仿宋" w:hAnsi="仿宋" w:eastAsia="仿宋"/>
          <w:sz w:val="30"/>
          <w:szCs w:val="30"/>
        </w:rPr>
        <w:t>投标人名称：</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sz w:val="28"/>
          <w:szCs w:val="28"/>
        </w:rPr>
        <w:t>“不可偏离项”响应内容</w:t>
      </w:r>
      <w:r>
        <w:rPr>
          <w:rFonts w:hint="eastAsia" w:ascii="仿宋" w:hAnsi="仿宋" w:eastAsia="仿宋"/>
          <w:sz w:val="28"/>
          <w:szCs w:val="28"/>
        </w:rPr>
        <w:t>涉及偏离内容的</w:t>
      </w:r>
      <w:r>
        <w:rPr>
          <w:rFonts w:ascii="仿宋" w:hAnsi="仿宋" w:eastAsia="仿宋"/>
          <w:sz w:val="28"/>
          <w:szCs w:val="28"/>
        </w:rPr>
        <w:t>，视同偏离本项目要求，该</w:t>
      </w:r>
      <w:r>
        <w:rPr>
          <w:rFonts w:hint="eastAsia" w:ascii="仿宋" w:hAnsi="仿宋" w:eastAsia="仿宋"/>
          <w:sz w:val="28"/>
          <w:szCs w:val="28"/>
        </w:rPr>
        <w:t>投标</w:t>
      </w:r>
      <w:r>
        <w:rPr>
          <w:rFonts w:ascii="仿宋" w:hAnsi="仿宋" w:eastAsia="仿宋"/>
          <w:sz w:val="28"/>
          <w:szCs w:val="28"/>
        </w:rPr>
        <w:t>文件不能通过</w:t>
      </w:r>
      <w:r>
        <w:rPr>
          <w:rFonts w:hint="eastAsia" w:ascii="仿宋" w:hAnsi="仿宋" w:eastAsia="仿宋"/>
          <w:sz w:val="28"/>
          <w:szCs w:val="28"/>
        </w:rPr>
        <w:t>不可偏离项检查</w:t>
      </w:r>
      <w:r>
        <w:rPr>
          <w:rFonts w:ascii="仿宋" w:hAnsi="仿宋" w:eastAsia="仿宋"/>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sz w:val="28"/>
          <w:szCs w:val="28"/>
        </w:rPr>
        <w:t xml:space="preserve"> 响应结果优于（或高于）本项目需求的，可在《说明》栏中作出</w:t>
      </w:r>
      <w:r>
        <w:rPr>
          <w:rFonts w:hint="eastAsia" w:ascii="仿宋" w:hAnsi="仿宋" w:eastAsia="仿宋"/>
          <w:sz w:val="28"/>
          <w:szCs w:val="28"/>
        </w:rPr>
        <w:t>优于（或高于）本项目需求的</w:t>
      </w:r>
      <w:r>
        <w:rPr>
          <w:rFonts w:ascii="仿宋" w:hAnsi="仿宋" w:eastAsia="仿宋"/>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8" w:name="_Toc395883088"/>
      <w:bookmarkStart w:id="79" w:name="_Toc236803111"/>
      <w:bookmarkStart w:id="80" w:name="_Toc478387764"/>
      <w:r>
        <w:rPr>
          <w:rFonts w:ascii="仿宋" w:hAnsi="仿宋" w:eastAsia="仿宋"/>
          <w:sz w:val="28"/>
          <w:szCs w:val="28"/>
        </w:rPr>
        <w:br w:type="page"/>
      </w:r>
    </w:p>
    <w:p>
      <w:pPr>
        <w:spacing w:line="0" w:lineRule="atLeast"/>
        <w:outlineLvl w:val="1"/>
        <w:rPr>
          <w:rFonts w:ascii="宋体" w:hAnsi="宋体"/>
          <w:szCs w:val="21"/>
        </w:rPr>
      </w:pPr>
      <w:bookmarkStart w:id="81" w:name="_Toc116550366"/>
      <w:r>
        <w:rPr>
          <w:rFonts w:hint="eastAsia" w:ascii="宋体" w:hAnsi="宋体"/>
          <w:szCs w:val="21"/>
        </w:rPr>
        <w:t>附件7：报价一览表（货物）</w:t>
      </w:r>
      <w:bookmarkEnd w:id="81"/>
      <w:r>
        <w:rPr>
          <w:rFonts w:hint="eastAsia" w:ascii="宋体" w:hAnsi="宋体"/>
          <w:szCs w:val="21"/>
        </w:rPr>
        <w:t>（本项目不适用）</w:t>
      </w:r>
    </w:p>
    <w:bookmarkEnd w:id="78"/>
    <w:bookmarkEnd w:id="79"/>
    <w:bookmarkEnd w:id="80"/>
    <w:p>
      <w:pPr>
        <w:spacing w:before="120" w:after="240"/>
        <w:jc w:val="center"/>
        <w:rPr>
          <w:rFonts w:ascii="宋体" w:hAnsi="宋体"/>
          <w:b/>
          <w:sz w:val="32"/>
          <w:szCs w:val="32"/>
        </w:rPr>
      </w:pPr>
      <w:bookmarkStart w:id="82" w:name="_Toc211248412"/>
      <w:r>
        <w:rPr>
          <w:rFonts w:hint="eastAsia" w:ascii="方正小标宋_GBK" w:hAnsi="方正小标宋_GBK" w:eastAsia="方正小标宋_GBK"/>
          <w:b/>
          <w:sz w:val="32"/>
          <w:szCs w:val="32"/>
        </w:rPr>
        <w:t>报价一览表</w:t>
      </w:r>
      <w:bookmarkEnd w:id="82"/>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  交货期：</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520"/>
        <w:gridCol w:w="894"/>
        <w:gridCol w:w="930"/>
        <w:gridCol w:w="1176"/>
        <w:gridCol w:w="990"/>
        <w:gridCol w:w="885"/>
        <w:gridCol w:w="1050"/>
        <w:gridCol w:w="13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52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89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93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117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最高控制单价（含税）</w:t>
            </w:r>
          </w:p>
        </w:tc>
        <w:tc>
          <w:tcPr>
            <w:tcW w:w="99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税前</w:t>
            </w:r>
          </w:p>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85"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税额</w:t>
            </w:r>
          </w:p>
        </w:tc>
        <w:tc>
          <w:tcPr>
            <w:tcW w:w="10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含税</w:t>
            </w:r>
          </w:p>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130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含税金额小计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spacing w:line="360" w:lineRule="exact"/>
              <w:jc w:val="center"/>
              <w:rPr>
                <w:rFonts w:ascii="仿宋" w:hAnsi="仿宋" w:eastAsia="仿宋"/>
                <w:sz w:val="24"/>
              </w:rPr>
            </w:pPr>
          </w:p>
        </w:tc>
        <w:tc>
          <w:tcPr>
            <w:tcW w:w="1520" w:type="dxa"/>
            <w:vAlign w:val="center"/>
          </w:tcPr>
          <w:p>
            <w:pPr>
              <w:autoSpaceDE w:val="0"/>
              <w:autoSpaceDN w:val="0"/>
              <w:adjustRightInd w:val="0"/>
              <w:spacing w:line="360" w:lineRule="exact"/>
              <w:jc w:val="center"/>
              <w:rPr>
                <w:rFonts w:ascii="仿宋" w:hAnsi="仿宋" w:eastAsia="仿宋"/>
                <w:sz w:val="24"/>
              </w:rPr>
            </w:pPr>
          </w:p>
        </w:tc>
        <w:tc>
          <w:tcPr>
            <w:tcW w:w="894" w:type="dxa"/>
            <w:vAlign w:val="center"/>
          </w:tcPr>
          <w:p>
            <w:pPr>
              <w:autoSpaceDE w:val="0"/>
              <w:autoSpaceDN w:val="0"/>
              <w:adjustRightInd w:val="0"/>
              <w:jc w:val="center"/>
              <w:rPr>
                <w:rFonts w:ascii="仿宋" w:hAnsi="仿宋" w:eastAsia="仿宋"/>
                <w:sz w:val="24"/>
              </w:rPr>
            </w:pPr>
          </w:p>
        </w:tc>
        <w:tc>
          <w:tcPr>
            <w:tcW w:w="930" w:type="dxa"/>
            <w:vAlign w:val="center"/>
          </w:tcPr>
          <w:p>
            <w:pPr>
              <w:autoSpaceDE w:val="0"/>
              <w:autoSpaceDN w:val="0"/>
              <w:adjustRightInd w:val="0"/>
              <w:jc w:val="center"/>
              <w:rPr>
                <w:rFonts w:ascii="仿宋" w:hAnsi="仿宋" w:eastAsia="仿宋"/>
                <w:sz w:val="24"/>
              </w:rPr>
            </w:pPr>
          </w:p>
        </w:tc>
        <w:tc>
          <w:tcPr>
            <w:tcW w:w="1176" w:type="dxa"/>
            <w:vAlign w:val="center"/>
          </w:tcPr>
          <w:p>
            <w:pPr>
              <w:autoSpaceDE w:val="0"/>
              <w:autoSpaceDN w:val="0"/>
              <w:adjustRightInd w:val="0"/>
              <w:jc w:val="center"/>
              <w:rPr>
                <w:rFonts w:ascii="仿宋" w:hAnsi="仿宋" w:eastAsia="仿宋"/>
                <w:sz w:val="24"/>
              </w:rPr>
            </w:pP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spacing w:line="360" w:lineRule="exact"/>
              <w:jc w:val="center"/>
              <w:rPr>
                <w:rFonts w:ascii="仿宋" w:hAnsi="仿宋" w:eastAsia="仿宋"/>
                <w:sz w:val="24"/>
              </w:rPr>
            </w:pPr>
          </w:p>
        </w:tc>
        <w:tc>
          <w:tcPr>
            <w:tcW w:w="1520" w:type="dxa"/>
            <w:vAlign w:val="center"/>
          </w:tcPr>
          <w:p>
            <w:pPr>
              <w:autoSpaceDE w:val="0"/>
              <w:autoSpaceDN w:val="0"/>
              <w:adjustRightInd w:val="0"/>
              <w:spacing w:line="360" w:lineRule="exact"/>
              <w:jc w:val="center"/>
              <w:rPr>
                <w:rFonts w:ascii="仿宋" w:hAnsi="仿宋" w:eastAsia="仿宋"/>
                <w:sz w:val="24"/>
              </w:rPr>
            </w:pPr>
          </w:p>
        </w:tc>
        <w:tc>
          <w:tcPr>
            <w:tcW w:w="894" w:type="dxa"/>
            <w:vAlign w:val="center"/>
          </w:tcPr>
          <w:p>
            <w:pPr>
              <w:autoSpaceDE w:val="0"/>
              <w:autoSpaceDN w:val="0"/>
              <w:adjustRightInd w:val="0"/>
              <w:jc w:val="center"/>
              <w:rPr>
                <w:rFonts w:ascii="仿宋" w:hAnsi="仿宋" w:eastAsia="仿宋"/>
                <w:sz w:val="24"/>
              </w:rPr>
            </w:pPr>
          </w:p>
        </w:tc>
        <w:tc>
          <w:tcPr>
            <w:tcW w:w="930" w:type="dxa"/>
            <w:vAlign w:val="center"/>
          </w:tcPr>
          <w:p>
            <w:pPr>
              <w:autoSpaceDE w:val="0"/>
              <w:autoSpaceDN w:val="0"/>
              <w:adjustRightInd w:val="0"/>
              <w:jc w:val="center"/>
              <w:rPr>
                <w:rFonts w:ascii="仿宋" w:hAnsi="仿宋" w:eastAsia="仿宋"/>
                <w:sz w:val="24"/>
              </w:rPr>
            </w:pPr>
          </w:p>
        </w:tc>
        <w:tc>
          <w:tcPr>
            <w:tcW w:w="1176" w:type="dxa"/>
            <w:vAlign w:val="center"/>
          </w:tcPr>
          <w:p>
            <w:pPr>
              <w:autoSpaceDE w:val="0"/>
              <w:autoSpaceDN w:val="0"/>
              <w:adjustRightInd w:val="0"/>
              <w:jc w:val="center"/>
              <w:rPr>
                <w:rFonts w:ascii="仿宋" w:hAnsi="仿宋" w:eastAsia="仿宋"/>
                <w:sz w:val="24"/>
              </w:rPr>
            </w:pP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4"/>
              </w:rPr>
            </w:pPr>
          </w:p>
        </w:tc>
        <w:tc>
          <w:tcPr>
            <w:tcW w:w="1520" w:type="dxa"/>
            <w:vAlign w:val="center"/>
          </w:tcPr>
          <w:p>
            <w:pPr>
              <w:autoSpaceDE w:val="0"/>
              <w:autoSpaceDN w:val="0"/>
              <w:adjustRightInd w:val="0"/>
              <w:jc w:val="center"/>
              <w:rPr>
                <w:rFonts w:ascii="仿宋" w:hAnsi="仿宋" w:eastAsia="仿宋"/>
                <w:sz w:val="24"/>
              </w:rPr>
            </w:pPr>
          </w:p>
        </w:tc>
        <w:tc>
          <w:tcPr>
            <w:tcW w:w="894" w:type="dxa"/>
            <w:vAlign w:val="center"/>
          </w:tcPr>
          <w:p>
            <w:pPr>
              <w:autoSpaceDE w:val="0"/>
              <w:autoSpaceDN w:val="0"/>
              <w:adjustRightInd w:val="0"/>
              <w:jc w:val="center"/>
              <w:rPr>
                <w:rFonts w:ascii="仿宋" w:hAnsi="仿宋" w:eastAsia="仿宋"/>
                <w:sz w:val="24"/>
              </w:rPr>
            </w:pPr>
          </w:p>
        </w:tc>
        <w:tc>
          <w:tcPr>
            <w:tcW w:w="930" w:type="dxa"/>
            <w:vAlign w:val="center"/>
          </w:tcPr>
          <w:p>
            <w:pPr>
              <w:autoSpaceDE w:val="0"/>
              <w:autoSpaceDN w:val="0"/>
              <w:adjustRightInd w:val="0"/>
              <w:jc w:val="center"/>
              <w:rPr>
                <w:rFonts w:ascii="仿宋" w:hAnsi="仿宋" w:eastAsia="仿宋"/>
                <w:sz w:val="24"/>
              </w:rPr>
            </w:pPr>
          </w:p>
        </w:tc>
        <w:tc>
          <w:tcPr>
            <w:tcW w:w="1176" w:type="dxa"/>
            <w:vAlign w:val="center"/>
          </w:tcPr>
          <w:p>
            <w:pPr>
              <w:autoSpaceDE w:val="0"/>
              <w:autoSpaceDN w:val="0"/>
              <w:adjustRightInd w:val="0"/>
              <w:jc w:val="center"/>
              <w:rPr>
                <w:rFonts w:ascii="仿宋" w:hAnsi="仿宋" w:eastAsia="仿宋"/>
                <w:sz w:val="24"/>
              </w:rPr>
            </w:pP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4"/>
              </w:rPr>
            </w:pPr>
          </w:p>
        </w:tc>
        <w:tc>
          <w:tcPr>
            <w:tcW w:w="1520" w:type="dxa"/>
            <w:vAlign w:val="center"/>
          </w:tcPr>
          <w:p>
            <w:pPr>
              <w:autoSpaceDE w:val="0"/>
              <w:autoSpaceDN w:val="0"/>
              <w:adjustRightInd w:val="0"/>
              <w:jc w:val="center"/>
              <w:rPr>
                <w:rFonts w:ascii="仿宋" w:hAnsi="仿宋" w:eastAsia="仿宋"/>
                <w:sz w:val="24"/>
              </w:rPr>
            </w:pPr>
          </w:p>
        </w:tc>
        <w:tc>
          <w:tcPr>
            <w:tcW w:w="894" w:type="dxa"/>
            <w:vAlign w:val="center"/>
          </w:tcPr>
          <w:p>
            <w:pPr>
              <w:autoSpaceDE w:val="0"/>
              <w:autoSpaceDN w:val="0"/>
              <w:adjustRightInd w:val="0"/>
              <w:jc w:val="center"/>
              <w:rPr>
                <w:rFonts w:ascii="仿宋" w:hAnsi="仿宋" w:eastAsia="仿宋"/>
                <w:sz w:val="24"/>
              </w:rPr>
            </w:pPr>
          </w:p>
        </w:tc>
        <w:tc>
          <w:tcPr>
            <w:tcW w:w="930" w:type="dxa"/>
            <w:vAlign w:val="center"/>
          </w:tcPr>
          <w:p>
            <w:pPr>
              <w:autoSpaceDE w:val="0"/>
              <w:autoSpaceDN w:val="0"/>
              <w:adjustRightInd w:val="0"/>
              <w:jc w:val="center"/>
              <w:rPr>
                <w:rFonts w:ascii="仿宋" w:hAnsi="仿宋" w:eastAsia="仿宋"/>
                <w:sz w:val="24"/>
              </w:rPr>
            </w:pPr>
          </w:p>
        </w:tc>
        <w:tc>
          <w:tcPr>
            <w:tcW w:w="1176" w:type="dxa"/>
            <w:vAlign w:val="center"/>
          </w:tcPr>
          <w:p>
            <w:pPr>
              <w:autoSpaceDE w:val="0"/>
              <w:autoSpaceDN w:val="0"/>
              <w:adjustRightInd w:val="0"/>
              <w:jc w:val="center"/>
              <w:rPr>
                <w:rFonts w:ascii="仿宋" w:hAnsi="仿宋" w:eastAsia="仿宋"/>
                <w:sz w:val="24"/>
              </w:rPr>
            </w:pP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4"/>
              </w:rPr>
            </w:pPr>
          </w:p>
        </w:tc>
        <w:tc>
          <w:tcPr>
            <w:tcW w:w="1520" w:type="dxa"/>
            <w:vAlign w:val="center"/>
          </w:tcPr>
          <w:p>
            <w:pPr>
              <w:autoSpaceDE w:val="0"/>
              <w:autoSpaceDN w:val="0"/>
              <w:adjustRightInd w:val="0"/>
              <w:jc w:val="center"/>
              <w:rPr>
                <w:rFonts w:ascii="仿宋" w:hAnsi="仿宋" w:eastAsia="仿宋"/>
                <w:sz w:val="24"/>
              </w:rPr>
            </w:pPr>
          </w:p>
        </w:tc>
        <w:tc>
          <w:tcPr>
            <w:tcW w:w="894" w:type="dxa"/>
            <w:vAlign w:val="center"/>
          </w:tcPr>
          <w:p>
            <w:pPr>
              <w:autoSpaceDE w:val="0"/>
              <w:autoSpaceDN w:val="0"/>
              <w:adjustRightInd w:val="0"/>
              <w:jc w:val="center"/>
              <w:rPr>
                <w:rFonts w:ascii="仿宋" w:hAnsi="仿宋" w:eastAsia="仿宋"/>
                <w:sz w:val="24"/>
              </w:rPr>
            </w:pPr>
          </w:p>
        </w:tc>
        <w:tc>
          <w:tcPr>
            <w:tcW w:w="930" w:type="dxa"/>
            <w:vAlign w:val="center"/>
          </w:tcPr>
          <w:p>
            <w:pPr>
              <w:autoSpaceDE w:val="0"/>
              <w:autoSpaceDN w:val="0"/>
              <w:adjustRightInd w:val="0"/>
              <w:jc w:val="center"/>
              <w:rPr>
                <w:rFonts w:ascii="仿宋" w:hAnsi="仿宋" w:eastAsia="仿宋"/>
                <w:sz w:val="24"/>
              </w:rPr>
            </w:pPr>
          </w:p>
        </w:tc>
        <w:tc>
          <w:tcPr>
            <w:tcW w:w="1176" w:type="dxa"/>
            <w:vAlign w:val="center"/>
          </w:tcPr>
          <w:p>
            <w:pPr>
              <w:autoSpaceDE w:val="0"/>
              <w:autoSpaceDN w:val="0"/>
              <w:adjustRightInd w:val="0"/>
              <w:jc w:val="center"/>
              <w:rPr>
                <w:rFonts w:ascii="仿宋" w:hAnsi="仿宋" w:eastAsia="仿宋"/>
                <w:sz w:val="24"/>
              </w:rPr>
            </w:pPr>
          </w:p>
        </w:tc>
        <w:tc>
          <w:tcPr>
            <w:tcW w:w="990" w:type="dxa"/>
            <w:vAlign w:val="center"/>
          </w:tcPr>
          <w:p>
            <w:pPr>
              <w:autoSpaceDE w:val="0"/>
              <w:autoSpaceDN w:val="0"/>
              <w:adjustRightInd w:val="0"/>
              <w:jc w:val="center"/>
              <w:rPr>
                <w:rFonts w:ascii="仿宋" w:hAnsi="仿宋" w:eastAsia="仿宋"/>
                <w:sz w:val="24"/>
              </w:rPr>
            </w:pPr>
          </w:p>
        </w:tc>
        <w:tc>
          <w:tcPr>
            <w:tcW w:w="885" w:type="dxa"/>
            <w:vAlign w:val="center"/>
          </w:tcPr>
          <w:p>
            <w:pPr>
              <w:autoSpaceDE w:val="0"/>
              <w:autoSpaceDN w:val="0"/>
              <w:adjustRightInd w:val="0"/>
              <w:jc w:val="center"/>
              <w:rPr>
                <w:rFonts w:ascii="仿宋" w:hAnsi="仿宋" w:eastAsia="仿宋"/>
                <w:sz w:val="24"/>
              </w:rPr>
            </w:pPr>
          </w:p>
        </w:tc>
        <w:tc>
          <w:tcPr>
            <w:tcW w:w="1050" w:type="dxa"/>
            <w:vAlign w:val="center"/>
          </w:tcPr>
          <w:p>
            <w:pPr>
              <w:autoSpaceDE w:val="0"/>
              <w:autoSpaceDN w:val="0"/>
              <w:adjustRightInd w:val="0"/>
              <w:jc w:val="center"/>
              <w:rPr>
                <w:rFonts w:ascii="仿宋" w:hAnsi="仿宋" w:eastAsia="仿宋"/>
                <w:sz w:val="24"/>
              </w:rPr>
            </w:pPr>
          </w:p>
        </w:tc>
        <w:tc>
          <w:tcPr>
            <w:tcW w:w="1306" w:type="dxa"/>
            <w:vAlign w:val="center"/>
          </w:tcPr>
          <w:p>
            <w:pPr>
              <w:autoSpaceDE w:val="0"/>
              <w:autoSpaceDN w:val="0"/>
              <w:adjustRightInd w:val="0"/>
              <w:jc w:val="center"/>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4"/>
              </w:rPr>
            </w:pPr>
          </w:p>
        </w:tc>
        <w:tc>
          <w:tcPr>
            <w:tcW w:w="1520" w:type="dxa"/>
            <w:vAlign w:val="center"/>
          </w:tcPr>
          <w:p>
            <w:pPr>
              <w:autoSpaceDE w:val="0"/>
              <w:autoSpaceDN w:val="0"/>
              <w:adjustRightInd w:val="0"/>
              <w:rPr>
                <w:rFonts w:ascii="仿宋" w:hAnsi="仿宋" w:eastAsia="仿宋"/>
                <w:sz w:val="24"/>
              </w:rPr>
            </w:pPr>
          </w:p>
        </w:tc>
        <w:tc>
          <w:tcPr>
            <w:tcW w:w="894" w:type="dxa"/>
            <w:vAlign w:val="center"/>
          </w:tcPr>
          <w:p>
            <w:pPr>
              <w:autoSpaceDE w:val="0"/>
              <w:autoSpaceDN w:val="0"/>
              <w:adjustRightInd w:val="0"/>
              <w:rPr>
                <w:rFonts w:ascii="仿宋" w:hAnsi="仿宋" w:eastAsia="仿宋"/>
                <w:sz w:val="24"/>
              </w:rPr>
            </w:pPr>
          </w:p>
        </w:tc>
        <w:tc>
          <w:tcPr>
            <w:tcW w:w="930" w:type="dxa"/>
            <w:vAlign w:val="center"/>
          </w:tcPr>
          <w:p>
            <w:pPr>
              <w:autoSpaceDE w:val="0"/>
              <w:autoSpaceDN w:val="0"/>
              <w:adjustRightInd w:val="0"/>
              <w:rPr>
                <w:rFonts w:ascii="仿宋" w:hAnsi="仿宋" w:eastAsia="仿宋"/>
                <w:sz w:val="24"/>
              </w:rPr>
            </w:pPr>
          </w:p>
        </w:tc>
        <w:tc>
          <w:tcPr>
            <w:tcW w:w="1176" w:type="dxa"/>
            <w:vAlign w:val="center"/>
          </w:tcPr>
          <w:p>
            <w:pPr>
              <w:autoSpaceDE w:val="0"/>
              <w:autoSpaceDN w:val="0"/>
              <w:adjustRightInd w:val="0"/>
              <w:rPr>
                <w:rFonts w:ascii="仿宋" w:hAnsi="仿宋" w:eastAsia="仿宋"/>
                <w:sz w:val="24"/>
              </w:rPr>
            </w:pPr>
          </w:p>
        </w:tc>
        <w:tc>
          <w:tcPr>
            <w:tcW w:w="990" w:type="dxa"/>
            <w:vAlign w:val="center"/>
          </w:tcPr>
          <w:p>
            <w:pPr>
              <w:autoSpaceDE w:val="0"/>
              <w:autoSpaceDN w:val="0"/>
              <w:adjustRightInd w:val="0"/>
              <w:rPr>
                <w:rFonts w:ascii="仿宋" w:hAnsi="仿宋" w:eastAsia="仿宋"/>
                <w:sz w:val="24"/>
              </w:rPr>
            </w:pPr>
          </w:p>
        </w:tc>
        <w:tc>
          <w:tcPr>
            <w:tcW w:w="885" w:type="dxa"/>
            <w:vAlign w:val="center"/>
          </w:tcPr>
          <w:p>
            <w:pPr>
              <w:autoSpaceDE w:val="0"/>
              <w:autoSpaceDN w:val="0"/>
              <w:adjustRightInd w:val="0"/>
              <w:rPr>
                <w:rFonts w:ascii="仿宋" w:hAnsi="仿宋" w:eastAsia="仿宋"/>
                <w:sz w:val="24"/>
              </w:rPr>
            </w:pPr>
          </w:p>
        </w:tc>
        <w:tc>
          <w:tcPr>
            <w:tcW w:w="1050" w:type="dxa"/>
            <w:vAlign w:val="center"/>
          </w:tcPr>
          <w:p>
            <w:pPr>
              <w:autoSpaceDE w:val="0"/>
              <w:autoSpaceDN w:val="0"/>
              <w:adjustRightInd w:val="0"/>
              <w:rPr>
                <w:rFonts w:ascii="仿宋" w:hAnsi="仿宋" w:eastAsia="仿宋"/>
                <w:sz w:val="24"/>
              </w:rPr>
            </w:pPr>
          </w:p>
        </w:tc>
        <w:tc>
          <w:tcPr>
            <w:tcW w:w="1306" w:type="dxa"/>
            <w:vAlign w:val="center"/>
          </w:tcPr>
          <w:p>
            <w:pPr>
              <w:autoSpaceDE w:val="0"/>
              <w:autoSpaceDN w:val="0"/>
              <w:adjustRightInd w:val="0"/>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028" w:type="dxa"/>
            <w:gridSpan w:val="8"/>
            <w:vAlign w:val="center"/>
          </w:tcPr>
          <w:p>
            <w:pPr>
              <w:autoSpaceDE w:val="0"/>
              <w:autoSpaceDN w:val="0"/>
              <w:adjustRightInd w:val="0"/>
              <w:jc w:val="right"/>
              <w:rPr>
                <w:rFonts w:ascii="仿宋" w:hAnsi="仿宋" w:eastAsia="仿宋"/>
                <w:sz w:val="24"/>
              </w:rPr>
            </w:pPr>
            <w:r>
              <w:rPr>
                <w:rFonts w:hint="eastAsia" w:ascii="仿宋" w:hAnsi="仿宋" w:eastAsia="仿宋"/>
                <w:sz w:val="28"/>
                <w:szCs w:val="28"/>
              </w:rPr>
              <w:t>含税金额合计：</w:t>
            </w:r>
          </w:p>
        </w:tc>
        <w:tc>
          <w:tcPr>
            <w:tcW w:w="1306" w:type="dxa"/>
            <w:vAlign w:val="center"/>
          </w:tcPr>
          <w:p>
            <w:pPr>
              <w:autoSpaceDE w:val="0"/>
              <w:autoSpaceDN w:val="0"/>
              <w:adjustRightInd w:val="0"/>
              <w:jc w:val="right"/>
              <w:rPr>
                <w:rFonts w:ascii="仿宋" w:hAnsi="仿宋" w:eastAsia="仿宋"/>
                <w:sz w:val="24"/>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36"/>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36"/>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3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3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sz w:val="28"/>
          <w:szCs w:val="28"/>
        </w:rPr>
      </w:pPr>
      <w:bookmarkStart w:id="83" w:name="_Toc82359026"/>
      <w:bookmarkStart w:id="84"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3"/>
    <w:bookmarkEnd w:id="84"/>
    <w:p>
      <w:pPr>
        <w:spacing w:line="0" w:lineRule="atLeast"/>
        <w:outlineLvl w:val="1"/>
        <w:rPr>
          <w:rFonts w:ascii="宋体" w:hAnsi="宋体"/>
          <w:szCs w:val="21"/>
        </w:rPr>
      </w:pPr>
      <w:bookmarkStart w:id="85" w:name="_Toc116550367"/>
      <w:r>
        <w:rPr>
          <w:rFonts w:hint="eastAsia" w:ascii="宋体" w:hAnsi="宋体"/>
          <w:szCs w:val="21"/>
        </w:rPr>
        <w:t>附件8：报价一览表（服务）</w:t>
      </w:r>
      <w:bookmarkEnd w:id="85"/>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993"/>
        <w:gridCol w:w="517"/>
        <w:gridCol w:w="1182"/>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数量</w:t>
            </w:r>
          </w:p>
        </w:tc>
        <w:tc>
          <w:tcPr>
            <w:tcW w:w="993"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未税</w:t>
            </w:r>
          </w:p>
          <w:p>
            <w:pPr>
              <w:spacing w:line="320" w:lineRule="exact"/>
              <w:jc w:val="center"/>
              <w:rPr>
                <w:rFonts w:ascii="仿宋" w:hAnsi="仿宋" w:eastAsia="仿宋"/>
                <w:sz w:val="28"/>
                <w:szCs w:val="28"/>
              </w:rPr>
            </w:pPr>
            <w:r>
              <w:rPr>
                <w:rFonts w:hint="eastAsia" w:ascii="仿宋" w:hAnsi="仿宋" w:eastAsia="仿宋"/>
                <w:sz w:val="28"/>
                <w:szCs w:val="28"/>
              </w:rPr>
              <w:t>单价</w:t>
            </w:r>
          </w:p>
        </w:tc>
        <w:tc>
          <w:tcPr>
            <w:tcW w:w="5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税额</w:t>
            </w:r>
          </w:p>
        </w:tc>
        <w:tc>
          <w:tcPr>
            <w:tcW w:w="1182"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含税</w:t>
            </w:r>
          </w:p>
          <w:p>
            <w:pPr>
              <w:spacing w:line="320" w:lineRule="exact"/>
              <w:jc w:val="center"/>
              <w:rPr>
                <w:rFonts w:ascii="仿宋" w:hAnsi="仿宋" w:eastAsia="仿宋"/>
                <w:sz w:val="28"/>
                <w:szCs w:val="28"/>
              </w:rPr>
            </w:pPr>
            <w:r>
              <w:rPr>
                <w:rFonts w:hint="eastAsia" w:ascii="仿宋" w:hAnsi="仿宋" w:eastAsia="仿宋"/>
                <w:sz w:val="28"/>
                <w:szCs w:val="28"/>
              </w:rPr>
              <w:t>单价</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含税金额小计</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1</w:t>
            </w:r>
          </w:p>
        </w:tc>
        <w:tc>
          <w:tcPr>
            <w:tcW w:w="186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鸡尾酒会</w:t>
            </w:r>
          </w:p>
        </w:tc>
        <w:tc>
          <w:tcPr>
            <w:tcW w:w="155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300人/场</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场</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1</w:t>
            </w:r>
          </w:p>
        </w:tc>
        <w:tc>
          <w:tcPr>
            <w:tcW w:w="993"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p>
        </w:tc>
        <w:tc>
          <w:tcPr>
            <w:tcW w:w="517"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82"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8"/>
                <w:szCs w:val="28"/>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2</w:t>
            </w:r>
          </w:p>
        </w:tc>
        <w:tc>
          <w:tcPr>
            <w:tcW w:w="186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赞助商晚宴</w:t>
            </w:r>
          </w:p>
        </w:tc>
        <w:tc>
          <w:tcPr>
            <w:tcW w:w="155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600人/场</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场</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1</w:t>
            </w:r>
          </w:p>
        </w:tc>
        <w:tc>
          <w:tcPr>
            <w:tcW w:w="993"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p>
        </w:tc>
        <w:tc>
          <w:tcPr>
            <w:tcW w:w="517"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82"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8"/>
                <w:szCs w:val="28"/>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3</w:t>
            </w:r>
          </w:p>
        </w:tc>
        <w:tc>
          <w:tcPr>
            <w:tcW w:w="186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自助午餐</w:t>
            </w:r>
          </w:p>
        </w:tc>
        <w:tc>
          <w:tcPr>
            <w:tcW w:w="155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1800人/场</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场</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1</w:t>
            </w:r>
          </w:p>
        </w:tc>
        <w:tc>
          <w:tcPr>
            <w:tcW w:w="993"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p>
        </w:tc>
        <w:tc>
          <w:tcPr>
            <w:tcW w:w="517"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82"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8"/>
                <w:szCs w:val="28"/>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4</w:t>
            </w:r>
          </w:p>
        </w:tc>
        <w:tc>
          <w:tcPr>
            <w:tcW w:w="186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商务简餐</w:t>
            </w:r>
          </w:p>
        </w:tc>
        <w:tc>
          <w:tcPr>
            <w:tcW w:w="155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650人/场</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场</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1</w:t>
            </w:r>
          </w:p>
        </w:tc>
        <w:tc>
          <w:tcPr>
            <w:tcW w:w="993"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p>
        </w:tc>
        <w:tc>
          <w:tcPr>
            <w:tcW w:w="517"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82"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8"/>
                <w:szCs w:val="28"/>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5</w:t>
            </w:r>
          </w:p>
        </w:tc>
        <w:tc>
          <w:tcPr>
            <w:tcW w:w="186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茶歇</w:t>
            </w:r>
          </w:p>
        </w:tc>
        <w:tc>
          <w:tcPr>
            <w:tcW w:w="1559"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 w:hAnsi="仿宋" w:eastAsia="仿宋"/>
                <w:sz w:val="28"/>
                <w:szCs w:val="28"/>
              </w:rPr>
            </w:pPr>
            <w:r>
              <w:rPr>
                <w:rFonts w:hint="eastAsia" w:ascii="仿宋" w:hAnsi="仿宋" w:eastAsia="仿宋"/>
                <w:sz w:val="28"/>
                <w:szCs w:val="28"/>
              </w:rPr>
              <w:t>2450人/场</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场</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sz w:val="28"/>
                <w:szCs w:val="28"/>
              </w:rPr>
              <w:t>1</w:t>
            </w:r>
          </w:p>
        </w:tc>
        <w:tc>
          <w:tcPr>
            <w:tcW w:w="993"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28"/>
                <w:szCs w:val="28"/>
              </w:rPr>
            </w:pPr>
          </w:p>
        </w:tc>
        <w:tc>
          <w:tcPr>
            <w:tcW w:w="517"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82" w:type="dxa"/>
            <w:tcBorders>
              <w:top w:val="single" w:color="auto" w:sz="6" w:space="0"/>
              <w:left w:val="single" w:color="auto" w:sz="4" w:space="0"/>
              <w:bottom w:val="single" w:color="auto" w:sz="6" w:space="0"/>
              <w:right w:val="single" w:color="auto" w:sz="4" w:space="0"/>
            </w:tcBorders>
          </w:tcPr>
          <w:p>
            <w:pPr>
              <w:spacing w:line="320" w:lineRule="exact"/>
              <w:jc w:val="center"/>
              <w:rPr>
                <w:rFonts w:ascii="仿宋" w:hAnsi="仿宋" w:eastAsia="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28"/>
                <w:szCs w:val="28"/>
              </w:rPr>
            </w:pPr>
          </w:p>
        </w:tc>
      </w:tr>
      <w:tr>
        <w:tblPrEx>
          <w:tblCellMar>
            <w:top w:w="0" w:type="dxa"/>
            <w:left w:w="42" w:type="dxa"/>
            <w:bottom w:w="0" w:type="dxa"/>
            <w:right w:w="42" w:type="dxa"/>
          </w:tblCellMar>
        </w:tblPrEx>
        <w:trPr>
          <w:cantSplit/>
          <w:trHeight w:val="340" w:hRule="atLeast"/>
        </w:trPr>
        <w:tc>
          <w:tcPr>
            <w:tcW w:w="8122" w:type="dxa"/>
            <w:gridSpan w:val="8"/>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28"/>
                <w:szCs w:val="28"/>
              </w:rPr>
            </w:pPr>
            <w:r>
              <w:rPr>
                <w:rFonts w:hint="eastAsia" w:ascii="仿宋" w:hAnsi="仿宋" w:eastAsia="仿宋"/>
                <w:sz w:val="28"/>
                <w:szCs w:val="28"/>
              </w:rPr>
              <w:t>未税金额合计：</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r>
      <w:tr>
        <w:tblPrEx>
          <w:tblCellMar>
            <w:top w:w="0" w:type="dxa"/>
            <w:left w:w="42" w:type="dxa"/>
            <w:bottom w:w="0" w:type="dxa"/>
            <w:right w:w="42" w:type="dxa"/>
          </w:tblCellMar>
        </w:tblPrEx>
        <w:trPr>
          <w:cantSplit/>
          <w:trHeight w:val="340" w:hRule="atLeast"/>
        </w:trPr>
        <w:tc>
          <w:tcPr>
            <w:tcW w:w="8122" w:type="dxa"/>
            <w:gridSpan w:val="8"/>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28"/>
                <w:szCs w:val="28"/>
              </w:rPr>
            </w:pPr>
            <w:r>
              <w:rPr>
                <w:rFonts w:hint="eastAsia" w:ascii="仿宋" w:hAnsi="仿宋" w:eastAsia="仿宋"/>
                <w:sz w:val="28"/>
                <w:szCs w:val="28"/>
              </w:rPr>
              <w:t>含税金额合计：</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37"/>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37"/>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37"/>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6" w:name="_Toc116550368"/>
      <w:r>
        <w:rPr>
          <w:rFonts w:hint="eastAsia" w:ascii="宋体" w:hAnsi="宋体"/>
          <w:szCs w:val="21"/>
        </w:rPr>
        <w:t>附件9：报价一览表（工程）</w:t>
      </w:r>
      <w:bookmarkEnd w:id="86"/>
      <w:r>
        <w:rPr>
          <w:rFonts w:hint="eastAsia" w:ascii="宋体" w:hAnsi="宋体"/>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38"/>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38"/>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38"/>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38"/>
        </w:numPr>
        <w:spacing w:line="400" w:lineRule="exact"/>
        <w:ind w:firstLineChars="0"/>
        <w:rPr>
          <w:rFonts w:ascii="仿宋_GB2312" w:hAnsi="宋体" w:eastAsia="仿宋_GB2312"/>
          <w:sz w:val="28"/>
          <w:szCs w:val="28"/>
        </w:rPr>
      </w:pPr>
      <w:r>
        <w:rPr>
          <w:rFonts w:hint="eastAsia" w:ascii="仿宋" w:hAnsi="仿宋" w:eastAsia="仿宋"/>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p>
    <w:p>
      <w:pPr>
        <w:spacing w:line="360" w:lineRule="auto"/>
        <w:rPr>
          <w:rFonts w:ascii="仿宋" w:hAnsi="仿宋" w:eastAsia="仿宋"/>
          <w:sz w:val="28"/>
          <w:szCs w:val="28"/>
        </w:rPr>
      </w:pPr>
      <w:r>
        <w:rPr>
          <w:rFonts w:hint="eastAsia" w:ascii="仿宋" w:hAnsi="仿宋" w:eastAsia="仿宋"/>
          <w:sz w:val="28"/>
          <w:szCs w:val="28"/>
        </w:rPr>
        <w:t>投标人（盖章）：</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7" w:name="_Toc116550369"/>
      <w:r>
        <w:rPr>
          <w:rFonts w:hint="eastAsia" w:ascii="宋体" w:hAnsi="宋体"/>
          <w:szCs w:val="21"/>
        </w:rPr>
        <w:t>附件10：法定代表人证明书</w:t>
      </w:r>
      <w:bookmarkEnd w:id="8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ind w:left="165" w:hanging="165"/>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ind w:left="165" w:hanging="165"/>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ind w:left="165" w:hanging="165"/>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ind w:left="165" w:hanging="165"/>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ind w:left="165" w:hanging="165"/>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left="165" w:hanging="165"/>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194" w:leftChars="-171" w:hanging="165"/>
        <w:rPr>
          <w:rFonts w:ascii="仿宋" w:hAnsi="仿宋" w:eastAsia="仿宋"/>
          <w:sz w:val="28"/>
          <w:szCs w:val="28"/>
        </w:rPr>
      </w:pPr>
      <w:r>
        <w:rPr>
          <w:rFonts w:hint="eastAsia" w:ascii="仿宋" w:hAnsi="仿宋" w:eastAsia="仿宋"/>
          <w:sz w:val="28"/>
          <w:szCs w:val="28"/>
        </w:rPr>
        <w:t>说明：</w:t>
      </w:r>
    </w:p>
    <w:p>
      <w:pPr>
        <w:pStyle w:val="25"/>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5"/>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5"/>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left="165" w:hanging="165"/>
        <w:rPr>
          <w:rFonts w:ascii="仿宋" w:hAnsi="仿宋" w:eastAsia="仿宋"/>
          <w:color w:val="000000"/>
          <w:sz w:val="28"/>
          <w:szCs w:val="28"/>
        </w:rPr>
      </w:pPr>
    </w:p>
    <w:p>
      <w:pPr>
        <w:snapToGrid w:val="0"/>
        <w:spacing w:line="288" w:lineRule="auto"/>
        <w:ind w:left="165" w:hanging="165"/>
        <w:rPr>
          <w:rFonts w:ascii="仿宋" w:hAnsi="仿宋" w:eastAsia="仿宋"/>
          <w:color w:val="000000"/>
          <w:sz w:val="28"/>
          <w:szCs w:val="28"/>
        </w:rPr>
      </w:pP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w:pict>
          <v:shape id="Text Box 2" o:spid="_x0000_s1026" o:spt="202" type="#_x0000_t202" style="position:absolute;left:0pt;margin-left:213pt;margin-top:20.1pt;height:126.75pt;width:198.25pt;z-index:251660288;mso-width-relative:page;mso-height-relative:page;"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OF6TTNgIAAJU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QlR5Ymd&#10;8k30JcZG7uKwHaZ2bKF5JCIRxmmmXSahA/zBWU+TXPPwfS9QcWY+OmrG+XyxSKOflcVyVZKCx5bt&#10;sUU4SVA1j5yN4lUc12XvUe86ijS238ElNbDVmdqU6pjV1Haa1sz4tFlpHY717PXrb7L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yXLzaAAAACgEAAA8AAAAAAAAAAQAgAAAAIgAAAGRycy9kb3du&#10;cmV2LnhtbFBLAQIUABQAAAAIAIdO4kAOF6TTNgIAAJUEAAAOAAAAAAAAAAEAIAAAACkBAABkcnMv&#10;ZTJvRG9jLnhtbFBLBQYAAAAABgAGAFkBAADRBQAAAAA=&#10;">
            <v:path/>
            <v:fill focussize="0,0"/>
            <v:stroke joinstyle="miter"/>
            <v:imagedata o:title=""/>
            <o:lock v:ext="edit"/>
            <v:textbox>
              <w:txbxContent>
                <w:p>
                  <w:r>
                    <w:rPr>
                      <w:rFonts w:hint="eastAsia"/>
                    </w:rPr>
                    <w:t>法人身份证</w:t>
                  </w:r>
                  <w:r>
                    <w:t>复印件</w:t>
                  </w:r>
                  <w:r>
                    <w:rPr>
                      <w:rFonts w:hint="eastAsia"/>
                    </w:rPr>
                    <w:t>（正面）</w:t>
                  </w:r>
                </w:p>
              </w:txbxContent>
            </v:textbox>
          </v:shape>
        </w:pict>
      </w:r>
      <w:r>
        <w:rPr>
          <w:rFonts w:ascii="仿宋_GB2312" w:hAnsi="宋体" w:eastAsia="仿宋_GB2312"/>
          <w:b/>
          <w:color w:val="000000"/>
        </w:rPr>
        <w:pict>
          <v:shape id="Text Box 3" o:spid="_x0000_s1029" o:spt="202" type="#_x0000_t202" style="position:absolute;left:0pt;margin-left:-7.5pt;margin-top:20.15pt;height:126.75pt;width:201.25pt;z-index:251661312;mso-width-relative:page;mso-height-relative:page;"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y2dm4TYCAACVBAAADgAAAGRycy9lMm9Eb2MueG1s&#10;rVTbbtswDH0fsH8Q9L46yeJejDhF16LDgK4b0O4DFFmOhUmiRimxu68fJbtZ0A1DH+YHQZSow8ND&#10;0qvLwRq2Vxg0uJrPT2acKSeh0W5b82+Pt+/OOQtRuEYYcKrmTyrwy/XbN6veV2oBHZhGISMQF6re&#10;17yL0VdFEWSnrAgn4JWjyxbQikgmbosGRU/o1hSL2ey06AEbjyBVCHR6M17yCRFfAwhtq6W6Abmz&#10;ysURFZURkVIKnfaBrzPbtlUyfmnboCIzNadMY14pCO03aS3WK1FtUfhOy4mCeA2FFzlZoR0FPUDd&#10;iCjYDvUfUFZLhABtPJFgizGRrAhlMZ+90OahE17lXEjq4A+ih/8HK+/3X5HphjqBMycsFfxRDZF9&#10;gIG9T+r0PlTk9ODJLQ50nDxTpsHfgfwemIPrTritukKEvlOiIXbz9LI4ejrihASy6T9DQ2HELkIG&#10;Glq0CZDEYIROlXk6VCZRkXS4KMvy/KzkTNLd/HR2cbYocwxRPT/3GOJHBZalTc2RSp/hxf4uxERH&#10;VM8umT4Y3dxqY7KB2821QbYX1Ca3+ZvQw7Gbcayv+UVJsf8NMcvf3yCsjjQ9Rtuanx87GZcQVe7Y&#10;iW+SLyk2aheHzTCVYwPNEwmJMHYzzTJtOsCfnPXUyTUPP3YCFWfmk6NiXMyXy9T62ViWZwsy8Phm&#10;c3wjnCSomkfOxu11HMdl51FvO4o0lt/BFRWw1VnaRHVkNZWdujUrPk1WGodjO3v9/p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E5gy2wAAAAoBAAAPAAAAAAAAAAEAIAAAACIAAABkcnMvZG93&#10;bnJldi54bWxQSwECFAAUAAAACACHTuJAy2dm4TYCAACVBAAADgAAAAAAAAABACAAAAAqAQAAZHJz&#10;L2Uyb0RvYy54bWxQSwUGAAAAAAYABgBZAQAA0gUAAAAA&#10;">
            <v:path/>
            <v:fill focussize="0,0"/>
            <v:stroke joinstyle="miter"/>
            <v:imagedata o:title=""/>
            <o:lock v:ext="edit"/>
            <v:textbox>
              <w:txbxContent>
                <w:p>
                  <w:r>
                    <w:rPr>
                      <w:rFonts w:hint="eastAsia"/>
                    </w:rPr>
                    <w:t>法人身份证</w:t>
                  </w:r>
                  <w:r>
                    <w:t>复印件</w:t>
                  </w:r>
                  <w:r>
                    <w:rPr>
                      <w:rFonts w:hint="eastAsia"/>
                    </w:rPr>
                    <w:t>（反面）或护照复印件</w:t>
                  </w:r>
                </w:p>
                <w:p/>
              </w:txbxContent>
            </v:textbox>
          </v:shape>
        </w:pict>
      </w:r>
      <w:r>
        <w:rPr>
          <w:rFonts w:ascii="仿宋_GB2312" w:hAnsi="宋体" w:eastAsia="仿宋_GB2312"/>
          <w:b/>
          <w:color w:val="000000"/>
        </w:rPr>
        <w:br w:type="page"/>
      </w:r>
    </w:p>
    <w:p>
      <w:pPr>
        <w:spacing w:line="0" w:lineRule="atLeast"/>
        <w:outlineLvl w:val="1"/>
        <w:rPr>
          <w:rFonts w:ascii="宋体" w:hAnsi="宋体"/>
          <w:szCs w:val="21"/>
        </w:rPr>
      </w:pPr>
      <w:bookmarkStart w:id="88"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8"/>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ind w:left="165" w:hanging="165"/>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ind w:left="165" w:hanging="165"/>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ind w:left="165" w:hanging="165"/>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ind w:left="177" w:hanging="177"/>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ind w:left="165" w:hanging="165"/>
        <w:rPr>
          <w:rFonts w:ascii="仿宋" w:hAnsi="仿宋" w:eastAsia="仿宋"/>
          <w:color w:val="000000"/>
          <w:sz w:val="28"/>
          <w:szCs w:val="28"/>
        </w:rPr>
      </w:pPr>
      <w:r>
        <w:rPr>
          <w:rFonts w:ascii="仿宋" w:hAnsi="仿宋" w:eastAsia="仿宋"/>
          <w:color w:val="000000"/>
          <w:sz w:val="28"/>
          <w:szCs w:val="28"/>
        </w:rPr>
        <w:t>说明：</w:t>
      </w:r>
    </w:p>
    <w:p>
      <w:pPr>
        <w:pStyle w:val="25"/>
        <w:numPr>
          <w:ilvl w:val="1"/>
          <w:numId w:val="40"/>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5"/>
        <w:numPr>
          <w:ilvl w:val="1"/>
          <w:numId w:val="40"/>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5"/>
        <w:numPr>
          <w:ilvl w:val="1"/>
          <w:numId w:val="40"/>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w:pict>
          <v:shape id="_x0000_s1028" o:spid="_x0000_s1028" o:spt="202" type="#_x0000_t202" style="position:absolute;left:0pt;margin-left:0pt;margin-top:16.7pt;height:126.75pt;width:201.25pt;z-index:251663360;mso-width-relative:page;mso-height-relative:page;"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QXLEbPgIAAJ4EAAAOAAAAZHJzL2Uyb0RvYy54bWytVNtu&#10;2zAMfR+wfxD0vtjx4jYx4hRdig4DugvQ7gMUWY6FSaImKbG7rx8lu1nWDUMf5gdBlKjDw0PS66tB&#10;K3IUzkswNZ3PckqE4dBIs6/p14fbN0tKfGCmYQqMqOmj8PRq8/rVureVKKAD1QhHEMT4qrc17UKw&#10;VZZ53gnN/AysMHjZgtMsoOn2WeNYj+haZUWeX2Q9uMY64MJ7PL0ZL+mE6F4CCG0rubgBftDChBHV&#10;CcUCpuQ7aT3dJLZtK3j43LZeBKJqipmGtGIQ3O/imm3WrNo7ZjvJJwrsJRSe5aSZNBj0BHXDAiMH&#10;J/+A0pI78NCGGQedjYkkRTCLef5Mm/uOWZFyQam9PYnu/x8s/3T84ohssBMWq2J1kS+WKI1hGiv/&#10;IIZA3sFA3kaZeusr9L636B8GPMYnKWVv74B/88TAtmNmL66dg74TrEGa8/gyO3s64vgIsus/QoNh&#10;2CFAAhpap6OGqApBdOTxeCpRpMLxsCjLcnlZUsLxbn6Rry6LMsVg1dNz63x4L0CTuKmpwx5I8Ox4&#10;50Okw6onlxjNg5LNrVQqGW6/2ypHjgz75TZ9E/pvbsqQvqarEmP/GyJP398gtAw4Rkrqmi7PnZSJ&#10;iCK17sQ3yhcVG7ULw26YyrGD5hGFdDC2NQ41bjpwPyjpsaVr6r8fmBOUqA8Gi7GaLxZxBpKxKC8L&#10;NNz5ze78hhmOUDUNlIzbbRjn5mCd3HcYaSy/gWssYCuTtJHqyGoqO7ZtUnwasTgX53by+vVb2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stlwNcAAAAHAQAADwAAAAAAAAABACAAAAAiAAAAZHJz&#10;L2Rvd25yZXYueG1sUEsBAhQAFAAAAAgAh07iQNBcsRs+AgAAngQAAA4AAAAAAAAAAQAgAAAAJgEA&#10;AGRycy9lMm9Eb2MueG1sUEsFBgAAAAAGAAYAWQEAANYFAAAAAA==&#10;">
            <v:path/>
            <v:fill focussize="0,0"/>
            <v:stroke joinstyle="miter"/>
            <v:imagedata o:title=""/>
            <o:lock v:ext="edit"/>
            <v:textbox>
              <w:txbxContent>
                <w:p>
                  <w:r>
                    <w:rPr>
                      <w:rFonts w:hint="eastAsia"/>
                    </w:rPr>
                    <w:t>被委托人身份证扫描</w:t>
                  </w:r>
                  <w:r>
                    <w:t>件</w:t>
                  </w:r>
                  <w:r>
                    <w:rPr>
                      <w:rFonts w:hint="eastAsia"/>
                    </w:rPr>
                    <w:t>（反面）</w:t>
                  </w:r>
                </w:p>
              </w:txbxContent>
            </v:textbox>
          </v:shape>
        </w:pict>
      </w:r>
      <w:r>
        <w:rPr>
          <w:rFonts w:ascii="仿宋_GB2312" w:hAnsi="宋体" w:eastAsia="仿宋_GB2312"/>
          <w:b/>
          <w:color w:val="000000"/>
        </w:rPr>
        <w:pict>
          <v:shape id="_x0000_s1027" o:spid="_x0000_s1027" o:spt="202" type="#_x0000_t202" style="position:absolute;left:0pt;margin-left:220.5pt;margin-top:16.65pt;height:126.75pt;width:198.25pt;z-index:251662336;mso-width-relative:page;mso-height-relative:page;"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fymPbPQIAAJ4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SosqjO+Wb6EuMjdzFYTtM7dhC80hEIoxjTUtNlw7wB2c9jXTNw/e9QMWZ+eioGevZYpF2IAuL&#10;5WpOAh5rtsca4SRB1TxyNl6v4rg3e49611Gksf0OLqmBrc7UplTHrKa209hmxqcVS3txLGerX7+V&#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NSa02gAAAAoBAAAPAAAAAAAAAAEAIAAAACIAAABk&#10;cnMvZG93bnJldi54bWxQSwECFAAUAAAACACHTuJAn8pj2z0CAACeBAAADgAAAAAAAAABACAAAAAp&#10;AQAAZHJzL2Uyb0RvYy54bWxQSwUGAAAAAAYABgBZAQAA2AUAAAAA&#10;">
            <v:path/>
            <v:fill focussize="0,0"/>
            <v:stroke joinstyle="miter"/>
            <v:imagedata o:title=""/>
            <o:lock v:ext="edit"/>
            <v:textbox>
              <w:txbxContent>
                <w:p>
                  <w:r>
                    <w:rPr>
                      <w:rFonts w:hint="eastAsia"/>
                    </w:rPr>
                    <w:t>被委托人身份证扫描</w:t>
                  </w:r>
                  <w:r>
                    <w:t>件</w:t>
                  </w:r>
                  <w:r>
                    <w:rPr>
                      <w:rFonts w:hint="eastAsia"/>
                    </w:rPr>
                    <w:t>（正面）</w:t>
                  </w:r>
                </w:p>
              </w:txbxContent>
            </v:textbox>
          </v:shape>
        </w:pict>
      </w:r>
      <w:r>
        <w:rPr>
          <w:rFonts w:ascii="仿宋_GB2312" w:hAnsi="宋体" w:eastAsia="仿宋_GB2312"/>
          <w:color w:val="000000"/>
        </w:rPr>
        <w:br w:type="page"/>
      </w:r>
    </w:p>
    <w:p>
      <w:pPr>
        <w:spacing w:line="0" w:lineRule="atLeast"/>
        <w:outlineLvl w:val="1"/>
        <w:rPr>
          <w:rFonts w:ascii="宋体" w:hAnsi="宋体"/>
          <w:szCs w:val="21"/>
        </w:rPr>
      </w:pPr>
      <w:bookmarkStart w:id="89"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9"/>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我方根据贵公司招标文件要求提供年月日至投标截止时间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5"/>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5"/>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5"/>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5"/>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rPr>
        <w:t>年月日</w:t>
      </w:r>
      <w:r>
        <w:rPr>
          <w:rFonts w:ascii="仿宋" w:hAnsi="仿宋" w:eastAsia="仿宋"/>
          <w:color w:val="000000"/>
          <w:sz w:val="30"/>
          <w:szCs w:val="30"/>
        </w:rPr>
        <w:br w:type="page"/>
      </w:r>
    </w:p>
    <w:p>
      <w:pPr>
        <w:spacing w:line="0" w:lineRule="atLeast"/>
        <w:outlineLvl w:val="1"/>
        <w:rPr>
          <w:rFonts w:ascii="宋体" w:hAnsi="宋体"/>
          <w:szCs w:val="21"/>
        </w:rPr>
      </w:pPr>
      <w:bookmarkStart w:id="90"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90"/>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2"/>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日期：年月日</w:t>
      </w:r>
    </w:p>
    <w:p>
      <w:pPr>
        <w:widowControl/>
        <w:jc w:val="left"/>
        <w:rPr>
          <w:rFonts w:ascii="仿宋" w:hAnsi="仿宋" w:eastAsia="仿宋"/>
          <w:sz w:val="28"/>
          <w:szCs w:val="28"/>
        </w:rPr>
      </w:pPr>
      <w:bookmarkStart w:id="91" w:name="_Toc32341"/>
      <w:r>
        <w:rPr>
          <w:rFonts w:ascii="仿宋" w:hAnsi="仿宋" w:eastAsia="仿宋"/>
          <w:sz w:val="28"/>
          <w:szCs w:val="28"/>
        </w:rPr>
        <w:br w:type="page"/>
      </w:r>
    </w:p>
    <w:p>
      <w:pPr>
        <w:spacing w:line="0" w:lineRule="atLeast"/>
        <w:outlineLvl w:val="1"/>
        <w:rPr>
          <w:rFonts w:ascii="宋体" w:hAnsi="宋体"/>
          <w:szCs w:val="21"/>
        </w:rPr>
      </w:pPr>
      <w:bookmarkStart w:id="92"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1"/>
      <w:bookmarkEnd w:id="92"/>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（投标人名称）在最近三年内（年月日至报名截止时间）没有处于被责令停业，或财产被接管、冻结、破产状态；没有骗取中标或严重违约引起的合同终止、纠纷、争议、仲裁和诉讼记录，没有重大质量问题。</w:t>
      </w:r>
    </w:p>
    <w:p>
      <w:pPr>
        <w:numPr>
          <w:ilvl w:val="0"/>
          <w:numId w:val="4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（投标人名称）及法定代表人在最近三年内（年月日至报名截止时间）没有行贿犯罪记录。</w:t>
      </w:r>
    </w:p>
    <w:p>
      <w:pPr>
        <w:numPr>
          <w:ilvl w:val="0"/>
          <w:numId w:val="4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（投标人名称）自年月日至报名截止时间，提供的服务在中国大陆地区项目中无重大安全事故。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日期：年月日</w:t>
      </w:r>
    </w:p>
    <w:p>
      <w:pPr>
        <w:spacing w:line="0" w:lineRule="atLeast"/>
        <w:outlineLvl w:val="1"/>
        <w:rPr>
          <w:rFonts w:ascii="仿宋" w:hAnsi="仿宋" w:eastAsia="仿宋"/>
          <w:sz w:val="28"/>
          <w:szCs w:val="28"/>
        </w:rPr>
      </w:pPr>
    </w:p>
    <w:p/>
    <w:p>
      <w:pPr>
        <w:pStyle w:val="13"/>
      </w:pPr>
    </w:p>
    <w:p>
      <w:pPr>
        <w:spacing w:line="0" w:lineRule="atLeast"/>
        <w:outlineLvl w:val="1"/>
        <w:rPr>
          <w:rFonts w:ascii="宋体" w:hAnsi="宋体"/>
        </w:rPr>
      </w:pPr>
      <w:bookmarkStart w:id="93" w:name="_Toc100848654"/>
      <w:bookmarkStart w:id="94" w:name="_Toc116550374"/>
      <w:r>
        <w:rPr>
          <w:rFonts w:hint="eastAsia" w:ascii="宋体" w:hAnsi="宋体"/>
        </w:rPr>
        <w:t>附件15：投标文件密码</w:t>
      </w:r>
      <w:bookmarkEnd w:id="93"/>
      <w:r>
        <w:rPr>
          <w:rFonts w:hint="eastAsia" w:ascii="宋体" w:hAnsi="宋体"/>
        </w:rPr>
        <w:t>单</w:t>
      </w:r>
      <w:bookmarkEnd w:id="94"/>
    </w:p>
    <w:p>
      <w:pPr>
        <w:spacing w:line="360" w:lineRule="auto"/>
        <w:jc w:val="center"/>
        <w:rPr>
          <w:rFonts w:ascii="宋体" w:hAnsi="宋体"/>
          <w:b/>
          <w:sz w:val="44"/>
          <w:szCs w:val="44"/>
        </w:rPr>
      </w:pPr>
    </w:p>
    <w:p>
      <w:pPr>
        <w:jc w:val="center"/>
        <w:rPr>
          <w:rFonts w:ascii="宋体" w:hAnsi="宋体"/>
          <w:b/>
          <w:color w:val="000000" w:themeColor="text1"/>
          <w:sz w:val="32"/>
          <w:szCs w:val="32"/>
        </w:rPr>
      </w:pPr>
      <w:bookmarkStart w:id="95" w:name="_Hlk66864759"/>
      <w:r>
        <w:rPr>
          <w:rFonts w:hint="eastAsia" w:ascii="宋体" w:hAnsi="宋体"/>
          <w:b/>
          <w:color w:val="000000" w:themeColor="text1"/>
          <w:sz w:val="32"/>
          <w:szCs w:val="32"/>
        </w:rPr>
        <w:t>_</w:t>
      </w:r>
      <w:r>
        <w:rPr>
          <w:rFonts w:ascii="宋体" w:hAnsi="宋体"/>
          <w:b/>
          <w:color w:val="000000" w:themeColor="text1"/>
          <w:sz w:val="32"/>
          <w:szCs w:val="32"/>
        </w:rPr>
        <w:t>________________________________</w:t>
      </w:r>
      <w:r>
        <w:rPr>
          <w:rFonts w:hint="eastAsia" w:ascii="宋体" w:hAnsi="宋体"/>
          <w:b/>
          <w:color w:val="000000" w:themeColor="text1"/>
          <w:sz w:val="32"/>
          <w:szCs w:val="32"/>
        </w:rPr>
        <w:t>项目</w:t>
      </w:r>
      <w:bookmarkEnd w:id="95"/>
    </w:p>
    <w:p>
      <w:pPr>
        <w:jc w:val="center"/>
        <w:rPr>
          <w:rFonts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【特别注意】</w:t>
      </w:r>
    </w:p>
    <w:p>
      <w:pPr>
        <w:pStyle w:val="13"/>
        <w:numPr>
          <w:ilvl w:val="0"/>
          <w:numId w:val="44"/>
        </w:numPr>
        <w:rPr>
          <w:rFonts w:ascii="仿宋" w:hAnsi="仿宋" w:eastAsia="仿宋"/>
          <w:sz w:val="28"/>
          <w:szCs w:val="28"/>
        </w:rPr>
      </w:pPr>
      <w:r>
        <w:rPr>
          <w:rFonts w:hint="eastAsia" w:ascii="仿宋" w:hAnsi="仿宋" w:eastAsia="仿宋"/>
          <w:sz w:val="28"/>
          <w:szCs w:val="28"/>
        </w:rPr>
        <w:t>密码区分大小写，且不得使用易与数字混淆的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3"/>
        <w:numPr>
          <w:ilvl w:val="0"/>
          <w:numId w:val="44"/>
        </w:numPr>
        <w:rPr>
          <w:rFonts w:ascii="仿宋" w:hAnsi="仿宋" w:eastAsia="仿宋"/>
          <w:b/>
          <w:sz w:val="28"/>
          <w:szCs w:val="28"/>
        </w:rPr>
      </w:pPr>
      <w:r>
        <w:rPr>
          <w:rFonts w:hint="eastAsia" w:ascii="仿宋" w:hAnsi="仿宋" w:eastAsia="仿宋"/>
          <w:sz w:val="28"/>
          <w:szCs w:val="28"/>
        </w:rPr>
        <w:t>本单请严格按招标文件要求的时间和方式提交（切勿同投标文件一起提交）。</w:t>
      </w:r>
    </w:p>
    <w:p>
      <w:pPr>
        <w:pStyle w:val="13"/>
      </w:pPr>
    </w:p>
    <w:p>
      <w:pPr>
        <w:pStyle w:val="13"/>
      </w:pPr>
    </w:p>
    <w:p>
      <w:pPr>
        <w:spacing w:line="360" w:lineRule="auto"/>
        <w:jc w:val="left"/>
        <w:rPr>
          <w:rFonts w:ascii="仿宋" w:hAnsi="仿宋" w:eastAsia="仿宋"/>
          <w:sz w:val="28"/>
          <w:szCs w:val="28"/>
        </w:rPr>
      </w:pPr>
      <w:bookmarkStart w:id="96"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3"/>
      </w:pPr>
      <w:r>
        <w:rPr>
          <w:rFonts w:hint="eastAsia" w:ascii="仿宋" w:hAnsi="仿宋" w:eastAsia="仿宋"/>
          <w:sz w:val="28"/>
          <w:szCs w:val="28"/>
        </w:rPr>
        <w:t>日期：_______年____月___日</w:t>
      </w:r>
      <w:bookmarkEnd w:id="96"/>
    </w:p>
    <w:bookmarkEnd w:id="0"/>
    <w:p>
      <w:pPr>
        <w:pStyle w:val="13"/>
      </w:pPr>
    </w:p>
    <w:p/>
    <w:p/>
    <w:sectPr>
      <w:footerReference r:id="rId5" w:type="default"/>
      <w:pgSz w:w="11906" w:h="16838"/>
      <w:pgMar w:top="1134" w:right="1800" w:bottom="993" w:left="1800" w:header="851" w:footer="40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文鼎CS楷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8"/>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7797"/>
        <w:tab w:val="clear" w:pos="8306"/>
      </w:tabs>
      <w:ind w:right="-764" w:rightChars="-364"/>
      <w:jc w:val="right"/>
      <w:rPr>
        <w:rFonts w:ascii="宋体" w:hAnsi="宋体" w:cs="宋体"/>
        <w:bCs/>
      </w:rPr>
    </w:pPr>
    <w:bookmarkStart w:id="97" w:name="_Hlk116546063"/>
    <w:bookmarkStart w:id="98"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7"/>
    <w:bookmarkEnd w:id="9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11D69C2C"/>
    <w:multiLevelType w:val="singleLevel"/>
    <w:tmpl w:val="11D69C2C"/>
    <w:lvl w:ilvl="0" w:tentative="0">
      <w:start w:val="1"/>
      <w:numFmt w:val="decimal"/>
      <w:suff w:val="space"/>
      <w:lvlText w:val="%1."/>
      <w:lvlJc w:val="left"/>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1B9719F2"/>
    <w:multiLevelType w:val="multilevel"/>
    <w:tmpl w:val="1B9719F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0AB9193"/>
    <w:multiLevelType w:val="singleLevel"/>
    <w:tmpl w:val="20AB9193"/>
    <w:lvl w:ilvl="0" w:tentative="0">
      <w:start w:val="1"/>
      <w:numFmt w:val="decimal"/>
      <w:lvlText w:val="%1."/>
      <w:lvlJc w:val="left"/>
      <w:pPr>
        <w:ind w:left="425" w:hanging="425"/>
      </w:pPr>
      <w:rPr>
        <w:rFonts w:hint="default"/>
      </w:rPr>
    </w:lvl>
  </w:abstractNum>
  <w:abstractNum w:abstractNumId="22">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4">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8E10C89"/>
    <w:multiLevelType w:val="singleLevel"/>
    <w:tmpl w:val="28E10C89"/>
    <w:lvl w:ilvl="0" w:tentative="0">
      <w:start w:val="1"/>
      <w:numFmt w:val="decimal"/>
      <w:suff w:val="space"/>
      <w:lvlText w:val="%1."/>
      <w:lvlJc w:val="left"/>
    </w:lvl>
  </w:abstractNum>
  <w:abstractNum w:abstractNumId="2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53A26D2"/>
    <w:multiLevelType w:val="multilevel"/>
    <w:tmpl w:val="353A26D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1">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5">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7">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8">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2">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37"/>
  </w:num>
  <w:num w:numId="2">
    <w:abstractNumId w:val="41"/>
  </w:num>
  <w:num w:numId="3">
    <w:abstractNumId w:val="29"/>
  </w:num>
  <w:num w:numId="4">
    <w:abstractNumId w:val="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8"/>
  </w:num>
  <w:num w:numId="8">
    <w:abstractNumId w:val="32"/>
  </w:num>
  <w:num w:numId="9">
    <w:abstractNumId w:val="18"/>
  </w:num>
  <w:num w:numId="10">
    <w:abstractNumId w:val="7"/>
  </w:num>
  <w:num w:numId="11">
    <w:abstractNumId w:val="26"/>
  </w:num>
  <w:num w:numId="12">
    <w:abstractNumId w:val="15"/>
  </w:num>
  <w:num w:numId="13">
    <w:abstractNumId w:val="20"/>
  </w:num>
  <w:num w:numId="14">
    <w:abstractNumId w:val="28"/>
  </w:num>
  <w:num w:numId="15">
    <w:abstractNumId w:val="3"/>
  </w:num>
  <w:num w:numId="16">
    <w:abstractNumId w:val="9"/>
  </w:num>
  <w:num w:numId="17">
    <w:abstractNumId w:val="33"/>
  </w:num>
  <w:num w:numId="18">
    <w:abstractNumId w:val="30"/>
  </w:num>
  <w:num w:numId="19">
    <w:abstractNumId w:val="11"/>
  </w:num>
  <w:num w:numId="20">
    <w:abstractNumId w:val="21"/>
  </w:num>
  <w:num w:numId="21">
    <w:abstractNumId w:val="6"/>
  </w:num>
  <w:num w:numId="22">
    <w:abstractNumId w:val="39"/>
  </w:num>
  <w:num w:numId="23">
    <w:abstractNumId w:val="17"/>
  </w:num>
  <w:num w:numId="24">
    <w:abstractNumId w:val="4"/>
  </w:num>
  <w:num w:numId="25">
    <w:abstractNumId w:val="23"/>
  </w:num>
  <w:num w:numId="26">
    <w:abstractNumId w:val="1"/>
  </w:num>
  <w:num w:numId="27">
    <w:abstractNumId w:val="10"/>
  </w:num>
  <w:num w:numId="28">
    <w:abstractNumId w:val="8"/>
  </w:num>
  <w:num w:numId="29">
    <w:abstractNumId w:val="42"/>
  </w:num>
  <w:num w:numId="30">
    <w:abstractNumId w:val="0"/>
  </w:num>
  <w:num w:numId="31">
    <w:abstractNumId w:val="2"/>
  </w:num>
  <w:num w:numId="32">
    <w:abstractNumId w:val="31"/>
  </w:num>
  <w:num w:numId="33">
    <w:abstractNumId w:val="12"/>
  </w:num>
  <w:num w:numId="34">
    <w:abstractNumId w:val="14"/>
  </w:num>
  <w:num w:numId="35">
    <w:abstractNumId w:val="13"/>
  </w:num>
  <w:num w:numId="36">
    <w:abstractNumId w:val="40"/>
  </w:num>
  <w:num w:numId="37">
    <w:abstractNumId w:val="34"/>
  </w:num>
  <w:num w:numId="38">
    <w:abstractNumId w:val="27"/>
  </w:num>
  <w:num w:numId="39">
    <w:abstractNumId w:val="24"/>
  </w:num>
  <w:num w:numId="40">
    <w:abstractNumId w:val="35"/>
  </w:num>
  <w:num w:numId="41">
    <w:abstractNumId w:val="22"/>
  </w:num>
  <w:num w:numId="42">
    <w:abstractNumId w:val="16"/>
  </w:num>
  <w:num w:numId="43">
    <w:abstractNumId w:val="3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trackRevisions w:val="1"/>
  <w:documentProtection w:enforcement="0"/>
  <w:defaultTabStop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c1NGIxOTVkMWM2ZmNmMzczMDg4OWE1MjBjYzhkZjM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86E6C"/>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B70D7"/>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2E2E41"/>
    <w:rsid w:val="00304129"/>
    <w:rsid w:val="003158DE"/>
    <w:rsid w:val="00315C66"/>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00FAF"/>
    <w:rsid w:val="00401850"/>
    <w:rsid w:val="004235D9"/>
    <w:rsid w:val="00427D5D"/>
    <w:rsid w:val="00432C74"/>
    <w:rsid w:val="00434E45"/>
    <w:rsid w:val="00441F17"/>
    <w:rsid w:val="004607EA"/>
    <w:rsid w:val="004707D2"/>
    <w:rsid w:val="004712CE"/>
    <w:rsid w:val="00471860"/>
    <w:rsid w:val="00471ED2"/>
    <w:rsid w:val="00476C96"/>
    <w:rsid w:val="004775EE"/>
    <w:rsid w:val="00482493"/>
    <w:rsid w:val="00492F1D"/>
    <w:rsid w:val="004A0594"/>
    <w:rsid w:val="004A0D6B"/>
    <w:rsid w:val="004A7C1F"/>
    <w:rsid w:val="004B0D64"/>
    <w:rsid w:val="004B24F9"/>
    <w:rsid w:val="004B7B79"/>
    <w:rsid w:val="004D1901"/>
    <w:rsid w:val="004D58FC"/>
    <w:rsid w:val="004D5AC3"/>
    <w:rsid w:val="004D6F70"/>
    <w:rsid w:val="004E1C82"/>
    <w:rsid w:val="004E3802"/>
    <w:rsid w:val="004E3A19"/>
    <w:rsid w:val="004E40C8"/>
    <w:rsid w:val="004E4541"/>
    <w:rsid w:val="004E7657"/>
    <w:rsid w:val="004F2ED2"/>
    <w:rsid w:val="004F63E5"/>
    <w:rsid w:val="00506B6D"/>
    <w:rsid w:val="00544B6E"/>
    <w:rsid w:val="00547CAB"/>
    <w:rsid w:val="00550A0A"/>
    <w:rsid w:val="00554298"/>
    <w:rsid w:val="0055672B"/>
    <w:rsid w:val="00565EDC"/>
    <w:rsid w:val="005700E9"/>
    <w:rsid w:val="005815FC"/>
    <w:rsid w:val="00581E69"/>
    <w:rsid w:val="00581FCF"/>
    <w:rsid w:val="00587572"/>
    <w:rsid w:val="005A201C"/>
    <w:rsid w:val="005A26F8"/>
    <w:rsid w:val="005A480E"/>
    <w:rsid w:val="005B03C2"/>
    <w:rsid w:val="005B1453"/>
    <w:rsid w:val="005B328D"/>
    <w:rsid w:val="005C5034"/>
    <w:rsid w:val="005C61A2"/>
    <w:rsid w:val="005D123F"/>
    <w:rsid w:val="005E43D8"/>
    <w:rsid w:val="005E4792"/>
    <w:rsid w:val="005F16B3"/>
    <w:rsid w:val="005F71F0"/>
    <w:rsid w:val="00604C0B"/>
    <w:rsid w:val="00606010"/>
    <w:rsid w:val="006115F6"/>
    <w:rsid w:val="0061262D"/>
    <w:rsid w:val="00617330"/>
    <w:rsid w:val="00621681"/>
    <w:rsid w:val="00622CAA"/>
    <w:rsid w:val="00630585"/>
    <w:rsid w:val="006311FC"/>
    <w:rsid w:val="00632039"/>
    <w:rsid w:val="006333BC"/>
    <w:rsid w:val="006635D2"/>
    <w:rsid w:val="00664471"/>
    <w:rsid w:val="00677BD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1B99"/>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670F"/>
    <w:rsid w:val="00857F72"/>
    <w:rsid w:val="0086286A"/>
    <w:rsid w:val="00866C0E"/>
    <w:rsid w:val="00867C56"/>
    <w:rsid w:val="00870B22"/>
    <w:rsid w:val="00874BB5"/>
    <w:rsid w:val="00876830"/>
    <w:rsid w:val="00895D5D"/>
    <w:rsid w:val="008A0193"/>
    <w:rsid w:val="008A4C09"/>
    <w:rsid w:val="008B02F2"/>
    <w:rsid w:val="008B2C67"/>
    <w:rsid w:val="008C44DE"/>
    <w:rsid w:val="008E04F6"/>
    <w:rsid w:val="008E05E5"/>
    <w:rsid w:val="008E5A97"/>
    <w:rsid w:val="008F03B4"/>
    <w:rsid w:val="0090721F"/>
    <w:rsid w:val="009127E9"/>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4B4F"/>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07171"/>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AF7C75"/>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23AD"/>
    <w:rsid w:val="00C53AB0"/>
    <w:rsid w:val="00C53D1D"/>
    <w:rsid w:val="00C57330"/>
    <w:rsid w:val="00C61FB2"/>
    <w:rsid w:val="00C6530D"/>
    <w:rsid w:val="00C72E08"/>
    <w:rsid w:val="00C76FD5"/>
    <w:rsid w:val="00C84C10"/>
    <w:rsid w:val="00C84C31"/>
    <w:rsid w:val="00C9460F"/>
    <w:rsid w:val="00C95195"/>
    <w:rsid w:val="00CB0006"/>
    <w:rsid w:val="00CB1DEF"/>
    <w:rsid w:val="00CC55F2"/>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54E3F"/>
    <w:rsid w:val="00D629CE"/>
    <w:rsid w:val="00D83CA2"/>
    <w:rsid w:val="00D83CC0"/>
    <w:rsid w:val="00D84553"/>
    <w:rsid w:val="00D8470E"/>
    <w:rsid w:val="00D955EB"/>
    <w:rsid w:val="00DB1C4E"/>
    <w:rsid w:val="00DB6256"/>
    <w:rsid w:val="00DB7D95"/>
    <w:rsid w:val="00DD544D"/>
    <w:rsid w:val="00DE54DF"/>
    <w:rsid w:val="00DE5E4C"/>
    <w:rsid w:val="00DE7DDC"/>
    <w:rsid w:val="00DF1681"/>
    <w:rsid w:val="00E107EC"/>
    <w:rsid w:val="00E11738"/>
    <w:rsid w:val="00E12957"/>
    <w:rsid w:val="00E249A2"/>
    <w:rsid w:val="00E27F91"/>
    <w:rsid w:val="00E31BD7"/>
    <w:rsid w:val="00E45D07"/>
    <w:rsid w:val="00E677C6"/>
    <w:rsid w:val="00E70687"/>
    <w:rsid w:val="00E710FC"/>
    <w:rsid w:val="00E75726"/>
    <w:rsid w:val="00E86CB7"/>
    <w:rsid w:val="00E928C6"/>
    <w:rsid w:val="00EA0513"/>
    <w:rsid w:val="00EA0B55"/>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57F3D"/>
    <w:rsid w:val="00F64816"/>
    <w:rsid w:val="00F73354"/>
    <w:rsid w:val="00F83EF1"/>
    <w:rsid w:val="00FA092E"/>
    <w:rsid w:val="00FA63B5"/>
    <w:rsid w:val="00FA6D58"/>
    <w:rsid w:val="00FD52D3"/>
    <w:rsid w:val="00FE72DF"/>
    <w:rsid w:val="00FE7C42"/>
    <w:rsid w:val="00FF2F91"/>
    <w:rsid w:val="01773D4D"/>
    <w:rsid w:val="01DD669F"/>
    <w:rsid w:val="02884E35"/>
    <w:rsid w:val="02B47C4D"/>
    <w:rsid w:val="02B93A83"/>
    <w:rsid w:val="02E610CF"/>
    <w:rsid w:val="03286A8A"/>
    <w:rsid w:val="032C5FC0"/>
    <w:rsid w:val="037709BE"/>
    <w:rsid w:val="03D609D8"/>
    <w:rsid w:val="03E82288"/>
    <w:rsid w:val="04450729"/>
    <w:rsid w:val="04525DA3"/>
    <w:rsid w:val="04D46768"/>
    <w:rsid w:val="04F90B5F"/>
    <w:rsid w:val="05020145"/>
    <w:rsid w:val="051A4AF9"/>
    <w:rsid w:val="053A1CC8"/>
    <w:rsid w:val="05B3352C"/>
    <w:rsid w:val="05F9537F"/>
    <w:rsid w:val="06856661"/>
    <w:rsid w:val="07680BC8"/>
    <w:rsid w:val="077B4608"/>
    <w:rsid w:val="07867E64"/>
    <w:rsid w:val="07BB74B6"/>
    <w:rsid w:val="07D7576E"/>
    <w:rsid w:val="07F32A16"/>
    <w:rsid w:val="08315D7E"/>
    <w:rsid w:val="08493DEA"/>
    <w:rsid w:val="084F532E"/>
    <w:rsid w:val="08647852"/>
    <w:rsid w:val="086E4EC9"/>
    <w:rsid w:val="08873DCD"/>
    <w:rsid w:val="097F5A20"/>
    <w:rsid w:val="09BF3BA4"/>
    <w:rsid w:val="09C8299C"/>
    <w:rsid w:val="0B734A64"/>
    <w:rsid w:val="0CDE01F2"/>
    <w:rsid w:val="0D23109A"/>
    <w:rsid w:val="0D3B2DBD"/>
    <w:rsid w:val="0DBB5D95"/>
    <w:rsid w:val="0DD201F4"/>
    <w:rsid w:val="0E055635"/>
    <w:rsid w:val="0E5C591E"/>
    <w:rsid w:val="0E69754A"/>
    <w:rsid w:val="0F4526B6"/>
    <w:rsid w:val="0FC843CA"/>
    <w:rsid w:val="0FEA05F3"/>
    <w:rsid w:val="100616C0"/>
    <w:rsid w:val="10091618"/>
    <w:rsid w:val="10B9797C"/>
    <w:rsid w:val="11D85BD5"/>
    <w:rsid w:val="11DF775E"/>
    <w:rsid w:val="12224E5A"/>
    <w:rsid w:val="123B7E78"/>
    <w:rsid w:val="125D5C9A"/>
    <w:rsid w:val="12622F05"/>
    <w:rsid w:val="12687C54"/>
    <w:rsid w:val="12765D82"/>
    <w:rsid w:val="13F975F1"/>
    <w:rsid w:val="141E3891"/>
    <w:rsid w:val="145C60CF"/>
    <w:rsid w:val="148F7048"/>
    <w:rsid w:val="14D26837"/>
    <w:rsid w:val="1513181F"/>
    <w:rsid w:val="152B64B8"/>
    <w:rsid w:val="15740DA4"/>
    <w:rsid w:val="15D12202"/>
    <w:rsid w:val="16064D61"/>
    <w:rsid w:val="160E65BF"/>
    <w:rsid w:val="166D65D9"/>
    <w:rsid w:val="167801ED"/>
    <w:rsid w:val="16C86C92"/>
    <w:rsid w:val="16F577B6"/>
    <w:rsid w:val="17135246"/>
    <w:rsid w:val="172856B5"/>
    <w:rsid w:val="18B545E3"/>
    <w:rsid w:val="195A6BC0"/>
    <w:rsid w:val="19BD21C8"/>
    <w:rsid w:val="19EC5770"/>
    <w:rsid w:val="1A302507"/>
    <w:rsid w:val="1B101963"/>
    <w:rsid w:val="1B1118DD"/>
    <w:rsid w:val="1BCC7D2A"/>
    <w:rsid w:val="1C07688A"/>
    <w:rsid w:val="1C5670DA"/>
    <w:rsid w:val="1C857158"/>
    <w:rsid w:val="1CCF0851"/>
    <w:rsid w:val="1CD37257"/>
    <w:rsid w:val="1CE63800"/>
    <w:rsid w:val="1D454482"/>
    <w:rsid w:val="1D561A2F"/>
    <w:rsid w:val="1EC84707"/>
    <w:rsid w:val="1F520DA2"/>
    <w:rsid w:val="1F7074E6"/>
    <w:rsid w:val="1F9D2185"/>
    <w:rsid w:val="1FBC0EEE"/>
    <w:rsid w:val="1FF64E4F"/>
    <w:rsid w:val="21837674"/>
    <w:rsid w:val="21FC01FD"/>
    <w:rsid w:val="22151078"/>
    <w:rsid w:val="224D4A55"/>
    <w:rsid w:val="22695C71"/>
    <w:rsid w:val="227A4EED"/>
    <w:rsid w:val="228D0750"/>
    <w:rsid w:val="231A62F4"/>
    <w:rsid w:val="235E3329"/>
    <w:rsid w:val="23A27905"/>
    <w:rsid w:val="24786106"/>
    <w:rsid w:val="2484061F"/>
    <w:rsid w:val="25A5748F"/>
    <w:rsid w:val="25BE1EBF"/>
    <w:rsid w:val="25D85A3C"/>
    <w:rsid w:val="26775E19"/>
    <w:rsid w:val="267E19B6"/>
    <w:rsid w:val="26E80455"/>
    <w:rsid w:val="26E95967"/>
    <w:rsid w:val="27634AAD"/>
    <w:rsid w:val="27A14592"/>
    <w:rsid w:val="27C747D2"/>
    <w:rsid w:val="28251FAC"/>
    <w:rsid w:val="28283572"/>
    <w:rsid w:val="28A21BB6"/>
    <w:rsid w:val="28CC407F"/>
    <w:rsid w:val="28D6326A"/>
    <w:rsid w:val="293E30BA"/>
    <w:rsid w:val="29D976B5"/>
    <w:rsid w:val="2A031B7E"/>
    <w:rsid w:val="2A1D36D7"/>
    <w:rsid w:val="2AC63E3A"/>
    <w:rsid w:val="2B4A1E95"/>
    <w:rsid w:val="2B604ADB"/>
    <w:rsid w:val="2B7851B6"/>
    <w:rsid w:val="2B9E3425"/>
    <w:rsid w:val="2BD84FDD"/>
    <w:rsid w:val="2BFA4386"/>
    <w:rsid w:val="2C393A05"/>
    <w:rsid w:val="2C61767A"/>
    <w:rsid w:val="2C837C28"/>
    <w:rsid w:val="2CD73EA3"/>
    <w:rsid w:val="2D845ED0"/>
    <w:rsid w:val="2E402285"/>
    <w:rsid w:val="2E601BC2"/>
    <w:rsid w:val="2E8A57EA"/>
    <w:rsid w:val="2EAB6E76"/>
    <w:rsid w:val="2ED1184F"/>
    <w:rsid w:val="2F2E62F8"/>
    <w:rsid w:val="30381F4F"/>
    <w:rsid w:val="305F666A"/>
    <w:rsid w:val="30861B0D"/>
    <w:rsid w:val="30CB701E"/>
    <w:rsid w:val="310B4584"/>
    <w:rsid w:val="312241A9"/>
    <w:rsid w:val="31335748"/>
    <w:rsid w:val="31AC3390"/>
    <w:rsid w:val="32732851"/>
    <w:rsid w:val="32EF34A0"/>
    <w:rsid w:val="340A0F7F"/>
    <w:rsid w:val="34630E03"/>
    <w:rsid w:val="34921FE0"/>
    <w:rsid w:val="34A05B77"/>
    <w:rsid w:val="34DC19C6"/>
    <w:rsid w:val="3527368D"/>
    <w:rsid w:val="354A1FFA"/>
    <w:rsid w:val="36331F78"/>
    <w:rsid w:val="364358FC"/>
    <w:rsid w:val="36685F13"/>
    <w:rsid w:val="36CF347B"/>
    <w:rsid w:val="37097428"/>
    <w:rsid w:val="37D02C9E"/>
    <w:rsid w:val="38AC36F6"/>
    <w:rsid w:val="38BC19A2"/>
    <w:rsid w:val="394A3FAD"/>
    <w:rsid w:val="39A2099B"/>
    <w:rsid w:val="39D90E01"/>
    <w:rsid w:val="39F06C79"/>
    <w:rsid w:val="3A1273C6"/>
    <w:rsid w:val="3A1819E9"/>
    <w:rsid w:val="3A35120E"/>
    <w:rsid w:val="3A82388C"/>
    <w:rsid w:val="3AAD7F79"/>
    <w:rsid w:val="3B547DD5"/>
    <w:rsid w:val="3B846932"/>
    <w:rsid w:val="3B991A52"/>
    <w:rsid w:val="3BB26AC4"/>
    <w:rsid w:val="3C35255B"/>
    <w:rsid w:val="3C551209"/>
    <w:rsid w:val="3C7A5BC5"/>
    <w:rsid w:val="3CB851A7"/>
    <w:rsid w:val="3D243E5F"/>
    <w:rsid w:val="3D3679ED"/>
    <w:rsid w:val="3D7C7BF6"/>
    <w:rsid w:val="3E941738"/>
    <w:rsid w:val="40856AB9"/>
    <w:rsid w:val="408D7227"/>
    <w:rsid w:val="40A27FD0"/>
    <w:rsid w:val="40D16B7C"/>
    <w:rsid w:val="413249F3"/>
    <w:rsid w:val="41407E51"/>
    <w:rsid w:val="415D352B"/>
    <w:rsid w:val="4166285A"/>
    <w:rsid w:val="416718EC"/>
    <w:rsid w:val="42105272"/>
    <w:rsid w:val="42425C56"/>
    <w:rsid w:val="4343436A"/>
    <w:rsid w:val="43873B5A"/>
    <w:rsid w:val="439D7A21"/>
    <w:rsid w:val="43D97719"/>
    <w:rsid w:val="444E229E"/>
    <w:rsid w:val="447267E8"/>
    <w:rsid w:val="44770EE3"/>
    <w:rsid w:val="448C1DFE"/>
    <w:rsid w:val="44950F74"/>
    <w:rsid w:val="44AD2741"/>
    <w:rsid w:val="44E431E5"/>
    <w:rsid w:val="45E510BA"/>
    <w:rsid w:val="46410063"/>
    <w:rsid w:val="46466DB6"/>
    <w:rsid w:val="46B30DE6"/>
    <w:rsid w:val="46E22257"/>
    <w:rsid w:val="473232DB"/>
    <w:rsid w:val="47D8296E"/>
    <w:rsid w:val="47EF4992"/>
    <w:rsid w:val="482515E9"/>
    <w:rsid w:val="492A4A83"/>
    <w:rsid w:val="495C1F5C"/>
    <w:rsid w:val="4989499C"/>
    <w:rsid w:val="4A9174E4"/>
    <w:rsid w:val="4ACD3AC6"/>
    <w:rsid w:val="4AF77150"/>
    <w:rsid w:val="4B390BF7"/>
    <w:rsid w:val="4B8B03E4"/>
    <w:rsid w:val="4BCE762D"/>
    <w:rsid w:val="4C086C1F"/>
    <w:rsid w:val="4C5875C6"/>
    <w:rsid w:val="4CA47620"/>
    <w:rsid w:val="4CF46CCF"/>
    <w:rsid w:val="4D57755B"/>
    <w:rsid w:val="4D9A3F67"/>
    <w:rsid w:val="4DBD0916"/>
    <w:rsid w:val="4DDF67CC"/>
    <w:rsid w:val="4E9F0430"/>
    <w:rsid w:val="4EE12BFB"/>
    <w:rsid w:val="4F1B40D5"/>
    <w:rsid w:val="4F925019"/>
    <w:rsid w:val="4FF76580"/>
    <w:rsid w:val="500209D0"/>
    <w:rsid w:val="505B24E3"/>
    <w:rsid w:val="50FA6A61"/>
    <w:rsid w:val="51794BC1"/>
    <w:rsid w:val="52096D27"/>
    <w:rsid w:val="53D25371"/>
    <w:rsid w:val="540F1FD2"/>
    <w:rsid w:val="54A32478"/>
    <w:rsid w:val="54E603D9"/>
    <w:rsid w:val="55132F3F"/>
    <w:rsid w:val="556D3B35"/>
    <w:rsid w:val="55D50038"/>
    <w:rsid w:val="561F6663"/>
    <w:rsid w:val="56443B98"/>
    <w:rsid w:val="564E1B99"/>
    <w:rsid w:val="57315BF2"/>
    <w:rsid w:val="57594B93"/>
    <w:rsid w:val="57B14223"/>
    <w:rsid w:val="586A351D"/>
    <w:rsid w:val="59281352"/>
    <w:rsid w:val="594A6990"/>
    <w:rsid w:val="59653BFC"/>
    <w:rsid w:val="59893975"/>
    <w:rsid w:val="59CF3E80"/>
    <w:rsid w:val="5A06537C"/>
    <w:rsid w:val="5A2E0F40"/>
    <w:rsid w:val="5AF57272"/>
    <w:rsid w:val="5AF96211"/>
    <w:rsid w:val="5C10241D"/>
    <w:rsid w:val="5C4F112A"/>
    <w:rsid w:val="5C616646"/>
    <w:rsid w:val="5C747ABC"/>
    <w:rsid w:val="5CA8668D"/>
    <w:rsid w:val="5CAD5FE7"/>
    <w:rsid w:val="5CE91D7D"/>
    <w:rsid w:val="5D3024F2"/>
    <w:rsid w:val="5D8B3B05"/>
    <w:rsid w:val="5E5644D2"/>
    <w:rsid w:val="5E8307E5"/>
    <w:rsid w:val="5F0869DE"/>
    <w:rsid w:val="60475C3F"/>
    <w:rsid w:val="60785544"/>
    <w:rsid w:val="60A60070"/>
    <w:rsid w:val="60B06C30"/>
    <w:rsid w:val="61292A40"/>
    <w:rsid w:val="612C0778"/>
    <w:rsid w:val="61934CA4"/>
    <w:rsid w:val="61A26997"/>
    <w:rsid w:val="622C21AB"/>
    <w:rsid w:val="62642898"/>
    <w:rsid w:val="62D00ABF"/>
    <w:rsid w:val="63222E31"/>
    <w:rsid w:val="632A3AC1"/>
    <w:rsid w:val="63AA53EE"/>
    <w:rsid w:val="63DA3502"/>
    <w:rsid w:val="640C25AF"/>
    <w:rsid w:val="64A74421"/>
    <w:rsid w:val="65083052"/>
    <w:rsid w:val="6541126B"/>
    <w:rsid w:val="65CC2D90"/>
    <w:rsid w:val="65EA44AF"/>
    <w:rsid w:val="6604096B"/>
    <w:rsid w:val="66495BDD"/>
    <w:rsid w:val="667A1C2F"/>
    <w:rsid w:val="66F66FFA"/>
    <w:rsid w:val="67116A1B"/>
    <w:rsid w:val="683A303D"/>
    <w:rsid w:val="68E97B63"/>
    <w:rsid w:val="697D3521"/>
    <w:rsid w:val="698C05B6"/>
    <w:rsid w:val="6A5B2F9C"/>
    <w:rsid w:val="6B1E605C"/>
    <w:rsid w:val="6B302B67"/>
    <w:rsid w:val="6B5A722E"/>
    <w:rsid w:val="6B976E22"/>
    <w:rsid w:val="6C2F630D"/>
    <w:rsid w:val="6C3A466C"/>
    <w:rsid w:val="6C3D667F"/>
    <w:rsid w:val="6C4C203A"/>
    <w:rsid w:val="6C5E0507"/>
    <w:rsid w:val="6C6B5505"/>
    <w:rsid w:val="6DF67C63"/>
    <w:rsid w:val="6E136122"/>
    <w:rsid w:val="6E32225B"/>
    <w:rsid w:val="6E3F209B"/>
    <w:rsid w:val="6ED02117"/>
    <w:rsid w:val="6F116045"/>
    <w:rsid w:val="6F204459"/>
    <w:rsid w:val="6F5C1888"/>
    <w:rsid w:val="6FC84DB3"/>
    <w:rsid w:val="6FEB702D"/>
    <w:rsid w:val="6FFD220E"/>
    <w:rsid w:val="7013167E"/>
    <w:rsid w:val="71BC14A7"/>
    <w:rsid w:val="722D62E3"/>
    <w:rsid w:val="723942F4"/>
    <w:rsid w:val="724C7A91"/>
    <w:rsid w:val="7252521E"/>
    <w:rsid w:val="725336E8"/>
    <w:rsid w:val="72B019CC"/>
    <w:rsid w:val="72D17CEA"/>
    <w:rsid w:val="73011B3E"/>
    <w:rsid w:val="731B0410"/>
    <w:rsid w:val="73345874"/>
    <w:rsid w:val="738D115D"/>
    <w:rsid w:val="73EF5F44"/>
    <w:rsid w:val="745D2CF4"/>
    <w:rsid w:val="74783A1C"/>
    <w:rsid w:val="74AB354D"/>
    <w:rsid w:val="74B05132"/>
    <w:rsid w:val="75E605FD"/>
    <w:rsid w:val="76005923"/>
    <w:rsid w:val="766C2079"/>
    <w:rsid w:val="76C52AAF"/>
    <w:rsid w:val="76E063E5"/>
    <w:rsid w:val="76F23FB2"/>
    <w:rsid w:val="772A35DE"/>
    <w:rsid w:val="7764106D"/>
    <w:rsid w:val="77F13F5A"/>
    <w:rsid w:val="781B5752"/>
    <w:rsid w:val="78F84707"/>
    <w:rsid w:val="79175EB6"/>
    <w:rsid w:val="793B19BF"/>
    <w:rsid w:val="796A3CBD"/>
    <w:rsid w:val="798425C1"/>
    <w:rsid w:val="79870BE5"/>
    <w:rsid w:val="798E66D9"/>
    <w:rsid w:val="79A35F22"/>
    <w:rsid w:val="79BF662E"/>
    <w:rsid w:val="7A751935"/>
    <w:rsid w:val="7A90382B"/>
    <w:rsid w:val="7AB733E4"/>
    <w:rsid w:val="7B2952F2"/>
    <w:rsid w:val="7B4A03D4"/>
    <w:rsid w:val="7BAA762E"/>
    <w:rsid w:val="7BB34580"/>
    <w:rsid w:val="7C2535BA"/>
    <w:rsid w:val="7C280612"/>
    <w:rsid w:val="7C7A0F46"/>
    <w:rsid w:val="7C8A45E3"/>
    <w:rsid w:val="7CF46BD3"/>
    <w:rsid w:val="7D2F3A6C"/>
    <w:rsid w:val="7DC539FE"/>
    <w:rsid w:val="7E2120FB"/>
    <w:rsid w:val="7F14620B"/>
    <w:rsid w:val="7F757F07"/>
    <w:rsid w:val="7F9364DF"/>
    <w:rsid w:val="7FB21E7F"/>
    <w:rsid w:val="7FF97783"/>
    <w:rsid w:val="7FFC2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semiHidden/>
    <w:qFormat/>
    <w:uiPriority w:val="0"/>
    <w:pPr>
      <w:ind w:left="-2" w:leftChars="-1" w:firstLine="420" w:firstLineChars="200"/>
    </w:pPr>
  </w:style>
  <w:style w:type="paragraph" w:styleId="4">
    <w:name w:val="annotation text"/>
    <w:basedOn w:val="1"/>
    <w:link w:val="27"/>
    <w:unhideWhenUsed/>
    <w:qFormat/>
    <w:uiPriority w:val="99"/>
    <w:pPr>
      <w:jc w:val="left"/>
    </w:pPr>
  </w:style>
  <w:style w:type="paragraph" w:styleId="5">
    <w:name w:val="Body Text"/>
    <w:basedOn w:val="1"/>
    <w:next w:val="1"/>
    <w:qFormat/>
    <w:uiPriority w:val="0"/>
    <w:pPr>
      <w:widowControl/>
      <w:spacing w:after="220" w:line="180" w:lineRule="atLeast"/>
      <w:ind w:left="835"/>
    </w:pPr>
    <w:rPr>
      <w:rFonts w:ascii="Arial" w:hAnsi="Arial"/>
      <w:spacing w:val="-5"/>
      <w:kern w:val="0"/>
      <w:sz w:val="20"/>
    </w:rPr>
  </w:style>
  <w:style w:type="paragraph" w:styleId="6">
    <w:name w:val="toc 3"/>
    <w:basedOn w:val="1"/>
    <w:next w:val="1"/>
    <w:unhideWhenUsed/>
    <w:qFormat/>
    <w:uiPriority w:val="39"/>
    <w:pPr>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6"/>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5"/>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Title"/>
    <w:basedOn w:val="1"/>
    <w:next w:val="1"/>
    <w:qFormat/>
    <w:uiPriority w:val="0"/>
    <w:pPr>
      <w:jc w:val="center"/>
      <w:outlineLvl w:val="0"/>
    </w:pPr>
    <w:rPr>
      <w:b/>
      <w:sz w:val="32"/>
      <w:szCs w:val="20"/>
    </w:rPr>
  </w:style>
  <w:style w:type="paragraph" w:styleId="16">
    <w:name w:val="annotation subject"/>
    <w:basedOn w:val="4"/>
    <w:next w:val="4"/>
    <w:link w:val="33"/>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列出段落 Char"/>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19"/>
    <w:semiHidden/>
    <w:qFormat/>
    <w:uiPriority w:val="99"/>
    <w:rPr>
      <w:rFonts w:ascii="Times New Roman" w:hAnsi="Times New Roman" w:eastAsia="宋体" w:cs="Times New Roman"/>
      <w:szCs w:val="24"/>
    </w:rPr>
  </w:style>
  <w:style w:type="character" w:customStyle="1" w:styleId="27">
    <w:name w:val="批注文字 Char"/>
    <w:link w:val="4"/>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Char"/>
    <w:basedOn w:val="19"/>
    <w:link w:val="7"/>
    <w:semiHidden/>
    <w:qFormat/>
    <w:uiPriority w:val="99"/>
    <w:rPr>
      <w:rFonts w:ascii="Times New Roman" w:hAnsi="Times New Roman" w:eastAsia="宋体" w:cs="Times New Roman"/>
      <w:sz w:val="18"/>
      <w:szCs w:val="18"/>
    </w:rPr>
  </w:style>
  <w:style w:type="character" w:customStyle="1" w:styleId="30">
    <w:name w:val="页眉 Char"/>
    <w:basedOn w:val="19"/>
    <w:link w:val="9"/>
    <w:qFormat/>
    <w:uiPriority w:val="99"/>
    <w:rPr>
      <w:rFonts w:ascii="Times New Roman" w:hAnsi="Times New Roman" w:eastAsia="宋体" w:cs="Times New Roman"/>
      <w:sz w:val="18"/>
      <w:szCs w:val="18"/>
    </w:rPr>
  </w:style>
  <w:style w:type="character" w:customStyle="1" w:styleId="31">
    <w:name w:val="页脚 Char"/>
    <w:basedOn w:val="19"/>
    <w:link w:val="8"/>
    <w:qFormat/>
    <w:uiPriority w:val="99"/>
    <w:rPr>
      <w:rFonts w:ascii="Times New Roman" w:hAnsi="Times New Roman" w:eastAsia="宋体" w:cs="Times New Roman"/>
      <w:sz w:val="18"/>
      <w:szCs w:val="18"/>
    </w:rPr>
  </w:style>
  <w:style w:type="character" w:customStyle="1" w:styleId="32">
    <w:name w:val="标题1"/>
    <w:basedOn w:val="19"/>
    <w:qFormat/>
    <w:uiPriority w:val="0"/>
  </w:style>
  <w:style w:type="character" w:customStyle="1" w:styleId="33">
    <w:name w:val="批注主题 Char"/>
    <w:basedOn w:val="27"/>
    <w:link w:val="16"/>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Char"/>
    <w:basedOn w:val="19"/>
    <w:link w:val="13"/>
    <w:qFormat/>
    <w:uiPriority w:val="0"/>
    <w:rPr>
      <w:rFonts w:ascii="仿宋_GB2312" w:hAnsi="宋体" w:eastAsia="仿宋_GB2312"/>
      <w:kern w:val="2"/>
      <w:sz w:val="21"/>
      <w:szCs w:val="24"/>
    </w:rPr>
  </w:style>
  <w:style w:type="character" w:customStyle="1" w:styleId="36">
    <w:name w:val="脚注文本 Char"/>
    <w:basedOn w:val="19"/>
    <w:link w:val="11"/>
    <w:semiHidden/>
    <w:qFormat/>
    <w:uiPriority w:val="99"/>
    <w:rPr>
      <w:kern w:val="2"/>
      <w:sz w:val="18"/>
      <w:szCs w:val="18"/>
    </w:rPr>
  </w:style>
  <w:style w:type="paragraph" w:customStyle="1" w:styleId="37">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8">
    <w:name w:val="_Style 2"/>
    <w:basedOn w:val="1"/>
    <w:qFormat/>
    <w:uiPriority w:val="34"/>
    <w:pPr>
      <w:ind w:firstLine="420" w:firstLineChars="200"/>
    </w:pPr>
  </w:style>
  <w:style w:type="paragraph" w:customStyle="1" w:styleId="39">
    <w:name w:val="表格文字"/>
    <w:qFormat/>
    <w:uiPriority w:val="0"/>
    <w:pPr>
      <w:widowControl w:val="0"/>
      <w:autoSpaceDE w:val="0"/>
      <w:autoSpaceDN w:val="0"/>
      <w:adjustRightInd w:val="0"/>
      <w:spacing w:line="420" w:lineRule="atLeast"/>
      <w:ind w:firstLine="510"/>
      <w:jc w:val="both"/>
    </w:pPr>
    <w:rPr>
      <w:rFonts w:ascii="文鼎CS楷体" w:hAnsi="Times New Roman" w:eastAsia="文鼎CS楷体" w:cs="Times New Roman"/>
      <w:color w:val="000000"/>
      <w:sz w:val="22"/>
      <w:szCs w:val="22"/>
      <w:lang w:val="en-US" w:eastAsia="zh-CN" w:bidi="ar-SA"/>
    </w:rPr>
  </w:style>
  <w:style w:type="paragraph" w:customStyle="1" w:styleId="40">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font31"/>
    <w:basedOn w:val="19"/>
    <w:qFormat/>
    <w:uiPriority w:val="0"/>
    <w:rPr>
      <w:rFonts w:hint="eastAsia" w:ascii="宋体" w:hAnsi="宋体" w:eastAsia="宋体" w:cs="宋体"/>
      <w:color w:val="000000"/>
      <w:sz w:val="20"/>
      <w:szCs w:val="20"/>
      <w:u w:val="none"/>
    </w:rPr>
  </w:style>
  <w:style w:type="character" w:customStyle="1" w:styleId="42">
    <w:name w:val="font61"/>
    <w:basedOn w:val="19"/>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3"/>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456A5-C4A1-4B38-BA47-1347F0F0148C}">
  <ds:schemaRefs/>
</ds:datastoreItem>
</file>

<file path=docProps/app.xml><?xml version="1.0" encoding="utf-8"?>
<Properties xmlns="http://schemas.openxmlformats.org/officeDocument/2006/extended-properties" xmlns:vt="http://schemas.openxmlformats.org/officeDocument/2006/docPropsVTypes">
  <Template>Normal.dotm</Template>
  <Company>SZCEC</Company>
  <Pages>35</Pages>
  <Words>3399</Words>
  <Characters>19376</Characters>
  <Lines>161</Lines>
  <Paragraphs>45</Paragraphs>
  <TotalTime>10</TotalTime>
  <ScaleCrop>false</ScaleCrop>
  <LinksUpToDate>false</LinksUpToDate>
  <CharactersWithSpaces>22730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2024-03-06T02:28:00Z</dcterms:created>
  <dc:creator>Tony Young</dc:creator>
  <cp:lastModifiedBy>宛</cp:lastModifiedBy>
  <dcterms:modified xsi:type="dcterms:W3CDTF">2024-03-22T07:41:17Z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1823163C6EBD4F7AB491019731B7BEC1_13</vt:lpwstr>
  </property>
</Properties>
</file>