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lang w:val="en-US" w:eastAsia="zh-CN"/>
        </w:rPr>
        <w:t>采购</w:t>
      </w:r>
      <w:r>
        <w:rPr>
          <w:rFonts w:hint="eastAsia" w:ascii="方正小标宋简体" w:hAnsi="方正小标宋_GBK" w:eastAsia="方正小标宋简体" w:cs="方正小标宋_GBK"/>
          <w:b/>
          <w:bCs/>
          <w:sz w:val="72"/>
          <w:szCs w:val="72"/>
        </w:rPr>
        <w:t>文件</w:t>
      </w:r>
    </w:p>
    <w:p>
      <w:pPr>
        <w:spacing w:line="360" w:lineRule="auto"/>
        <w:jc w:val="center"/>
        <w:rPr>
          <w:rFonts w:ascii="方正小标宋_GBK" w:hAnsi="方正小标宋_GBK" w:eastAsia="方正小标宋_GBK" w:cs="方正小标宋_GBK"/>
          <w:b/>
          <w:sz w:val="32"/>
          <w:szCs w:val="32"/>
        </w:rPr>
      </w:pPr>
    </w:p>
    <w:p>
      <w:pPr>
        <w:spacing w:line="560" w:lineRule="exact"/>
        <w:ind w:left="-47" w:leftChars="-200" w:hanging="373" w:hangingChars="116"/>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lang w:val="en-US" w:eastAsia="zh-CN"/>
        </w:rPr>
        <w:t>深圳会展中心</w:t>
      </w:r>
      <w:bookmarkEnd w:id="0"/>
      <w:r>
        <w:rPr>
          <w:rFonts w:hint="eastAsia" w:ascii="方正小标宋简体" w:hAnsi="方正小标宋_GBK" w:eastAsia="方正小标宋简体" w:cs="方正小标宋_GBK"/>
          <w:b/>
          <w:bCs w:val="0"/>
          <w:color w:val="auto"/>
          <w:sz w:val="32"/>
          <w:szCs w:val="32"/>
          <w:lang w:val="en-US" w:eastAsia="zh-CN"/>
        </w:rPr>
        <w:t>国际性会议综合服务商采购项目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8</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8</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8</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w:t>
      </w:r>
      <w:r>
        <w:tab/>
      </w:r>
      <w:r>
        <w:fldChar w:fldCharType="begin"/>
      </w:r>
      <w:r>
        <w:instrText xml:space="preserve"> PAGEREF _Toc116550363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29</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 xml:space="preserve">刘女士 </w:t>
            </w: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liuxh</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spacing w:line="560" w:lineRule="exact"/>
              <w:ind w:left="0" w:leftChars="0" w:firstLine="0" w:firstLineChars="0"/>
              <w:jc w:val="left"/>
              <w:rPr>
                <w:rFonts w:hint="eastAsia" w:ascii="宋体" w:hAnsi="宋体" w:cs="宋体"/>
                <w:bCs/>
                <w:color w:val="FF0000"/>
                <w:szCs w:val="21"/>
                <w:highlight w:val="yellow"/>
              </w:rPr>
            </w:pPr>
            <w:r>
              <w:rPr>
                <w:rFonts w:hint="eastAsia" w:ascii="宋体" w:hAnsi="宋体" w:eastAsia="宋体" w:cs="宋体"/>
                <w:b w:val="0"/>
                <w:bCs/>
                <w:color w:val="auto"/>
                <w:sz w:val="21"/>
                <w:szCs w:val="21"/>
                <w:lang w:val="en-US" w:eastAsia="zh-CN"/>
              </w:rPr>
              <w:t>深圳会展中心国际性会议综合服务商采购项目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ascii="宋体" w:hAnsi="宋体" w:eastAsia="宋体" w:cs="宋体"/>
                <w:i w:val="0"/>
                <w:iCs w:val="0"/>
                <w:caps w:val="0"/>
                <w:color w:val="auto"/>
                <w:spacing w:val="-6"/>
                <w:sz w:val="21"/>
                <w:szCs w:val="21"/>
                <w:highlight w:val="none"/>
                <w:shd w:val="clear" w:fill="FFFFFF"/>
              </w:rPr>
              <w:t>深圳会展中心近期举办国际性会议</w:t>
            </w:r>
            <w:r>
              <w:rPr>
                <w:rFonts w:ascii="宋体" w:hAnsi="宋体" w:eastAsia="宋体" w:cs="宋体"/>
                <w:i w:val="0"/>
                <w:iCs w:val="0"/>
                <w:caps w:val="0"/>
                <w:color w:val="auto"/>
                <w:spacing w:val="-11"/>
                <w:sz w:val="21"/>
                <w:szCs w:val="21"/>
                <w:highlight w:val="none"/>
                <w:shd w:val="clear" w:fill="FFFFFF"/>
              </w:rPr>
              <w:t>，</w:t>
            </w:r>
            <w:r>
              <w:rPr>
                <w:rFonts w:hint="eastAsia" w:ascii="宋体" w:hAnsi="宋体" w:eastAsia="宋体" w:cs="宋体"/>
                <w:i w:val="0"/>
                <w:iCs w:val="0"/>
                <w:caps w:val="0"/>
                <w:color w:val="auto"/>
                <w:spacing w:val="-6"/>
                <w:sz w:val="21"/>
                <w:szCs w:val="21"/>
                <w:highlight w:val="none"/>
                <w:shd w:val="clear" w:fill="FFFFFF"/>
                <w:lang w:val="en-US" w:eastAsia="zh-CN"/>
              </w:rPr>
              <w:t>应</w:t>
            </w:r>
            <w:r>
              <w:rPr>
                <w:rFonts w:hint="eastAsia" w:ascii="宋体" w:hAnsi="宋体" w:cs="宋体"/>
                <w:bCs/>
                <w:color w:val="auto"/>
                <w:szCs w:val="21"/>
                <w:highlight w:val="none"/>
              </w:rPr>
              <w:t>主办方需求，</w:t>
            </w:r>
            <w:r>
              <w:rPr>
                <w:rFonts w:hint="eastAsia" w:ascii="宋体" w:hAnsi="宋体" w:cs="宋体"/>
                <w:color w:val="auto"/>
                <w:szCs w:val="21"/>
                <w:highlight w:val="none"/>
              </w:rPr>
              <w:t>拟开展本采购项目选定</w:t>
            </w:r>
            <w:r>
              <w:rPr>
                <w:rFonts w:hint="eastAsia" w:ascii="宋体" w:hAnsi="宋体" w:cs="宋体"/>
                <w:color w:val="auto"/>
                <w:szCs w:val="21"/>
                <w:highlight w:val="none"/>
                <w:lang w:val="en-US" w:eastAsia="zh-CN"/>
              </w:rPr>
              <w:t>一家综合服务</w:t>
            </w:r>
            <w:r>
              <w:rPr>
                <w:rFonts w:hint="eastAsia" w:ascii="宋体" w:hAnsi="宋体" w:cs="宋体"/>
                <w:color w:val="auto"/>
                <w:szCs w:val="21"/>
                <w:highlight w:val="none"/>
              </w:rPr>
              <w:t>供应商，在</w:t>
            </w:r>
            <w:r>
              <w:rPr>
                <w:rFonts w:hint="eastAsia" w:ascii="宋体" w:hAnsi="宋体" w:cs="宋体"/>
                <w:color w:val="auto"/>
                <w:szCs w:val="21"/>
                <w:highlight w:val="none"/>
                <w:lang w:val="en-US" w:eastAsia="zh-CN"/>
              </w:rPr>
              <w:t>主办方的</w:t>
            </w:r>
            <w:r>
              <w:rPr>
                <w:rFonts w:hint="eastAsia" w:ascii="宋体" w:hAnsi="宋体" w:cs="宋体"/>
                <w:color w:val="auto"/>
                <w:szCs w:val="21"/>
                <w:highlight w:val="none"/>
              </w:rPr>
              <w:t>统筹管理下协助</w:t>
            </w:r>
            <w:r>
              <w:rPr>
                <w:rFonts w:hint="eastAsia" w:ascii="宋体" w:hAnsi="宋体"/>
                <w:color w:val="auto"/>
                <w:szCs w:val="21"/>
                <w:highlight w:val="none"/>
              </w:rPr>
              <w:t>开展</w:t>
            </w:r>
            <w:r>
              <w:rPr>
                <w:rFonts w:hint="eastAsia" w:ascii="宋体" w:hAnsi="宋体"/>
                <w:color w:val="auto"/>
                <w:szCs w:val="21"/>
                <w:highlight w:val="none"/>
                <w:lang w:val="en-US" w:eastAsia="zh-CN"/>
              </w:rPr>
              <w:t>会议活动</w:t>
            </w:r>
            <w:r>
              <w:rPr>
                <w:rFonts w:hint="eastAsia" w:ascii="宋体" w:hAnsi="宋体"/>
                <w:color w:val="auto"/>
                <w:szCs w:val="21"/>
                <w:highlight w:val="none"/>
              </w:rPr>
              <w:t>的前期筹备、</w:t>
            </w:r>
            <w:r>
              <w:rPr>
                <w:rFonts w:hint="eastAsia" w:ascii="宋体" w:hAnsi="宋体"/>
                <w:color w:val="auto"/>
                <w:szCs w:val="21"/>
                <w:highlight w:val="none"/>
                <w:lang w:val="en-US" w:eastAsia="zh-CN"/>
              </w:rPr>
              <w:t>现场</w:t>
            </w:r>
            <w:r>
              <w:rPr>
                <w:rFonts w:hint="eastAsia" w:ascii="宋体" w:hAnsi="宋体"/>
                <w:color w:val="auto"/>
                <w:szCs w:val="21"/>
                <w:highlight w:val="none"/>
              </w:rPr>
              <w:t>服务及会后善后等整体会务工作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10</w:t>
            </w:r>
            <w:r>
              <w:rPr>
                <w:rFonts w:hint="eastAsia" w:ascii="宋体" w:hAnsi="宋体"/>
                <w:color w:val="auto"/>
                <w:szCs w:val="21"/>
                <w:highlight w:val="none"/>
              </w:rPr>
              <w:t>天（</w:t>
            </w:r>
            <w:r>
              <w:rPr>
                <w:rFonts w:hint="eastAsia" w:ascii="宋体" w:hAnsi="宋体" w:cs="宋体"/>
                <w:color w:val="auto"/>
                <w:szCs w:val="21"/>
                <w:highlight w:val="none"/>
                <w:lang w:val="en-US" w:eastAsia="zh-CN"/>
              </w:rPr>
              <w:t>中选通知书发放起</w:t>
            </w:r>
            <w:r>
              <w:rPr>
                <w:rFonts w:hint="eastAsia" w:ascii="宋体" w:hAnsi="宋体" w:cs="宋体"/>
                <w:color w:val="auto"/>
                <w:szCs w:val="21"/>
                <w:highlight w:val="none"/>
              </w:rPr>
              <w:t>至2</w:t>
            </w:r>
            <w:r>
              <w:rPr>
                <w:rFonts w:ascii="宋体" w:hAnsi="宋体" w:cs="宋体"/>
                <w:color w:val="auto"/>
                <w:szCs w:val="21"/>
                <w:highlight w:val="none"/>
              </w:rPr>
              <w:t>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hint="eastAsia" w:ascii="宋体" w:hAnsi="宋体" w:eastAsia="宋体"/>
                <w:szCs w:val="21"/>
                <w:lang w:eastAsia="zh-CN"/>
              </w:rPr>
            </w:pPr>
            <w:r>
              <w:rPr>
                <w:rFonts w:hint="eastAsia" w:ascii="宋体" w:hAnsi="宋体"/>
                <w:color w:val="auto"/>
                <w:szCs w:val="21"/>
                <w:highlight w:val="none"/>
                <w:lang w:val="en-US" w:eastAsia="zh-CN"/>
              </w:rPr>
              <w:t>2024-3-25 16:00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https://cg.szcec.com/sharing/l60YDWZVU，</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highlight w:val="red"/>
              </w:rPr>
            </w:pPr>
            <w:r>
              <w:rPr>
                <w:rFonts w:hint="eastAsia" w:ascii="宋体" w:hAnsi="宋体"/>
                <w:color w:val="auto"/>
                <w:szCs w:val="21"/>
                <w:highlight w:val="none"/>
                <w:lang w:val="en-US" w:eastAsia="zh-CN"/>
              </w:rPr>
              <w:t>2024-4-1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red"/>
              </w:rPr>
            </w:pPr>
            <w:r>
              <w:rPr>
                <w:rFonts w:hint="eastAsia" w:ascii="宋体" w:hAnsi="宋体"/>
                <w:color w:val="auto"/>
                <w:szCs w:val="21"/>
                <w:highlight w:val="none"/>
                <w:lang w:val="en-US" w:eastAsia="zh-CN"/>
              </w:rPr>
              <w:t>2024-4-1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red"/>
              </w:rPr>
            </w:pPr>
            <w:r>
              <w:rPr>
                <w:rFonts w:hint="eastAsia" w:ascii="宋体" w:hAnsi="宋体"/>
                <w:color w:val="auto"/>
                <w:szCs w:val="21"/>
                <w:highlight w:val="none"/>
                <w:lang w:val="en-US" w:eastAsia="zh-CN"/>
              </w:rPr>
              <w:t>2024-4-2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red"/>
              </w:rPr>
            </w:pPr>
            <w:r>
              <w:rPr>
                <w:rFonts w:hint="eastAsia" w:ascii="宋体" w:hAnsi="宋体"/>
                <w:color w:val="auto"/>
                <w:szCs w:val="21"/>
                <w:highlight w:val="none"/>
                <w:lang w:val="en-US" w:eastAsia="zh-CN"/>
              </w:rPr>
              <w:t>2024-4-3 17:00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https://cg.szcec.com/sharing/zhOvcmde8，</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none"/>
                <w:lang w:val="en-US" w:eastAsia="zh-CN"/>
              </w:rPr>
              <w:t>2024-4-7 14:30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none"/>
                <w:lang w:val="en-US" w:eastAsia="zh-CN"/>
              </w:rPr>
              <w:t>203572398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https://cg.szcec.com/sharing/1PgLlGNsu。</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5"/>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7" w:name="_Toc82684704"/>
      <w:bookmarkEnd w:id="7"/>
      <w:bookmarkStart w:id="8" w:name="_Toc82591928"/>
      <w:bookmarkEnd w:id="8"/>
      <w:bookmarkStart w:id="9" w:name="_Toc82685540"/>
      <w:bookmarkEnd w:id="9"/>
      <w:bookmarkStart w:id="10" w:name="_Toc82684706"/>
      <w:bookmarkEnd w:id="10"/>
      <w:bookmarkStart w:id="11" w:name="_Toc82685541"/>
      <w:bookmarkEnd w:id="11"/>
      <w:bookmarkStart w:id="12" w:name="_Toc82684705"/>
      <w:bookmarkEnd w:id="12"/>
      <w:bookmarkStart w:id="13" w:name="_Toc82684590"/>
      <w:bookmarkEnd w:id="13"/>
      <w:bookmarkStart w:id="14" w:name="_Toc82684703"/>
      <w:bookmarkEnd w:id="14"/>
      <w:bookmarkStart w:id="15" w:name="_Toc82684588"/>
      <w:bookmarkEnd w:id="15"/>
      <w:bookmarkStart w:id="16" w:name="_Toc82685543"/>
      <w:bookmarkEnd w:id="16"/>
      <w:bookmarkStart w:id="17" w:name="_Toc82591925"/>
      <w:bookmarkEnd w:id="17"/>
      <w:bookmarkStart w:id="18" w:name="_Toc82591927"/>
      <w:bookmarkEnd w:id="18"/>
      <w:bookmarkStart w:id="19" w:name="_Toc82684591"/>
      <w:bookmarkEnd w:id="19"/>
      <w:bookmarkStart w:id="20" w:name="_Toc82685542"/>
      <w:bookmarkEnd w:id="20"/>
      <w:bookmarkStart w:id="21" w:name="_Toc82684589"/>
      <w:bookmarkEnd w:id="21"/>
      <w:bookmarkStart w:id="22" w:name="_Toc82591926"/>
      <w:bookmarkEnd w:id="22"/>
      <w:bookmarkStart w:id="23" w:name="_Toc116550346"/>
      <w:r>
        <w:rPr>
          <w:rFonts w:hint="eastAsia" w:ascii="宋体" w:hAnsi="宋体"/>
          <w:b/>
          <w:color w:val="auto"/>
          <w:szCs w:val="21"/>
          <w:highlight w:val="none"/>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78387747"/>
      <w:bookmarkStart w:id="25" w:name="_Toc517278751"/>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591988"/>
      <w:bookmarkEnd w:id="28"/>
      <w:bookmarkStart w:id="29" w:name="_Toc82591989"/>
      <w:bookmarkEnd w:id="29"/>
      <w:bookmarkStart w:id="30" w:name="_Toc82591985"/>
      <w:bookmarkEnd w:id="30"/>
      <w:bookmarkStart w:id="31" w:name="_Toc82684593"/>
      <w:bookmarkEnd w:id="31"/>
      <w:bookmarkStart w:id="32" w:name="_Toc82591987"/>
      <w:bookmarkEnd w:id="32"/>
      <w:bookmarkStart w:id="33" w:name="_Toc82591930"/>
      <w:bookmarkEnd w:id="33"/>
      <w:bookmarkStart w:id="34" w:name="_Toc82685545"/>
      <w:bookmarkEnd w:id="34"/>
      <w:bookmarkStart w:id="35" w:name="_Toc82684708"/>
      <w:bookmarkEnd w:id="35"/>
      <w:bookmarkStart w:id="36" w:name="_Toc116550347"/>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szCs w:val="21"/>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szCs w:val="21"/>
                <w:highlight w:val="none"/>
              </w:rPr>
            </w:pPr>
            <w:r>
              <w:rPr>
                <w:rFonts w:hint="eastAsia"/>
                <w:color w:val="auto"/>
                <w:szCs w:val="21"/>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szCs w:val="21"/>
                <w:highlight w:val="none"/>
              </w:rPr>
              <w:t>及法定代表人、被委托人身份证扫描件并加盖投标人公章；</w:t>
            </w:r>
            <w:r>
              <w:rPr>
                <w:rFonts w:hint="eastAsia"/>
                <w:color w:val="auto"/>
                <w:szCs w:val="21"/>
                <w:highlight w:val="none"/>
              </w:rPr>
              <w:t>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color w:val="auto"/>
                <w:szCs w:val="21"/>
                <w:highlight w:val="none"/>
              </w:rPr>
            </w:pPr>
            <w:r>
              <w:rPr>
                <w:rFonts w:hint="eastAsia"/>
                <w:color w:val="auto"/>
                <w:szCs w:val="21"/>
                <w:highlight w:val="none"/>
              </w:rPr>
              <w:t>报价以人民币为结算币种，含增值税。投标人须在投标文件中提供《投标一览表》、《报价一览表》</w:t>
            </w:r>
            <w:r>
              <w:rPr>
                <w:rFonts w:hint="eastAsia"/>
                <w:color w:val="auto"/>
                <w:szCs w:val="21"/>
                <w:highlight w:val="none"/>
                <w:lang w:eastAsia="zh-CN"/>
              </w:rPr>
              <w:t>；</w:t>
            </w:r>
          </w:p>
          <w:p>
            <w:pPr>
              <w:numPr>
                <w:ilvl w:val="0"/>
                <w:numId w:val="11"/>
              </w:numPr>
              <w:tabs>
                <w:tab w:val="left" w:pos="531"/>
              </w:tabs>
              <w:snapToGrid w:val="0"/>
              <w:ind w:left="0" w:firstLine="0"/>
              <w:rPr>
                <w:color w:val="auto"/>
                <w:szCs w:val="21"/>
                <w:highlight w:val="none"/>
              </w:rPr>
            </w:pPr>
            <w:r>
              <w:rPr>
                <w:rFonts w:hint="eastAsia"/>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szCs w:val="21"/>
                <w:highlight w:val="none"/>
              </w:rPr>
            </w:pPr>
            <w:r>
              <w:rPr>
                <w:rFonts w:hint="eastAsia"/>
                <w:color w:val="auto"/>
                <w:szCs w:val="21"/>
                <w:highlight w:val="none"/>
              </w:rPr>
              <w:t>投标报价包括但不限于</w:t>
            </w:r>
            <w:r>
              <w:rPr>
                <w:rFonts w:hint="eastAsia"/>
                <w:color w:val="auto"/>
                <w:szCs w:val="21"/>
                <w:highlight w:val="none"/>
                <w:lang w:val="en-US" w:eastAsia="zh-CN"/>
              </w:rPr>
              <w:t>策划设计、</w:t>
            </w:r>
            <w:r>
              <w:rPr>
                <w:rFonts w:hint="eastAsia"/>
                <w:color w:val="auto"/>
                <w:szCs w:val="21"/>
                <w:highlight w:val="none"/>
              </w:rPr>
              <w:t>物料</w:t>
            </w:r>
            <w:r>
              <w:rPr>
                <w:rFonts w:hint="eastAsia"/>
                <w:color w:val="auto"/>
                <w:szCs w:val="21"/>
                <w:highlight w:val="none"/>
                <w:lang w:eastAsia="zh-CN"/>
              </w:rPr>
              <w:t>、</w:t>
            </w:r>
            <w:r>
              <w:rPr>
                <w:rFonts w:hint="eastAsia"/>
                <w:color w:val="auto"/>
                <w:szCs w:val="21"/>
                <w:highlight w:val="none"/>
                <w:lang w:val="en-US" w:eastAsia="zh-CN"/>
              </w:rPr>
              <w:t>器材设备</w:t>
            </w:r>
            <w:r>
              <w:rPr>
                <w:rFonts w:hint="eastAsia"/>
                <w:color w:val="auto"/>
                <w:szCs w:val="21"/>
                <w:highlight w:val="none"/>
                <w:lang w:eastAsia="zh-CN"/>
              </w:rPr>
              <w:t>、</w:t>
            </w:r>
            <w:r>
              <w:rPr>
                <w:rFonts w:hint="eastAsia"/>
                <w:color w:val="auto"/>
                <w:szCs w:val="21"/>
                <w:highlight w:val="none"/>
              </w:rPr>
              <w:t>会务执行、增值服务费用（如有）及增值税费等完成本项目所需的全部费用。</w:t>
            </w:r>
          </w:p>
          <w:p>
            <w:pPr>
              <w:numPr>
                <w:ilvl w:val="0"/>
                <w:numId w:val="11"/>
              </w:numPr>
              <w:tabs>
                <w:tab w:val="left" w:pos="531"/>
              </w:tabs>
              <w:snapToGrid w:val="0"/>
              <w:ind w:left="0" w:firstLine="0"/>
              <w:rPr>
                <w:color w:val="auto"/>
                <w:szCs w:val="21"/>
                <w:highlight w:val="none"/>
              </w:rPr>
            </w:pPr>
            <w:r>
              <w:rPr>
                <w:rFonts w:hint="eastAsia"/>
                <w:color w:val="auto"/>
                <w:szCs w:val="21"/>
                <w:highlight w:val="none"/>
                <w:lang w:val="en-US" w:eastAsia="zh-CN"/>
              </w:rPr>
              <w:t>本项目报价：</w:t>
            </w:r>
          </w:p>
          <w:p>
            <w:pPr>
              <w:numPr>
                <w:ilvl w:val="0"/>
                <w:numId w:val="12"/>
              </w:numPr>
              <w:tabs>
                <w:tab w:val="left" w:pos="531"/>
              </w:tabs>
              <w:snapToGrid w:val="0"/>
              <w:ind w:left="0" w:firstLine="420" w:firstLineChars="200"/>
              <w:rPr>
                <w:color w:val="auto"/>
                <w:szCs w:val="21"/>
                <w:highlight w:val="none"/>
              </w:rPr>
            </w:pPr>
            <w:r>
              <w:rPr>
                <w:rFonts w:hint="eastAsia"/>
                <w:color w:val="auto"/>
                <w:szCs w:val="21"/>
                <w:highlight w:val="none"/>
                <w:lang w:val="en-US" w:eastAsia="zh-CN"/>
              </w:rPr>
              <w:t>现场服务按附件“综合服务项目明细”报分项报价，该表单各分项数量为预估数量，最终以实际使用情况据实结算。各分项内容为综合单价，单价已包含彩排、现场服务及撤展各个使用到的环节所产生的全部费用。</w:t>
            </w:r>
          </w:p>
          <w:p>
            <w:pPr>
              <w:numPr>
                <w:ilvl w:val="0"/>
                <w:numId w:val="12"/>
              </w:numPr>
              <w:tabs>
                <w:tab w:val="left" w:pos="531"/>
              </w:tabs>
              <w:snapToGrid w:val="0"/>
              <w:ind w:left="0" w:firstLine="420" w:firstLineChars="200"/>
              <w:rPr>
                <w:color w:val="auto"/>
                <w:szCs w:val="21"/>
                <w:highlight w:val="none"/>
              </w:rPr>
            </w:pPr>
            <w:r>
              <w:rPr>
                <w:rFonts w:hint="eastAsia"/>
                <w:color w:val="auto"/>
                <w:szCs w:val="21"/>
                <w:highlight w:val="none"/>
                <w:lang w:val="en-US" w:eastAsia="zh-CN"/>
              </w:rPr>
              <w:t>以上分项报价按附件8报价一览表格式填报。</w:t>
            </w:r>
          </w:p>
          <w:p>
            <w:pPr>
              <w:numPr>
                <w:ilvl w:val="0"/>
                <w:numId w:val="12"/>
              </w:numPr>
              <w:tabs>
                <w:tab w:val="left" w:pos="531"/>
              </w:tabs>
              <w:snapToGrid w:val="0"/>
              <w:ind w:left="0"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本项目为预设方案</w:t>
            </w:r>
            <w:r>
              <w:rPr>
                <w:rFonts w:hint="eastAsia" w:ascii="宋体" w:hAnsi="宋体" w:cs="宋体"/>
                <w:color w:val="auto"/>
                <w:sz w:val="21"/>
                <w:szCs w:val="21"/>
                <w:highlight w:val="none"/>
                <w:lang w:eastAsia="zh-CN"/>
              </w:rPr>
              <w:t>，</w:t>
            </w:r>
            <w:r>
              <w:rPr>
                <w:rFonts w:ascii="宋体" w:hAnsi="宋体" w:eastAsia="宋体" w:cs="宋体"/>
                <w:color w:val="auto"/>
                <w:sz w:val="21"/>
                <w:szCs w:val="21"/>
                <w:highlight w:val="none"/>
              </w:rPr>
              <w:t>如因各种原因方案需调整，所涉及内容未在项目服务清单报价中的，需经过投标人与招标人商议后确定价格。若是项目服务清单报价中</w:t>
            </w:r>
            <w:r>
              <w:rPr>
                <w:rFonts w:hint="eastAsia" w:ascii="宋体" w:hAnsi="宋体" w:cs="宋体"/>
                <w:color w:val="auto"/>
                <w:sz w:val="21"/>
                <w:szCs w:val="21"/>
                <w:highlight w:val="none"/>
                <w:lang w:val="en-US" w:eastAsia="zh-CN"/>
              </w:rPr>
              <w:t>所列</w:t>
            </w:r>
            <w:r>
              <w:rPr>
                <w:rFonts w:ascii="宋体" w:hAnsi="宋体" w:eastAsia="宋体" w:cs="宋体"/>
                <w:color w:val="auto"/>
                <w:sz w:val="21"/>
                <w:szCs w:val="21"/>
                <w:highlight w:val="none"/>
              </w:rPr>
              <w:t>内容产生数量上的调整，则按项目服务清单报价中的单价执行；若是项目清单报价中涉及的项目内容产生技术规格或工艺上的调整，则需经过投标人与招标人商议后确定价格。</w:t>
            </w:r>
          </w:p>
          <w:p>
            <w:pPr>
              <w:numPr>
                <w:ilvl w:val="0"/>
                <w:numId w:val="12"/>
              </w:numPr>
              <w:tabs>
                <w:tab w:val="left" w:pos="531"/>
              </w:tabs>
              <w:snapToGrid w:val="0"/>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人需额外提供一份常用设施设备清单报价。报价需报含税单价及增值税率。该部分报价清单不在本项目投标报价金额内，仅用于后续现场增加使用的价格依据。招标人会根据本报价再行议价。报价清单格式自拟。</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金额为人民币</w:t>
            </w:r>
            <w:r>
              <w:rPr>
                <w:rFonts w:hint="eastAsia" w:ascii="宋体" w:hAnsi="宋体" w:cs="宋体"/>
                <w:color w:val="auto"/>
                <w:szCs w:val="21"/>
                <w:highlight w:val="none"/>
                <w:shd w:val="clear" w:color="auto" w:fill="auto"/>
                <w:lang w:val="en-US" w:eastAsia="zh-CN"/>
              </w:rPr>
              <w:t>96</w:t>
            </w:r>
            <w:r>
              <w:rPr>
                <w:rFonts w:ascii="宋体" w:hAnsi="宋体" w:cs="宋体"/>
                <w:color w:val="auto"/>
                <w:szCs w:val="21"/>
                <w:highlight w:val="none"/>
                <w:shd w:val="clear" w:color="auto" w:fill="auto"/>
              </w:rPr>
              <w:t>万元（含税）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最终结算以实际</w:t>
            </w:r>
            <w:r>
              <w:rPr>
                <w:rFonts w:hint="eastAsia" w:ascii="宋体" w:hAnsi="宋体" w:cs="宋体"/>
                <w:color w:val="auto"/>
                <w:szCs w:val="21"/>
                <w:highlight w:val="none"/>
                <w:lang w:val="en-US" w:eastAsia="zh-CN"/>
              </w:rPr>
              <w:t>发生项</w:t>
            </w:r>
            <w:r>
              <w:rPr>
                <w:rFonts w:hint="eastAsia" w:ascii="宋体" w:hAnsi="宋体" w:cs="宋体"/>
                <w:color w:val="auto"/>
                <w:szCs w:val="21"/>
                <w:highlight w:val="none"/>
              </w:rPr>
              <w:t>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0" w:firstLine="0"/>
              <w:rPr>
                <w:color w:val="auto"/>
                <w:highlight w:val="none"/>
              </w:rPr>
            </w:pPr>
            <w:r>
              <w:rPr>
                <w:rFonts w:hint="eastAsia"/>
                <w:color w:val="auto"/>
                <w:highlight w:val="none"/>
              </w:rPr>
              <w:t>在整体服务完成后，经</w:t>
            </w:r>
            <w:r>
              <w:rPr>
                <w:rFonts w:hint="eastAsia"/>
                <w:color w:val="auto"/>
                <w:highlight w:val="none"/>
                <w:lang w:eastAsia="zh-CN"/>
              </w:rPr>
              <w:t>招标人</w:t>
            </w:r>
            <w:r>
              <w:rPr>
                <w:rFonts w:hint="eastAsia"/>
                <w:color w:val="auto"/>
                <w:highlight w:val="none"/>
              </w:rPr>
              <w:t>审核确认且无任何违反合同要求的问题，一次性支付本项目应结算款项。如有违反合同要求的情况则按合同规定执行。</w:t>
            </w:r>
          </w:p>
          <w:p>
            <w:pPr>
              <w:numPr>
                <w:ilvl w:val="0"/>
                <w:numId w:val="13"/>
              </w:numPr>
              <w:tabs>
                <w:tab w:val="left" w:pos="531"/>
              </w:tabs>
              <w:snapToGrid w:val="0"/>
              <w:ind w:left="0" w:firstLine="0"/>
              <w:rPr>
                <w:color w:val="auto"/>
                <w:highlight w:val="none"/>
              </w:rPr>
            </w:pPr>
            <w:r>
              <w:rPr>
                <w:rFonts w:hint="eastAsia"/>
                <w:color w:val="auto"/>
                <w:highlight w:val="none"/>
              </w:rPr>
              <w:t>详细付款事宜以合同条款为准。</w:t>
            </w:r>
          </w:p>
          <w:p>
            <w:pPr>
              <w:numPr>
                <w:ilvl w:val="0"/>
                <w:numId w:val="13"/>
              </w:numPr>
              <w:tabs>
                <w:tab w:val="left" w:pos="531"/>
              </w:tabs>
              <w:snapToGrid w:val="0"/>
              <w:ind w:left="-1" w:leftChars="0" w:firstLine="0"/>
              <w:rPr>
                <w:color w:val="auto"/>
                <w:highlight w:val="none"/>
              </w:rPr>
            </w:pPr>
            <w:r>
              <w:rPr>
                <w:rFonts w:hint="eastAsia" w:ascii="Times New Roman" w:hAnsi="Times New Roman"/>
                <w:bCs w:val="0"/>
                <w:color w:val="auto"/>
                <w:spacing w:val="0"/>
                <w:szCs w:val="24"/>
                <w:highlight w:val="none"/>
              </w:rPr>
              <w:t>招标人支付</w:t>
            </w:r>
            <w:r>
              <w:rPr>
                <w:rFonts w:hint="eastAsia" w:ascii="Times New Roman" w:hAnsi="Times New Roman"/>
                <w:bCs w:val="0"/>
                <w:color w:val="auto"/>
                <w:spacing w:val="0"/>
                <w:kern w:val="2"/>
                <w:sz w:val="21"/>
                <w:szCs w:val="24"/>
                <w:highlight w:val="none"/>
              </w:rPr>
              <w:t>合同款项</w:t>
            </w:r>
            <w:r>
              <w:rPr>
                <w:rFonts w:hint="eastAsia"/>
                <w:bCs w:val="0"/>
                <w:color w:val="auto"/>
                <w:spacing w:val="0"/>
                <w:kern w:val="2"/>
                <w:sz w:val="21"/>
                <w:szCs w:val="24"/>
                <w:highlight w:val="none"/>
                <w:lang w:val="en-US" w:eastAsia="zh-CN"/>
              </w:rPr>
              <w:t>时</w:t>
            </w:r>
            <w:r>
              <w:rPr>
                <w:rFonts w:hint="eastAsia" w:ascii="Times New Roman" w:hAnsi="Times New Roman"/>
                <w:bCs w:val="0"/>
                <w:color w:val="auto"/>
                <w:spacing w:val="0"/>
                <w:szCs w:val="24"/>
                <w:highlight w:val="none"/>
              </w:rPr>
              <w:t>，投标人需先向招标人提供全额（等额）真实、合法有效的增值税专用发票。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cs="宋体"/>
                <w:color w:val="auto"/>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rPr>
              <w:t>须有近</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年（20</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cs="宋体"/>
                <w:color w:val="auto"/>
                <w:szCs w:val="21"/>
                <w:highlight w:val="none"/>
              </w:rPr>
              <w:t>至本项目招标公告发布之日止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以合同签订时间为准</w:t>
            </w:r>
            <w:r>
              <w:rPr>
                <w:rFonts w:hint="eastAsia" w:ascii="宋体" w:hAnsi="宋体" w:cs="宋体"/>
                <w:color w:val="auto"/>
                <w:szCs w:val="21"/>
                <w:highlight w:val="none"/>
              </w:rPr>
              <w:t>）作为承办/协办单位的会议活动项目案例</w:t>
            </w:r>
            <w:r>
              <w:rPr>
                <w:rFonts w:ascii="宋体" w:hAnsi="宋体" w:cs="宋体"/>
                <w:color w:val="auto"/>
                <w:szCs w:val="21"/>
                <w:highlight w:val="none"/>
              </w:rPr>
              <w:t>（提供合同关键页复印件</w:t>
            </w:r>
            <w:r>
              <w:rPr>
                <w:rFonts w:hint="eastAsia" w:ascii="宋体" w:hAnsi="宋体" w:cs="宋体"/>
                <w:color w:val="auto"/>
                <w:szCs w:val="21"/>
                <w:highlight w:val="none"/>
                <w:lang w:val="en-US" w:eastAsia="zh-CN"/>
              </w:rPr>
              <w:t>或扫描件</w:t>
            </w:r>
            <w:r>
              <w:rPr>
                <w:rFonts w:ascii="宋体" w:hAnsi="宋体" w:cs="宋体"/>
                <w:color w:val="auto"/>
                <w:szCs w:val="21"/>
                <w:highlight w:val="none"/>
              </w:rPr>
              <w:t>加盖</w:t>
            </w:r>
            <w:r>
              <w:rPr>
                <w:rFonts w:hint="eastAsia" w:ascii="宋体" w:hAnsi="宋体" w:cs="宋体"/>
                <w:color w:val="auto"/>
                <w:szCs w:val="21"/>
                <w:highlight w:val="none"/>
                <w:lang w:val="en-US" w:eastAsia="zh-CN"/>
              </w:rPr>
              <w:t>投标人</w:t>
            </w:r>
            <w:r>
              <w:rPr>
                <w:rFonts w:ascii="宋体" w:hAnsi="宋体" w:cs="宋体"/>
                <w:color w:val="auto"/>
                <w:szCs w:val="21"/>
                <w:highlight w:val="none"/>
              </w:rPr>
              <w:t>公章,合同关键页包含但不限于项目名称、业主方名称、合同主要内容、签订时间、履约地点、甲乙双方盖章等信息）</w:t>
            </w:r>
            <w:r>
              <w:rPr>
                <w:rFonts w:hint="eastAsia" w:ascii="宋体" w:hAnsi="宋体" w:cs="宋体"/>
                <w:color w:val="auto"/>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eastAsia="宋体" w:cs="宋体"/>
                <w:color w:val="auto"/>
                <w:highlight w:val="none"/>
              </w:rPr>
            </w:pPr>
            <w:r>
              <w:rPr>
                <w:rFonts w:ascii="宋体" w:hAnsi="宋体" w:cs="宋体"/>
                <w:color w:val="auto"/>
                <w:szCs w:val="21"/>
                <w:highlight w:val="none"/>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w:t>
            </w:r>
            <w:r>
              <w:rPr>
                <w:rFonts w:hint="eastAsia" w:ascii="宋体" w:hAnsi="宋体" w:cs="宋体"/>
                <w:color w:val="auto"/>
                <w:szCs w:val="21"/>
                <w:highlight w:val="none"/>
                <w:lang w:val="en-US" w:eastAsia="zh-CN"/>
              </w:rPr>
              <w:t>项目</w:t>
            </w:r>
            <w:r>
              <w:rPr>
                <w:rFonts w:ascii="宋体" w:hAnsi="宋体" w:cs="宋体"/>
                <w:color w:val="auto"/>
                <w:szCs w:val="21"/>
                <w:highlight w:val="none"/>
              </w:rPr>
              <w:t>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240" w:lineRule="auto"/>
              <w:ind w:left="-1"/>
              <w:rPr>
                <w:rFonts w:ascii="宋体" w:hAnsi="宋体" w:cs="仿宋_GB2312"/>
                <w:color w:val="auto"/>
                <w:szCs w:val="21"/>
                <w:highlight w:val="none"/>
              </w:rPr>
            </w:pPr>
            <w:r>
              <w:rPr>
                <w:rFonts w:hint="eastAsia" w:ascii="宋体" w:hAnsi="宋体" w:cs="仿宋_GB2312"/>
                <w:color w:val="auto"/>
                <w:szCs w:val="21"/>
                <w:highlight w:val="none"/>
              </w:rPr>
              <w:t>（</w:t>
            </w:r>
            <w:r>
              <w:rPr>
                <w:rFonts w:ascii="宋体" w:hAnsi="宋体" w:cs="仿宋_GB2312"/>
                <w:color w:val="auto"/>
                <w:szCs w:val="21"/>
                <w:highlight w:val="none"/>
              </w:rPr>
              <w:t>1）招标人根据</w:t>
            </w:r>
            <w:r>
              <w:rPr>
                <w:rFonts w:hint="eastAsia" w:ascii="宋体" w:hAnsi="宋体" w:cs="仿宋_GB2312"/>
                <w:color w:val="auto"/>
                <w:szCs w:val="21"/>
                <w:highlight w:val="none"/>
                <w:lang w:val="en-US" w:eastAsia="zh-CN"/>
              </w:rPr>
              <w:t>投标人</w:t>
            </w:r>
            <w:r>
              <w:rPr>
                <w:rFonts w:ascii="宋体" w:hAnsi="宋体" w:cs="仿宋_GB2312"/>
                <w:color w:val="auto"/>
                <w:szCs w:val="21"/>
                <w:highlight w:val="none"/>
              </w:rPr>
              <w:t>投标文件所述及合同所约定的全部</w:t>
            </w:r>
            <w:r>
              <w:rPr>
                <w:rFonts w:hint="eastAsia" w:ascii="宋体" w:hAnsi="宋体" w:cs="仿宋_GB2312"/>
                <w:color w:val="auto"/>
                <w:szCs w:val="21"/>
                <w:highlight w:val="none"/>
                <w:lang w:val="en-US" w:eastAsia="zh-CN"/>
              </w:rPr>
              <w:t>服务项目</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进行</w:t>
            </w:r>
            <w:r>
              <w:rPr>
                <w:rFonts w:hint="eastAsia" w:ascii="宋体" w:hAnsi="宋体" w:cs="仿宋_GB2312"/>
                <w:color w:val="auto"/>
                <w:szCs w:val="21"/>
                <w:highlight w:val="none"/>
                <w:lang w:val="en-US" w:eastAsia="zh-CN"/>
              </w:rPr>
              <w:t>现场服务质量</w:t>
            </w:r>
            <w:r>
              <w:rPr>
                <w:rFonts w:hint="eastAsia" w:ascii="宋体" w:hAnsi="宋体" w:cs="仿宋_GB2312"/>
                <w:color w:val="auto"/>
                <w:szCs w:val="21"/>
                <w:highlight w:val="none"/>
              </w:rPr>
              <w:t>验收。</w:t>
            </w:r>
            <w:r>
              <w:rPr>
                <w:rFonts w:hint="eastAsia" w:ascii="宋体" w:hAnsi="宋体" w:cs="仿宋_GB2312"/>
                <w:color w:val="auto"/>
                <w:szCs w:val="21"/>
                <w:highlight w:val="none"/>
                <w:lang w:val="en-US" w:eastAsia="zh-CN"/>
              </w:rPr>
              <w:t>投标人</w:t>
            </w:r>
            <w:r>
              <w:rPr>
                <w:rFonts w:hint="eastAsia"/>
                <w:color w:val="auto"/>
                <w:highlight w:val="none"/>
              </w:rPr>
              <w:t>各项</w:t>
            </w:r>
            <w:r>
              <w:rPr>
                <w:rFonts w:hint="eastAsia"/>
                <w:color w:val="auto"/>
                <w:highlight w:val="none"/>
                <w:lang w:val="en-US" w:eastAsia="zh-CN"/>
              </w:rPr>
              <w:t>服务质量应</w:t>
            </w:r>
            <w:r>
              <w:rPr>
                <w:rFonts w:hint="eastAsia"/>
                <w:color w:val="auto"/>
                <w:highlight w:val="none"/>
              </w:rPr>
              <w:t>等同或优于</w:t>
            </w:r>
            <w:r>
              <w:rPr>
                <w:rFonts w:hint="eastAsia" w:ascii="宋体" w:hAnsi="宋体" w:cs="仿宋_GB2312"/>
                <w:color w:val="auto"/>
                <w:szCs w:val="21"/>
                <w:highlight w:val="none"/>
                <w:lang w:val="en-US" w:eastAsia="zh-CN"/>
              </w:rPr>
              <w:t>投标人</w:t>
            </w:r>
            <w:r>
              <w:rPr>
                <w:rFonts w:ascii="宋体" w:hAnsi="宋体" w:cs="仿宋_GB2312"/>
                <w:color w:val="auto"/>
                <w:szCs w:val="21"/>
                <w:highlight w:val="none"/>
              </w:rPr>
              <w:t>投标文件所述及合同所约定</w:t>
            </w:r>
            <w:r>
              <w:rPr>
                <w:rFonts w:hint="eastAsia"/>
                <w:color w:val="auto"/>
                <w:highlight w:val="none"/>
              </w:rPr>
              <w:t>。</w:t>
            </w:r>
          </w:p>
          <w:p>
            <w:pPr>
              <w:tabs>
                <w:tab w:val="left" w:pos="531"/>
              </w:tabs>
              <w:snapToGrid w:val="0"/>
              <w:rPr>
                <w:rFonts w:hint="default" w:ascii="宋体" w:hAnsi="宋体" w:eastAsia="宋体" w:cs="宋体"/>
                <w:color w:val="auto"/>
                <w:szCs w:val="21"/>
                <w:highlight w:val="none"/>
                <w:lang w:val="en-US" w:eastAsia="zh-CN"/>
              </w:rPr>
            </w:pPr>
            <w:r>
              <w:rPr>
                <w:rFonts w:hint="eastAsia" w:ascii="宋体" w:hAnsi="宋体" w:cs="仿宋_GB2312"/>
                <w:color w:val="auto"/>
                <w:szCs w:val="21"/>
                <w:highlight w:val="none"/>
              </w:rPr>
              <w:t>（</w:t>
            </w:r>
            <w:r>
              <w:rPr>
                <w:rFonts w:ascii="宋体" w:hAnsi="宋体" w:cs="仿宋_GB2312"/>
                <w:color w:val="auto"/>
                <w:szCs w:val="21"/>
                <w:highlight w:val="none"/>
              </w:rPr>
              <w:t>2）</w:t>
            </w:r>
            <w:r>
              <w:rPr>
                <w:rFonts w:hint="eastAsia" w:ascii="宋体" w:hAnsi="宋体" w:cs="仿宋_GB2312"/>
                <w:color w:val="auto"/>
                <w:szCs w:val="21"/>
                <w:highlight w:val="none"/>
                <w:lang w:val="en-US" w:eastAsia="zh-CN"/>
              </w:rPr>
              <w:t>投标人</w:t>
            </w:r>
            <w:r>
              <w:rPr>
                <w:rFonts w:ascii="宋体" w:hAnsi="宋体" w:cs="仿宋_GB2312"/>
                <w:color w:val="auto"/>
                <w:szCs w:val="21"/>
                <w:highlight w:val="none"/>
              </w:rPr>
              <w:t>须</w:t>
            </w:r>
            <w:r>
              <w:rPr>
                <w:rFonts w:hint="eastAsia" w:ascii="宋体" w:hAnsi="宋体" w:cs="仿宋_GB2312"/>
                <w:color w:val="auto"/>
                <w:szCs w:val="21"/>
                <w:highlight w:val="none"/>
              </w:rPr>
              <w:t>提供</w:t>
            </w:r>
            <w:r>
              <w:rPr>
                <w:rFonts w:hint="eastAsia" w:ascii="宋体" w:hAnsi="宋体" w:cs="仿宋_GB2312"/>
                <w:color w:val="auto"/>
                <w:szCs w:val="21"/>
                <w:highlight w:val="none"/>
                <w:lang w:val="en-US" w:eastAsia="zh-CN"/>
              </w:rPr>
              <w:t>完整的设备、物料清单、人员名单及现场签到表等相关材料</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并形成项目验收报告，结合前款《现场服务质量</w:t>
            </w:r>
            <w:r>
              <w:rPr>
                <w:rFonts w:hint="eastAsia" w:ascii="宋体" w:hAnsi="宋体" w:cs="仿宋_GB2312"/>
                <w:color w:val="auto"/>
                <w:szCs w:val="21"/>
                <w:highlight w:val="none"/>
              </w:rPr>
              <w:t>验收</w:t>
            </w:r>
            <w:r>
              <w:rPr>
                <w:rFonts w:hint="eastAsia" w:ascii="宋体" w:hAnsi="宋体" w:cs="仿宋_GB2312"/>
                <w:color w:val="auto"/>
                <w:szCs w:val="21"/>
                <w:highlight w:val="none"/>
                <w:lang w:val="en-US" w:eastAsia="zh-CN"/>
              </w:rPr>
              <w:t>报告》及现场照片，提请招标人组织项目整体验收</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招标人根据招投标文件及合同约定对项目实施验收。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服务内容</w:t>
            </w:r>
          </w:p>
        </w:tc>
        <w:tc>
          <w:tcPr>
            <w:tcW w:w="7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Cs w:val="21"/>
                <w:highlight w:val="none"/>
              </w:rPr>
              <w:t>本项目服务</w:t>
            </w:r>
            <w:r>
              <w:rPr>
                <w:rFonts w:hint="eastAsia" w:ascii="宋体" w:hAnsi="宋体" w:cs="宋体"/>
                <w:color w:val="auto"/>
                <w:szCs w:val="21"/>
                <w:highlight w:val="none"/>
                <w:lang w:val="en-US" w:eastAsia="zh-CN"/>
              </w:rPr>
              <w:t>为会期</w:t>
            </w:r>
            <w:r>
              <w:rPr>
                <w:rFonts w:hint="eastAsia" w:ascii="宋体" w:hAnsi="宋体" w:eastAsia="宋体" w:cs="宋体"/>
                <w:color w:val="auto"/>
                <w:szCs w:val="21"/>
                <w:highlight w:val="none"/>
                <w:lang w:val="en-US" w:eastAsia="zh-CN"/>
              </w:rPr>
              <w:t>全流程综合服务</w:t>
            </w:r>
            <w:r>
              <w:rPr>
                <w:rFonts w:hint="eastAsia" w:ascii="宋体" w:hAnsi="宋体" w:cs="宋体"/>
                <w:color w:val="auto"/>
                <w:szCs w:val="21"/>
                <w:highlight w:val="none"/>
                <w:lang w:val="en-US" w:eastAsia="zh-CN"/>
              </w:rPr>
              <w:t>管理与现场统筹执行。</w:t>
            </w:r>
            <w:r>
              <w:rPr>
                <w:rFonts w:hint="eastAsia" w:ascii="宋体" w:hAnsi="宋体" w:cs="宋体"/>
                <w:color w:val="auto"/>
                <w:szCs w:val="21"/>
                <w:highlight w:val="none"/>
              </w:rPr>
              <w:t>主要内容包括但不限于：</w:t>
            </w:r>
            <w:r>
              <w:rPr>
                <w:rFonts w:hint="eastAsia" w:ascii="宋体" w:hAnsi="宋体" w:eastAsia="宋体" w:cs="宋体"/>
                <w:color w:val="auto"/>
                <w:szCs w:val="21"/>
                <w:highlight w:val="none"/>
                <w:lang w:val="en-US" w:eastAsia="zh-CN"/>
              </w:rPr>
              <w:t>配合</w:t>
            </w:r>
            <w:r>
              <w:rPr>
                <w:rFonts w:hint="eastAsia" w:ascii="宋体" w:hAnsi="宋体" w:cs="宋体"/>
                <w:color w:val="auto"/>
                <w:szCs w:val="21"/>
                <w:highlight w:val="none"/>
              </w:rPr>
              <w:t>前期筹备</w:t>
            </w:r>
            <w:r>
              <w:rPr>
                <w:rFonts w:hint="eastAsia" w:ascii="宋体" w:hAnsi="宋体" w:eastAsia="宋体" w:cs="宋体"/>
                <w:color w:val="auto"/>
                <w:szCs w:val="21"/>
                <w:highlight w:val="none"/>
                <w:lang w:eastAsia="zh-CN"/>
              </w:rPr>
              <w:t>工作</w:t>
            </w:r>
            <w:r>
              <w:rPr>
                <w:rFonts w:hint="eastAsia" w:ascii="宋体" w:hAnsi="宋体" w:cs="宋体"/>
                <w:color w:val="auto"/>
                <w:szCs w:val="21"/>
                <w:highlight w:val="none"/>
              </w:rPr>
              <w:t>；现</w:t>
            </w:r>
            <w:r>
              <w:rPr>
                <w:rFonts w:hint="eastAsia" w:ascii="宋体" w:hAnsi="宋体" w:cs="宋体"/>
                <w:color w:val="auto"/>
                <w:szCs w:val="21"/>
                <w:highlight w:val="none"/>
                <w:lang w:val="en-US" w:eastAsia="zh-CN"/>
              </w:rPr>
              <w:t>场布置</w:t>
            </w:r>
            <w:r>
              <w:rPr>
                <w:rFonts w:hint="eastAsia" w:ascii="宋体" w:hAnsi="宋体" w:cs="宋体"/>
                <w:color w:val="auto"/>
                <w:szCs w:val="21"/>
                <w:highlight w:val="none"/>
              </w:rPr>
              <w:t>搭建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设备配置、调试与控制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会务全流程统筹</w:t>
            </w:r>
            <w:r>
              <w:rPr>
                <w:rFonts w:hint="eastAsia" w:ascii="宋体" w:hAnsi="宋体" w:cs="宋体"/>
                <w:color w:val="auto"/>
                <w:szCs w:val="21"/>
                <w:highlight w:val="none"/>
              </w:rPr>
              <w:t>执行</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小型</w:t>
            </w:r>
            <w:r>
              <w:rPr>
                <w:rFonts w:hint="eastAsia" w:ascii="宋体" w:hAnsi="宋体" w:cs="宋体"/>
                <w:color w:val="auto"/>
                <w:szCs w:val="21"/>
                <w:highlight w:val="none"/>
                <w:lang w:val="en-US" w:eastAsia="zh-CN"/>
              </w:rPr>
              <w:t>演出节目</w:t>
            </w:r>
            <w:r>
              <w:rPr>
                <w:rFonts w:hint="eastAsia" w:ascii="宋体" w:hAnsi="宋体" w:eastAsia="宋体" w:cs="宋体"/>
                <w:color w:val="auto"/>
                <w:szCs w:val="21"/>
                <w:highlight w:val="none"/>
                <w:lang w:val="en-US" w:eastAsia="zh-CN"/>
              </w:rPr>
              <w:t>安排与管理</w:t>
            </w:r>
            <w:r>
              <w:rPr>
                <w:rFonts w:hint="eastAsia" w:ascii="宋体" w:hAnsi="宋体" w:cs="宋体"/>
                <w:color w:val="auto"/>
                <w:szCs w:val="21"/>
                <w:highlight w:val="none"/>
                <w:lang w:val="en-US" w:eastAsia="zh-CN"/>
              </w:rPr>
              <w:t>（包括但不限于体现中国元素表演、乐队表演等）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会后清理等；</w:t>
            </w:r>
            <w:r>
              <w:rPr>
                <w:rFonts w:hint="eastAsia" w:ascii="宋体" w:hAnsi="宋体" w:eastAsia="宋体" w:cs="宋体"/>
                <w:color w:val="auto"/>
                <w:szCs w:val="21"/>
                <w:highlight w:val="none"/>
                <w:lang w:eastAsia="zh-CN"/>
              </w:rPr>
              <w:t>具体如下：</w:t>
            </w:r>
          </w:p>
          <w:p>
            <w:pPr>
              <w:pStyle w:val="3"/>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一、时间安排</w:t>
            </w:r>
          </w:p>
          <w:p>
            <w:pPr>
              <w:pStyle w:val="3"/>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5月4－6日场地布置</w:t>
            </w:r>
          </w:p>
          <w:p>
            <w:pPr>
              <w:pStyle w:val="3"/>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5月7日彩排</w:t>
            </w:r>
          </w:p>
          <w:p>
            <w:pPr>
              <w:pStyle w:val="3"/>
              <w:spacing w:line="24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5月7日晚（</w:t>
            </w:r>
            <w:r>
              <w:rPr>
                <w:rFonts w:hint="eastAsia" w:ascii="宋体" w:hAnsi="宋体" w:cs="宋体"/>
                <w:color w:val="auto"/>
                <w:sz w:val="21"/>
                <w:szCs w:val="21"/>
                <w:highlight w:val="none"/>
                <w:lang w:val="en-US" w:eastAsia="zh-CN"/>
              </w:rPr>
              <w:t>活动</w:t>
            </w:r>
            <w:r>
              <w:rPr>
                <w:rFonts w:hint="eastAsia" w:ascii="宋体" w:hAnsi="宋体" w:eastAsia="宋体" w:cs="宋体"/>
                <w:color w:val="auto"/>
                <w:sz w:val="21"/>
                <w:szCs w:val="21"/>
                <w:highlight w:val="none"/>
                <w:lang w:val="en-US" w:eastAsia="zh-CN"/>
              </w:rPr>
              <w:t>）</w:t>
            </w:r>
          </w:p>
          <w:p>
            <w:pPr>
              <w:pStyle w:val="3"/>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5月8－10日会期</w:t>
            </w:r>
          </w:p>
          <w:p>
            <w:pPr>
              <w:pStyle w:val="3"/>
              <w:spacing w:line="24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5月9日晚（</w:t>
            </w:r>
            <w:r>
              <w:rPr>
                <w:rFonts w:hint="eastAsia" w:ascii="宋体" w:hAnsi="宋体" w:cs="宋体"/>
                <w:color w:val="auto"/>
                <w:sz w:val="21"/>
                <w:szCs w:val="21"/>
                <w:highlight w:val="none"/>
                <w:lang w:val="en-US" w:eastAsia="zh-CN"/>
              </w:rPr>
              <w:t>活动</w:t>
            </w:r>
            <w:r>
              <w:rPr>
                <w:rFonts w:hint="eastAsia" w:ascii="宋体" w:hAnsi="宋体" w:eastAsia="宋体" w:cs="宋体"/>
                <w:color w:val="auto"/>
                <w:sz w:val="21"/>
                <w:szCs w:val="21"/>
                <w:highlight w:val="none"/>
                <w:lang w:val="en-US" w:eastAsia="zh-CN"/>
              </w:rPr>
              <w:t>）</w:t>
            </w:r>
          </w:p>
          <w:p>
            <w:pPr>
              <w:pStyle w:val="3"/>
              <w:numPr>
                <w:ilvl w:val="0"/>
                <w:numId w:val="14"/>
              </w:num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场地</w:t>
            </w:r>
          </w:p>
          <w:p>
            <w:pPr>
              <w:pStyle w:val="3"/>
              <w:numPr>
                <w:ilvl w:val="-1"/>
                <w:numId w:val="0"/>
              </w:numPr>
              <w:spacing w:line="24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梅花厅（开幕式、主会场）、桂花厅（分会场）、茉莉厅（分会场）、菊花厅（</w:t>
            </w:r>
            <w:r>
              <w:rPr>
                <w:rFonts w:hint="eastAsia" w:ascii="宋体" w:hAnsi="宋体" w:cs="宋体"/>
                <w:color w:val="auto"/>
                <w:sz w:val="21"/>
                <w:szCs w:val="21"/>
                <w:highlight w:val="none"/>
                <w:lang w:eastAsia="zh-CN"/>
              </w:rPr>
              <w:t>多用</w:t>
            </w:r>
            <w:r>
              <w:rPr>
                <w:rFonts w:hint="eastAsia" w:ascii="宋体" w:hAnsi="宋体" w:cs="宋体"/>
                <w:color w:val="auto"/>
                <w:sz w:val="21"/>
                <w:szCs w:val="21"/>
                <w:highlight w:val="none"/>
                <w:lang w:val="en-US" w:eastAsia="zh-CN"/>
              </w:rPr>
              <w:t>涂</w:t>
            </w:r>
            <w:r>
              <w:rPr>
                <w:rFonts w:hint="eastAsia" w:ascii="宋体" w:hAnsi="宋体" w:eastAsia="宋体" w:cs="宋体"/>
                <w:color w:val="auto"/>
                <w:sz w:val="21"/>
                <w:szCs w:val="21"/>
                <w:highlight w:val="none"/>
                <w:lang w:eastAsia="zh-CN"/>
              </w:rPr>
              <w:t>）、中厅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eastAsia="zh-CN"/>
              </w:rPr>
              <w:t>、茶花厅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5号馆多功能厅</w:t>
            </w:r>
            <w:r>
              <w:rPr>
                <w:rFonts w:hint="eastAsia" w:ascii="宋体" w:hAnsi="宋体" w:cs="宋体"/>
                <w:color w:val="auto"/>
                <w:sz w:val="21"/>
                <w:szCs w:val="21"/>
                <w:highlight w:val="none"/>
                <w:lang w:val="en-US" w:eastAsia="zh-CN"/>
              </w:rPr>
              <w:t>（部分）</w:t>
            </w:r>
          </w:p>
          <w:p>
            <w:pPr>
              <w:pStyle w:val="3"/>
              <w:numPr>
                <w:ilvl w:val="-1"/>
                <w:numId w:val="0"/>
              </w:num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三、服务相关内容（包括但不限于以下情形）</w:t>
            </w:r>
          </w:p>
          <w:p>
            <w:pPr>
              <w:pStyle w:val="25"/>
              <w:numPr>
                <w:ilvl w:val="0"/>
                <w:numId w:val="15"/>
              </w:numPr>
              <w:snapToGrid w:val="0"/>
              <w:spacing w:line="24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协助招标人进行场地规划设计、平面图、服务方案制订；</w:t>
            </w:r>
          </w:p>
          <w:p>
            <w:pPr>
              <w:pStyle w:val="3"/>
              <w:numPr>
                <w:ilvl w:val="0"/>
                <w:numId w:val="15"/>
              </w:numPr>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按招标人需求，准备各类设施设备，包括但不限于</w:t>
            </w:r>
            <w:r>
              <w:rPr>
                <w:rFonts w:hint="eastAsia" w:ascii="宋体" w:hAnsi="宋体" w:eastAsia="宋体" w:cs="宋体"/>
                <w:color w:val="auto"/>
                <w:sz w:val="21"/>
                <w:szCs w:val="21"/>
                <w:highlight w:val="none"/>
                <w:lang w:val="en-US" w:eastAsia="zh-CN"/>
              </w:rPr>
              <w:t>音视频系统</w:t>
            </w:r>
            <w:r>
              <w:rPr>
                <w:rFonts w:hint="eastAsia" w:ascii="宋体" w:hAnsi="宋体" w:eastAsia="宋体" w:cs="宋体"/>
                <w:color w:val="auto"/>
                <w:sz w:val="21"/>
                <w:szCs w:val="21"/>
                <w:highlight w:val="none"/>
              </w:rPr>
              <w:t>、灯光、</w:t>
            </w:r>
            <w:r>
              <w:rPr>
                <w:rFonts w:hint="eastAsia" w:ascii="宋体" w:hAnsi="宋体" w:eastAsia="宋体" w:cs="宋体"/>
                <w:color w:val="auto"/>
                <w:sz w:val="21"/>
                <w:szCs w:val="21"/>
                <w:highlight w:val="none"/>
                <w:lang w:val="en-US" w:eastAsia="zh-CN"/>
              </w:rPr>
              <w:t>直播、摄影、</w:t>
            </w:r>
            <w:r>
              <w:rPr>
                <w:rFonts w:hint="eastAsia" w:ascii="宋体" w:hAnsi="宋体" w:eastAsia="宋体" w:cs="宋体"/>
                <w:color w:val="auto"/>
                <w:sz w:val="21"/>
                <w:szCs w:val="21"/>
                <w:highlight w:val="none"/>
              </w:rPr>
              <w:t>同传</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及各</w:t>
            </w:r>
            <w:r>
              <w:rPr>
                <w:rFonts w:hint="eastAsia" w:ascii="宋体" w:hAnsi="宋体" w:eastAsia="宋体" w:cs="宋体"/>
                <w:color w:val="auto"/>
                <w:sz w:val="21"/>
                <w:szCs w:val="21"/>
                <w:highlight w:val="none"/>
                <w:lang w:val="en-US" w:eastAsia="zh-CN"/>
              </w:rPr>
              <w:t>配套</w:t>
            </w:r>
            <w:r>
              <w:rPr>
                <w:rFonts w:hint="eastAsia" w:ascii="宋体" w:hAnsi="宋体" w:eastAsia="宋体" w:cs="宋体"/>
                <w:color w:val="auto"/>
                <w:sz w:val="21"/>
                <w:szCs w:val="21"/>
                <w:highlight w:val="none"/>
              </w:rPr>
              <w:t>物料等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b w:val="0"/>
                <w:bCs w:val="0"/>
                <w:color w:val="auto"/>
                <w:sz w:val="21"/>
                <w:szCs w:val="21"/>
                <w:highlight w:val="none"/>
                <w:lang w:val="en-US" w:eastAsia="zh-CN"/>
              </w:rPr>
              <w:t>把控时间进度，</w:t>
            </w:r>
            <w:r>
              <w:rPr>
                <w:rFonts w:hint="eastAsia" w:ascii="宋体" w:hAnsi="宋体" w:eastAsia="宋体" w:cs="宋体"/>
                <w:color w:val="auto"/>
                <w:sz w:val="21"/>
                <w:szCs w:val="21"/>
                <w:highlight w:val="none"/>
              </w:rPr>
              <w:t>确保在安全</w:t>
            </w:r>
            <w:r>
              <w:rPr>
                <w:rFonts w:hint="eastAsia" w:ascii="宋体" w:hAnsi="宋体" w:eastAsia="宋体" w:cs="宋体"/>
                <w:color w:val="auto"/>
                <w:sz w:val="21"/>
                <w:szCs w:val="21"/>
                <w:highlight w:val="none"/>
                <w:lang w:val="en-US" w:eastAsia="zh-CN"/>
              </w:rPr>
              <w:t>条件</w:t>
            </w:r>
            <w:r>
              <w:rPr>
                <w:rFonts w:hint="eastAsia" w:ascii="宋体" w:hAnsi="宋体" w:eastAsia="宋体" w:cs="宋体"/>
                <w:color w:val="auto"/>
                <w:sz w:val="21"/>
                <w:szCs w:val="21"/>
                <w:highlight w:val="none"/>
              </w:rPr>
              <w:t>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保质保量的按前期规划完成所有会议设备及会务相关的搭建，安排好所有的会议现场</w:t>
            </w:r>
            <w:r>
              <w:rPr>
                <w:rFonts w:hint="eastAsia" w:ascii="宋体" w:hAnsi="宋体" w:eastAsia="宋体" w:cs="宋体"/>
                <w:color w:val="auto"/>
                <w:sz w:val="21"/>
                <w:szCs w:val="21"/>
                <w:highlight w:val="none"/>
                <w:lang w:eastAsia="zh-CN"/>
              </w:rPr>
              <w:t>布置，</w:t>
            </w:r>
            <w:r>
              <w:rPr>
                <w:rFonts w:hint="eastAsia" w:ascii="宋体" w:hAnsi="宋体" w:eastAsia="宋体" w:cs="宋体"/>
                <w:color w:val="auto"/>
                <w:sz w:val="21"/>
                <w:szCs w:val="21"/>
                <w:highlight w:val="none"/>
              </w:rPr>
              <w:t>确保</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设施及物料</w:t>
            </w:r>
            <w:r>
              <w:rPr>
                <w:rFonts w:hint="eastAsia" w:ascii="宋体" w:hAnsi="宋体" w:eastAsia="宋体" w:cs="宋体"/>
                <w:color w:val="auto"/>
                <w:sz w:val="21"/>
                <w:szCs w:val="21"/>
                <w:highlight w:val="none"/>
              </w:rPr>
              <w:t>的正常使用。</w:t>
            </w:r>
          </w:p>
          <w:p>
            <w:pPr>
              <w:pStyle w:val="3"/>
              <w:numPr>
                <w:ilvl w:val="0"/>
                <w:numId w:val="15"/>
              </w:numPr>
              <w:snapToGrid w:val="0"/>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按需求投入足够数量的工作人员，做</w:t>
            </w:r>
            <w:r>
              <w:rPr>
                <w:rFonts w:hint="eastAsia" w:ascii="宋体" w:hAnsi="宋体" w:eastAsia="宋体" w:cs="宋体"/>
                <w:color w:val="auto"/>
                <w:sz w:val="21"/>
                <w:szCs w:val="21"/>
                <w:highlight w:val="none"/>
              </w:rPr>
              <w:t>好</w:t>
            </w:r>
            <w:r>
              <w:rPr>
                <w:rFonts w:hint="eastAsia" w:ascii="宋体" w:hAnsi="宋体" w:eastAsia="宋体" w:cs="宋体"/>
                <w:color w:val="auto"/>
                <w:sz w:val="21"/>
                <w:szCs w:val="21"/>
                <w:highlight w:val="none"/>
                <w:lang w:val="en-US" w:eastAsia="zh-CN"/>
              </w:rPr>
              <w:t>执行团队的人员分工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设计师、</w:t>
            </w:r>
            <w:r>
              <w:rPr>
                <w:rFonts w:hint="eastAsia" w:ascii="宋体" w:hAnsi="宋体" w:eastAsia="宋体" w:cs="宋体"/>
                <w:color w:val="auto"/>
                <w:sz w:val="21"/>
                <w:szCs w:val="21"/>
                <w:highlight w:val="none"/>
                <w:lang w:val="en-US" w:eastAsia="zh-CN"/>
              </w:rPr>
              <w:t>场控、</w:t>
            </w:r>
            <w:r>
              <w:rPr>
                <w:rFonts w:hint="eastAsia" w:ascii="宋体" w:hAnsi="宋体" w:eastAsia="宋体" w:cs="宋体"/>
                <w:color w:val="auto"/>
                <w:sz w:val="21"/>
                <w:szCs w:val="21"/>
                <w:highlight w:val="none"/>
              </w:rPr>
              <w:t>音视频</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摄影</w:t>
            </w:r>
            <w:r>
              <w:rPr>
                <w:rFonts w:hint="eastAsia" w:ascii="宋体" w:hAnsi="宋体" w:eastAsia="宋体" w:cs="宋体"/>
                <w:color w:val="auto"/>
                <w:sz w:val="21"/>
                <w:szCs w:val="21"/>
                <w:highlight w:val="none"/>
                <w:lang w:val="en-US" w:eastAsia="zh-CN"/>
              </w:rPr>
              <w:t>师、</w:t>
            </w:r>
            <w:r>
              <w:rPr>
                <w:rFonts w:hint="eastAsia" w:ascii="宋体" w:hAnsi="宋体" w:eastAsia="宋体" w:cs="宋体"/>
                <w:color w:val="auto"/>
                <w:sz w:val="21"/>
                <w:szCs w:val="21"/>
                <w:highlight w:val="none"/>
              </w:rPr>
              <w:t>翻译、礼仪人员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乐队、演员、</w:t>
            </w:r>
            <w:r>
              <w:rPr>
                <w:rFonts w:hint="eastAsia" w:ascii="宋体" w:hAnsi="宋体" w:eastAsia="宋体" w:cs="宋体"/>
                <w:color w:val="auto"/>
                <w:sz w:val="21"/>
                <w:szCs w:val="21"/>
                <w:highlight w:val="none"/>
              </w:rPr>
              <w:t>活动片剪辑人员等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确保各项工作有序进行；</w:t>
            </w:r>
          </w:p>
          <w:p>
            <w:pPr>
              <w:pStyle w:val="3"/>
              <w:numPr>
                <w:ilvl w:val="0"/>
                <w:numId w:val="15"/>
              </w:numPr>
              <w:spacing w:line="240" w:lineRule="auto"/>
              <w:ind w:lef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与主办方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主持人、招标人进行充分</w:t>
            </w:r>
            <w:r>
              <w:rPr>
                <w:rFonts w:hint="eastAsia" w:ascii="宋体" w:hAnsi="宋体" w:cs="宋体"/>
                <w:color w:val="auto"/>
                <w:sz w:val="21"/>
                <w:szCs w:val="21"/>
                <w:highlight w:val="none"/>
              </w:rPr>
              <w:t>沟通</w:t>
            </w:r>
            <w:r>
              <w:rPr>
                <w:rFonts w:hint="eastAsia" w:ascii="宋体" w:hAnsi="宋体" w:cs="宋体"/>
                <w:color w:val="auto"/>
                <w:sz w:val="21"/>
                <w:szCs w:val="21"/>
                <w:highlight w:val="none"/>
                <w:lang w:val="en-US" w:eastAsia="zh-CN"/>
              </w:rPr>
              <w:t>协调</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整体把</w:t>
            </w:r>
            <w:r>
              <w:rPr>
                <w:rFonts w:hint="eastAsia" w:ascii="宋体" w:hAnsi="宋体" w:cs="宋体"/>
                <w:color w:val="auto"/>
                <w:sz w:val="21"/>
                <w:szCs w:val="21"/>
                <w:highlight w:val="none"/>
              </w:rPr>
              <w:t>控</w:t>
            </w:r>
            <w:r>
              <w:rPr>
                <w:rFonts w:hint="eastAsia" w:ascii="宋体" w:hAnsi="宋体" w:cs="宋体"/>
                <w:color w:val="auto"/>
                <w:sz w:val="21"/>
                <w:szCs w:val="21"/>
                <w:highlight w:val="none"/>
                <w:lang w:val="en-US" w:eastAsia="zh-CN"/>
              </w:rPr>
              <w:t>整个会期</w:t>
            </w:r>
            <w:r>
              <w:rPr>
                <w:rFonts w:hint="eastAsia" w:ascii="宋体" w:hAnsi="宋体" w:eastAsia="宋体" w:cs="宋体"/>
                <w:color w:val="auto"/>
                <w:sz w:val="21"/>
                <w:szCs w:val="21"/>
                <w:highlight w:val="none"/>
                <w:lang w:val="en-US" w:eastAsia="zh-CN"/>
              </w:rPr>
              <w:t>和小型演出活动的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筹备、彩排、现场、会后）各环节的</w:t>
            </w:r>
            <w:r>
              <w:rPr>
                <w:rFonts w:hint="eastAsia" w:ascii="宋体" w:hAnsi="宋体" w:cs="宋体"/>
                <w:color w:val="auto"/>
                <w:sz w:val="21"/>
                <w:szCs w:val="21"/>
                <w:highlight w:val="none"/>
              </w:rPr>
              <w:t>衔接。</w:t>
            </w:r>
          </w:p>
          <w:p>
            <w:pPr>
              <w:pStyle w:val="3"/>
              <w:numPr>
                <w:ilvl w:val="0"/>
                <w:numId w:val="15"/>
              </w:numPr>
              <w:spacing w:line="240" w:lineRule="auto"/>
              <w:ind w:left="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val="en-US" w:eastAsia="zh-CN"/>
              </w:rPr>
              <w:t>主办方及</w:t>
            </w:r>
            <w:r>
              <w:rPr>
                <w:rFonts w:hint="eastAsia" w:ascii="宋体" w:hAnsi="宋体" w:cs="宋体"/>
                <w:color w:val="auto"/>
                <w:sz w:val="21"/>
                <w:szCs w:val="21"/>
                <w:highlight w:val="none"/>
              </w:rPr>
              <w:t>嘉宾现场</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其他服务需求。</w:t>
            </w:r>
          </w:p>
          <w:p>
            <w:pPr>
              <w:pStyle w:val="3"/>
              <w:numPr>
                <w:ilvl w:val="0"/>
                <w:numId w:val="15"/>
              </w:numPr>
              <w:spacing w:line="240" w:lineRule="auto"/>
              <w:ind w:left="0" w:firstLine="0" w:firstLineChars="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签署安全责任书</w:t>
            </w:r>
            <w:r>
              <w:rPr>
                <w:rFonts w:hint="eastAsia" w:ascii="宋体" w:hAnsi="宋体" w:cs="宋体"/>
                <w:color w:val="auto"/>
                <w:sz w:val="21"/>
                <w:szCs w:val="21"/>
                <w:highlight w:val="none"/>
                <w:lang w:eastAsia="zh-CN"/>
              </w:rPr>
              <w:t>，履行安全责任。</w:t>
            </w:r>
            <w:r>
              <w:rPr>
                <w:rFonts w:hint="eastAsia" w:ascii="宋体" w:hAnsi="宋体" w:cs="宋体"/>
                <w:color w:val="auto"/>
                <w:sz w:val="21"/>
                <w:szCs w:val="21"/>
                <w:highlight w:val="none"/>
              </w:rPr>
              <w:t>处理会场出现</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突发事件，对紧急状况及时处理，事先做好</w:t>
            </w:r>
            <w:r>
              <w:rPr>
                <w:rFonts w:hint="eastAsia" w:ascii="宋体" w:hAnsi="宋体" w:cs="宋体"/>
                <w:color w:val="auto"/>
                <w:sz w:val="21"/>
                <w:szCs w:val="21"/>
                <w:highlight w:val="none"/>
                <w:lang w:val="en-US" w:eastAsia="zh-CN"/>
              </w:rPr>
              <w:t>安全应急</w:t>
            </w:r>
            <w:r>
              <w:rPr>
                <w:rFonts w:hint="eastAsia" w:ascii="宋体" w:hAnsi="宋体" w:cs="宋体"/>
                <w:color w:val="auto"/>
                <w:sz w:val="21"/>
                <w:szCs w:val="21"/>
                <w:highlight w:val="none"/>
              </w:rPr>
              <w:t xml:space="preserve">预案。 </w:t>
            </w:r>
          </w:p>
          <w:p>
            <w:pPr>
              <w:numPr>
                <w:ilvl w:val="0"/>
                <w:numId w:val="15"/>
              </w:numPr>
              <w:snapToGrid w:val="0"/>
              <w:spacing w:line="240" w:lineRule="auto"/>
              <w:ind w:left="0" w:firstLine="0" w:firstLineChars="0"/>
              <w:jc w:val="left"/>
              <w:rPr>
                <w:rFonts w:ascii="宋体" w:hAnsi="宋体"/>
                <w:color w:val="auto"/>
                <w:highlight w:val="none"/>
              </w:rPr>
            </w:pPr>
            <w:r>
              <w:rPr>
                <w:rFonts w:hint="eastAsia" w:ascii="宋体" w:hAnsi="宋体" w:cs="宋体"/>
                <w:color w:val="auto"/>
                <w:sz w:val="21"/>
                <w:szCs w:val="21"/>
                <w:highlight w:val="none"/>
                <w:lang w:eastAsia="zh-CN"/>
              </w:rPr>
              <w:t>会议活动</w:t>
            </w:r>
            <w:r>
              <w:rPr>
                <w:rFonts w:hint="eastAsia" w:ascii="宋体" w:hAnsi="宋体" w:cs="宋体"/>
                <w:color w:val="auto"/>
                <w:sz w:val="21"/>
                <w:szCs w:val="21"/>
                <w:highlight w:val="none"/>
              </w:rPr>
              <w:t>结束后</w:t>
            </w:r>
            <w:r>
              <w:rPr>
                <w:rFonts w:hint="eastAsia" w:ascii="宋体" w:hAnsi="宋体" w:cs="宋体"/>
                <w:color w:val="auto"/>
                <w:sz w:val="21"/>
                <w:szCs w:val="21"/>
                <w:highlight w:val="none"/>
                <w:lang w:eastAsia="zh-CN"/>
              </w:rPr>
              <w:t>进行</w:t>
            </w:r>
            <w:r>
              <w:rPr>
                <w:rFonts w:hint="eastAsia" w:ascii="宋体" w:hAnsi="宋体" w:cs="宋体"/>
                <w:color w:val="auto"/>
                <w:sz w:val="21"/>
                <w:szCs w:val="21"/>
                <w:highlight w:val="none"/>
              </w:rPr>
              <w:t>会场整理，撤除搭建的会议设备、物料回收处理、清除会议使用过程中所有搭建物资垃圾，确认会议室的各项设施完好无损后退还押金，如有搭建产生的对会议室的损坏，需由</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评估定价后扣除押金。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6"/>
              </w:numPr>
              <w:tabs>
                <w:tab w:val="left" w:pos="531"/>
              </w:tabs>
              <w:snapToGrid w:val="0"/>
              <w:ind w:left="0" w:leftChars="0" w:firstLine="0" w:firstLineChars="0"/>
              <w:jc w:val="left"/>
              <w:rPr>
                <w:rFonts w:ascii="宋体" w:hAnsi="宋体" w:eastAsia="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须提供完成本项目的总体服务方案，需包含但不限于：各阶段具体实施方案、时间安排、岗位分工、应急预案（需包含突发事件应对措施、安全与保卫措施等）等关键部分。</w:t>
            </w:r>
          </w:p>
          <w:p>
            <w:pPr>
              <w:pStyle w:val="25"/>
              <w:numPr>
                <w:ilvl w:val="0"/>
                <w:numId w:val="16"/>
              </w:numPr>
              <w:tabs>
                <w:tab w:val="left" w:pos="531"/>
              </w:tabs>
              <w:snapToGrid w:val="0"/>
              <w:ind w:left="0" w:leftChars="0" w:firstLine="0" w:firstLineChars="0"/>
              <w:jc w:val="left"/>
              <w:rPr>
                <w:color w:val="auto"/>
                <w:highlight w:val="none"/>
              </w:rPr>
            </w:pPr>
            <w:r>
              <w:rPr>
                <w:rFonts w:hint="eastAsia" w:ascii="宋体" w:hAnsi="宋体" w:eastAsia="宋体"/>
                <w:color w:val="auto"/>
                <w:szCs w:val="21"/>
                <w:highlight w:val="none"/>
              </w:rPr>
              <w:t>投标</w:t>
            </w:r>
            <w:r>
              <w:rPr>
                <w:rFonts w:hint="eastAsia" w:ascii="宋体" w:hAnsi="宋体" w:eastAsia="宋体"/>
                <w:color w:val="auto"/>
                <w:szCs w:val="21"/>
                <w:highlight w:val="none"/>
                <w:lang w:eastAsia="zh-CN"/>
              </w:rPr>
              <w:t>人</w:t>
            </w:r>
            <w:r>
              <w:rPr>
                <w:rFonts w:hint="eastAsia" w:ascii="宋体" w:hAnsi="宋体" w:eastAsia="宋体"/>
                <w:color w:val="auto"/>
                <w:szCs w:val="21"/>
                <w:highlight w:val="none"/>
              </w:rPr>
              <w:t>必须承诺对现场会务执行工作人员进行相关岗前培训，包括但不限于岗位要求、</w:t>
            </w:r>
            <w:r>
              <w:rPr>
                <w:rFonts w:hint="eastAsia" w:ascii="宋体" w:hAnsi="宋体" w:eastAsia="宋体"/>
                <w:color w:val="auto"/>
                <w:szCs w:val="21"/>
                <w:highlight w:val="none"/>
                <w:lang w:val="en-US" w:eastAsia="zh-CN"/>
              </w:rPr>
              <w:t>服务要求、</w:t>
            </w:r>
            <w:r>
              <w:rPr>
                <w:rFonts w:hint="eastAsia" w:ascii="宋体" w:hAnsi="宋体" w:eastAsia="宋体"/>
                <w:color w:val="auto"/>
                <w:szCs w:val="21"/>
                <w:highlight w:val="none"/>
              </w:rPr>
              <w:t>安全要求</w:t>
            </w:r>
            <w:r>
              <w:rPr>
                <w:rFonts w:hint="eastAsia" w:ascii="宋体" w:hAnsi="宋体" w:eastAsia="宋体"/>
                <w:color w:val="auto"/>
                <w:szCs w:val="21"/>
                <w:highlight w:val="none"/>
                <w:lang w:val="en-US" w:eastAsia="zh-CN"/>
              </w:rPr>
              <w:t>等</w:t>
            </w:r>
            <w:r>
              <w:rPr>
                <w:rFonts w:hint="eastAsia" w:ascii="宋体" w:hAnsi="宋体" w:eastAsia="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项目团队</w:t>
            </w:r>
            <w:r>
              <w:rPr>
                <w:rFonts w:hint="eastAsia"/>
                <w:color w:val="auto"/>
                <w:highlight w:val="none"/>
                <w:lang w:val="en-US" w:eastAsia="zh-CN"/>
              </w:rPr>
              <w:t xml:space="preserve"> </w:t>
            </w:r>
            <w:r>
              <w:rPr>
                <w:rFonts w:hint="eastAsia"/>
                <w:color w:val="auto"/>
                <w:highlight w:val="none"/>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7"/>
              </w:numPr>
              <w:snapToGrid w:val="0"/>
              <w:ind w:left="0" w:leftChars="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须指定本项目负责人，负责联络、沟通、协调及跟进本项目具体实施。需提供该负责人以下资料信息（均需加盖公章）：</w:t>
            </w:r>
          </w:p>
          <w:p>
            <w:pPr>
              <w:pStyle w:val="25"/>
              <w:numPr>
                <w:ilvl w:val="-1"/>
                <w:numId w:val="0"/>
              </w:numPr>
              <w:snapToGrid w:val="0"/>
              <w:ind w:lef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姓名、电话、职务、近</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年曾参与过类似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的工作经历；</w:t>
            </w:r>
          </w:p>
          <w:p>
            <w:pPr>
              <w:pStyle w:val="25"/>
              <w:numPr>
                <w:ilvl w:val="-1"/>
                <w:numId w:val="0"/>
              </w:numPr>
              <w:snapToGrid w:val="0"/>
              <w:ind w:lef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身份证复印件；</w:t>
            </w:r>
          </w:p>
          <w:p>
            <w:pPr>
              <w:pStyle w:val="25"/>
              <w:numPr>
                <w:ilvl w:val="0"/>
                <w:numId w:val="17"/>
              </w:numPr>
              <w:snapToGrid w:val="0"/>
              <w:ind w:left="0" w:leftChars="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核心</w:t>
            </w:r>
            <w:r>
              <w:rPr>
                <w:rFonts w:hint="eastAsia" w:ascii="宋体" w:hAnsi="宋体" w:eastAsia="宋体" w:cs="宋体"/>
                <w:color w:val="auto"/>
                <w:szCs w:val="21"/>
                <w:highlight w:val="none"/>
              </w:rPr>
              <w:t>团队成员：需配备核心团队成员不得少于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人（含项目负责人），</w:t>
            </w:r>
          </w:p>
          <w:p>
            <w:pPr>
              <w:pStyle w:val="25"/>
              <w:numPr>
                <w:ilvl w:val="0"/>
                <w:numId w:val="17"/>
              </w:numPr>
              <w:snapToGrid w:val="0"/>
              <w:ind w:left="0" w:leftChars="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具备现场英文沟通交流能力的工作人员不少于3人（需</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相应资质如英语等级证书或英语口语等级证书或外语服务经验或海外留学经验</w:t>
            </w:r>
            <w:r>
              <w:rPr>
                <w:rFonts w:hint="eastAsia" w:ascii="宋体" w:hAnsi="宋体" w:eastAsia="宋体" w:cs="宋体"/>
                <w:color w:val="auto"/>
                <w:szCs w:val="21"/>
                <w:highlight w:val="none"/>
                <w:lang w:val="en-US" w:eastAsia="zh-CN"/>
              </w:rPr>
              <w:t>且需要通过招标人考评后上岗，如不满足条件，投标人需进行更换。）</w:t>
            </w:r>
          </w:p>
          <w:p>
            <w:pPr>
              <w:pStyle w:val="25"/>
              <w:numPr>
                <w:ilvl w:val="0"/>
                <w:numId w:val="17"/>
              </w:numPr>
              <w:snapToGrid w:val="0"/>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szCs w:val="21"/>
                <w:highlight w:val="none"/>
              </w:rPr>
              <w:t>未经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同意，不得随意更换项目负责人。</w:t>
            </w:r>
          </w:p>
          <w:p>
            <w:pPr>
              <w:pStyle w:val="25"/>
              <w:numPr>
                <w:ilvl w:val="0"/>
                <w:numId w:val="17"/>
              </w:numPr>
              <w:snapToGrid w:val="0"/>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lang w:val="en-US" w:eastAsia="zh-CN"/>
              </w:rPr>
              <w:t>应为投标人在岗人员，须提供所属社保机构出具的以上人员在采购公告发布当日之前连续3个月缴纳社保的有效证明材料，并加盖社保机构及投标人公章，未按要求提供或提供不清晰导致专家无法判断的，证明材料作无效处理(如公告日上一个月的社保材料因社保部门原因暂时无法取得，则可以往前顺延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color w:val="auto"/>
                <w:highlight w:val="none"/>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8"/>
              </w:numPr>
              <w:tabs>
                <w:tab w:val="left" w:pos="531"/>
              </w:tabs>
              <w:snapToGrid w:val="0"/>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标人为执行本项目临时招聘的工作人员，</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标人需自行承担其工资、保险、餐饮交通补贴等</w:t>
            </w:r>
            <w:r>
              <w:rPr>
                <w:rFonts w:hint="eastAsia" w:ascii="宋体" w:hAnsi="宋体" w:eastAsia="宋体" w:cs="宋体"/>
                <w:color w:val="auto"/>
                <w:szCs w:val="21"/>
                <w:highlight w:val="none"/>
                <w:lang w:val="en-US" w:eastAsia="zh-CN"/>
              </w:rPr>
              <w:t>一切所发生的费用</w:t>
            </w:r>
            <w:r>
              <w:rPr>
                <w:rFonts w:hint="eastAsia" w:ascii="宋体" w:hAnsi="宋体" w:eastAsia="宋体" w:cs="宋体"/>
                <w:color w:val="auto"/>
                <w:szCs w:val="21"/>
                <w:highlight w:val="none"/>
              </w:rPr>
              <w:t>；并保证对临时工作人员进行相关培训，包括但不仅限于服务技能、安全</w:t>
            </w:r>
            <w:r>
              <w:rPr>
                <w:rFonts w:hint="eastAsia" w:ascii="宋体" w:hAnsi="宋体" w:eastAsia="宋体" w:cs="宋体"/>
                <w:color w:val="auto"/>
                <w:szCs w:val="21"/>
                <w:highlight w:val="none"/>
                <w:lang w:val="en-US" w:eastAsia="zh-CN"/>
              </w:rPr>
              <w:t>培训</w:t>
            </w:r>
            <w:r>
              <w:rPr>
                <w:rFonts w:hint="eastAsia" w:ascii="宋体" w:hAnsi="宋体" w:eastAsia="宋体" w:cs="宋体"/>
                <w:color w:val="auto"/>
                <w:szCs w:val="21"/>
                <w:highlight w:val="none"/>
              </w:rPr>
              <w:t>等。</w:t>
            </w:r>
          </w:p>
          <w:p>
            <w:pPr>
              <w:pStyle w:val="25"/>
              <w:numPr>
                <w:ilvl w:val="0"/>
                <w:numId w:val="18"/>
              </w:numPr>
              <w:tabs>
                <w:tab w:val="left" w:pos="531"/>
              </w:tabs>
              <w:snapToGrid w:val="0"/>
              <w:ind w:left="0" w:lef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在本项目执行过程中，一切因</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标人与其投入本项目临时工作人员之间产生的任何纠纷，包括但不限于劳务纠纷、风险纠纷、人身及财产安全事故造成的赔偿责任等，由</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标人自行承担全部责任。</w:t>
            </w:r>
          </w:p>
          <w:p>
            <w:pPr>
              <w:pStyle w:val="25"/>
              <w:numPr>
                <w:ilvl w:val="0"/>
                <w:numId w:val="18"/>
              </w:numPr>
              <w:tabs>
                <w:tab w:val="left" w:pos="531"/>
              </w:tabs>
              <w:snapToGrid w:val="0"/>
              <w:ind w:left="0" w:lef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人应保证设计成果及其采用的所有素材的原创性或拥有合法知识产权。如因投标人原因导致招标人被第三方主张有关知识产权或其他权利的，由投标人自行承担全部责任；若因此给招标人造成损失的，投标人还须承担赔偿责任。（需提供知识产权归属和原创承诺书并加盖投标人公章）。</w:t>
            </w:r>
          </w:p>
          <w:p>
            <w:pPr>
              <w:pStyle w:val="25"/>
              <w:numPr>
                <w:ilvl w:val="0"/>
                <w:numId w:val="18"/>
              </w:numPr>
              <w:tabs>
                <w:tab w:val="left" w:pos="531"/>
              </w:tabs>
              <w:snapToGrid w:val="0"/>
              <w:ind w:left="0" w:leftChars="0" w:firstLine="0" w:firstLineChars="0"/>
              <w:jc w:val="left"/>
              <w:rPr>
                <w:rFonts w:hint="eastAsia" w:ascii="宋体" w:hAnsi="宋体" w:eastAsia="宋体" w:cs="宋体"/>
                <w:color w:val="auto"/>
                <w:kern w:val="2"/>
                <w:sz w:val="21"/>
                <w:szCs w:val="24"/>
                <w:highlight w:val="none"/>
                <w:lang w:val="en-US" w:eastAsia="zh-CN" w:bidi="ar-SA"/>
              </w:rPr>
            </w:pPr>
            <w:bookmarkStart w:id="38" w:name="_Hlk106027734"/>
            <w:r>
              <w:rPr>
                <w:rFonts w:hint="eastAsia" w:ascii="宋体" w:hAnsi="宋体" w:eastAsia="宋体" w:cs="宋体"/>
                <w:color w:val="auto"/>
                <w:kern w:val="2"/>
                <w:sz w:val="21"/>
                <w:szCs w:val="21"/>
                <w:highlight w:val="none"/>
                <w:lang w:val="en-US" w:eastAsia="zh-CN" w:bidi="ar-SA"/>
              </w:rPr>
              <w:t>投标人应保证演出团体具备合法资质，符合相关法律法规要求；演出内容</w:t>
            </w:r>
            <w:r>
              <w:rPr>
                <w:rFonts w:hint="eastAsia" w:ascii="宋体" w:hAnsi="宋体" w:eastAsia="宋体" w:cs="宋体"/>
                <w:i w:val="0"/>
                <w:iCs w:val="0"/>
                <w:caps w:val="0"/>
                <w:color w:val="auto"/>
                <w:spacing w:val="0"/>
                <w:sz w:val="21"/>
                <w:szCs w:val="21"/>
                <w:highlight w:val="none"/>
                <w:shd w:val="clear" w:fill="FFFFFF"/>
                <w:lang w:eastAsia="zh-CN"/>
              </w:rPr>
              <w:t>不得</w:t>
            </w:r>
            <w:r>
              <w:rPr>
                <w:rFonts w:hint="eastAsia" w:ascii="宋体" w:hAnsi="宋体" w:eastAsia="宋体" w:cs="宋体"/>
                <w:i w:val="0"/>
                <w:iCs w:val="0"/>
                <w:caps w:val="0"/>
                <w:color w:val="auto"/>
                <w:spacing w:val="0"/>
                <w:sz w:val="21"/>
                <w:szCs w:val="21"/>
                <w:highlight w:val="none"/>
                <w:shd w:val="clear" w:fill="FFFFFF"/>
              </w:rPr>
              <w:t>含有禁止情形</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color w:val="auto"/>
                <w:sz w:val="21"/>
                <w:szCs w:val="21"/>
                <w:highlight w:val="none"/>
              </w:rPr>
              <w:t>应尊重社会习俗，符合道德规范，期间不得从事非法活动</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积极配合做好行业监管</w:t>
            </w:r>
            <w:r>
              <w:rPr>
                <w:rFonts w:hint="eastAsia" w:ascii="宋体" w:hAnsi="宋体" w:eastAsia="宋体" w:cs="宋体"/>
                <w:color w:val="auto"/>
                <w:kern w:val="2"/>
                <w:sz w:val="21"/>
                <w:szCs w:val="21"/>
                <w:highlight w:val="none"/>
                <w:lang w:val="en-US" w:eastAsia="zh-CN" w:bidi="ar-SA"/>
              </w:rPr>
              <w:t>。</w:t>
            </w:r>
          </w:p>
          <w:p>
            <w:pPr>
              <w:pStyle w:val="25"/>
              <w:numPr>
                <w:ilvl w:val="0"/>
                <w:numId w:val="18"/>
              </w:numPr>
              <w:tabs>
                <w:tab w:val="left" w:pos="531"/>
              </w:tabs>
              <w:snapToGrid w:val="0"/>
              <w:ind w:left="0" w:leftChars="0" w:firstLine="0" w:firstLine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如因不可抗力</w:t>
            </w:r>
            <w:r>
              <w:rPr>
                <w:rFonts w:hint="eastAsia" w:ascii="宋体" w:hAnsi="宋体" w:eastAsia="宋体" w:cs="宋体"/>
                <w:color w:val="auto"/>
                <w:szCs w:val="21"/>
                <w:highlight w:val="none"/>
                <w:lang w:val="en-US" w:eastAsia="zh-CN"/>
              </w:rPr>
              <w:t>导致活动</w:t>
            </w:r>
            <w:r>
              <w:rPr>
                <w:rFonts w:hint="eastAsia" w:ascii="宋体" w:hAnsi="宋体" w:eastAsia="宋体" w:cs="宋体"/>
                <w:color w:val="auto"/>
                <w:szCs w:val="21"/>
                <w:highlight w:val="none"/>
              </w:rPr>
              <w:t>停止举办的，自</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通知发布之时</w:t>
            </w:r>
            <w:r>
              <w:rPr>
                <w:rFonts w:hint="eastAsia" w:ascii="宋体" w:hAnsi="宋体" w:eastAsia="宋体" w:cs="宋体"/>
                <w:color w:val="auto"/>
                <w:szCs w:val="21"/>
                <w:highlight w:val="none"/>
                <w:lang w:val="en-US" w:eastAsia="zh-CN"/>
              </w:rPr>
              <w:t>起</w:t>
            </w:r>
            <w:r>
              <w:rPr>
                <w:rFonts w:hint="eastAsia" w:ascii="宋体" w:hAnsi="宋体" w:eastAsia="宋体" w:cs="宋体"/>
                <w:color w:val="auto"/>
                <w:szCs w:val="21"/>
                <w:highlight w:val="none"/>
              </w:rPr>
              <w:t>合同即时自动终止并解除，</w:t>
            </w:r>
            <w:bookmarkStart w:id="39" w:name="_Hlk106027943"/>
            <w:r>
              <w:rPr>
                <w:rFonts w:hint="eastAsia" w:ascii="宋体" w:hAnsi="宋体" w:eastAsia="宋体" w:cs="宋体"/>
                <w:color w:val="auto"/>
                <w:szCs w:val="21"/>
                <w:highlight w:val="none"/>
              </w:rPr>
              <w:t>此期间</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标人因如约履行本项目合同且已实际发生的直接费用，招标人可按实予以结算。同时，招标人不再承担投标人由此造成的其他间接费用和损失，</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标人亦不得再就上述事项进行任何形式的索赔。</w:t>
            </w:r>
            <w:bookmarkEnd w:id="38"/>
            <w:bookmarkEnd w:id="39"/>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rPr>
            </w:pPr>
            <w:r>
              <w:rPr>
                <w:rFonts w:hint="eastAsia" w:ascii="宋体" w:hAnsi="宋体" w:cs="宋体"/>
                <w:color w:val="auto"/>
                <w:szCs w:val="21"/>
                <w:highlight w:val="none"/>
              </w:rPr>
              <w:t>安全管理</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ind w:firstLine="0" w:firstLineChars="0"/>
              <w:jc w:val="left"/>
              <w:rPr>
                <w:rFonts w:hint="eastAsia"/>
                <w:color w:val="auto"/>
                <w:highlight w:val="none"/>
              </w:rPr>
            </w:pP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所提供</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工作人员须遵守国家、所属地政府及</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的相关规章制度，</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须建立安全责任制，采取有效的措施保障现场的安全、维护现场的正常工作秩序，在服务过程中要做好人员、成品、半成品及设备设施的保护。服务过程中不出现任何因中标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管理不善、组织不力或监管缺失等造成的人身安全事故、火灾事故和财产损失等安全事故，如因此造成安全责任事故及财产损失的由</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s="宋体"/>
                <w:color w:val="auto"/>
                <w:szCs w:val="21"/>
                <w:highlight w:val="none"/>
              </w:rPr>
              <w:t>不可偏离</w:t>
            </w:r>
          </w:p>
        </w:tc>
      </w:tr>
    </w:tbl>
    <w:p>
      <w:pPr>
        <w:numPr>
          <w:ilvl w:val="0"/>
          <w:numId w:val="0"/>
        </w:numPr>
        <w:jc w:val="left"/>
        <w:outlineLvl w:val="1"/>
        <w:rPr>
          <w:rFonts w:ascii="宋体" w:hAnsi="宋体"/>
          <w:b/>
          <w:szCs w:val="21"/>
        </w:rPr>
      </w:pPr>
      <w:bookmarkStart w:id="40" w:name="_Toc82685552"/>
      <w:bookmarkEnd w:id="40"/>
      <w:bookmarkStart w:id="41" w:name="_Toc82684715"/>
      <w:bookmarkEnd w:id="41"/>
      <w:bookmarkStart w:id="42" w:name="_Toc82684600"/>
      <w:bookmarkEnd w:id="42"/>
      <w:bookmarkStart w:id="43" w:name="_Toc82591996"/>
      <w:bookmarkEnd w:id="43"/>
      <w:bookmarkStart w:id="44"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4"/>
    </w:p>
    <w:p>
      <w:pPr>
        <w:pStyle w:val="25"/>
        <w:spacing w:line="360" w:lineRule="auto"/>
        <w:ind w:firstLine="0" w:firstLineChars="0"/>
        <w:rPr>
          <w:rFonts w:ascii="微软雅黑" w:hAnsi="微软雅黑" w:eastAsia="微软雅黑" w:cs="微软雅黑"/>
          <w:b/>
          <w:color w:val="auto"/>
          <w:sz w:val="32"/>
          <w:szCs w:val="32"/>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第六届AEO大会</w:t>
      </w:r>
      <w:r>
        <w:rPr>
          <w:rFonts w:hint="eastAsia" w:ascii="宋体" w:hAnsi="宋体" w:eastAsia="宋体" w:cs="宋体"/>
          <w:b/>
          <w:color w:val="auto"/>
          <w:szCs w:val="21"/>
        </w:rPr>
        <w:t>会议论坛安排（</w:t>
      </w:r>
      <w:r>
        <w:rPr>
          <w:rFonts w:hint="eastAsia" w:ascii="宋体" w:hAnsi="宋体" w:eastAsia="宋体" w:cs="宋体"/>
          <w:b/>
          <w:color w:val="auto"/>
          <w:szCs w:val="21"/>
          <w:lang w:val="en-US" w:eastAsia="zh-CN"/>
        </w:rPr>
        <w:t>暂定</w:t>
      </w:r>
      <w:r>
        <w:rPr>
          <w:rFonts w:hint="eastAsia" w:ascii="宋体" w:hAnsi="宋体" w:eastAsia="宋体" w:cs="宋体"/>
          <w:b/>
          <w:color w:val="auto"/>
          <w:szCs w:val="21"/>
        </w:rPr>
        <w:t>）</w:t>
      </w:r>
    </w:p>
    <w:p>
      <w:pPr>
        <w:pStyle w:val="37"/>
        <w:widowControl/>
        <w:numPr>
          <w:ilvl w:val="-1"/>
          <w:numId w:val="0"/>
        </w:numPr>
        <w:spacing w:line="360" w:lineRule="auto"/>
        <w:ind w:left="0" w:firstLine="0" w:firstLineChars="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时间：</w:t>
      </w:r>
      <w:bookmarkStart w:id="45" w:name="_Hlk104814540"/>
      <w:r>
        <w:rPr>
          <w:rFonts w:hint="eastAsia" w:ascii="宋体" w:hAnsi="宋体" w:eastAsia="宋体" w:cs="Times New Roman"/>
          <w:color w:val="auto"/>
          <w:kern w:val="0"/>
          <w:szCs w:val="21"/>
        </w:rPr>
        <w:t>202</w:t>
      </w:r>
      <w:r>
        <w:rPr>
          <w:rFonts w:hint="eastAsia" w:ascii="宋体" w:hAnsi="宋体" w:eastAsia="宋体" w:cs="Times New Roman"/>
          <w:color w:val="auto"/>
          <w:kern w:val="0"/>
          <w:szCs w:val="21"/>
          <w:lang w:val="en-US" w:eastAsia="zh-CN"/>
        </w:rPr>
        <w:t>4</w:t>
      </w:r>
      <w:r>
        <w:rPr>
          <w:rFonts w:hint="eastAsia" w:ascii="宋体" w:hAnsi="宋体" w:eastAsia="宋体" w:cs="Times New Roman"/>
          <w:color w:val="auto"/>
          <w:kern w:val="0"/>
          <w:szCs w:val="21"/>
        </w:rPr>
        <w:t>年</w:t>
      </w:r>
      <w:bookmarkEnd w:id="45"/>
      <w:r>
        <w:rPr>
          <w:rFonts w:hint="eastAsia" w:ascii="宋体" w:hAnsi="宋体" w:eastAsia="宋体" w:cs="Times New Roman"/>
          <w:color w:val="auto"/>
          <w:kern w:val="0"/>
          <w:szCs w:val="21"/>
          <w:lang w:val="en-US" w:eastAsia="zh-CN"/>
        </w:rPr>
        <w:t>5</w:t>
      </w:r>
      <w:r>
        <w:rPr>
          <w:rFonts w:hint="eastAsia" w:ascii="宋体" w:hAnsi="宋体" w:eastAsia="宋体" w:cs="Times New Roman"/>
          <w:color w:val="auto"/>
          <w:kern w:val="0"/>
          <w:szCs w:val="21"/>
        </w:rPr>
        <w:t>月</w:t>
      </w:r>
      <w:r>
        <w:rPr>
          <w:rFonts w:hint="eastAsia" w:ascii="宋体" w:hAnsi="宋体" w:eastAsia="宋体" w:cs="Times New Roman"/>
          <w:color w:val="auto"/>
          <w:kern w:val="0"/>
          <w:szCs w:val="21"/>
          <w:lang w:val="en-US" w:eastAsia="zh-CN"/>
        </w:rPr>
        <w:t>8</w:t>
      </w:r>
      <w:r>
        <w:rPr>
          <w:rFonts w:hint="eastAsia" w:ascii="宋体" w:hAnsi="宋体" w:eastAsia="宋体" w:cs="Times New Roman"/>
          <w:color w:val="auto"/>
          <w:kern w:val="0"/>
          <w:szCs w:val="21"/>
        </w:rPr>
        <w:t>日-</w:t>
      </w:r>
      <w:r>
        <w:rPr>
          <w:rFonts w:hint="eastAsia" w:ascii="宋体" w:hAnsi="宋体" w:eastAsia="宋体" w:cs="Times New Roman"/>
          <w:color w:val="auto"/>
          <w:kern w:val="0"/>
          <w:szCs w:val="21"/>
          <w:lang w:val="en-US" w:eastAsia="zh-CN"/>
        </w:rPr>
        <w:t>10</w:t>
      </w:r>
      <w:r>
        <w:rPr>
          <w:rFonts w:hint="eastAsia" w:ascii="宋体" w:hAnsi="宋体" w:eastAsia="宋体" w:cs="Times New Roman"/>
          <w:color w:val="auto"/>
          <w:kern w:val="0"/>
          <w:szCs w:val="21"/>
        </w:rPr>
        <w:t>日</w:t>
      </w:r>
    </w:p>
    <w:p>
      <w:pPr>
        <w:pStyle w:val="3"/>
        <w:widowControl/>
        <w:numPr>
          <w:ilvl w:val="-1"/>
          <w:numId w:val="0"/>
        </w:numPr>
        <w:spacing w:line="24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Times New Roman"/>
          <w:color w:val="auto"/>
          <w:kern w:val="0"/>
          <w:szCs w:val="21"/>
        </w:rPr>
        <w:t>地点：深圳会展中心</w:t>
      </w:r>
      <w:r>
        <w:rPr>
          <w:rFonts w:hint="eastAsia" w:ascii="宋体" w:hAnsi="宋体" w:eastAsia="宋体" w:cs="宋体"/>
          <w:color w:val="auto"/>
          <w:sz w:val="21"/>
          <w:szCs w:val="21"/>
          <w:highlight w:val="none"/>
          <w:lang w:eastAsia="zh-CN"/>
        </w:rPr>
        <w:t>梅花厅（开幕式、主会场）、桂花厅（分会场）、茉莉厅（分会场）、菊花厅（</w:t>
      </w:r>
      <w:r>
        <w:rPr>
          <w:rFonts w:hint="eastAsia" w:ascii="宋体" w:hAnsi="宋体" w:cs="宋体"/>
          <w:color w:val="auto"/>
          <w:sz w:val="21"/>
          <w:szCs w:val="21"/>
          <w:highlight w:val="none"/>
          <w:lang w:eastAsia="zh-CN"/>
        </w:rPr>
        <w:t>多用途</w:t>
      </w:r>
      <w:r>
        <w:rPr>
          <w:rFonts w:hint="eastAsia" w:ascii="宋体" w:hAnsi="宋体" w:eastAsia="宋体" w:cs="宋体"/>
          <w:color w:val="auto"/>
          <w:sz w:val="21"/>
          <w:szCs w:val="21"/>
          <w:highlight w:val="none"/>
          <w:lang w:eastAsia="zh-CN"/>
        </w:rPr>
        <w:t>）、中厅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eastAsia="zh-CN"/>
        </w:rPr>
        <w:t>、茶花厅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5号馆多功能厅</w:t>
      </w:r>
      <w:r>
        <w:rPr>
          <w:rFonts w:hint="eastAsia" w:ascii="宋体" w:hAnsi="宋体" w:cs="宋体"/>
          <w:color w:val="auto"/>
          <w:sz w:val="21"/>
          <w:szCs w:val="21"/>
          <w:highlight w:val="none"/>
          <w:lang w:val="en-US" w:eastAsia="zh-CN"/>
        </w:rPr>
        <w:t>（部分）</w:t>
      </w:r>
    </w:p>
    <w:p>
      <w:pPr>
        <w:pStyle w:val="25"/>
        <w:numPr>
          <w:ilvl w:val="0"/>
          <w:numId w:val="19"/>
        </w:numPr>
        <w:spacing w:line="360" w:lineRule="auto"/>
        <w:ind w:firstLine="0" w:firstLineChars="0"/>
        <w:rPr>
          <w:rFonts w:hint="eastAsia"/>
        </w:rPr>
      </w:pPr>
      <w:r>
        <w:rPr>
          <w:rFonts w:hint="eastAsia" w:ascii="宋体" w:hAnsi="宋体" w:eastAsia="宋体" w:cs="宋体"/>
          <w:b/>
          <w:color w:val="auto"/>
          <w:szCs w:val="21"/>
          <w:lang w:val="en-US" w:eastAsia="zh-CN"/>
        </w:rPr>
        <w:t>综合服务项目明细</w:t>
      </w:r>
    </w:p>
    <w:tbl>
      <w:tblPr>
        <w:tblStyle w:val="17"/>
        <w:tblpPr w:leftFromText="180" w:rightFromText="180" w:vertAnchor="text" w:horzAnchor="page" w:tblpX="795" w:tblpY="967"/>
        <w:tblOverlap w:val="never"/>
        <w:tblW w:w="10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4206"/>
        <w:gridCol w:w="1200"/>
        <w:gridCol w:w="765"/>
        <w:gridCol w:w="8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6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项目</w:t>
            </w:r>
          </w:p>
        </w:tc>
        <w:tc>
          <w:tcPr>
            <w:tcW w:w="42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内容</w:t>
            </w:r>
          </w:p>
        </w:tc>
        <w:tc>
          <w:tcPr>
            <w:tcW w:w="12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天数</w:t>
            </w:r>
          </w:p>
        </w:tc>
        <w:tc>
          <w:tcPr>
            <w:tcW w:w="12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809"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梅花厅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舞台</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不低于132平方米</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含台阶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3、含</w:t>
            </w:r>
            <w:r>
              <w:rPr>
                <w:rFonts w:hint="eastAsia" w:ascii="宋体" w:hAnsi="宋体" w:eastAsia="宋体" w:cs="宋体"/>
                <w:i w:val="0"/>
                <w:iCs w:val="0"/>
                <w:color w:val="auto"/>
                <w:kern w:val="0"/>
                <w:sz w:val="21"/>
                <w:szCs w:val="21"/>
                <w:u w:val="none"/>
                <w:lang w:val="en-US" w:eastAsia="zh-CN" w:bidi="ar"/>
              </w:rPr>
              <w:t>地毯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（含</w:t>
            </w:r>
            <w:r>
              <w:rPr>
                <w:rFonts w:hint="eastAsia" w:ascii="宋体" w:hAnsi="宋体" w:eastAsia="宋体" w:cs="宋体"/>
                <w:i w:val="0"/>
                <w:iCs w:val="0"/>
                <w:color w:val="auto"/>
                <w:kern w:val="0"/>
                <w:sz w:val="21"/>
                <w:szCs w:val="21"/>
                <w:u w:val="none"/>
                <w:lang w:val="en-US" w:eastAsia="zh-CN" w:bidi="ar"/>
              </w:rPr>
              <w:t>技术人员</w:t>
            </w:r>
            <w:r>
              <w:rPr>
                <w:rFonts w:hint="eastAsia" w:ascii="宋体" w:hAnsi="宋体" w:cs="宋体"/>
                <w:i w:val="0"/>
                <w:iCs w:val="0"/>
                <w:color w:val="auto"/>
                <w:kern w:val="0"/>
                <w:sz w:val="21"/>
                <w:szCs w:val="21"/>
                <w:u w:val="none"/>
                <w:lang w:val="en-US" w:eastAsia="zh-CN" w:bidi="ar"/>
              </w:rPr>
              <w:t>）</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清晰度P3；</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color w:val="auto"/>
                <w:lang w:val="en-US" w:eastAsia="zh-CN"/>
              </w:rPr>
            </w:pPr>
            <w:r>
              <w:rPr>
                <w:rFonts w:hint="eastAsia" w:ascii="宋体" w:hAnsi="宋体" w:cs="宋体"/>
                <w:i w:val="0"/>
                <w:iCs w:val="0"/>
                <w:color w:val="auto"/>
                <w:kern w:val="0"/>
                <w:sz w:val="21"/>
                <w:szCs w:val="21"/>
                <w:u w:val="none"/>
                <w:lang w:val="en-US" w:eastAsia="zh-CN" w:bidi="ar"/>
              </w:rPr>
              <w:t>2、主屏：</w:t>
            </w: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不低于110平方米</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斜屏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尺寸不低于10平方米</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分屏器</w:t>
            </w:r>
            <w:r>
              <w:rPr>
                <w:rFonts w:hint="eastAsia" w:ascii="宋体" w:hAnsi="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169700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视频显示类</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题词器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50寸高清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签约显示器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12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备份双系统</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 xml:space="preserve">前端处--控台：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C3 主一台：大型控台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D12 备两台：大型控台服务器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S3 一主一备：多媒体播控软件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播放电脑：一主一备；M5多媒体服务器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电源备份： UPS不间断电源；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光纤线：一主一备 ；光钎转换器&amp;光钎線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后端（屏幕后面设备）：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K16一主一备：视频拼接处理器</w:t>
            </w:r>
          </w:p>
          <w:p>
            <w:pPr>
              <w:pStyle w:val="2"/>
              <w:keepNext w:val="0"/>
              <w:keepLines w:val="0"/>
              <w:pageBreakBefore w:val="0"/>
              <w:numPr>
                <w:ilvl w:val="0"/>
                <w:numId w:val="0"/>
              </w:numPr>
              <w:kinsoku/>
              <w:wordWrap/>
              <w:overflowPunct/>
              <w:topLinePunct w:val="0"/>
              <w:autoSpaceDE/>
              <w:autoSpaceDN/>
              <w:bidi w:val="0"/>
              <w:adjustRightInd/>
              <w:snapToGrid/>
              <w:spacing w:after="0"/>
              <w:rPr>
                <w:rFonts w:hint="eastAsia" w:eastAsia="宋体"/>
                <w:color w:val="auto"/>
                <w:lang w:eastAsia="zh-CN"/>
              </w:rPr>
            </w:pPr>
            <w:r>
              <w:rPr>
                <w:rFonts w:hint="eastAsia"/>
                <w:color w:val="auto"/>
                <w:lang w:val="en-US" w:eastAsia="zh-CN"/>
              </w:rPr>
              <w:t>6、</w:t>
            </w:r>
            <w:r>
              <w:rPr>
                <w:rFonts w:hint="eastAsia"/>
                <w:color w:val="auto"/>
                <w:lang w:eastAsia="zh-CN"/>
              </w:rPr>
              <w:t>其它周边配套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灯光系统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图案摇头光束灯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LED灯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追光灯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MA灯光控制台</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HDL2408数码调光台</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专用灯光系统电柜</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truss 架</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8、周边配套:</w:t>
            </w:r>
            <w:r>
              <w:rPr>
                <w:rFonts w:hint="eastAsia" w:ascii="宋体" w:hAnsi="宋体" w:eastAsia="宋体" w:cs="宋体"/>
                <w:i w:val="0"/>
                <w:iCs w:val="0"/>
                <w:color w:val="auto"/>
                <w:kern w:val="0"/>
                <w:sz w:val="21"/>
                <w:szCs w:val="21"/>
                <w:u w:val="none"/>
                <w:lang w:val="en-US" w:eastAsia="zh-CN" w:bidi="ar"/>
              </w:rPr>
              <w:t>配电箱</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硅箱</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电源开关箱</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default"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电源线</w:t>
            </w:r>
            <w:r>
              <w:rPr>
                <w:rFonts w:hint="eastAsia" w:ascii="宋体" w:hAnsi="宋体" w:cs="宋体"/>
                <w:i w:val="0"/>
                <w:iCs w:val="0"/>
                <w:color w:val="auto"/>
                <w:kern w:val="0"/>
                <w:sz w:val="21"/>
                <w:szCs w:val="21"/>
                <w:u w:val="none"/>
                <w:lang w:val="en-US" w:eastAsia="zh-CN" w:bidi="ar"/>
              </w:rPr>
              <w:t>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ZSOND LA110线性全频主音箱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ZSOUND LA110S 超低音箱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JBL舞台返听音箱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JBL补声音箱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数字调音台24CH</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舒尔讲台咪</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数字无线咪</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舒尔无线放大系统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音乐播放电脑</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default"/>
                <w:color w:val="auto"/>
                <w:lang w:val="en-US"/>
              </w:rPr>
            </w:pPr>
            <w:r>
              <w:rPr>
                <w:rFonts w:hint="eastAsia" w:ascii="宋体" w:hAnsi="宋体" w:cs="宋体"/>
                <w:i w:val="0"/>
                <w:iCs w:val="0"/>
                <w:color w:val="auto"/>
                <w:kern w:val="0"/>
                <w:sz w:val="21"/>
                <w:szCs w:val="21"/>
                <w:u w:val="none"/>
                <w:lang w:val="en-US" w:eastAsia="zh-CN" w:bidi="ar"/>
              </w:rPr>
              <w:t>9、其它周边配套；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同传 8声道                        4语言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同传设备 8声道  可以4种语言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同传房间 （一种语言一间）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耳机（5月8日、10日主会场）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耳机（5月9日分会）</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论坛直播</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导播、直播设备、画中画、全程录像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人员2名（导播1人， 直播设备操作1人）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摄像摇臂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09"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b/>
                <w:bCs/>
                <w:i w:val="0"/>
                <w:iCs w:val="0"/>
                <w:color w:val="auto"/>
                <w:sz w:val="21"/>
                <w:szCs w:val="21"/>
                <w:u w:val="none"/>
                <w:lang w:eastAsia="zh-CN"/>
              </w:rPr>
              <w:t>其它会议厅需求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场地（两处）：桂花厅、茉莉厅</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清晰度P3；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color w:val="auto"/>
              </w:rPr>
            </w:pPr>
            <w:r>
              <w:rPr>
                <w:rFonts w:hint="eastAsia" w:ascii="宋体" w:hAnsi="宋体" w:cs="宋体"/>
                <w:i w:val="0"/>
                <w:iCs w:val="0"/>
                <w:color w:val="auto"/>
                <w:kern w:val="0"/>
                <w:sz w:val="21"/>
                <w:szCs w:val="21"/>
                <w:u w:val="none"/>
                <w:lang w:val="en-US" w:eastAsia="zh-CN" w:bidi="ar"/>
              </w:rPr>
              <w:t>单个屏</w:t>
            </w:r>
            <w:r>
              <w:rPr>
                <w:rFonts w:hint="eastAsia" w:ascii="宋体" w:hAnsi="宋体" w:eastAsia="宋体" w:cs="宋体"/>
                <w:i w:val="0"/>
                <w:iCs w:val="0"/>
                <w:color w:val="auto"/>
                <w:kern w:val="0"/>
                <w:sz w:val="21"/>
                <w:szCs w:val="21"/>
                <w:u w:val="none"/>
                <w:lang w:val="en-US" w:eastAsia="zh-CN" w:bidi="ar"/>
              </w:rPr>
              <w:t>尺寸不低于36平方米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场地（两处）：中厅、茶花厅</w:t>
            </w:r>
          </w:p>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清晰度P3； </w:t>
            </w:r>
          </w:p>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单个屏</w:t>
            </w:r>
            <w:r>
              <w:rPr>
                <w:rFonts w:hint="eastAsia" w:ascii="宋体" w:hAnsi="宋体" w:eastAsia="宋体" w:cs="宋体"/>
                <w:i w:val="0"/>
                <w:iCs w:val="0"/>
                <w:color w:val="auto"/>
                <w:kern w:val="0"/>
                <w:sz w:val="21"/>
                <w:szCs w:val="21"/>
                <w:u w:val="none"/>
                <w:lang w:val="en-US" w:eastAsia="zh-CN" w:bidi="ar"/>
              </w:rPr>
              <w:t>尺寸不低于6平方米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舞美</w:t>
            </w:r>
            <w:r>
              <w:rPr>
                <w:rFonts w:hint="eastAsia" w:ascii="宋体" w:hAnsi="宋体" w:cs="宋体"/>
                <w:i w:val="0"/>
                <w:iCs w:val="0"/>
                <w:color w:val="auto"/>
                <w:kern w:val="0"/>
                <w:sz w:val="21"/>
                <w:szCs w:val="21"/>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（含技术人员）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1、场地（两处）：中厅、5号馆多功能厅；</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舞台</w:t>
            </w:r>
            <w:r>
              <w:rPr>
                <w:rFonts w:hint="eastAsia" w:ascii="宋体" w:hAnsi="宋体" w:cs="宋体"/>
                <w:i w:val="0"/>
                <w:iCs w:val="0"/>
                <w:color w:val="auto"/>
                <w:kern w:val="0"/>
                <w:sz w:val="21"/>
                <w:szCs w:val="21"/>
                <w:u w:val="none"/>
                <w:lang w:val="en-US" w:eastAsia="zh-CN" w:bidi="ar"/>
              </w:rPr>
              <w:t>（含地毯）；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灯光、</w:t>
            </w:r>
            <w:r>
              <w:rPr>
                <w:rFonts w:hint="eastAsia" w:ascii="宋体" w:hAnsi="宋体" w:cs="宋体"/>
                <w:i w:val="0"/>
                <w:iCs w:val="0"/>
                <w:color w:val="auto"/>
                <w:kern w:val="0"/>
                <w:sz w:val="21"/>
                <w:szCs w:val="21"/>
                <w:u w:val="none"/>
                <w:lang w:val="en-US" w:eastAsia="zh-CN" w:bidi="ar"/>
              </w:rPr>
              <w:t>音响、视频设备、周边配套等；</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4、厅内</w:t>
            </w:r>
            <w:r>
              <w:rPr>
                <w:rFonts w:hint="eastAsia" w:ascii="宋体" w:hAnsi="宋体" w:eastAsia="宋体" w:cs="宋体"/>
                <w:i w:val="0"/>
                <w:iCs w:val="0"/>
                <w:color w:val="auto"/>
                <w:kern w:val="0"/>
                <w:sz w:val="21"/>
                <w:szCs w:val="21"/>
                <w:u w:val="none"/>
                <w:lang w:val="en-US" w:eastAsia="zh-CN" w:bidi="ar"/>
              </w:rPr>
              <w:t>地毯</w:t>
            </w:r>
            <w:r>
              <w:rPr>
                <w:rFonts w:hint="eastAsia" w:ascii="宋体" w:hAnsi="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809"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其它项目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印刷制作</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大会指引、椅背贴 、台卡等标签、标识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鲜花</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演讲台、台花、接待花等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（总协调）</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两年以上广告、公关、舞台设备操控相关工作经验；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含彩排、活动全程统筹执行工作</w:t>
            </w:r>
            <w:r>
              <w:rPr>
                <w:rFonts w:hint="eastAsia" w:ascii="宋体" w:hAnsi="宋体" w:cs="宋体"/>
                <w:i w:val="0"/>
                <w:iCs w:val="0"/>
                <w:color w:val="auto"/>
                <w:kern w:val="0"/>
                <w:sz w:val="21"/>
                <w:szCs w:val="21"/>
                <w:u w:val="none"/>
                <w:lang w:val="en-US" w:eastAsia="zh-CN" w:bidi="ar"/>
              </w:rPr>
              <w:t>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highlight w:val="none"/>
                <w:u w:val="none"/>
                <w:lang w:val="en-US" w:eastAsia="zh-CN" w:bidi="ar"/>
              </w:rPr>
              <w:t>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礼仪人员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两年以上广告、公关、会展活动礼仪相关工作经验；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含彩排、服装、活动全程执行工作</w:t>
            </w:r>
            <w:r>
              <w:rPr>
                <w:rFonts w:hint="eastAsia" w:ascii="宋体" w:hAnsi="宋体" w:cs="宋体"/>
                <w:i w:val="0"/>
                <w:iCs w:val="0"/>
                <w:color w:val="auto"/>
                <w:kern w:val="0"/>
                <w:sz w:val="21"/>
                <w:szCs w:val="21"/>
                <w:u w:val="none"/>
                <w:lang w:val="en-US" w:eastAsia="zh-CN" w:bidi="ar"/>
              </w:rPr>
              <w:t>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服务人员</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两年以上会展活动</w:t>
            </w:r>
            <w:r>
              <w:rPr>
                <w:rFonts w:hint="eastAsia" w:ascii="宋体" w:hAnsi="宋体" w:cs="宋体"/>
                <w:i w:val="0"/>
                <w:iCs w:val="0"/>
                <w:color w:val="auto"/>
                <w:kern w:val="0"/>
                <w:sz w:val="21"/>
                <w:szCs w:val="21"/>
                <w:u w:val="none"/>
                <w:lang w:val="en-US" w:eastAsia="zh-CN" w:bidi="ar"/>
              </w:rPr>
              <w:t>服务</w:t>
            </w:r>
            <w:r>
              <w:rPr>
                <w:rFonts w:hint="eastAsia" w:ascii="宋体" w:hAnsi="宋体" w:eastAsia="宋体" w:cs="宋体"/>
                <w:i w:val="0"/>
                <w:iCs w:val="0"/>
                <w:color w:val="auto"/>
                <w:kern w:val="0"/>
                <w:sz w:val="21"/>
                <w:szCs w:val="21"/>
                <w:u w:val="none"/>
                <w:lang w:val="en-US" w:eastAsia="zh-CN" w:bidi="ar"/>
              </w:rPr>
              <w:t>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2、英语4级以上、口语流利；</w:t>
            </w:r>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rPr>
                <w:rFonts w:hint="eastAsia"/>
                <w:color w:val="auto"/>
                <w:lang w:val="en-US" w:eastAsia="zh-CN"/>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含彩排、活动全程统筹执行工作</w:t>
            </w:r>
            <w:r>
              <w:rPr>
                <w:rFonts w:hint="eastAsia" w:ascii="宋体" w:hAnsi="宋体" w:cs="宋体"/>
                <w:i w:val="0"/>
                <w:iCs w:val="0"/>
                <w:color w:val="auto"/>
                <w:kern w:val="0"/>
                <w:sz w:val="21"/>
                <w:szCs w:val="21"/>
                <w:u w:val="none"/>
                <w:lang w:val="en-US" w:eastAsia="zh-CN" w:bidi="ar"/>
              </w:rPr>
              <w:t>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摄影师</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两年以上广告、公关、会展活动摄影经验；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含专业相机设备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素材混剪片</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剪辑服务，剪辑师（一类）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演出节目</w:t>
            </w:r>
          </w:p>
        </w:tc>
        <w:tc>
          <w:tcPr>
            <w:tcW w:w="42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综合类（可根据实际进行调整）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960000</w:t>
            </w:r>
          </w:p>
        </w:tc>
      </w:tr>
    </w:tbl>
    <w:p>
      <w:pPr>
        <w:pStyle w:val="25"/>
        <w:numPr>
          <w:ilvl w:val="0"/>
          <w:numId w:val="0"/>
        </w:numPr>
        <w:spacing w:line="360" w:lineRule="auto"/>
        <w:rPr>
          <w:rFonts w:hint="eastAsia"/>
        </w:rPr>
      </w:pPr>
    </w:p>
    <w:p>
      <w:pPr>
        <w:pStyle w:val="25"/>
        <w:numPr>
          <w:ilvl w:val="0"/>
          <w:numId w:val="0"/>
        </w:numPr>
        <w:spacing w:line="360" w:lineRule="auto"/>
        <w:rPr>
          <w:rFonts w:hint="eastAsia"/>
        </w:rPr>
      </w:pPr>
    </w:p>
    <w:p>
      <w:pPr>
        <w:pStyle w:val="25"/>
        <w:widowControl/>
        <w:spacing w:line="360" w:lineRule="auto"/>
        <w:jc w:val="left"/>
        <w:rPr>
          <w:rFonts w:hint="eastAsia" w:ascii="宋体" w:hAnsi="宋体" w:eastAsia="宋体" w:cs="宋体"/>
          <w:b/>
          <w:color w:val="auto"/>
          <w:szCs w:val="21"/>
          <w:highlight w:val="yellow"/>
        </w:rPr>
      </w:pPr>
      <w:r>
        <w:rPr>
          <w:rFonts w:hint="eastAsia" w:ascii="宋体" w:hAnsi="宋体" w:eastAsia="宋体" w:cs="宋体"/>
          <w:b/>
          <w:color w:val="auto"/>
          <w:szCs w:val="21"/>
          <w:highlight w:val="yellow"/>
        </w:rPr>
        <w:br w:type="page"/>
      </w:r>
    </w:p>
    <w:p>
      <w:pPr>
        <w:spacing w:line="360" w:lineRule="auto"/>
        <w:jc w:val="center"/>
        <w:outlineLvl w:val="0"/>
        <w:rPr>
          <w:rFonts w:ascii="宋体" w:hAnsi="宋体"/>
          <w:b/>
          <w:sz w:val="32"/>
          <w:szCs w:val="32"/>
        </w:rPr>
      </w:pPr>
      <w:bookmarkStart w:id="46" w:name="_Toc116550350"/>
      <w:r>
        <w:rPr>
          <w:rFonts w:hint="eastAsia" w:ascii="宋体" w:hAnsi="宋体"/>
          <w:b/>
          <w:sz w:val="32"/>
          <w:szCs w:val="32"/>
        </w:rPr>
        <w:t>第二部分：开标评标流程</w:t>
      </w:r>
      <w:bookmarkEnd w:id="46"/>
    </w:p>
    <w:p>
      <w:pPr>
        <w:numPr>
          <w:ilvl w:val="0"/>
          <w:numId w:val="1"/>
        </w:numPr>
        <w:spacing w:line="360" w:lineRule="auto"/>
        <w:outlineLvl w:val="1"/>
        <w:rPr>
          <w:b/>
        </w:rPr>
      </w:pPr>
      <w:bookmarkStart w:id="47" w:name="_Toc116550351"/>
      <w:bookmarkStart w:id="48" w:name="_Toc104994641"/>
      <w:bookmarkStart w:id="49" w:name="_Hlk104908581"/>
      <w:bookmarkStart w:id="50" w:name="_Hlk104908397"/>
      <w:r>
        <w:rPr>
          <w:rFonts w:hint="eastAsia"/>
          <w:b/>
        </w:rPr>
        <w:t>开标阶段</w:t>
      </w:r>
      <w:bookmarkEnd w:id="47"/>
      <w:bookmarkEnd w:id="48"/>
    </w:p>
    <w:bookmarkEnd w:id="49"/>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1" w:name="_Toc116550352"/>
      <w:bookmarkStart w:id="52" w:name="_Toc104994642"/>
      <w:r>
        <w:rPr>
          <w:rFonts w:hint="eastAsia"/>
          <w:b/>
        </w:rPr>
        <w:t>评标阶段</w:t>
      </w:r>
      <w:bookmarkEnd w:id="51"/>
      <w:bookmarkEnd w:id="52"/>
    </w:p>
    <w:p>
      <w:pPr>
        <w:pStyle w:val="25"/>
        <w:numPr>
          <w:ilvl w:val="0"/>
          <w:numId w:val="2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50"/>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3" w:name="_Toc116550353"/>
      <w:r>
        <w:rPr>
          <w:rFonts w:hint="eastAsia" w:ascii="宋体" w:hAnsi="宋体"/>
          <w:b/>
          <w:sz w:val="32"/>
          <w:szCs w:val="32"/>
        </w:rPr>
        <w:t>第三部分：评审办法</w:t>
      </w:r>
      <w:bookmarkEnd w:id="53"/>
    </w:p>
    <w:p>
      <w:pPr>
        <w:numPr>
          <w:ilvl w:val="0"/>
          <w:numId w:val="1"/>
        </w:numPr>
        <w:spacing w:line="360" w:lineRule="auto"/>
        <w:outlineLvl w:val="1"/>
        <w:rPr>
          <w:rFonts w:ascii="宋体" w:hAnsi="宋体"/>
          <w:szCs w:val="21"/>
        </w:rPr>
      </w:pPr>
      <w:bookmarkStart w:id="54" w:name="_Toc116550354"/>
      <w:r>
        <w:rPr>
          <w:rFonts w:hint="eastAsia" w:ascii="宋体" w:hAnsi="宋体"/>
          <w:b/>
          <w:bCs/>
          <w:szCs w:val="21"/>
        </w:rPr>
        <w:t>评审办法</w:t>
      </w:r>
      <w:bookmarkEnd w:id="5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4"/>
        </w:numPr>
        <w:spacing w:before="156" w:beforeLines="50"/>
        <w:jc w:val="left"/>
        <w:outlineLvl w:val="2"/>
        <w:rPr>
          <w:rStyle w:val="32"/>
          <w:rFonts w:ascii="宋体" w:hAnsi="宋体"/>
          <w:b/>
          <w:szCs w:val="21"/>
        </w:rPr>
      </w:pPr>
      <w:bookmarkStart w:id="55" w:name="_Toc116550355"/>
      <w:r>
        <w:rPr>
          <w:rStyle w:val="32"/>
          <w:rFonts w:hint="eastAsia" w:ascii="宋体" w:hAnsi="宋体"/>
          <w:b/>
          <w:bCs/>
          <w:szCs w:val="21"/>
        </w:rPr>
        <w:t>符合性检查</w:t>
      </w:r>
      <w:bookmarkEnd w:id="55"/>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color w:val="auto"/>
                <w:highlight w:val="none"/>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numPr>
                <w:ilvl w:val="-1"/>
                <w:numId w:val="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w:t>
            </w:r>
            <w:r>
              <w:rPr>
                <w:rFonts w:hint="eastAsia" w:ascii="宋体" w:hAnsi="宋体" w:cs="仿宋_GB2312"/>
                <w:color w:val="auto"/>
                <w:szCs w:val="21"/>
                <w:highlight w:val="none"/>
                <w:lang w:val="en-US" w:eastAsia="zh-CN"/>
              </w:rPr>
              <w:t>是否</w:t>
            </w:r>
            <w:r>
              <w:rPr>
                <w:rFonts w:hint="eastAsia" w:ascii="宋体" w:hAnsi="宋体" w:cs="仿宋_GB2312"/>
                <w:color w:val="auto"/>
                <w:szCs w:val="21"/>
                <w:highlight w:val="none"/>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宋体"/>
                <w:color w:val="auto"/>
                <w:szCs w:val="21"/>
                <w:highlight w:val="none"/>
              </w:rPr>
              <w:t>本项目金额为人民币</w:t>
            </w:r>
            <w:r>
              <w:rPr>
                <w:rFonts w:hint="eastAsia" w:ascii="宋体" w:hAnsi="宋体" w:cs="宋体"/>
                <w:color w:val="auto"/>
                <w:szCs w:val="21"/>
                <w:highlight w:val="none"/>
                <w:lang w:val="en-US" w:eastAsia="zh-CN"/>
              </w:rPr>
              <w:t>96</w:t>
            </w:r>
            <w:r>
              <w:rPr>
                <w:rFonts w:ascii="宋体" w:hAnsi="宋体" w:cs="宋体"/>
                <w:color w:val="auto"/>
                <w:szCs w:val="21"/>
                <w:highlight w:val="none"/>
              </w:rPr>
              <w:t>万元（含</w:t>
            </w:r>
            <w:r>
              <w:rPr>
                <w:rFonts w:hint="eastAsia" w:ascii="宋体" w:hAnsi="宋体" w:cs="宋体"/>
                <w:color w:val="auto"/>
                <w:szCs w:val="21"/>
                <w:highlight w:val="none"/>
                <w:lang w:val="en-US" w:eastAsia="zh-CN"/>
              </w:rPr>
              <w:t>税</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最终结算以实际产生为准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报价超过上述控制金额的投标文件作废标处理。</w:t>
            </w:r>
          </w:p>
        </w:tc>
      </w:tr>
    </w:tbl>
    <w:p>
      <w:pPr>
        <w:numPr>
          <w:ilvl w:val="0"/>
          <w:numId w:val="24"/>
        </w:numPr>
        <w:spacing w:before="156" w:beforeLines="50"/>
        <w:jc w:val="left"/>
        <w:outlineLvl w:val="2"/>
        <w:rPr>
          <w:rStyle w:val="32"/>
          <w:rFonts w:ascii="宋体" w:hAnsi="宋体"/>
          <w:b/>
          <w:bCs/>
          <w:szCs w:val="21"/>
        </w:rPr>
      </w:pPr>
      <w:bookmarkStart w:id="56" w:name="_Toc114675512"/>
      <w:bookmarkStart w:id="57" w:name="_Toc116550356"/>
      <w:r>
        <w:rPr>
          <w:rStyle w:val="32"/>
          <w:rFonts w:hint="eastAsia" w:ascii="宋体" w:hAnsi="宋体"/>
          <w:b/>
          <w:bCs/>
          <w:szCs w:val="21"/>
        </w:rPr>
        <w:t>不可偏离项检查</w:t>
      </w:r>
      <w:bookmarkEnd w:id="56"/>
      <w:bookmarkEnd w:id="57"/>
    </w:p>
    <w:p>
      <w:pPr>
        <w:pStyle w:val="2"/>
        <w:ind w:left="0"/>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4"/>
        </w:numPr>
        <w:spacing w:before="156" w:beforeLines="50"/>
        <w:jc w:val="left"/>
        <w:outlineLvl w:val="2"/>
        <w:rPr>
          <w:rFonts w:ascii="宋体" w:hAnsi="宋体"/>
          <w:b/>
          <w:bCs/>
          <w:szCs w:val="21"/>
        </w:rPr>
      </w:pPr>
      <w:bookmarkStart w:id="58" w:name="_Toc114675513"/>
      <w:bookmarkStart w:id="59" w:name="_Toc116550357"/>
      <w:r>
        <w:rPr>
          <w:rStyle w:val="32"/>
          <w:rFonts w:hint="eastAsia" w:ascii="宋体" w:hAnsi="宋体"/>
          <w:b/>
          <w:bCs/>
          <w:szCs w:val="21"/>
        </w:rPr>
        <w:t>综合评议指标表</w:t>
      </w:r>
      <w:bookmarkEnd w:id="58"/>
      <w:bookmarkEnd w:id="59"/>
    </w:p>
    <w:p>
      <w:pPr>
        <w:pStyle w:val="2"/>
      </w:pPr>
    </w:p>
    <w:tbl>
      <w:tblPr>
        <w:tblStyle w:val="17"/>
        <w:tblpPr w:leftFromText="180" w:rightFromText="180" w:vertAnchor="text" w:horzAnchor="page" w:tblpX="1347" w:tblpY="1497"/>
        <w:tblOverlap w:val="never"/>
        <w:tblW w:w="9749"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72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202"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749"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color w:val="auto"/>
                <w:szCs w:val="21"/>
                <w:highlight w:val="none"/>
              </w:rPr>
              <w:t>商务评议项（</w:t>
            </w:r>
            <w:r>
              <w:rPr>
                <w:rFonts w:hint="eastAsia" w:ascii="宋体" w:hAnsi="宋体"/>
                <w:b/>
                <w:color w:val="auto"/>
                <w:szCs w:val="21"/>
                <w:highlight w:val="none"/>
                <w:lang w:val="en-US" w:eastAsia="zh-CN"/>
              </w:rPr>
              <w:t>25</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7" w:hRule="atLeast"/>
          <w:tblCellSpacing w:w="0" w:type="dxa"/>
        </w:trPr>
        <w:tc>
          <w:tcPr>
            <w:tcW w:w="704" w:type="dxa"/>
            <w:tcBorders>
              <w:tl2br w:val="nil"/>
              <w:tr2bl w:val="nil"/>
            </w:tcBorders>
            <w:vAlign w:val="center"/>
          </w:tcPr>
          <w:p>
            <w:pPr>
              <w:pStyle w:val="25"/>
              <w:numPr>
                <w:ilvl w:val="0"/>
                <w:numId w:val="25"/>
              </w:numPr>
              <w:spacing w:line="360" w:lineRule="auto"/>
              <w:ind w:left="630" w:leftChars="0" w:firstLineChars="0"/>
              <w:jc w:val="center"/>
              <w:rPr>
                <w:rFonts w:ascii="宋体" w:hAnsi="宋体" w:eastAsia="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7202" w:type="dxa"/>
            <w:tcBorders>
              <w:tl2br w:val="nil"/>
              <w:tr2bl w:val="nil"/>
            </w:tcBorders>
            <w:tcMar>
              <w:top w:w="15" w:type="dxa"/>
              <w:left w:w="15" w:type="dxa"/>
              <w:bottom w:w="15" w:type="dxa"/>
              <w:right w:w="15" w:type="dxa"/>
            </w:tcMar>
            <w:vAlign w:val="center"/>
          </w:tcPr>
          <w:p>
            <w:pPr>
              <w:numPr>
                <w:ilvl w:val="0"/>
                <w:numId w:val="26"/>
              </w:numPr>
              <w:snapToGrid/>
              <w:ind w:left="0" w:leftChars="0" w:firstLine="0" w:firstLineChars="0"/>
              <w:jc w:val="left"/>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cs="宋体"/>
                <w:color w:val="auto"/>
                <w:highlight w:val="none"/>
                <w:lang w:val="en-US" w:eastAsia="zh-CN"/>
              </w:rPr>
              <w:t>具有的与会展会务相关的企业服务资质等级证书（包括但不限于舞台灯光音响音视频设计/调试/安装一体化服务，或展览展示工程服务等）老进行评议，一级得3分，二级得1分，二级以下不得分；</w:t>
            </w:r>
          </w:p>
          <w:p>
            <w:pPr>
              <w:numPr>
                <w:ilvl w:val="0"/>
                <w:numId w:val="26"/>
              </w:numPr>
              <w:snapToGrid/>
              <w:ind w:left="0" w:leftChars="0" w:firstLine="0" w:firstLineChars="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cs="宋体"/>
                <w:color w:val="000000" w:themeColor="text1"/>
                <w:lang w:val="en-US" w:eastAsia="zh-CN"/>
                <w14:textFill>
                  <w14:solidFill>
                    <w14:schemeClr w14:val="tx1"/>
                  </w14:solidFill>
                </w14:textFill>
              </w:rPr>
              <w:t>拟派</w:t>
            </w:r>
            <w:r>
              <w:rPr>
                <w:rFonts w:hint="eastAsia" w:ascii="宋体" w:hAnsi="宋体" w:eastAsia="宋体" w:cs="宋体"/>
                <w:color w:val="000000" w:themeColor="text1"/>
                <w:lang w:val="en-US" w:eastAsia="zh-CN"/>
                <w14:textFill>
                  <w14:solidFill>
                    <w14:schemeClr w14:val="tx1"/>
                  </w14:solidFill>
                </w14:textFill>
              </w:rPr>
              <w:t>本</w:t>
            </w:r>
            <w:r>
              <w:rPr>
                <w:rFonts w:hint="eastAsia" w:ascii="宋体" w:hAnsi="宋体" w:eastAsia="宋体" w:cs="宋体"/>
                <w:color w:val="000000" w:themeColor="text1"/>
                <w14:textFill>
                  <w14:solidFill>
                    <w14:schemeClr w14:val="tx1"/>
                  </w14:solidFill>
                </w14:textFill>
              </w:rPr>
              <w:t>项目负责人</w:t>
            </w:r>
            <w:r>
              <w:rPr>
                <w:rFonts w:hint="eastAsia" w:ascii="宋体" w:hAnsi="宋体" w:eastAsia="宋体" w:cs="宋体"/>
                <w:color w:val="000000" w:themeColor="text1"/>
                <w:lang w:val="en-US" w:eastAsia="zh-CN"/>
                <w14:textFill>
                  <w14:solidFill>
                    <w14:schemeClr w14:val="tx1"/>
                  </w14:solidFill>
                </w14:textFill>
              </w:rPr>
              <w:t>具有</w:t>
            </w:r>
            <w:r>
              <w:rPr>
                <w:rFonts w:hint="eastAsia" w:ascii="宋体" w:hAnsi="宋体" w:eastAsia="宋体" w:cs="宋体"/>
                <w:color w:val="000000" w:themeColor="text1"/>
                <w14:textFill>
                  <w14:solidFill>
                    <w14:schemeClr w14:val="tx1"/>
                  </w14:solidFill>
                </w14:textFill>
              </w:rPr>
              <w:t>会展项目经理资质证书</w:t>
            </w:r>
            <w:r>
              <w:rPr>
                <w:rFonts w:hint="eastAsia" w:ascii="宋体" w:hAnsi="宋体" w:cs="宋体"/>
                <w:color w:val="000000" w:themeColor="text1"/>
                <w:lang w:val="en-US" w:eastAsia="zh-CN"/>
                <w14:textFill>
                  <w14:solidFill>
                    <w14:schemeClr w14:val="tx1"/>
                  </w14:solidFill>
                </w14:textFill>
              </w:rPr>
              <w:t>或者会展业职业经理人资质证书的，</w:t>
            </w:r>
            <w:r>
              <w:rPr>
                <w:rFonts w:hint="eastAsia" w:ascii="宋体" w:hAnsi="宋体" w:eastAsia="宋体" w:cs="宋体"/>
                <w:color w:val="000000" w:themeColor="text1"/>
                <w14:textFill>
                  <w14:solidFill>
                    <w14:schemeClr w14:val="tx1"/>
                  </w14:solidFill>
                </w14:textFill>
              </w:rPr>
              <w:t>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无资质证书得0分。</w:t>
            </w:r>
          </w:p>
          <w:p>
            <w:pPr>
              <w:numPr>
                <w:ilvl w:val="-1"/>
                <w:numId w:val="0"/>
              </w:numPr>
              <w:ind w:lef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w:t>
            </w:r>
            <w:r>
              <w:rPr>
                <w:rFonts w:hint="eastAsia" w:ascii="宋体" w:hAnsi="宋体" w:eastAsia="宋体" w:cs="宋体"/>
                <w:color w:val="000000" w:themeColor="text1"/>
                <w:lang w:val="en-US" w:eastAsia="zh-CN"/>
                <w14:textFill>
                  <w14:solidFill>
                    <w14:schemeClr w14:val="tx1"/>
                  </w14:solidFill>
                </w14:textFill>
              </w:rPr>
              <w:t>投标人必须提供能体现上述评议所需</w:t>
            </w:r>
            <w:r>
              <w:rPr>
                <w:rFonts w:hint="eastAsia" w:ascii="宋体" w:hAnsi="宋体" w:cs="宋体"/>
                <w:color w:val="000000" w:themeColor="text1"/>
                <w:lang w:val="en-US" w:eastAsia="zh-CN"/>
                <w14:textFill>
                  <w14:solidFill>
                    <w14:schemeClr w14:val="tx1"/>
                  </w14:solidFill>
                </w14:textFill>
              </w:rPr>
              <w:t>且在有效期内的</w:t>
            </w:r>
            <w:r>
              <w:rPr>
                <w:rFonts w:hint="eastAsia" w:ascii="宋体" w:hAnsi="宋体" w:eastAsia="宋体" w:cs="宋体"/>
                <w:color w:val="000000" w:themeColor="text1"/>
                <w:lang w:val="en-US" w:eastAsia="zh-CN"/>
                <w14:textFill>
                  <w14:solidFill>
                    <w14:schemeClr w14:val="tx1"/>
                  </w14:solidFill>
                </w14:textFill>
              </w:rPr>
              <w:t>证明文件</w:t>
            </w:r>
            <w:r>
              <w:rPr>
                <w:rFonts w:hint="eastAsia" w:ascii="宋体" w:hAnsi="宋体" w:cs="宋体"/>
                <w:color w:val="000000" w:themeColor="text1"/>
                <w:lang w:val="en-US" w:eastAsia="zh-CN"/>
                <w14:textFill>
                  <w14:solidFill>
                    <w14:schemeClr w14:val="tx1"/>
                  </w14:solidFill>
                </w14:textFill>
              </w:rPr>
              <w:t>并</w:t>
            </w:r>
            <w:r>
              <w:rPr>
                <w:rFonts w:hint="eastAsia" w:ascii="宋体" w:hAnsi="宋体" w:eastAsia="宋体" w:cs="宋体"/>
                <w:color w:val="000000" w:themeColor="text1"/>
                <w:lang w:val="en-US" w:eastAsia="zh-CN"/>
                <w14:textFill>
                  <w14:solidFill>
                    <w14:schemeClr w14:val="tx1"/>
                  </w14:solidFill>
                </w14:textFill>
              </w:rPr>
              <w:t>加盖投标</w:t>
            </w:r>
            <w:r>
              <w:rPr>
                <w:rFonts w:hint="eastAsia" w:ascii="宋体" w:hAnsi="宋体" w:cs="宋体"/>
                <w:color w:val="000000" w:themeColor="text1"/>
                <w:lang w:val="en-US" w:eastAsia="zh-CN"/>
                <w14:textFill>
                  <w14:solidFill>
                    <w14:schemeClr w14:val="tx1"/>
                  </w14:solidFill>
                </w14:textFill>
              </w:rPr>
              <w:t>人</w:t>
            </w:r>
            <w:r>
              <w:rPr>
                <w:rFonts w:hint="eastAsia" w:ascii="宋体" w:hAnsi="宋体" w:eastAsia="宋体" w:cs="宋体"/>
                <w:color w:val="000000" w:themeColor="text1"/>
                <w:lang w:val="en-US" w:eastAsia="zh-CN"/>
                <w14:textFill>
                  <w14:solidFill>
                    <w14:schemeClr w14:val="tx1"/>
                  </w14:solidFill>
                </w14:textFill>
              </w:rPr>
              <w:t>公章</w:t>
            </w:r>
            <w:r>
              <w:rPr>
                <w:rFonts w:hint="eastAsia" w:ascii="宋体" w:hAnsi="宋体" w:cs="宋体"/>
                <w:color w:val="000000" w:themeColor="text1"/>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25"/>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cs="宋体"/>
                <w:szCs w:val="21"/>
                <w:lang w:val="en-US" w:eastAsia="zh-CN"/>
              </w:rPr>
              <w:t>同类</w:t>
            </w:r>
            <w:r>
              <w:rPr>
                <w:rFonts w:hint="eastAsia" w:ascii="宋体" w:hAnsi="宋体" w:cs="宋体"/>
                <w:szCs w:val="21"/>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lang w:val="en-US" w:eastAsia="zh-CN"/>
              </w:rPr>
              <w:t>17</w:t>
            </w:r>
            <w:r>
              <w:rPr>
                <w:rFonts w:hint="eastAsia" w:ascii="宋体" w:hAnsi="宋体"/>
                <w:szCs w:val="21"/>
              </w:rPr>
              <w:t>分</w:t>
            </w:r>
          </w:p>
        </w:tc>
        <w:tc>
          <w:tcPr>
            <w:tcW w:w="7202" w:type="dxa"/>
            <w:tcBorders>
              <w:tl2br w:val="nil"/>
              <w:tr2bl w:val="nil"/>
            </w:tcBorders>
            <w:tcMar>
              <w:top w:w="15" w:type="dxa"/>
              <w:left w:w="15" w:type="dxa"/>
              <w:bottom w:w="15" w:type="dxa"/>
              <w:right w:w="15" w:type="dxa"/>
            </w:tcMar>
            <w:vAlign w:val="center"/>
          </w:tcPr>
          <w:p>
            <w:pPr>
              <w:numPr>
                <w:ilvl w:val="255"/>
                <w:numId w:val="0"/>
              </w:numPr>
              <w:ind w:firstLine="0" w:firstLineChars="0"/>
              <w:rPr>
                <w:rFonts w:hint="eastAsia" w:ascii="宋体" w:hAnsi="宋体" w:eastAsia="宋体" w:cs="宋体"/>
                <w:highlight w:val="none"/>
              </w:rPr>
            </w:pPr>
            <w:r>
              <w:rPr>
                <w:rFonts w:hint="eastAsia" w:ascii="宋体" w:hAnsi="宋体" w:eastAsia="宋体" w:cs="宋体"/>
                <w:kern w:val="0"/>
                <w:szCs w:val="21"/>
                <w:highlight w:val="none"/>
              </w:rPr>
              <w:t>根据投标人提交的</w:t>
            </w:r>
            <w:r>
              <w:rPr>
                <w:rFonts w:hint="eastAsia" w:ascii="宋体" w:hAnsi="宋体" w:eastAsia="宋体" w:cs="宋体"/>
                <w:szCs w:val="21"/>
                <w:highlight w:val="none"/>
              </w:rPr>
              <w:t>201</w:t>
            </w:r>
            <w:r>
              <w:rPr>
                <w:rFonts w:hint="eastAsia" w:ascii="宋体" w:hAnsi="宋体" w:cs="宋体"/>
                <w:szCs w:val="21"/>
                <w:highlight w:val="none"/>
                <w:lang w:val="en-US" w:eastAsia="zh-CN"/>
              </w:rPr>
              <w:t>9</w:t>
            </w:r>
            <w:r>
              <w:rPr>
                <w:rFonts w:hint="eastAsia" w:ascii="宋体" w:hAnsi="宋体" w:eastAsia="宋体" w:cs="宋体"/>
                <w:szCs w:val="21"/>
                <w:highlight w:val="none"/>
              </w:rPr>
              <w:t>年1月1日</w:t>
            </w:r>
            <w:r>
              <w:rPr>
                <w:rFonts w:hint="eastAsia" w:ascii="宋体" w:hAnsi="宋体" w:eastAsia="宋体" w:cs="宋体"/>
                <w:szCs w:val="21"/>
                <w:highlight w:val="none"/>
              </w:rPr>
              <w:t>至本项目采购公告发布之日期间（以合同签订日期为准）作为承办或协办单位的会议活动项目案例</w:t>
            </w:r>
            <w:r>
              <w:rPr>
                <w:rFonts w:hint="eastAsia" w:ascii="宋体" w:hAnsi="宋体" w:eastAsia="宋体" w:cs="宋体"/>
                <w:kern w:val="0"/>
                <w:szCs w:val="21"/>
                <w:highlight w:val="none"/>
              </w:rPr>
              <w:t>业绩合同</w:t>
            </w:r>
            <w:r>
              <w:rPr>
                <w:rFonts w:hint="eastAsia" w:ascii="宋体" w:hAnsi="宋体" w:eastAsia="宋体" w:cs="宋体"/>
                <w:highlight w:val="none"/>
              </w:rPr>
              <w:t>进行综合对比评分，</w:t>
            </w:r>
            <w:r>
              <w:rPr>
                <w:rFonts w:hint="eastAsia" w:ascii="宋体" w:hAnsi="宋体" w:eastAsia="宋体" w:cs="宋体"/>
                <w:kern w:val="0"/>
                <w:szCs w:val="21"/>
                <w:highlight w:val="none"/>
              </w:rPr>
              <w:t>评分要点如下：</w:t>
            </w:r>
          </w:p>
          <w:p>
            <w:pPr>
              <w:pStyle w:val="25"/>
              <w:numPr>
                <w:ilvl w:val="0"/>
                <w:numId w:val="27"/>
              </w:numPr>
              <w:ind w:left="0" w:leftChars="0"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单个项目合同金额人民币</w:t>
            </w:r>
            <w:r>
              <w:rPr>
                <w:rFonts w:hint="eastAsia" w:ascii="宋体" w:hAnsi="宋体" w:eastAsia="宋体" w:cs="宋体"/>
                <w:kern w:val="0"/>
                <w:szCs w:val="21"/>
                <w:highlight w:val="none"/>
                <w:lang w:val="en-US" w:eastAsia="zh-CN"/>
              </w:rPr>
              <w:t>100</w:t>
            </w:r>
            <w:r>
              <w:rPr>
                <w:rFonts w:hint="eastAsia" w:ascii="宋体" w:hAnsi="宋体" w:eastAsia="宋体" w:cs="宋体"/>
                <w:kern w:val="0"/>
                <w:szCs w:val="21"/>
                <w:highlight w:val="none"/>
              </w:rPr>
              <w:t>万元（含）以上的业绩合同，每提供一份</w:t>
            </w:r>
            <w:r>
              <w:rPr>
                <w:rFonts w:hint="eastAsia" w:ascii="宋体" w:hAnsi="宋体" w:eastAsia="宋体" w:cs="宋体"/>
                <w:kern w:val="0"/>
                <w:szCs w:val="21"/>
                <w:highlight w:val="none"/>
                <w:lang w:val="en-US" w:eastAsia="zh-CN"/>
              </w:rPr>
              <w:t>得3</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最高得6分；</w:t>
            </w:r>
          </w:p>
          <w:p>
            <w:pPr>
              <w:pStyle w:val="25"/>
              <w:numPr>
                <w:ilvl w:val="0"/>
                <w:numId w:val="27"/>
              </w:numPr>
              <w:ind w:left="0" w:leftChars="0"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单个项目合同金额人民币</w:t>
            </w:r>
            <w:r>
              <w:rPr>
                <w:rFonts w:hint="eastAsia" w:ascii="宋体" w:hAnsi="宋体" w:eastAsia="宋体" w:cs="宋体"/>
                <w:kern w:val="0"/>
                <w:szCs w:val="21"/>
                <w:highlight w:val="none"/>
                <w:lang w:val="en-US" w:eastAsia="zh-CN"/>
              </w:rPr>
              <w:t>50</w:t>
            </w:r>
            <w:r>
              <w:rPr>
                <w:rFonts w:hint="eastAsia" w:ascii="宋体" w:hAnsi="宋体" w:eastAsia="宋体" w:cs="宋体"/>
                <w:kern w:val="0"/>
                <w:szCs w:val="21"/>
                <w:highlight w:val="none"/>
              </w:rPr>
              <w:t>万元（含）以上</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100</w:t>
            </w:r>
            <w:r>
              <w:rPr>
                <w:rFonts w:hint="eastAsia" w:ascii="宋体" w:hAnsi="宋体" w:eastAsia="宋体" w:cs="宋体"/>
                <w:kern w:val="0"/>
                <w:szCs w:val="21"/>
                <w:highlight w:val="none"/>
              </w:rPr>
              <w:t>万元</w:t>
            </w:r>
            <w:r>
              <w:rPr>
                <w:rFonts w:hint="eastAsia" w:ascii="宋体" w:hAnsi="宋体" w:eastAsia="宋体" w:cs="宋体"/>
                <w:kern w:val="0"/>
                <w:szCs w:val="21"/>
                <w:highlight w:val="none"/>
                <w:lang w:val="en-US" w:eastAsia="zh-CN"/>
              </w:rPr>
              <w:t>以下</w:t>
            </w:r>
            <w:r>
              <w:rPr>
                <w:rFonts w:hint="eastAsia" w:ascii="宋体" w:hAnsi="宋体" w:eastAsia="宋体" w:cs="宋体"/>
                <w:kern w:val="0"/>
                <w:szCs w:val="21"/>
                <w:highlight w:val="none"/>
              </w:rPr>
              <w:t>的业绩合同，每提供一份</w:t>
            </w:r>
            <w:r>
              <w:rPr>
                <w:rFonts w:hint="eastAsia" w:ascii="宋体" w:hAnsi="宋体" w:eastAsia="宋体" w:cs="宋体"/>
                <w:kern w:val="0"/>
                <w:szCs w:val="21"/>
                <w:highlight w:val="none"/>
                <w:lang w:val="en-US" w:eastAsia="zh-CN"/>
              </w:rPr>
              <w:t>得2</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最高得6分；</w:t>
            </w:r>
          </w:p>
          <w:p>
            <w:pPr>
              <w:pStyle w:val="25"/>
              <w:numPr>
                <w:ilvl w:val="0"/>
                <w:numId w:val="27"/>
              </w:numPr>
              <w:ind w:left="0" w:leftChars="0"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单个项目合同金额人民币</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万元（含）以上</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50</w:t>
            </w:r>
            <w:r>
              <w:rPr>
                <w:rFonts w:hint="eastAsia" w:ascii="宋体" w:hAnsi="宋体" w:eastAsia="宋体" w:cs="宋体"/>
                <w:kern w:val="0"/>
                <w:szCs w:val="21"/>
                <w:highlight w:val="none"/>
              </w:rPr>
              <w:t>万元</w:t>
            </w:r>
            <w:r>
              <w:rPr>
                <w:rFonts w:hint="eastAsia" w:ascii="宋体" w:hAnsi="宋体" w:eastAsia="宋体" w:cs="宋体"/>
                <w:kern w:val="0"/>
                <w:szCs w:val="21"/>
                <w:highlight w:val="none"/>
                <w:lang w:val="en-US" w:eastAsia="zh-CN"/>
              </w:rPr>
              <w:t>以下</w:t>
            </w:r>
            <w:r>
              <w:rPr>
                <w:rFonts w:hint="eastAsia" w:ascii="宋体" w:hAnsi="宋体" w:eastAsia="宋体" w:cs="宋体"/>
                <w:kern w:val="0"/>
                <w:szCs w:val="21"/>
                <w:highlight w:val="none"/>
              </w:rPr>
              <w:t>的业绩合同，每提供一份</w:t>
            </w:r>
            <w:r>
              <w:rPr>
                <w:rFonts w:hint="eastAsia" w:ascii="宋体" w:hAnsi="宋体" w:eastAsia="宋体" w:cs="宋体"/>
                <w:kern w:val="0"/>
                <w:szCs w:val="21"/>
                <w:highlight w:val="none"/>
                <w:lang w:val="en-US" w:eastAsia="zh-CN"/>
              </w:rPr>
              <w:t>得1</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最高得2分；</w:t>
            </w:r>
          </w:p>
          <w:p>
            <w:pPr>
              <w:pStyle w:val="25"/>
              <w:numPr>
                <w:ilvl w:val="0"/>
                <w:numId w:val="27"/>
              </w:numPr>
              <w:ind w:left="0" w:leftChars="0"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提供的项目案例为</w:t>
            </w:r>
            <w:r>
              <w:rPr>
                <w:rFonts w:hint="eastAsia" w:ascii="宋体" w:hAnsi="宋体" w:eastAsia="宋体" w:cs="宋体"/>
                <w:kern w:val="0"/>
                <w:szCs w:val="21"/>
                <w:highlight w:val="none"/>
                <w:lang w:val="en-US" w:eastAsia="zh-CN"/>
              </w:rPr>
              <w:t>政府</w:t>
            </w:r>
            <w:r>
              <w:rPr>
                <w:rFonts w:hint="eastAsia" w:ascii="宋体" w:hAnsi="宋体" w:eastAsia="宋体" w:cs="宋体"/>
                <w:kern w:val="0"/>
                <w:szCs w:val="21"/>
                <w:highlight w:val="none"/>
              </w:rPr>
              <w:t>级活动（</w:t>
            </w:r>
            <w:r>
              <w:rPr>
                <w:rFonts w:hint="eastAsia" w:ascii="宋体" w:hAnsi="宋体" w:eastAsia="宋体" w:cs="宋体"/>
                <w:kern w:val="0"/>
                <w:szCs w:val="21"/>
                <w:highlight w:val="none"/>
                <w:lang w:val="en-US" w:eastAsia="zh-CN"/>
              </w:rPr>
              <w:t>主办单位为市级政府单位及以上的</w:t>
            </w:r>
            <w:r>
              <w:rPr>
                <w:rFonts w:hint="eastAsia" w:ascii="宋体" w:hAnsi="宋体" w:eastAsia="宋体" w:cs="宋体"/>
                <w:kern w:val="0"/>
                <w:szCs w:val="21"/>
                <w:highlight w:val="none"/>
              </w:rPr>
              <w:t>）业绩合同，每提供一份</w:t>
            </w:r>
            <w:r>
              <w:rPr>
                <w:rFonts w:hint="eastAsia" w:ascii="宋体" w:hAnsi="宋体" w:eastAsia="宋体" w:cs="宋体"/>
                <w:kern w:val="0"/>
                <w:szCs w:val="21"/>
                <w:highlight w:val="none"/>
                <w:lang w:val="en-US" w:eastAsia="zh-CN"/>
              </w:rPr>
              <w:t>得1</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最高得3分；</w:t>
            </w:r>
          </w:p>
          <w:p>
            <w:pPr>
              <w:pStyle w:val="25"/>
              <w:widowControl w:val="0"/>
              <w:numPr>
                <w:ilvl w:val="0"/>
                <w:numId w:val="0"/>
              </w:numPr>
              <w:jc w:val="both"/>
              <w:rPr>
                <w:rFonts w:hint="eastAsia" w:ascii="宋体" w:hAnsi="宋体" w:eastAsia="宋体" w:cs="宋体"/>
                <w:kern w:val="0"/>
                <w:szCs w:val="21"/>
              </w:rPr>
            </w:pPr>
            <w:bookmarkStart w:id="101" w:name="_GoBack"/>
            <w:bookmarkEnd w:id="101"/>
          </w:p>
          <w:p>
            <w:pPr>
              <w:rPr>
                <w:rFonts w:ascii="宋体" w:hAnsi="宋体" w:cs="宋体"/>
                <w:szCs w:val="21"/>
              </w:rPr>
            </w:pPr>
            <w:r>
              <w:rPr>
                <w:rFonts w:hint="eastAsia" w:ascii="宋体" w:hAnsi="宋体" w:cs="宋体"/>
                <w:szCs w:val="21"/>
              </w:rPr>
              <w:t>说明：</w:t>
            </w:r>
          </w:p>
          <w:p>
            <w:pPr>
              <w:numPr>
                <w:ilvl w:val="0"/>
                <w:numId w:val="28"/>
              </w:numPr>
              <w:ind w:left="0" w:leftChars="0" w:firstLine="0" w:firstLineChars="0"/>
              <w:rPr>
                <w:rFonts w:hint="eastAsia" w:ascii="宋体" w:hAnsi="宋体" w:eastAsia="宋体" w:cs="宋体"/>
                <w:szCs w:val="21"/>
                <w:lang w:eastAsia="zh-CN"/>
              </w:rPr>
            </w:pPr>
            <w:r>
              <w:rPr>
                <w:rFonts w:hint="eastAsia" w:ascii="宋体" w:hAnsi="宋体" w:cs="宋体"/>
                <w:kern w:val="0"/>
                <w:szCs w:val="21"/>
              </w:rPr>
              <w:t>本项最高</w:t>
            </w:r>
            <w:r>
              <w:rPr>
                <w:rFonts w:hint="eastAsia" w:ascii="宋体" w:hAnsi="宋体" w:cs="宋体"/>
                <w:kern w:val="0"/>
                <w:szCs w:val="21"/>
                <w:lang w:val="en-US" w:eastAsia="zh-CN"/>
              </w:rPr>
              <w:t>17</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合同业绩不</w:t>
            </w:r>
            <w:r>
              <w:rPr>
                <w:rFonts w:hint="eastAsia" w:ascii="宋体" w:hAnsi="宋体" w:cs="宋体"/>
                <w:szCs w:val="21"/>
              </w:rPr>
              <w:t>累计得分，</w:t>
            </w:r>
            <w:r>
              <w:rPr>
                <w:rFonts w:hint="eastAsia" w:ascii="宋体" w:hAnsi="宋体" w:cs="宋体"/>
                <w:kern w:val="0"/>
                <w:szCs w:val="21"/>
              </w:rPr>
              <w:t>不满足以上评分要点的合同不得分</w:t>
            </w:r>
            <w:r>
              <w:rPr>
                <w:rFonts w:hint="eastAsia" w:ascii="宋体" w:hAnsi="宋体" w:cs="宋体"/>
                <w:kern w:val="0"/>
                <w:szCs w:val="21"/>
                <w:lang w:eastAsia="zh-CN"/>
              </w:rPr>
              <w:t>。</w:t>
            </w:r>
          </w:p>
          <w:p>
            <w:pPr>
              <w:numPr>
                <w:ilvl w:val="0"/>
                <w:numId w:val="28"/>
              </w:numPr>
              <w:ind w:left="0" w:leftChars="0" w:firstLine="0" w:firstLineChars="0"/>
              <w:rPr>
                <w:rFonts w:ascii="宋体" w:hAnsi="宋体"/>
                <w:color w:val="FF0000"/>
                <w:szCs w:val="21"/>
              </w:rPr>
            </w:pPr>
            <w:r>
              <w:rPr>
                <w:rFonts w:hint="eastAsia" w:ascii="宋体" w:hAnsi="宋体" w:cs="宋体"/>
                <w:szCs w:val="21"/>
              </w:rPr>
              <w:t>投标人必须提供能体现上述评议所需的合同关键页（包含但不限于</w:t>
            </w:r>
            <w:r>
              <w:rPr>
                <w:rFonts w:ascii="宋体" w:hAnsi="宋体" w:cs="宋体"/>
                <w:szCs w:val="21"/>
              </w:rPr>
              <w:t>项目名称、业主方名称、</w:t>
            </w:r>
            <w:r>
              <w:rPr>
                <w:rFonts w:hint="eastAsia" w:ascii="宋体" w:hAnsi="宋体" w:cs="宋体"/>
                <w:szCs w:val="21"/>
              </w:rPr>
              <w:t>合同标的金额、合同主要内容、签订时间、</w:t>
            </w:r>
            <w:r>
              <w:rPr>
                <w:rFonts w:hint="eastAsia" w:ascii="宋体" w:hAnsi="宋体"/>
              </w:rPr>
              <w:t>双方盖章</w:t>
            </w:r>
            <w:r>
              <w:rPr>
                <w:rFonts w:hint="eastAsia" w:ascii="宋体" w:hAnsi="宋体" w:cs="宋体"/>
                <w:szCs w:val="21"/>
              </w:rPr>
              <w:t>等）并加盖投标人公章；如合同未能体现活动类型、主办单位等信息的可提供相应官方网页、官方媒体报道、活动议程、活动照片等作为补充证明（需加盖公章）；未提供或提供的相关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5" w:hRule="atLeast"/>
          <w:tblCellSpacing w:w="0" w:type="dxa"/>
        </w:trPr>
        <w:tc>
          <w:tcPr>
            <w:tcW w:w="704" w:type="dxa"/>
            <w:tcBorders>
              <w:tl2br w:val="nil"/>
              <w:tr2bl w:val="nil"/>
            </w:tcBorders>
            <w:vAlign w:val="center"/>
          </w:tcPr>
          <w:p>
            <w:pPr>
              <w:pStyle w:val="25"/>
              <w:numPr>
                <w:ilvl w:val="0"/>
                <w:numId w:val="25"/>
              </w:numPr>
              <w:spacing w:line="360" w:lineRule="auto"/>
              <w:ind w:left="630" w:leftChars="0"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highlight w:val="none"/>
              </w:rPr>
              <w:t>信誉情况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default" w:ascii="宋体" w:hAnsi="宋体"/>
                <w:szCs w:val="21"/>
                <w:highlight w:val="none"/>
                <w:lang w:val="en-US"/>
              </w:rPr>
              <w:t>3</w:t>
            </w:r>
            <w:r>
              <w:rPr>
                <w:rFonts w:hint="eastAsia" w:ascii="宋体" w:hAnsi="宋体"/>
                <w:szCs w:val="21"/>
                <w:highlight w:val="none"/>
              </w:rPr>
              <w:t>分</w:t>
            </w:r>
          </w:p>
        </w:tc>
        <w:tc>
          <w:tcPr>
            <w:tcW w:w="7202" w:type="dxa"/>
            <w:tcBorders>
              <w:tl2br w:val="nil"/>
              <w:tr2bl w:val="nil"/>
            </w:tcBorders>
            <w:tcMar>
              <w:top w:w="15" w:type="dxa"/>
              <w:left w:w="15" w:type="dxa"/>
              <w:bottom w:w="15" w:type="dxa"/>
              <w:right w:w="15" w:type="dxa"/>
            </w:tcMar>
            <w:vAlign w:val="center"/>
          </w:tcPr>
          <w:p>
            <w:pPr>
              <w:ind w:firstLine="0" w:firstLineChars="0"/>
              <w:rPr>
                <w:rFonts w:ascii="宋体" w:hAnsi="宋体" w:cs="宋体"/>
                <w:kern w:val="0"/>
                <w:szCs w:val="21"/>
                <w:highlight w:val="none"/>
              </w:rPr>
            </w:pPr>
            <w:r>
              <w:rPr>
                <w:rFonts w:hint="eastAsia" w:ascii="宋体" w:hAnsi="宋体" w:cs="宋体"/>
                <w:kern w:val="0"/>
                <w:szCs w:val="21"/>
                <w:highlight w:val="none"/>
              </w:rPr>
              <w:t>根据投标人</w:t>
            </w:r>
            <w:r>
              <w:rPr>
                <w:rFonts w:hint="eastAsia" w:ascii="宋体" w:hAnsi="宋体" w:eastAsia="宋体" w:cs="宋体"/>
                <w:szCs w:val="21"/>
                <w:highlight w:val="none"/>
              </w:rPr>
              <w:t>201</w:t>
            </w:r>
            <w:r>
              <w:rPr>
                <w:rFonts w:hint="eastAsia" w:ascii="宋体" w:hAnsi="宋体" w:cs="宋体"/>
                <w:szCs w:val="21"/>
                <w:highlight w:val="none"/>
                <w:lang w:val="en-US" w:eastAsia="zh-CN"/>
              </w:rPr>
              <w:t>9</w:t>
            </w:r>
            <w:r>
              <w:rPr>
                <w:rFonts w:hint="eastAsia" w:ascii="宋体" w:hAnsi="宋体" w:eastAsia="宋体" w:cs="宋体"/>
                <w:szCs w:val="21"/>
                <w:highlight w:val="none"/>
              </w:rPr>
              <w:t>年1月1日至本项目采购公告发布之日期间（以合同签订日期为准）</w:t>
            </w:r>
            <w:r>
              <w:rPr>
                <w:rFonts w:hint="eastAsia" w:ascii="宋体" w:hAnsi="宋体" w:cs="宋体"/>
                <w:kern w:val="0"/>
                <w:szCs w:val="21"/>
                <w:highlight w:val="none"/>
              </w:rPr>
              <w:t>获得会议活动主办方或上级主管单位或相关行业协会授予的感谢信、表扬信、证书、奖项等</w:t>
            </w:r>
            <w:r>
              <w:rPr>
                <w:rFonts w:hint="eastAsia" w:ascii="宋体" w:hAnsi="宋体" w:cs="宋体"/>
                <w:kern w:val="0"/>
                <w:szCs w:val="21"/>
                <w:highlight w:val="none"/>
                <w:lang w:val="en-US" w:eastAsia="zh-CN"/>
              </w:rPr>
              <w:t>评议</w:t>
            </w:r>
            <w:r>
              <w:rPr>
                <w:rFonts w:hint="eastAsia" w:ascii="宋体" w:hAnsi="宋体" w:cs="宋体"/>
                <w:kern w:val="0"/>
                <w:szCs w:val="21"/>
                <w:highlight w:val="none"/>
              </w:rPr>
              <w:t>，每提交1份</w:t>
            </w:r>
            <w:r>
              <w:rPr>
                <w:rFonts w:hint="eastAsia" w:ascii="宋体" w:hAnsi="宋体" w:cs="宋体"/>
                <w:kern w:val="0"/>
                <w:szCs w:val="21"/>
                <w:highlight w:val="none"/>
                <w:lang w:val="en-US" w:eastAsia="zh-CN"/>
              </w:rPr>
              <w:t>有效证明材料</w:t>
            </w:r>
            <w:r>
              <w:rPr>
                <w:rFonts w:hint="eastAsia" w:ascii="宋体" w:hAnsi="宋体" w:cs="宋体"/>
                <w:kern w:val="0"/>
                <w:szCs w:val="21"/>
                <w:highlight w:val="none"/>
              </w:rPr>
              <w:t>得1分，最高</w:t>
            </w:r>
            <w:r>
              <w:rPr>
                <w:rFonts w:hint="default" w:ascii="宋体" w:hAnsi="宋体" w:cs="宋体"/>
                <w:kern w:val="0"/>
                <w:szCs w:val="21"/>
                <w:highlight w:val="none"/>
                <w:lang w:val="en-US"/>
              </w:rPr>
              <w:t>3</w:t>
            </w:r>
            <w:r>
              <w:rPr>
                <w:rFonts w:hint="eastAsia" w:ascii="宋体" w:hAnsi="宋体" w:cs="宋体"/>
                <w:kern w:val="0"/>
                <w:szCs w:val="21"/>
                <w:highlight w:val="none"/>
              </w:rPr>
              <w:t>分。</w:t>
            </w:r>
          </w:p>
          <w:p>
            <w:pPr>
              <w:rPr>
                <w:rFonts w:ascii="宋体" w:hAnsi="宋体" w:cs="宋体"/>
                <w:kern w:val="0"/>
                <w:szCs w:val="21"/>
                <w:highlight w:val="none"/>
              </w:rPr>
            </w:pPr>
            <w:r>
              <w:rPr>
                <w:rFonts w:hint="eastAsia" w:ascii="宋体" w:hAnsi="宋体" w:cs="宋体"/>
                <w:kern w:val="0"/>
                <w:szCs w:val="21"/>
                <w:highlight w:val="none"/>
              </w:rPr>
              <w:t>说明：</w:t>
            </w:r>
          </w:p>
          <w:p>
            <w:pPr>
              <w:pStyle w:val="25"/>
              <w:numPr>
                <w:ilvl w:val="0"/>
                <w:numId w:val="29"/>
              </w:numPr>
              <w:ind w:left="0" w:leftChars="0"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投标人须提供由会议活动案例中主办方或上级主管单位或相关行业协会授予的感谢信、表扬信、证书、奖项等证明文件。需提供以上荣誉情况汇总清单，以上文件均需加盖投标单位公章。</w:t>
            </w:r>
          </w:p>
          <w:p>
            <w:pPr>
              <w:pStyle w:val="25"/>
              <w:numPr>
                <w:ilvl w:val="0"/>
                <w:numId w:val="29"/>
              </w:numPr>
              <w:ind w:left="0" w:leftChars="0"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同一项目且同一年份/届次的不同证明文件视作1份。</w:t>
            </w:r>
          </w:p>
          <w:p>
            <w:pPr>
              <w:pStyle w:val="25"/>
              <w:numPr>
                <w:ilvl w:val="0"/>
                <w:numId w:val="29"/>
              </w:numPr>
              <w:ind w:left="0" w:leftChars="0" w:firstLine="0" w:firstLineChars="0"/>
              <w:rPr>
                <w:rFonts w:ascii="宋体" w:hAnsi="宋体"/>
                <w:color w:val="FF0000"/>
                <w:szCs w:val="21"/>
                <w:highlight w:val="none"/>
              </w:rPr>
            </w:pPr>
            <w:r>
              <w:rPr>
                <w:rFonts w:hint="eastAsia" w:ascii="宋体" w:hAnsi="宋体" w:eastAsia="宋体" w:cs="宋体"/>
                <w:kern w:val="0"/>
                <w:szCs w:val="21"/>
                <w:highlight w:val="none"/>
              </w:rPr>
              <w:t>未提供证明资料、未按要求提供资料的或提供的相关证明文件因不清晰、不完整等原因无法判断的均得0分。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9045"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bCs w:val="0"/>
                <w:color w:val="auto"/>
                <w:szCs w:val="21"/>
                <w:highlight w:val="none"/>
              </w:rPr>
              <w:t>技术服务评议项（</w:t>
            </w:r>
            <w:r>
              <w:rPr>
                <w:rFonts w:hint="eastAsia" w:ascii="宋体" w:hAnsi="宋体"/>
                <w:b/>
                <w:bCs w:val="0"/>
                <w:color w:val="auto"/>
                <w:szCs w:val="21"/>
                <w:highlight w:val="none"/>
                <w:lang w:val="en-US" w:eastAsia="zh-CN"/>
              </w:rPr>
              <w:t>40</w:t>
            </w:r>
            <w:r>
              <w:rPr>
                <w:rFonts w:ascii="宋体" w:hAnsi="宋体"/>
                <w:b/>
                <w:bCs w:val="0"/>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30"/>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kern w:val="0"/>
                <w:szCs w:val="21"/>
                <w:highlight w:val="none"/>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分</w:t>
            </w:r>
          </w:p>
        </w:tc>
        <w:tc>
          <w:tcPr>
            <w:tcW w:w="7202" w:type="dxa"/>
            <w:tcBorders>
              <w:tl2br w:val="nil"/>
              <w:tr2bl w:val="nil"/>
            </w:tcBorders>
            <w:tcMar>
              <w:top w:w="15" w:type="dxa"/>
              <w:left w:w="15" w:type="dxa"/>
              <w:bottom w:w="15" w:type="dxa"/>
              <w:right w:w="15" w:type="dxa"/>
            </w:tcMar>
            <w:vAlign w:val="center"/>
          </w:tcPr>
          <w:p>
            <w:pPr>
              <w:pStyle w:val="13"/>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根据投标人所提供的服务方案及时间安排进行综合比较评分。</w:t>
            </w:r>
          </w:p>
          <w:p>
            <w:pPr>
              <w:pStyle w:val="13"/>
              <w:numPr>
                <w:ilvl w:val="-1"/>
                <w:numId w:val="0"/>
              </w:numPr>
              <w:ind w:left="0" w:firstLine="0"/>
              <w:rPr>
                <w:rFonts w:ascii="宋体" w:eastAsia="宋体" w:cs="宋体"/>
                <w:color w:val="auto"/>
                <w:kern w:val="0"/>
                <w:szCs w:val="21"/>
                <w:highlight w:val="none"/>
              </w:rPr>
            </w:pP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根据投标人提供的服务方案，会前、会中、会后各阶段工作步骤越完整、规划越合理，各环节执行细节越细致，越符合招标人的具体要求得分越高。优</w:t>
            </w:r>
            <w:r>
              <w:rPr>
                <w:rFonts w:hint="eastAsia" w:ascii="宋体" w:eastAsia="宋体" w:cs="宋体"/>
                <w:color w:val="auto"/>
                <w:kern w:val="0"/>
                <w:szCs w:val="21"/>
                <w:highlight w:val="none"/>
                <w:lang w:val="en-US" w:eastAsia="zh-CN"/>
              </w:rPr>
              <w:t>得</w:t>
            </w:r>
            <w:r>
              <w:rPr>
                <w:rFonts w:ascii="宋体" w:eastAsia="宋体" w:cs="宋体"/>
                <w:color w:val="auto"/>
                <w:kern w:val="0"/>
                <w:szCs w:val="21"/>
                <w:highlight w:val="none"/>
              </w:rPr>
              <w:t>9-12</w:t>
            </w:r>
            <w:r>
              <w:rPr>
                <w:rFonts w:hint="eastAsia" w:ascii="宋体" w:eastAsia="宋体" w:cs="宋体"/>
                <w:color w:val="auto"/>
                <w:kern w:val="0"/>
                <w:szCs w:val="21"/>
                <w:highlight w:val="none"/>
              </w:rPr>
              <w:t>分、良</w:t>
            </w:r>
            <w:r>
              <w:rPr>
                <w:rFonts w:hint="eastAsia" w:ascii="宋体" w:eastAsia="宋体" w:cs="宋体"/>
                <w:color w:val="auto"/>
                <w:kern w:val="0"/>
                <w:szCs w:val="21"/>
                <w:highlight w:val="none"/>
                <w:lang w:val="en-US" w:eastAsia="zh-CN"/>
              </w:rPr>
              <w:t>得</w:t>
            </w:r>
            <w:r>
              <w:rPr>
                <w:rFonts w:ascii="宋体" w:eastAsia="宋体" w:cs="宋体"/>
                <w:color w:val="auto"/>
                <w:kern w:val="0"/>
                <w:szCs w:val="21"/>
                <w:highlight w:val="none"/>
              </w:rPr>
              <w:t>5-8</w:t>
            </w:r>
            <w:r>
              <w:rPr>
                <w:rFonts w:hint="eastAsia" w:ascii="宋体" w:eastAsia="宋体" w:cs="宋体"/>
                <w:color w:val="auto"/>
                <w:kern w:val="0"/>
                <w:szCs w:val="21"/>
                <w:highlight w:val="none"/>
              </w:rPr>
              <w:t>分、一般</w:t>
            </w:r>
            <w:r>
              <w:rPr>
                <w:rFonts w:hint="eastAsia" w:ascii="宋体" w:eastAsia="宋体" w:cs="宋体"/>
                <w:color w:val="auto"/>
                <w:kern w:val="0"/>
                <w:szCs w:val="21"/>
                <w:highlight w:val="none"/>
                <w:lang w:val="en-US" w:eastAsia="zh-CN"/>
              </w:rPr>
              <w:t>得</w:t>
            </w:r>
            <w:r>
              <w:rPr>
                <w:rFonts w:hint="eastAsia" w:ascii="宋体" w:eastAsia="宋体" w:cs="宋体"/>
                <w:color w:val="auto"/>
                <w:kern w:val="0"/>
                <w:szCs w:val="21"/>
                <w:highlight w:val="none"/>
              </w:rPr>
              <w:t>1</w:t>
            </w:r>
            <w:r>
              <w:rPr>
                <w:rFonts w:ascii="宋体" w:eastAsia="宋体" w:cs="宋体"/>
                <w:color w:val="auto"/>
                <w:kern w:val="0"/>
                <w:szCs w:val="21"/>
                <w:highlight w:val="none"/>
              </w:rPr>
              <w:t>-4</w:t>
            </w:r>
            <w:r>
              <w:rPr>
                <w:rFonts w:hint="eastAsia" w:ascii="宋体" w:eastAsia="宋体" w:cs="宋体"/>
                <w:color w:val="auto"/>
                <w:kern w:val="0"/>
                <w:szCs w:val="21"/>
                <w:highlight w:val="none"/>
              </w:rPr>
              <w:t>、差或缺失不得分。</w:t>
            </w:r>
          </w:p>
          <w:p>
            <w:pPr>
              <w:pStyle w:val="13"/>
              <w:numPr>
                <w:ilvl w:val="-1"/>
                <w:numId w:val="0"/>
              </w:numPr>
              <w:ind w:left="0" w:leftChars="0" w:firstLine="0" w:firstLineChars="0"/>
              <w:rPr>
                <w:rFonts w:ascii="宋体" w:hAnsi="宋体" w:cs="宋体"/>
                <w:color w:val="auto"/>
                <w:kern w:val="0"/>
                <w:szCs w:val="21"/>
                <w:highlight w:val="none"/>
              </w:rPr>
            </w:pP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根据投标人服务方案的时间进度规划情况打分，时间进度越清晰，安排越合理，越符合招标人的具体要求得分越高。优</w:t>
            </w:r>
            <w:r>
              <w:rPr>
                <w:rFonts w:hint="eastAsia" w:ascii="宋体" w:eastAsia="宋体" w:cs="宋体"/>
                <w:color w:val="auto"/>
                <w:kern w:val="0"/>
                <w:szCs w:val="21"/>
                <w:highlight w:val="none"/>
                <w:lang w:val="en-US" w:eastAsia="zh-CN"/>
              </w:rPr>
              <w:t>得</w:t>
            </w:r>
            <w:r>
              <w:rPr>
                <w:rFonts w:ascii="宋体" w:eastAsia="宋体" w:cs="宋体"/>
                <w:color w:val="auto"/>
                <w:kern w:val="0"/>
                <w:szCs w:val="21"/>
                <w:highlight w:val="none"/>
              </w:rPr>
              <w:t>6-8</w:t>
            </w:r>
            <w:r>
              <w:rPr>
                <w:rFonts w:hint="eastAsia" w:ascii="宋体" w:eastAsia="宋体" w:cs="宋体"/>
                <w:color w:val="auto"/>
                <w:kern w:val="0"/>
                <w:szCs w:val="21"/>
                <w:highlight w:val="none"/>
              </w:rPr>
              <w:t>分、良</w:t>
            </w:r>
            <w:r>
              <w:rPr>
                <w:rFonts w:hint="eastAsia" w:ascii="宋体" w:eastAsia="宋体" w:cs="宋体"/>
                <w:color w:val="auto"/>
                <w:kern w:val="0"/>
                <w:szCs w:val="21"/>
                <w:highlight w:val="none"/>
                <w:lang w:val="en-US" w:eastAsia="zh-CN"/>
              </w:rPr>
              <w:t>得</w:t>
            </w:r>
            <w:r>
              <w:rPr>
                <w:rFonts w:hint="eastAsia" w:ascii="宋体" w:eastAsia="宋体" w:cs="宋体"/>
                <w:color w:val="auto"/>
                <w:kern w:val="0"/>
                <w:szCs w:val="21"/>
                <w:highlight w:val="none"/>
              </w:rPr>
              <w:t>3</w:t>
            </w:r>
            <w:r>
              <w:rPr>
                <w:rFonts w:ascii="宋体" w:eastAsia="宋体" w:cs="宋体"/>
                <w:color w:val="auto"/>
                <w:kern w:val="0"/>
                <w:szCs w:val="21"/>
                <w:highlight w:val="none"/>
              </w:rPr>
              <w:t>-5</w:t>
            </w:r>
            <w:r>
              <w:rPr>
                <w:rFonts w:hint="eastAsia" w:ascii="宋体" w:eastAsia="宋体" w:cs="宋体"/>
                <w:color w:val="auto"/>
                <w:kern w:val="0"/>
                <w:szCs w:val="21"/>
                <w:highlight w:val="none"/>
              </w:rPr>
              <w:t>分、一般</w:t>
            </w:r>
            <w:r>
              <w:rPr>
                <w:rFonts w:hint="eastAsia" w:ascii="宋体" w:eastAsia="宋体" w:cs="宋体"/>
                <w:color w:val="auto"/>
                <w:kern w:val="0"/>
                <w:szCs w:val="21"/>
                <w:highlight w:val="none"/>
                <w:lang w:val="en-US" w:eastAsia="zh-CN"/>
              </w:rPr>
              <w:t>得</w:t>
            </w:r>
            <w:r>
              <w:rPr>
                <w:rFonts w:ascii="宋体" w:eastAsia="宋体" w:cs="宋体"/>
                <w:color w:val="auto"/>
                <w:kern w:val="0"/>
                <w:szCs w:val="21"/>
                <w:highlight w:val="none"/>
              </w:rPr>
              <w:t>1-2</w:t>
            </w:r>
            <w:r>
              <w:rPr>
                <w:rFonts w:hint="eastAsia" w:ascii="宋体" w:eastAsia="宋体" w:cs="宋体"/>
                <w:color w:val="auto"/>
                <w:kern w:val="0"/>
                <w:szCs w:val="21"/>
                <w:highlight w:val="none"/>
              </w:rPr>
              <w:t>分、差或缺失不得分。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30"/>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项目团队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7202" w:type="dxa"/>
            <w:tcBorders>
              <w:tl2br w:val="nil"/>
              <w:tr2bl w:val="nil"/>
            </w:tcBorders>
            <w:tcMar>
              <w:top w:w="15" w:type="dxa"/>
              <w:left w:w="15" w:type="dxa"/>
              <w:bottom w:w="15" w:type="dxa"/>
              <w:right w:w="15" w:type="dxa"/>
            </w:tcMar>
            <w:vAlign w:val="center"/>
          </w:tcPr>
          <w:p>
            <w:pPr>
              <w:ind w:firstLine="0" w:firstLineChars="0"/>
              <w:jc w:val="left"/>
              <w:rPr>
                <w:rFonts w:ascii="宋体" w:hAnsi="宋体"/>
                <w:color w:val="auto"/>
                <w:highlight w:val="none"/>
              </w:rPr>
            </w:pPr>
            <w:r>
              <w:rPr>
                <w:rFonts w:hint="eastAsia" w:ascii="宋体" w:hAnsi="宋体"/>
                <w:color w:val="auto"/>
                <w:highlight w:val="none"/>
              </w:rPr>
              <w:t>根据为本项目配备的负责人及整体团队配备情况综合比较进行评分</w:t>
            </w:r>
            <w:r>
              <w:rPr>
                <w:rFonts w:hint="eastAsia" w:ascii="宋体" w:hAnsi="宋体"/>
                <w:color w:val="auto"/>
                <w:highlight w:val="none"/>
                <w:lang w:eastAsia="zh-CN"/>
              </w:rPr>
              <w:t>。</w:t>
            </w:r>
          </w:p>
          <w:p>
            <w:pPr>
              <w:pStyle w:val="25"/>
              <w:numPr>
                <w:ilvl w:val="0"/>
                <w:numId w:val="31"/>
              </w:numPr>
              <w:ind w:left="0" w:leftChars="0" w:firstLine="0" w:firstLineChars="0"/>
              <w:jc w:val="left"/>
              <w:rPr>
                <w:rFonts w:ascii="宋体" w:hAnsi="宋体" w:eastAsia="宋体"/>
                <w:color w:val="auto"/>
                <w:highlight w:val="none"/>
              </w:rPr>
            </w:pPr>
            <w:r>
              <w:rPr>
                <w:rFonts w:hint="eastAsia" w:ascii="宋体" w:hAnsi="宋体" w:eastAsia="宋体" w:cs="宋体"/>
                <w:color w:val="auto"/>
                <w:szCs w:val="21"/>
                <w:highlight w:val="none"/>
              </w:rPr>
              <w:t>根据投标人为本项目指定的项目负责人的工作年限、相关经验以及管理过的典型项目案例与本项目的匹配度等进行综合比较，优得4</w:t>
            </w:r>
            <w:r>
              <w:rPr>
                <w:rFonts w:ascii="宋体" w:hAnsi="宋体" w:eastAsia="宋体" w:cs="宋体"/>
                <w:color w:val="auto"/>
                <w:szCs w:val="21"/>
                <w:highlight w:val="none"/>
              </w:rPr>
              <w:t>-5</w:t>
            </w:r>
            <w:r>
              <w:rPr>
                <w:rFonts w:hint="eastAsia" w:ascii="宋体" w:hAnsi="宋体" w:eastAsia="宋体" w:cs="宋体"/>
                <w:color w:val="auto"/>
                <w:szCs w:val="21"/>
                <w:highlight w:val="none"/>
              </w:rPr>
              <w:t>分，良好得</w:t>
            </w:r>
            <w:r>
              <w:rPr>
                <w:rFonts w:ascii="宋体" w:hAnsi="宋体" w:eastAsia="宋体" w:cs="宋体"/>
                <w:color w:val="auto"/>
                <w:szCs w:val="21"/>
                <w:highlight w:val="none"/>
              </w:rPr>
              <w:t>2-3</w:t>
            </w:r>
            <w:r>
              <w:rPr>
                <w:rFonts w:hint="eastAsia" w:ascii="宋体" w:hAnsi="宋体" w:eastAsia="宋体" w:cs="宋体"/>
                <w:color w:val="auto"/>
                <w:szCs w:val="21"/>
                <w:highlight w:val="none"/>
              </w:rPr>
              <w:t>分，一般得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r>
              <w:rPr>
                <w:rFonts w:hint="eastAsia" w:ascii="宋体" w:eastAsia="宋体" w:cs="宋体"/>
                <w:color w:val="auto"/>
                <w:kern w:val="0"/>
                <w:szCs w:val="21"/>
                <w:highlight w:val="none"/>
              </w:rPr>
              <w:t>差或缺失不得分</w:t>
            </w:r>
            <w:r>
              <w:rPr>
                <w:rFonts w:hint="eastAsia" w:ascii="宋体" w:hAnsi="宋体" w:eastAsia="宋体" w:cs="宋体"/>
                <w:color w:val="auto"/>
                <w:szCs w:val="21"/>
                <w:highlight w:val="none"/>
              </w:rPr>
              <w:t>。</w:t>
            </w:r>
          </w:p>
          <w:p>
            <w:pPr>
              <w:pStyle w:val="25"/>
              <w:numPr>
                <w:ilvl w:val="0"/>
                <w:numId w:val="31"/>
              </w:numPr>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根据投标人拟派的核心团队人员（</w:t>
            </w:r>
            <w:r>
              <w:rPr>
                <w:rFonts w:hint="eastAsia" w:ascii="宋体" w:hAnsi="宋体" w:eastAsia="宋体"/>
                <w:color w:val="auto"/>
                <w:highlight w:val="none"/>
                <w:lang w:val="en-US" w:eastAsia="zh-CN"/>
              </w:rPr>
              <w:t>除</w:t>
            </w:r>
            <w:r>
              <w:rPr>
                <w:rFonts w:hint="eastAsia" w:ascii="宋体" w:hAnsi="宋体" w:eastAsia="宋体"/>
                <w:color w:val="auto"/>
                <w:highlight w:val="none"/>
              </w:rPr>
              <w:t>负责人</w:t>
            </w:r>
            <w:r>
              <w:rPr>
                <w:rFonts w:hint="eastAsia" w:ascii="宋体" w:hAnsi="宋体" w:eastAsia="宋体"/>
                <w:color w:val="auto"/>
                <w:highlight w:val="none"/>
                <w:lang w:val="en-US" w:eastAsia="zh-CN"/>
              </w:rPr>
              <w:t>外</w:t>
            </w:r>
            <w:r>
              <w:rPr>
                <w:rFonts w:hint="eastAsia" w:ascii="宋体" w:hAnsi="宋体" w:eastAsia="宋体"/>
                <w:color w:val="auto"/>
                <w:highlight w:val="none"/>
              </w:rPr>
              <w:t>）</w:t>
            </w:r>
            <w:r>
              <w:rPr>
                <w:rFonts w:hint="eastAsia" w:ascii="宋体" w:hAnsi="宋体" w:eastAsia="宋体"/>
                <w:color w:val="auto"/>
                <w:highlight w:val="none"/>
                <w:lang w:val="en-US" w:eastAsia="zh-CN"/>
              </w:rPr>
              <w:t>的经验水平</w:t>
            </w:r>
            <w:r>
              <w:rPr>
                <w:rFonts w:hint="eastAsia" w:ascii="宋体" w:hAnsi="宋体" w:eastAsia="宋体"/>
                <w:color w:val="auto"/>
                <w:highlight w:val="none"/>
              </w:rPr>
              <w:t>、岗位设置、责任分配的合理性进行综合比较，优得</w:t>
            </w:r>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lang w:val="en-US" w:eastAsia="zh-CN"/>
              </w:rPr>
              <w:t>5</w:t>
            </w:r>
            <w:r>
              <w:rPr>
                <w:rFonts w:hint="eastAsia" w:ascii="宋体" w:hAnsi="宋体" w:eastAsia="宋体"/>
                <w:color w:val="auto"/>
                <w:highlight w:val="none"/>
              </w:rPr>
              <w:t>分，</w:t>
            </w:r>
            <w:r>
              <w:rPr>
                <w:rFonts w:hint="eastAsia" w:ascii="宋体" w:hAnsi="宋体" w:eastAsia="宋体" w:cs="宋体"/>
                <w:color w:val="auto"/>
                <w:kern w:val="0"/>
                <w:szCs w:val="21"/>
                <w:highlight w:val="none"/>
              </w:rPr>
              <w:t>良好</w:t>
            </w:r>
            <w:r>
              <w:rPr>
                <w:rFonts w:hint="eastAsia" w:ascii="宋体" w:hAnsi="宋体" w:eastAsia="宋体"/>
                <w:color w:val="auto"/>
                <w:highlight w:val="none"/>
              </w:rPr>
              <w:t>得</w:t>
            </w:r>
            <w:r>
              <w:rPr>
                <w:rFonts w:hint="eastAsia" w:ascii="宋体" w:hAnsi="宋体" w:eastAsia="宋体"/>
                <w:color w:val="auto"/>
                <w:highlight w:val="none"/>
                <w:lang w:val="en-US" w:eastAsia="zh-CN"/>
              </w:rPr>
              <w:t>2</w:t>
            </w:r>
            <w:r>
              <w:rPr>
                <w:rFonts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分，一般得</w:t>
            </w:r>
            <w:r>
              <w:rPr>
                <w:rFonts w:ascii="宋体" w:hAnsi="宋体" w:eastAsia="宋体"/>
                <w:color w:val="auto"/>
                <w:highlight w:val="none"/>
              </w:rPr>
              <w:t>1</w:t>
            </w:r>
            <w:r>
              <w:rPr>
                <w:rFonts w:hint="eastAsia" w:ascii="宋体" w:hAnsi="宋体" w:eastAsia="宋体"/>
                <w:color w:val="auto"/>
                <w:highlight w:val="none"/>
              </w:rPr>
              <w:t>分，不符合项目要求或缺失不得分。</w:t>
            </w:r>
          </w:p>
          <w:p>
            <w:pPr>
              <w:jc w:val="left"/>
              <w:rPr>
                <w:rFonts w:ascii="宋体" w:hAnsi="宋体"/>
                <w:color w:val="auto"/>
                <w:highlight w:val="none"/>
              </w:rPr>
            </w:pPr>
            <w:r>
              <w:rPr>
                <w:rFonts w:hint="eastAsia" w:ascii="宋体" w:hAnsi="宋体"/>
                <w:color w:val="auto"/>
                <w:highlight w:val="none"/>
              </w:rPr>
              <w:t>说明：</w:t>
            </w:r>
          </w:p>
          <w:p>
            <w:pPr>
              <w:pStyle w:val="25"/>
              <w:numPr>
                <w:ilvl w:val="0"/>
                <w:numId w:val="32"/>
              </w:numPr>
              <w:ind w:left="0" w:leftChars="0" w:firstLine="0" w:firstLineChars="0"/>
              <w:jc w:val="left"/>
              <w:rPr>
                <w:rFonts w:ascii="宋体" w:hAnsi="宋体" w:eastAsia="宋体"/>
                <w:color w:val="auto"/>
                <w:highlight w:val="none"/>
              </w:rPr>
            </w:pPr>
            <w:r>
              <w:rPr>
                <w:rFonts w:hint="eastAsia" w:ascii="宋体" w:hAnsi="宋体" w:eastAsia="宋体" w:cs="宋体"/>
                <w:color w:val="auto"/>
                <w:kern w:val="0"/>
                <w:szCs w:val="21"/>
                <w:highlight w:val="none"/>
              </w:rPr>
              <w:t>投标人需提供所指定的本项目负责人的相关资历经验的证明文件（包括但不仅限于姓名、职务、身份证、工作履历、由投标人所购买的近三个月社保清单证明）</w:t>
            </w:r>
            <w:r>
              <w:rPr>
                <w:rFonts w:hint="eastAsia" w:ascii="宋体" w:hAnsi="宋体" w:eastAsia="宋体" w:cs="宋体"/>
                <w:color w:val="auto"/>
                <w:szCs w:val="21"/>
                <w:highlight w:val="none"/>
              </w:rPr>
              <w:t>并加盖投标人公章。</w:t>
            </w:r>
          </w:p>
          <w:p>
            <w:pPr>
              <w:pStyle w:val="25"/>
              <w:numPr>
                <w:ilvl w:val="0"/>
                <w:numId w:val="32"/>
              </w:numPr>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投标人须根据本项目</w:t>
            </w:r>
            <w:r>
              <w:rPr>
                <w:rFonts w:hint="eastAsia" w:ascii="宋体" w:hAnsi="宋体" w:eastAsia="宋体"/>
                <w:color w:val="auto"/>
                <w:highlight w:val="none"/>
                <w:lang w:val="en-US" w:eastAsia="zh-CN"/>
              </w:rPr>
              <w:t>核心团队人员简历、组织架构、</w:t>
            </w:r>
            <w:r>
              <w:rPr>
                <w:rFonts w:hint="eastAsia" w:ascii="宋体" w:hAnsi="宋体" w:eastAsia="宋体"/>
                <w:color w:val="auto"/>
                <w:highlight w:val="none"/>
              </w:rPr>
              <w:t>人员分配方案。核心团队成员提供名单及岗位配置。</w:t>
            </w:r>
          </w:p>
          <w:p>
            <w:pPr>
              <w:pStyle w:val="25"/>
              <w:numPr>
                <w:ilvl w:val="0"/>
                <w:numId w:val="32"/>
              </w:numPr>
              <w:ind w:left="0" w:leftChars="0" w:firstLine="0" w:firstLineChars="0"/>
              <w:jc w:val="left"/>
              <w:rPr>
                <w:rFonts w:ascii="宋体" w:hAnsi="宋体" w:cs="宋体"/>
                <w:color w:val="auto"/>
                <w:kern w:val="0"/>
                <w:szCs w:val="21"/>
                <w:highlight w:val="none"/>
              </w:rPr>
            </w:pPr>
            <w:r>
              <w:rPr>
                <w:rFonts w:hint="eastAsia" w:ascii="宋体" w:hAnsi="宋体" w:eastAsia="宋体" w:cs="宋体"/>
                <w:color w:val="auto"/>
                <w:szCs w:val="21"/>
                <w:highlight w:val="none"/>
              </w:rPr>
              <w:t>未提供有效证明文件或证明文件不清晰无法辨识评审内容的不得分。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30"/>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应急预案及服务承诺</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7202" w:type="dxa"/>
            <w:tcBorders>
              <w:tl2br w:val="nil"/>
              <w:tr2bl w:val="nil"/>
            </w:tcBorders>
            <w:tcMar>
              <w:top w:w="15" w:type="dxa"/>
              <w:left w:w="15" w:type="dxa"/>
              <w:bottom w:w="15" w:type="dxa"/>
              <w:right w:w="15" w:type="dxa"/>
            </w:tcMar>
            <w:vAlign w:val="center"/>
          </w:tcPr>
          <w:p>
            <w:pPr>
              <w:widowControl/>
              <w:ind w:right="0" w:firstLine="0" w:firstLineChars="0"/>
              <w:jc w:val="left"/>
              <w:rPr>
                <w:rFonts w:ascii="宋体" w:hAnsi="宋体" w:cs="宋体"/>
                <w:color w:val="auto"/>
                <w:kern w:val="0"/>
                <w:szCs w:val="21"/>
                <w:highlight w:val="none"/>
              </w:rPr>
            </w:pPr>
            <w:r>
              <w:rPr>
                <w:rFonts w:hint="eastAsia" w:ascii="宋体" w:hAnsi="宋体"/>
                <w:color w:val="auto"/>
                <w:highlight w:val="none"/>
              </w:rPr>
              <w:t>根据投标人提供的应急预案及服务承诺情况综合比较进行评分</w:t>
            </w:r>
            <w:r>
              <w:rPr>
                <w:rFonts w:hint="eastAsia" w:ascii="宋体" w:hAnsi="宋体"/>
                <w:color w:val="auto"/>
                <w:highlight w:val="none"/>
                <w:lang w:eastAsia="zh-CN"/>
              </w:rPr>
              <w:t>。</w:t>
            </w:r>
          </w:p>
          <w:p>
            <w:pPr>
              <w:pStyle w:val="25"/>
              <w:widowControl/>
              <w:numPr>
                <w:ilvl w:val="0"/>
                <w:numId w:val="33"/>
              </w:numPr>
              <w:ind w:left="0" w:leftChars="0" w:right="0"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根据应急预案中突发事件应对措施、安全保卫措施等要点，以全面性、合理性、可行性为依据，优秀得</w:t>
            </w:r>
            <w:r>
              <w:rPr>
                <w:rFonts w:hint="eastAsia" w:ascii="宋体" w:hAnsi="宋体" w:eastAsia="宋体" w:cs="宋体"/>
                <w:color w:val="auto"/>
                <w:kern w:val="0"/>
                <w:szCs w:val="21"/>
                <w:highlight w:val="none"/>
                <w:lang w:val="en-US" w:eastAsia="zh-CN"/>
              </w:rPr>
              <w:t>得4</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分，良得</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分，一般得</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分，差或未提及不得分。</w:t>
            </w:r>
          </w:p>
          <w:p>
            <w:pPr>
              <w:pStyle w:val="25"/>
              <w:widowControl/>
              <w:numPr>
                <w:ilvl w:val="0"/>
                <w:numId w:val="33"/>
              </w:numPr>
              <w:ind w:left="0" w:leftChars="0" w:right="0" w:rightChars="0" w:firstLine="0" w:firstLineChars="0"/>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根据招标人承诺的服务进行综合评议，承诺</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内容越全面，响应度越高，得分越高：优秀得</w:t>
            </w:r>
            <w:r>
              <w:rPr>
                <w:rFonts w:ascii="宋体" w:hAnsi="宋体" w:eastAsia="宋体" w:cs="宋体"/>
                <w:color w:val="auto"/>
                <w:kern w:val="0"/>
                <w:szCs w:val="21"/>
                <w:highlight w:val="none"/>
              </w:rPr>
              <w:t>4-5</w:t>
            </w:r>
            <w:r>
              <w:rPr>
                <w:rFonts w:hint="eastAsia" w:ascii="宋体" w:hAnsi="宋体" w:eastAsia="宋体" w:cs="宋体"/>
                <w:color w:val="auto"/>
                <w:kern w:val="0"/>
                <w:szCs w:val="21"/>
                <w:highlight w:val="none"/>
              </w:rPr>
              <w:t>分，良好得</w:t>
            </w:r>
            <w:r>
              <w:rPr>
                <w:rFonts w:ascii="宋体" w:hAnsi="宋体" w:eastAsia="宋体" w:cs="宋体"/>
                <w:color w:val="auto"/>
                <w:kern w:val="0"/>
                <w:szCs w:val="21"/>
                <w:highlight w:val="none"/>
              </w:rPr>
              <w:t>2-3</w:t>
            </w:r>
            <w:r>
              <w:rPr>
                <w:rFonts w:hint="eastAsia" w:ascii="宋体" w:hAnsi="宋体" w:eastAsia="宋体" w:cs="宋体"/>
                <w:color w:val="auto"/>
                <w:kern w:val="0"/>
                <w:szCs w:val="21"/>
                <w:highlight w:val="none"/>
              </w:rPr>
              <w:t>分，一般得</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分，差或未提及不得分。</w:t>
            </w:r>
          </w:p>
          <w:p>
            <w:pPr>
              <w:pStyle w:val="25"/>
              <w:widowControl/>
              <w:numPr>
                <w:ilvl w:val="-1"/>
                <w:numId w:val="0"/>
              </w:numPr>
              <w:ind w:left="0" w:leftChars="0" w:right="0" w:rightChars="0" w:firstLine="0" w:firstLineChars="0"/>
              <w:jc w:val="left"/>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749" w:type="dxa"/>
            <w:gridSpan w:val="4"/>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9045"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911" w:type="dxa"/>
            <w:gridSpan w:val="2"/>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911" w:type="dxa"/>
            <w:gridSpan w:val="2"/>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911" w:type="dxa"/>
            <w:gridSpan w:val="2"/>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709"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7202"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7202" w:type="dxa"/>
            <w:tcBorders>
              <w:tl2br w:val="nil"/>
              <w:tr2bl w:val="nil"/>
            </w:tcBorders>
            <w:vAlign w:val="center"/>
          </w:tcPr>
          <w:p>
            <w:pPr>
              <w:autoSpaceDE w:val="0"/>
              <w:autoSpaceDN w:val="0"/>
              <w:adjustRightInd w:val="0"/>
              <w:snapToGrid w:val="0"/>
              <w:jc w:val="left"/>
              <w:rPr>
                <w:rStyle w:val="22"/>
                <w:rFonts w:ascii="宋体" w:hAnsi="宋体"/>
                <w:highlight w:val="none"/>
              </w:rPr>
            </w:pPr>
            <w:r>
              <w:rPr>
                <w:rStyle w:val="22"/>
                <w:rFonts w:hint="eastAsia" w:ascii="宋体" w:hAnsi="宋体"/>
                <w:highlight w:val="none"/>
              </w:rPr>
              <w:t>价格得分=（1-A×｜1-投标报价/Z｜）×M</w:t>
            </w:r>
          </w:p>
          <w:p>
            <w:pPr>
              <w:numPr>
                <w:ilvl w:val="0"/>
                <w:numId w:val="34"/>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34"/>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34"/>
              </w:numPr>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7202" w:type="dxa"/>
            <w:tcBorders>
              <w:tl2br w:val="nil"/>
              <w:tr2bl w:val="nil"/>
            </w:tcBorders>
            <w:vAlign w:val="center"/>
          </w:tcPr>
          <w:p>
            <w:pPr>
              <w:widowControl/>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240" w:lineRule="atLeast"/>
              <w:jc w:val="center"/>
              <w:rPr>
                <w:rFonts w:ascii="宋体" w:cs="宋体"/>
                <w:kern w:val="0"/>
                <w:szCs w:val="21"/>
                <w:highlight w:val="none"/>
              </w:rPr>
            </w:pPr>
            <w:r>
              <w:rPr>
                <w:rFonts w:hint="eastAsia"/>
                <w:color w:val="auto"/>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0" w:name="_Toc116550358"/>
      <w:r>
        <w:rPr>
          <w:rFonts w:hint="eastAsia" w:ascii="宋体" w:hAnsi="宋体"/>
          <w:b/>
          <w:sz w:val="32"/>
          <w:szCs w:val="32"/>
        </w:rPr>
        <w:t>第四部分：合同条款及格式</w:t>
      </w:r>
      <w:bookmarkEnd w:id="6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61"/>
    <w:p>
      <w:pPr>
        <w:jc w:val="center"/>
        <w:rPr>
          <w:rFonts w:ascii="宋体" w:hAnsi="宋体"/>
          <w:szCs w:val="21"/>
        </w:rPr>
      </w:pPr>
      <w:bookmarkStart w:id="62" w:name="_Hlk116549211"/>
      <w:r>
        <w:rPr>
          <w:rFonts w:hint="eastAsia" w:ascii="方正小标宋简体" w:hAnsi="方正小标宋简体" w:eastAsia="方正小标宋简体" w:cs="方正小标宋简体"/>
          <w:bCs/>
          <w:kern w:val="0"/>
          <w:sz w:val="28"/>
          <w:szCs w:val="28"/>
        </w:rPr>
        <w:t>（仅供参考）</w:t>
      </w:r>
    </w:p>
    <w:bookmarkEnd w:id="62"/>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5"/>
        <w:numPr>
          <w:ilvl w:val="1"/>
          <w:numId w:val="41"/>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5"/>
        <w:numPr>
          <w:ilvl w:val="0"/>
          <w:numId w:val="42"/>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5"/>
        <w:numPr>
          <w:ilvl w:val="0"/>
          <w:numId w:val="42"/>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5"/>
        <w:numPr>
          <w:ilvl w:val="1"/>
          <w:numId w:val="41"/>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5"/>
        <w:numPr>
          <w:ilvl w:val="0"/>
          <w:numId w:val="43"/>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5"/>
        <w:numPr>
          <w:ilvl w:val="0"/>
          <w:numId w:val="43"/>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5"/>
        <w:numPr>
          <w:ilvl w:val="0"/>
          <w:numId w:val="43"/>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4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4"/>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6"/>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8"/>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4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50"/>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50"/>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51"/>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51"/>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51"/>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52"/>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52"/>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53"/>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53"/>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53"/>
        </w:numPr>
        <w:spacing w:line="360" w:lineRule="auto"/>
        <w:rPr>
          <w:rFonts w:ascii="宋体" w:hAnsi="宋体" w:eastAsia="宋体" w:cs="仿宋"/>
          <w:szCs w:val="21"/>
        </w:rPr>
      </w:pPr>
      <w:bookmarkStart w:id="63"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3"/>
    </w:p>
    <w:p>
      <w:pPr>
        <w:numPr>
          <w:ilvl w:val="0"/>
          <w:numId w:val="53"/>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53"/>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4" w:name="_Toc116550359"/>
      <w:r>
        <w:rPr>
          <w:rFonts w:hint="eastAsia"/>
          <w:b/>
          <w:sz w:val="32"/>
          <w:szCs w:val="32"/>
        </w:rPr>
        <w:t>第五部分：参考附件</w:t>
      </w:r>
      <w:bookmarkEnd w:id="64"/>
    </w:p>
    <w:p>
      <w:pPr>
        <w:spacing w:line="0" w:lineRule="atLeast"/>
        <w:outlineLvl w:val="1"/>
        <w:rPr>
          <w:rFonts w:ascii="宋体" w:hAnsi="宋体"/>
        </w:rPr>
      </w:pPr>
      <w:bookmarkStart w:id="65" w:name="_Toc116550360"/>
      <w:r>
        <w:rPr>
          <w:rFonts w:hint="eastAsia" w:ascii="宋体" w:hAnsi="宋体"/>
          <w:szCs w:val="21"/>
        </w:rPr>
        <w:t>附件1：</w:t>
      </w:r>
      <w:r>
        <w:rPr>
          <w:rFonts w:hint="eastAsia" w:ascii="宋体" w:hAnsi="宋体"/>
        </w:rPr>
        <w:t>报名回函</w:t>
      </w:r>
      <w:bookmarkEnd w:id="65"/>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6" w:name="_Toc116550361"/>
      <w:r>
        <w:rPr>
          <w:rFonts w:hint="eastAsia" w:ascii="宋体" w:hAnsi="宋体"/>
          <w:szCs w:val="21"/>
        </w:rPr>
        <w:t>附件2：投标函</w:t>
      </w:r>
      <w:bookmarkEnd w:id="6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7" w:name="_Toc116550362"/>
      <w:r>
        <w:rPr>
          <w:rFonts w:hint="eastAsia" w:ascii="宋体" w:hAnsi="宋体"/>
          <w:szCs w:val="21"/>
        </w:rPr>
        <w:t>附件3：投标一览表</w:t>
      </w:r>
      <w:bookmarkEnd w:id="6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8"/>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9" w:name="_Toc116550363"/>
      <w:r>
        <w:rPr>
          <w:rFonts w:hint="eastAsia" w:ascii="宋体" w:hAnsi="宋体"/>
          <w:szCs w:val="21"/>
        </w:rPr>
        <w:t>附件4：考察证明</w:t>
      </w:r>
      <w:bookmarkEnd w:id="6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0"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1"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1"/>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0"/>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116550364"/>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Hlk127434997"/>
      <w:bookmarkStart w:id="75" w:name="_Toc211243320"/>
      <w:r>
        <w:rPr>
          <w:rFonts w:hint="eastAsia" w:ascii="仿宋" w:hAnsi="仿宋" w:eastAsia="仿宋"/>
          <w:sz w:val="30"/>
          <w:szCs w:val="30"/>
        </w:rPr>
        <w:t>法定代表人或其授权委托人（签字或盖章）：</w:t>
      </w:r>
      <w:bookmarkEnd w:id="74"/>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5"/>
      <w:bookmarkStart w:id="76" w:name="_Toc236803114"/>
      <w:bookmarkStart w:id="77" w:name="_Toc246480945"/>
      <w:r>
        <w:rPr>
          <w:rFonts w:ascii="仿宋" w:hAnsi="仿宋" w:eastAsia="仿宋"/>
          <w:sz w:val="28"/>
          <w:szCs w:val="28"/>
        </w:rPr>
        <w:br w:type="page"/>
      </w:r>
    </w:p>
    <w:p>
      <w:pPr>
        <w:spacing w:line="0" w:lineRule="atLeast"/>
        <w:outlineLvl w:val="1"/>
        <w:rPr>
          <w:rFonts w:ascii="宋体" w:hAnsi="宋体"/>
          <w:szCs w:val="21"/>
        </w:rPr>
      </w:pPr>
      <w:bookmarkStart w:id="78" w:name="_Toc116550365"/>
      <w:r>
        <w:rPr>
          <w:rFonts w:hint="eastAsia" w:ascii="宋体" w:hAnsi="宋体"/>
          <w:szCs w:val="21"/>
        </w:rPr>
        <w:t>附件6：商务条款响应/偏离表</w:t>
      </w:r>
      <w:bookmarkEnd w:id="76"/>
      <w:bookmarkEnd w:id="77"/>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9" w:name="_Toc211248420"/>
      <w:r>
        <w:rPr>
          <w:rFonts w:hint="eastAsia" w:ascii="方正小标宋_GBK" w:hAnsi="方正小标宋_GBK" w:eastAsia="方正小标宋_GBK"/>
          <w:b/>
          <w:sz w:val="32"/>
          <w:szCs w:val="32"/>
        </w:rPr>
        <w:t>商务条款响应/偏离表</w:t>
      </w:r>
      <w:bookmarkEnd w:id="7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0" w:name="_Toc478387764"/>
      <w:bookmarkStart w:id="81" w:name="_Toc395883088"/>
      <w:bookmarkStart w:id="82" w:name="_Toc236803111"/>
      <w:r>
        <w:rPr>
          <w:rFonts w:ascii="仿宋" w:hAnsi="仿宋" w:eastAsia="仿宋"/>
          <w:sz w:val="28"/>
          <w:szCs w:val="28"/>
        </w:rPr>
        <w:br w:type="page"/>
      </w:r>
    </w:p>
    <w:p>
      <w:pPr>
        <w:spacing w:line="0" w:lineRule="atLeast"/>
        <w:outlineLvl w:val="1"/>
        <w:rPr>
          <w:rFonts w:ascii="宋体" w:hAnsi="宋体"/>
          <w:szCs w:val="21"/>
        </w:rPr>
      </w:pPr>
      <w:bookmarkStart w:id="83" w:name="_Toc116550366"/>
      <w:r>
        <w:rPr>
          <w:rFonts w:hint="eastAsia" w:ascii="宋体" w:hAnsi="宋体"/>
          <w:szCs w:val="21"/>
        </w:rPr>
        <w:t>附件7：报价一览表（货物）</w:t>
      </w:r>
      <w:r>
        <w:rPr>
          <w:rFonts w:hint="eastAsia" w:ascii="宋体" w:hAnsi="宋体"/>
          <w:color w:val="FF0000"/>
          <w:szCs w:val="21"/>
        </w:rPr>
        <w:t>（本项目不适用）</w:t>
      </w:r>
      <w:bookmarkEnd w:id="83"/>
    </w:p>
    <w:bookmarkEnd w:id="80"/>
    <w:bookmarkEnd w:id="81"/>
    <w:bookmarkEnd w:id="82"/>
    <w:p>
      <w:pPr>
        <w:spacing w:before="120" w:after="240"/>
        <w:jc w:val="center"/>
        <w:rPr>
          <w:rFonts w:ascii="宋体" w:hAnsi="宋体"/>
          <w:b/>
          <w:sz w:val="32"/>
          <w:szCs w:val="32"/>
        </w:rPr>
      </w:pPr>
      <w:bookmarkStart w:id="84" w:name="_Toc211248412"/>
      <w:r>
        <w:rPr>
          <w:rFonts w:hint="eastAsia" w:ascii="方正小标宋_GBK" w:hAnsi="方正小标宋_GBK" w:eastAsia="方正小标宋_GBK"/>
          <w:b/>
          <w:sz w:val="32"/>
          <w:szCs w:val="32"/>
        </w:rPr>
        <w:t>报价一览表</w:t>
      </w:r>
      <w:bookmarkEnd w:id="8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5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5" w:name="_Toc82359026"/>
      <w:bookmarkStart w:id="86"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5"/>
    <w:bookmarkEnd w:id="86"/>
    <w:p>
      <w:pPr>
        <w:spacing w:line="0" w:lineRule="atLeast"/>
        <w:outlineLvl w:val="1"/>
        <w:rPr>
          <w:rFonts w:ascii="宋体" w:hAnsi="宋体"/>
          <w:szCs w:val="21"/>
        </w:rPr>
      </w:pPr>
      <w:bookmarkStart w:id="87" w:name="_Toc116550367"/>
      <w:r>
        <w:rPr>
          <w:rFonts w:hint="eastAsia" w:ascii="宋体" w:hAnsi="宋体"/>
          <w:szCs w:val="21"/>
        </w:rPr>
        <w:t>附件8：报价一览表（服务）</w:t>
      </w:r>
      <w:bookmarkEnd w:id="8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hint="eastAsia"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page" w:tblpX="580" w:tblpY="967"/>
        <w:tblOverlap w:val="never"/>
        <w:tblW w:w="110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3250"/>
        <w:gridCol w:w="1102"/>
        <w:gridCol w:w="848"/>
        <w:gridCol w:w="1072"/>
        <w:gridCol w:w="1238"/>
        <w:gridCol w:w="1047"/>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6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项目</w:t>
            </w:r>
          </w:p>
        </w:tc>
        <w:tc>
          <w:tcPr>
            <w:tcW w:w="32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内容</w:t>
            </w:r>
          </w:p>
        </w:tc>
        <w:tc>
          <w:tcPr>
            <w:tcW w:w="11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8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天数</w:t>
            </w:r>
          </w:p>
        </w:tc>
        <w:tc>
          <w:tcPr>
            <w:tcW w:w="12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（元）</w:t>
            </w:r>
          </w:p>
        </w:tc>
        <w:tc>
          <w:tcPr>
            <w:tcW w:w="104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单价限价（元）</w:t>
            </w:r>
          </w:p>
        </w:tc>
        <w:tc>
          <w:tcPr>
            <w:tcW w:w="9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分项</w:t>
            </w:r>
            <w:r>
              <w:rPr>
                <w:rFonts w:hint="eastAsia" w:ascii="宋体" w:hAnsi="宋体" w:eastAsia="宋体" w:cs="宋体"/>
                <w:b/>
                <w:bCs/>
                <w:i w:val="0"/>
                <w:iCs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115"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梅花厅</w:t>
            </w:r>
          </w:p>
        </w:tc>
        <w:tc>
          <w:tcPr>
            <w:tcW w:w="1047"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舞台</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不低于132平方米</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含台阶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3、含</w:t>
            </w:r>
            <w:r>
              <w:rPr>
                <w:rFonts w:hint="eastAsia" w:ascii="宋体" w:hAnsi="宋体" w:eastAsia="宋体" w:cs="宋体"/>
                <w:i w:val="0"/>
                <w:iCs w:val="0"/>
                <w:color w:val="auto"/>
                <w:kern w:val="0"/>
                <w:sz w:val="21"/>
                <w:szCs w:val="21"/>
                <w:u w:val="none"/>
                <w:lang w:val="en-US" w:eastAsia="zh-CN" w:bidi="ar"/>
              </w:rPr>
              <w:t>地毯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11290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（含</w:t>
            </w:r>
            <w:r>
              <w:rPr>
                <w:rFonts w:hint="eastAsia" w:ascii="宋体" w:hAnsi="宋体" w:eastAsia="宋体" w:cs="宋体"/>
                <w:i w:val="0"/>
                <w:iCs w:val="0"/>
                <w:color w:val="auto"/>
                <w:kern w:val="0"/>
                <w:sz w:val="21"/>
                <w:szCs w:val="21"/>
                <w:u w:val="none"/>
                <w:lang w:val="en-US" w:eastAsia="zh-CN" w:bidi="ar"/>
              </w:rPr>
              <w:t>技术人员</w:t>
            </w:r>
            <w:r>
              <w:rPr>
                <w:rFonts w:hint="eastAsia" w:ascii="宋体" w:hAnsi="宋体" w:cs="宋体"/>
                <w:i w:val="0"/>
                <w:iCs w:val="0"/>
                <w:color w:val="auto"/>
                <w:kern w:val="0"/>
                <w:sz w:val="21"/>
                <w:szCs w:val="21"/>
                <w:u w:val="none"/>
                <w:lang w:val="en-US" w:eastAsia="zh-CN" w:bidi="ar"/>
              </w:rPr>
              <w:t>）</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清晰度P3；</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color w:val="auto"/>
                <w:lang w:val="en-US" w:eastAsia="zh-CN"/>
              </w:rPr>
            </w:pPr>
            <w:r>
              <w:rPr>
                <w:rFonts w:hint="eastAsia" w:ascii="宋体" w:hAnsi="宋体" w:cs="宋体"/>
                <w:i w:val="0"/>
                <w:iCs w:val="0"/>
                <w:color w:val="auto"/>
                <w:kern w:val="0"/>
                <w:sz w:val="21"/>
                <w:szCs w:val="21"/>
                <w:u w:val="none"/>
                <w:lang w:val="en-US" w:eastAsia="zh-CN" w:bidi="ar"/>
              </w:rPr>
              <w:t>2、主屏：</w:t>
            </w: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不低于110平方米</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斜屏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尺寸不低于10平方米</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分屏器</w:t>
            </w:r>
            <w:r>
              <w:rPr>
                <w:rFonts w:hint="eastAsia" w:ascii="宋体" w:hAnsi="宋体" w:cs="宋体"/>
                <w:i w:val="0"/>
                <w:iCs w:val="0"/>
                <w:color w:val="auto"/>
                <w:kern w:val="0"/>
                <w:sz w:val="21"/>
                <w:szCs w:val="21"/>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169700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视频显示类</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题词器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50寸高清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8350</w:t>
            </w:r>
          </w:p>
        </w:tc>
        <w:tc>
          <w:tcPr>
            <w:tcW w:w="10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签约显示器</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04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备份双系统</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 xml:space="preserve">前端处--控台：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C3 主一台：大型控台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D12 备两台：大型控台服务器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S3 一主一备：多媒体播控软件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播放电脑：一主一备；M5多媒体服务器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电源备份： UPS不间断电源；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光纤线：一主一备 ；光钎转换器&amp;光钎線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后端（屏幕后面设备）：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K16一主一备：视频拼接处理器</w:t>
            </w:r>
          </w:p>
          <w:p>
            <w:pPr>
              <w:pStyle w:val="2"/>
              <w:keepNext w:val="0"/>
              <w:keepLines w:val="0"/>
              <w:pageBreakBefore w:val="0"/>
              <w:numPr>
                <w:ilvl w:val="0"/>
                <w:numId w:val="0"/>
              </w:numPr>
              <w:kinsoku/>
              <w:wordWrap/>
              <w:overflowPunct/>
              <w:topLinePunct w:val="0"/>
              <w:autoSpaceDE/>
              <w:autoSpaceDN/>
              <w:bidi w:val="0"/>
              <w:adjustRightInd/>
              <w:snapToGrid/>
              <w:spacing w:after="0"/>
              <w:rPr>
                <w:rFonts w:hint="eastAsia" w:eastAsia="宋体"/>
                <w:color w:val="auto"/>
                <w:lang w:eastAsia="zh-CN"/>
              </w:rPr>
            </w:pPr>
            <w:r>
              <w:rPr>
                <w:rFonts w:hint="eastAsia"/>
                <w:color w:val="auto"/>
                <w:lang w:val="en-US" w:eastAsia="zh-CN"/>
              </w:rPr>
              <w:t>6、</w:t>
            </w:r>
            <w:r>
              <w:rPr>
                <w:rFonts w:hint="eastAsia"/>
                <w:color w:val="auto"/>
                <w:lang w:eastAsia="zh-CN"/>
              </w:rPr>
              <w:t>其它周边配套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灯光系统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图案摇头光束灯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LED灯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追光灯</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MA灯光控制台</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HDL2408数码调光台</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专用灯光系统电柜</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truss 架</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8、周边配套:</w:t>
            </w:r>
            <w:r>
              <w:rPr>
                <w:rFonts w:hint="eastAsia" w:ascii="宋体" w:hAnsi="宋体" w:eastAsia="宋体" w:cs="宋体"/>
                <w:i w:val="0"/>
                <w:iCs w:val="0"/>
                <w:color w:val="auto"/>
                <w:kern w:val="0"/>
                <w:sz w:val="21"/>
                <w:szCs w:val="21"/>
                <w:u w:val="none"/>
                <w:lang w:val="en-US" w:eastAsia="zh-CN" w:bidi="ar"/>
              </w:rPr>
              <w:t>配电箱</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硅箱</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电源开关箱</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jc w:val="both"/>
              <w:rPr>
                <w:rFonts w:hint="default"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电源线</w:t>
            </w:r>
            <w:r>
              <w:rPr>
                <w:rFonts w:hint="eastAsia" w:ascii="宋体" w:hAnsi="宋体" w:cs="宋体"/>
                <w:i w:val="0"/>
                <w:iCs w:val="0"/>
                <w:color w:val="auto"/>
                <w:kern w:val="0"/>
                <w:sz w:val="21"/>
                <w:szCs w:val="21"/>
                <w:u w:val="none"/>
                <w:lang w:val="en-US" w:eastAsia="zh-CN" w:bidi="ar"/>
              </w:rPr>
              <w:t>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ZSOND LA110线性全频主音箱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ZSOUND LA110S 超低音箱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JBL舞台返听音箱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JBL补声音箱</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数字调音台24CH</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舒尔讲台咪</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数字无线咪</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舒尔无线放大系统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音乐播放电脑</w:t>
            </w:r>
            <w:r>
              <w:rPr>
                <w:rFonts w:hint="eastAsia" w:ascii="宋体" w:hAnsi="宋体" w:cs="宋体"/>
                <w:i w:val="0"/>
                <w:iCs w:val="0"/>
                <w:color w:val="auto"/>
                <w:kern w:val="0"/>
                <w:sz w:val="21"/>
                <w:szCs w:val="21"/>
                <w:u w:val="none"/>
                <w:lang w:val="en-US" w:eastAsia="zh-CN" w:bidi="ar"/>
              </w:rPr>
              <w:t>；</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default"/>
                <w:color w:val="auto"/>
                <w:lang w:val="en-US"/>
              </w:rPr>
            </w:pPr>
            <w:r>
              <w:rPr>
                <w:rFonts w:hint="eastAsia" w:ascii="宋体" w:hAnsi="宋体" w:cs="宋体"/>
                <w:i w:val="0"/>
                <w:iCs w:val="0"/>
                <w:color w:val="auto"/>
                <w:kern w:val="0"/>
                <w:sz w:val="21"/>
                <w:szCs w:val="21"/>
                <w:u w:val="none"/>
                <w:lang w:val="en-US" w:eastAsia="zh-CN" w:bidi="ar"/>
              </w:rPr>
              <w:t>9、其它周边配套；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同传 8声道                        4语言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同传设备 8声道  可以4种语言</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90420</w:t>
            </w:r>
          </w:p>
        </w:tc>
        <w:tc>
          <w:tcPr>
            <w:tcW w:w="10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同传房间 （一种语言一间）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间</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耳机（5月8日、10日主会场）</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6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耳机（5月9日分会）</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论坛直播</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导播、直播设备、画中画、全程录像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人员2名（导播1人， 直播设备操作1人）</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35280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摄像摇臂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auto"/>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115"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b/>
                <w:bCs/>
                <w:i w:val="0"/>
                <w:iCs w:val="0"/>
                <w:color w:val="auto"/>
                <w:sz w:val="21"/>
                <w:szCs w:val="21"/>
                <w:u w:val="none"/>
                <w:lang w:eastAsia="zh-CN"/>
              </w:rPr>
              <w:t>其它会议厅需求</w:t>
            </w:r>
          </w:p>
        </w:tc>
        <w:tc>
          <w:tcPr>
            <w:tcW w:w="1047"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sz w:val="21"/>
                <w:szCs w:val="21"/>
                <w:u w:val="none"/>
                <w:lang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场地（两处）：桂花厅、茉莉厅</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清晰度P3；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40" w:lineRule="auto"/>
              <w:jc w:val="left"/>
              <w:textAlignment w:val="center"/>
              <w:rPr>
                <w:rFonts w:hint="eastAsia"/>
                <w:color w:val="auto"/>
              </w:rPr>
            </w:pPr>
            <w:r>
              <w:rPr>
                <w:rFonts w:hint="eastAsia" w:ascii="宋体" w:hAnsi="宋体" w:cs="宋体"/>
                <w:i w:val="0"/>
                <w:iCs w:val="0"/>
                <w:color w:val="auto"/>
                <w:kern w:val="0"/>
                <w:sz w:val="21"/>
                <w:szCs w:val="21"/>
                <w:u w:val="none"/>
                <w:lang w:val="en-US" w:eastAsia="zh-CN" w:bidi="ar"/>
              </w:rPr>
              <w:t>单个屏</w:t>
            </w:r>
            <w:r>
              <w:rPr>
                <w:rFonts w:hint="eastAsia" w:ascii="宋体" w:hAnsi="宋体" w:eastAsia="宋体" w:cs="宋体"/>
                <w:i w:val="0"/>
                <w:iCs w:val="0"/>
                <w:color w:val="auto"/>
                <w:kern w:val="0"/>
                <w:sz w:val="21"/>
                <w:szCs w:val="21"/>
                <w:u w:val="none"/>
                <w:lang w:val="en-US" w:eastAsia="zh-CN" w:bidi="ar"/>
              </w:rPr>
              <w:t>尺寸不低于36平方米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53760</w:t>
            </w:r>
          </w:p>
        </w:tc>
        <w:tc>
          <w:tcPr>
            <w:tcW w:w="10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场地（两处）：中厅、茶花厅</w:t>
            </w:r>
          </w:p>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清晰度P3； </w:t>
            </w:r>
          </w:p>
          <w:p>
            <w:pPr>
              <w:keepNext w:val="0"/>
              <w:keepLines w:val="0"/>
              <w:pageBreakBefore w:val="0"/>
              <w:widowControl/>
              <w:numPr>
                <w:ilvl w:val="0"/>
                <w:numId w:val="2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单个屏</w:t>
            </w:r>
            <w:r>
              <w:rPr>
                <w:rFonts w:hint="eastAsia" w:ascii="宋体" w:hAnsi="宋体" w:eastAsia="宋体" w:cs="宋体"/>
                <w:i w:val="0"/>
                <w:iCs w:val="0"/>
                <w:color w:val="auto"/>
                <w:kern w:val="0"/>
                <w:sz w:val="21"/>
                <w:szCs w:val="21"/>
                <w:u w:val="none"/>
                <w:lang w:val="en-US" w:eastAsia="zh-CN" w:bidi="ar"/>
              </w:rPr>
              <w:t>尺寸不低于6平方米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舞美</w:t>
            </w:r>
            <w:r>
              <w:rPr>
                <w:rFonts w:hint="eastAsia" w:ascii="宋体" w:hAnsi="宋体" w:cs="宋体"/>
                <w:i w:val="0"/>
                <w:iCs w:val="0"/>
                <w:color w:val="auto"/>
                <w:kern w:val="0"/>
                <w:sz w:val="21"/>
                <w:szCs w:val="21"/>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（含技术人员）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1、场地（两处）：中厅、5号馆多功能厅；</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舞台</w:t>
            </w:r>
            <w:r>
              <w:rPr>
                <w:rFonts w:hint="eastAsia" w:ascii="宋体" w:hAnsi="宋体" w:cs="宋体"/>
                <w:i w:val="0"/>
                <w:iCs w:val="0"/>
                <w:color w:val="auto"/>
                <w:kern w:val="0"/>
                <w:sz w:val="21"/>
                <w:szCs w:val="21"/>
                <w:u w:val="none"/>
                <w:lang w:val="en-US" w:eastAsia="zh-CN" w:bidi="ar"/>
              </w:rPr>
              <w:t>（含地毯）；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灯光、</w:t>
            </w:r>
            <w:r>
              <w:rPr>
                <w:rFonts w:hint="eastAsia" w:ascii="宋体" w:hAnsi="宋体" w:cs="宋体"/>
                <w:i w:val="0"/>
                <w:iCs w:val="0"/>
                <w:color w:val="auto"/>
                <w:kern w:val="0"/>
                <w:sz w:val="21"/>
                <w:szCs w:val="21"/>
                <w:u w:val="none"/>
                <w:lang w:val="en-US" w:eastAsia="zh-CN" w:bidi="ar"/>
              </w:rPr>
              <w:t>音响、视频设备、周边配套等；</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4、厅内</w:t>
            </w:r>
            <w:r>
              <w:rPr>
                <w:rFonts w:hint="eastAsia" w:ascii="宋体" w:hAnsi="宋体" w:eastAsia="宋体" w:cs="宋体"/>
                <w:i w:val="0"/>
                <w:iCs w:val="0"/>
                <w:color w:val="auto"/>
                <w:kern w:val="0"/>
                <w:sz w:val="21"/>
                <w:szCs w:val="21"/>
                <w:u w:val="none"/>
                <w:lang w:val="en-US" w:eastAsia="zh-CN" w:bidi="ar"/>
              </w:rPr>
              <w:t>地毯</w:t>
            </w:r>
            <w:r>
              <w:rPr>
                <w:rFonts w:hint="eastAsia" w:ascii="宋体" w:hAnsi="宋体" w:cs="宋体"/>
                <w:i w:val="0"/>
                <w:iCs w:val="0"/>
                <w:color w:val="auto"/>
                <w:kern w:val="0"/>
                <w:sz w:val="21"/>
                <w:szCs w:val="21"/>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5000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115" w:type="dxa"/>
            <w:gridSpan w:val="6"/>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其它项目</w:t>
            </w:r>
          </w:p>
        </w:tc>
        <w:tc>
          <w:tcPr>
            <w:tcW w:w="1047"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印刷制作</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大会指引、椅背贴 、台卡等标签、标识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鲜花</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演讲台、台花、接待花等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场控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（总协调）</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两年以上广告、公关、舞台设备操控相关工作经验；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含彩排、活动全程统筹执行工作</w:t>
            </w:r>
            <w:r>
              <w:rPr>
                <w:rFonts w:hint="eastAsia" w:ascii="宋体" w:hAnsi="宋体" w:cs="宋体"/>
                <w:i w:val="0"/>
                <w:iCs w:val="0"/>
                <w:color w:val="auto"/>
                <w:kern w:val="0"/>
                <w:sz w:val="21"/>
                <w:szCs w:val="21"/>
                <w:u w:val="none"/>
                <w:lang w:val="en-US" w:eastAsia="zh-CN" w:bidi="ar"/>
              </w:rPr>
              <w:t>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highlight w:val="none"/>
                <w:u w:val="none"/>
                <w:lang w:val="en-US" w:eastAsia="zh-CN" w:bidi="ar"/>
              </w:rPr>
              <w:t>47500</w:t>
            </w:r>
          </w:p>
        </w:tc>
        <w:tc>
          <w:tcPr>
            <w:tcW w:w="10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礼仪人员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两年以上广告、公关、会展活动礼仪相关工作经验；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含彩排、服装、活动全程执行工作</w:t>
            </w:r>
            <w:r>
              <w:rPr>
                <w:rFonts w:hint="eastAsia" w:ascii="宋体" w:hAnsi="宋体" w:cs="宋体"/>
                <w:i w:val="0"/>
                <w:iCs w:val="0"/>
                <w:color w:val="auto"/>
                <w:kern w:val="0"/>
                <w:sz w:val="21"/>
                <w:szCs w:val="21"/>
                <w:u w:val="none"/>
                <w:lang w:val="en-US" w:eastAsia="zh-CN" w:bidi="ar"/>
              </w:rPr>
              <w:t>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服务人员</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两年以上会展活动</w:t>
            </w:r>
            <w:r>
              <w:rPr>
                <w:rFonts w:hint="eastAsia" w:ascii="宋体" w:hAnsi="宋体" w:cs="宋体"/>
                <w:i w:val="0"/>
                <w:iCs w:val="0"/>
                <w:color w:val="auto"/>
                <w:kern w:val="0"/>
                <w:sz w:val="21"/>
                <w:szCs w:val="21"/>
                <w:u w:val="none"/>
                <w:lang w:val="en-US" w:eastAsia="zh-CN" w:bidi="ar"/>
              </w:rPr>
              <w:t>服务</w:t>
            </w:r>
            <w:r>
              <w:rPr>
                <w:rFonts w:hint="eastAsia" w:ascii="宋体" w:hAnsi="宋体" w:eastAsia="宋体" w:cs="宋体"/>
                <w:i w:val="0"/>
                <w:iCs w:val="0"/>
                <w:color w:val="auto"/>
                <w:kern w:val="0"/>
                <w:sz w:val="21"/>
                <w:szCs w:val="21"/>
                <w:u w:val="none"/>
                <w:lang w:val="en-US" w:eastAsia="zh-CN" w:bidi="ar"/>
              </w:rPr>
              <w:t>相关工作经验；</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2、英语4级以上、口语流利；</w:t>
            </w:r>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rPr>
                <w:rFonts w:hint="eastAsia"/>
                <w:color w:val="auto"/>
                <w:lang w:val="en-US" w:eastAsia="zh-CN"/>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含彩排、活动全程统筹执行工作</w:t>
            </w:r>
            <w:r>
              <w:rPr>
                <w:rFonts w:hint="eastAsia" w:ascii="宋体" w:hAnsi="宋体" w:cs="宋体"/>
                <w:i w:val="0"/>
                <w:iCs w:val="0"/>
                <w:color w:val="auto"/>
                <w:kern w:val="0"/>
                <w:sz w:val="21"/>
                <w:szCs w:val="21"/>
                <w:u w:val="none"/>
                <w:lang w:val="en-US" w:eastAsia="zh-CN" w:bidi="ar"/>
              </w:rPr>
              <w:t>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摄影师</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两年以上广告、公关、会展活动摄影经验；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含专业相机设备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3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素材混剪片</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剪辑服务，剪辑师（一类）</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104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演出节目</w:t>
            </w:r>
          </w:p>
        </w:tc>
        <w:tc>
          <w:tcPr>
            <w:tcW w:w="32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综合类（可根据实际进行调整）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  计</w:t>
            </w:r>
            <w:r>
              <w:rPr>
                <w:rFonts w:hint="eastAsia" w:ascii="宋体" w:hAnsi="宋体" w:cs="宋体"/>
                <w:b/>
                <w:bCs/>
                <w:i w:val="0"/>
                <w:iCs w:val="0"/>
                <w:color w:val="auto"/>
                <w:kern w:val="0"/>
                <w:sz w:val="24"/>
                <w:szCs w:val="24"/>
                <w:u w:val="none"/>
                <w:lang w:val="en-US" w:eastAsia="zh-CN" w:bidi="ar"/>
              </w:rPr>
              <w:t>（含税）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4"/>
                <w:szCs w:val="24"/>
                <w:u w:val="none"/>
                <w:lang w:val="en-US" w:eastAsia="zh-CN" w:bidi="ar"/>
              </w:rPr>
            </w:pPr>
          </w:p>
        </w:tc>
      </w:tr>
    </w:tbl>
    <w:p>
      <w:pPr>
        <w:pStyle w:val="2"/>
        <w:rPr>
          <w:rFonts w:hint="eastAsia"/>
        </w:rPr>
      </w:pPr>
    </w:p>
    <w:p>
      <w:pPr>
        <w:pStyle w:val="2"/>
        <w:rPr>
          <w:rFonts w:hint="eastAsia"/>
        </w:rPr>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5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5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5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8" w:name="_Toc116550368"/>
      <w:r>
        <w:rPr>
          <w:rFonts w:hint="eastAsia" w:ascii="宋体" w:hAnsi="宋体"/>
          <w:szCs w:val="21"/>
        </w:rPr>
        <w:t>附件9：报价一览表（工程）</w:t>
      </w:r>
      <w:bookmarkEnd w:id="88"/>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5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5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5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5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9" w:name="_Toc116550369"/>
      <w:r>
        <w:rPr>
          <w:rFonts w:hint="eastAsia" w:ascii="宋体" w:hAnsi="宋体"/>
          <w:szCs w:val="21"/>
        </w:rPr>
        <w:t>附件10：法定代表人证明书</w:t>
      </w:r>
      <w:bookmarkEnd w:id="8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0"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60"/>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60"/>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60"/>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1"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9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61"/>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2"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6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3" w:name="_Toc32341"/>
      <w:r>
        <w:rPr>
          <w:rFonts w:ascii="仿宋" w:hAnsi="仿宋" w:eastAsia="仿宋"/>
          <w:sz w:val="28"/>
          <w:szCs w:val="28"/>
        </w:rPr>
        <w:br w:type="page"/>
      </w:r>
    </w:p>
    <w:p>
      <w:pPr>
        <w:spacing w:line="0" w:lineRule="atLeast"/>
        <w:outlineLvl w:val="1"/>
        <w:rPr>
          <w:rFonts w:ascii="宋体" w:hAnsi="宋体"/>
          <w:szCs w:val="21"/>
        </w:rPr>
      </w:pPr>
      <w:bookmarkStart w:id="94"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3"/>
      <w:bookmarkEnd w:id="9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5" w:name="_Toc100848654"/>
      <w:bookmarkStart w:id="96" w:name="_Toc116550374"/>
      <w:r>
        <w:rPr>
          <w:rFonts w:hint="eastAsia" w:ascii="宋体" w:hAnsi="宋体"/>
        </w:rPr>
        <w:t>附件15：投标文件密码</w:t>
      </w:r>
      <w:bookmarkEnd w:id="95"/>
      <w:r>
        <w:rPr>
          <w:rFonts w:hint="eastAsia" w:ascii="宋体" w:hAnsi="宋体"/>
        </w:rPr>
        <w:t>单</w:t>
      </w:r>
      <w:bookmarkEnd w:id="96"/>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7"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7"/>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64"/>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64"/>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8"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8"/>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9" w:name="_Hlk116546062"/>
    <w:bookmarkStart w:id="100"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9"/>
    <w:bookmarkEnd w:id="10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D576F14"/>
    <w:multiLevelType w:val="singleLevel"/>
    <w:tmpl w:val="8D576F14"/>
    <w:lvl w:ilvl="0" w:tentative="0">
      <w:start w:val="1"/>
      <w:numFmt w:val="decimal"/>
      <w:lvlText w:val="(%1)"/>
      <w:lvlJc w:val="left"/>
      <w:pPr>
        <w:ind w:left="425" w:hanging="425"/>
      </w:pPr>
      <w:rPr>
        <w:rFonts w:hint="default"/>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A301AA9B"/>
    <w:multiLevelType w:val="singleLevel"/>
    <w:tmpl w:val="A301AA9B"/>
    <w:lvl w:ilvl="0" w:tentative="0">
      <w:start w:val="1"/>
      <w:numFmt w:val="decimal"/>
      <w:lvlText w:val="(%1)"/>
      <w:lvlJc w:val="left"/>
      <w:pPr>
        <w:ind w:left="425" w:hanging="425"/>
      </w:pPr>
      <w:rPr>
        <w:rFonts w:hint="default" w:ascii="宋体" w:hAnsi="宋体" w:eastAsia="宋体" w:cs="宋体"/>
        <w:sz w:val="21"/>
        <w:szCs w:val="21"/>
      </w:rPr>
    </w:lvl>
  </w:abstractNum>
  <w:abstractNum w:abstractNumId="6">
    <w:nsid w:val="B454FBF3"/>
    <w:multiLevelType w:val="singleLevel"/>
    <w:tmpl w:val="B454FBF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8327A58"/>
    <w:multiLevelType w:val="singleLevel"/>
    <w:tmpl w:val="D8327A58"/>
    <w:lvl w:ilvl="0" w:tentative="0">
      <w:start w:val="1"/>
      <w:numFmt w:val="decimal"/>
      <w:lvlText w:val="(%1)"/>
      <w:lvlJc w:val="left"/>
      <w:pPr>
        <w:ind w:left="425" w:hanging="425"/>
      </w:pPr>
      <w:rPr>
        <w:rFonts w:hint="default"/>
      </w:rPr>
    </w:lvl>
  </w:abstractNum>
  <w:abstractNum w:abstractNumId="12">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3">
    <w:nsid w:val="DAA5A57F"/>
    <w:multiLevelType w:val="singleLevel"/>
    <w:tmpl w:val="DAA5A57F"/>
    <w:lvl w:ilvl="0" w:tentative="0">
      <w:start w:val="1"/>
      <w:numFmt w:val="decimal"/>
      <w:suff w:val="space"/>
      <w:lvlText w:val="%1."/>
      <w:lvlJc w:val="left"/>
    </w:lvl>
  </w:abstractNum>
  <w:abstractNum w:abstractNumId="14">
    <w:nsid w:val="DB4D60E3"/>
    <w:multiLevelType w:val="singleLevel"/>
    <w:tmpl w:val="DB4D60E3"/>
    <w:lvl w:ilvl="0" w:tentative="0">
      <w:start w:val="1"/>
      <w:numFmt w:val="decimal"/>
      <w:suff w:val="space"/>
      <w:lvlText w:val="%1."/>
      <w:lvlJc w:val="left"/>
    </w:lvl>
  </w:abstractNum>
  <w:abstractNum w:abstractNumId="15">
    <w:nsid w:val="EBB28CBD"/>
    <w:multiLevelType w:val="singleLevel"/>
    <w:tmpl w:val="EBB28CBD"/>
    <w:lvl w:ilvl="0" w:tentative="0">
      <w:start w:val="1"/>
      <w:numFmt w:val="decimal"/>
      <w:suff w:val="space"/>
      <w:lvlText w:val="%1."/>
      <w:lvlJc w:val="left"/>
      <w:pPr>
        <w:ind w:left="520" w:firstLine="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F5D19DED"/>
    <w:multiLevelType w:val="singleLevel"/>
    <w:tmpl w:val="F5D19DED"/>
    <w:lvl w:ilvl="0" w:tentative="0">
      <w:start w:val="2"/>
      <w:numFmt w:val="chineseCounting"/>
      <w:suff w:val="nothing"/>
      <w:lvlText w:val="%1、"/>
      <w:lvlJc w:val="left"/>
      <w:rPr>
        <w:rFonts w:hint="eastAsia"/>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9C5D768"/>
    <w:multiLevelType w:val="singleLevel"/>
    <w:tmpl w:val="09C5D768"/>
    <w:lvl w:ilvl="0" w:tentative="0">
      <w:start w:val="1"/>
      <w:numFmt w:val="decimal"/>
      <w:suff w:val="nothing"/>
      <w:lvlText w:val="%1、"/>
      <w:lvlJc w:val="left"/>
    </w:lvl>
  </w:abstractNum>
  <w:abstractNum w:abstractNumId="23">
    <w:nsid w:val="11D69C2C"/>
    <w:multiLevelType w:val="singleLevel"/>
    <w:tmpl w:val="11D69C2C"/>
    <w:lvl w:ilvl="0" w:tentative="0">
      <w:start w:val="1"/>
      <w:numFmt w:val="decimal"/>
      <w:suff w:val="space"/>
      <w:lvlText w:val="%1."/>
      <w:lvlJc w:val="left"/>
    </w:lvl>
  </w:abstractNum>
  <w:abstractNum w:abstractNumId="24">
    <w:nsid w:val="172CF89E"/>
    <w:multiLevelType w:val="singleLevel"/>
    <w:tmpl w:val="172CF89E"/>
    <w:lvl w:ilvl="0" w:tentative="0">
      <w:start w:val="1"/>
      <w:numFmt w:val="decimal"/>
      <w:suff w:val="nothing"/>
      <w:lvlText w:val="%1、"/>
      <w:lvlJc w:val="left"/>
    </w:lvl>
  </w:abstractNum>
  <w:abstractNum w:abstractNumId="2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8B1A6B2"/>
    <w:multiLevelType w:val="singleLevel"/>
    <w:tmpl w:val="18B1A6B2"/>
    <w:lvl w:ilvl="0" w:tentative="0">
      <w:start w:val="1"/>
      <w:numFmt w:val="decimal"/>
      <w:lvlText w:val="(%1)"/>
      <w:lvlJc w:val="left"/>
      <w:pPr>
        <w:ind w:left="425" w:hanging="425"/>
      </w:pPr>
      <w:rPr>
        <w:rFonts w:hint="default" w:ascii="宋体" w:hAnsi="宋体" w:eastAsia="宋体" w:cs="宋体"/>
        <w:sz w:val="21"/>
        <w:szCs w:val="21"/>
      </w:rPr>
    </w:lvl>
  </w:abstractNum>
  <w:abstractNum w:abstractNumId="27">
    <w:nsid w:val="18E6E713"/>
    <w:multiLevelType w:val="singleLevel"/>
    <w:tmpl w:val="18E6E713"/>
    <w:lvl w:ilvl="0" w:tentative="0">
      <w:start w:val="1"/>
      <w:numFmt w:val="decimal"/>
      <w:lvlText w:val="(%1)"/>
      <w:lvlJc w:val="left"/>
      <w:pPr>
        <w:ind w:left="425" w:hanging="425"/>
      </w:pPr>
      <w:rPr>
        <w:rFonts w:hint="default"/>
      </w:rPr>
    </w:lvl>
  </w:abstractNum>
  <w:abstractNum w:abstractNumId="2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1B0E1E82"/>
    <w:multiLevelType w:val="multilevel"/>
    <w:tmpl w:val="1B0E1E82"/>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0AB9193"/>
    <w:multiLevelType w:val="singleLevel"/>
    <w:tmpl w:val="20AB9193"/>
    <w:lvl w:ilvl="0" w:tentative="0">
      <w:start w:val="1"/>
      <w:numFmt w:val="decimal"/>
      <w:lvlText w:val="%1."/>
      <w:lvlJc w:val="left"/>
      <w:pPr>
        <w:ind w:left="425" w:hanging="425"/>
      </w:pPr>
      <w:rPr>
        <w:rFonts w:hint="default"/>
      </w:rPr>
    </w:lvl>
  </w:abstractNum>
  <w:abstractNum w:abstractNumId="3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1305886"/>
    <w:multiLevelType w:val="singleLevel"/>
    <w:tmpl w:val="21305886"/>
    <w:lvl w:ilvl="0" w:tentative="0">
      <w:start w:val="1"/>
      <w:numFmt w:val="decimal"/>
      <w:lvlText w:val="（%1）"/>
      <w:lvlJc w:val="left"/>
      <w:pPr>
        <w:ind w:left="420" w:hanging="420"/>
      </w:pPr>
      <w:rPr>
        <w:rFonts w:hint="eastAsia"/>
      </w:rPr>
    </w:lvl>
  </w:abstractNum>
  <w:abstractNum w:abstractNumId="3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8E10C89"/>
    <w:multiLevelType w:val="singleLevel"/>
    <w:tmpl w:val="28E10C89"/>
    <w:lvl w:ilvl="0" w:tentative="0">
      <w:start w:val="1"/>
      <w:numFmt w:val="decimal"/>
      <w:suff w:val="space"/>
      <w:lvlText w:val="%1."/>
      <w:lvlJc w:val="left"/>
    </w:lvl>
  </w:abstractNum>
  <w:abstractNum w:abstractNumId="38">
    <w:nsid w:val="2E2D3FB5"/>
    <w:multiLevelType w:val="multilevel"/>
    <w:tmpl w:val="2E2D3F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A45BA2"/>
    <w:multiLevelType w:val="singleLevel"/>
    <w:tmpl w:val="3BA45BA2"/>
    <w:lvl w:ilvl="0" w:tentative="0">
      <w:start w:val="1"/>
      <w:numFmt w:val="decimal"/>
      <w:lvlText w:val="(%1)"/>
      <w:lvlJc w:val="left"/>
      <w:pPr>
        <w:ind w:left="425" w:hanging="425"/>
      </w:pPr>
      <w:rPr>
        <w:rFonts w:hint="default" w:ascii="宋体" w:hAnsi="宋体" w:eastAsia="宋体" w:cs="宋体"/>
        <w:sz w:val="21"/>
        <w:szCs w:val="21"/>
      </w:rPr>
    </w:lvl>
  </w:abstractNum>
  <w:abstractNum w:abstractNumId="43">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8">
    <w:nsid w:val="412F63E2"/>
    <w:multiLevelType w:val="multilevel"/>
    <w:tmpl w:val="412F63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5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A0A92CC"/>
    <w:multiLevelType w:val="singleLevel"/>
    <w:tmpl w:val="4A0A92CC"/>
    <w:lvl w:ilvl="0" w:tentative="0">
      <w:start w:val="1"/>
      <w:numFmt w:val="decimalEnclosedCircleChinese"/>
      <w:suff w:val="nothing"/>
      <w:lvlText w:val="%1　"/>
      <w:lvlJc w:val="left"/>
      <w:pPr>
        <w:ind w:left="0" w:firstLine="400"/>
      </w:pPr>
      <w:rPr>
        <w:rFonts w:hint="eastAsia" w:ascii="宋体" w:hAnsi="宋体" w:eastAsia="宋体" w:cs="宋体"/>
        <w:sz w:val="21"/>
        <w:szCs w:val="21"/>
      </w:rPr>
    </w:lvl>
  </w:abstractNum>
  <w:abstractNum w:abstractNumId="5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B0917D1"/>
    <w:multiLevelType w:val="singleLevel"/>
    <w:tmpl w:val="5B0917D1"/>
    <w:lvl w:ilvl="0" w:tentative="0">
      <w:start w:val="2"/>
      <w:numFmt w:val="decimal"/>
      <w:lvlText w:val="%1."/>
      <w:lvlJc w:val="left"/>
      <w:pPr>
        <w:tabs>
          <w:tab w:val="left" w:pos="312"/>
        </w:tabs>
      </w:pPr>
    </w:lvl>
  </w:abstractNum>
  <w:abstractNum w:abstractNumId="56">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9">
    <w:nsid w:val="6C967399"/>
    <w:multiLevelType w:val="multilevel"/>
    <w:tmpl w:val="6C9673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61">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62">
    <w:nsid w:val="7ED17433"/>
    <w:multiLevelType w:val="singleLevel"/>
    <w:tmpl w:val="7ED17433"/>
    <w:lvl w:ilvl="0" w:tentative="0">
      <w:start w:val="1"/>
      <w:numFmt w:val="decimal"/>
      <w:lvlText w:val="（%1）"/>
      <w:lvlJc w:val="left"/>
      <w:pPr>
        <w:ind w:left="420" w:hanging="420"/>
      </w:pPr>
      <w:rPr>
        <w:rFonts w:hint="eastAsia"/>
      </w:rPr>
    </w:lvl>
  </w:abstractNum>
  <w:num w:numId="1">
    <w:abstractNumId w:val="53"/>
  </w:num>
  <w:num w:numId="2">
    <w:abstractNumId w:val="58"/>
  </w:num>
  <w:num w:numId="3">
    <w:abstractNumId w:val="41"/>
  </w:num>
  <w:num w:numId="4">
    <w:abstractNumId w:va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54"/>
  </w:num>
  <w:num w:numId="8">
    <w:abstractNumId w:val="45"/>
  </w:num>
  <w:num w:numId="9">
    <w:abstractNumId w:val="25"/>
  </w:num>
  <w:num w:numId="10">
    <w:abstractNumId w:val="61"/>
  </w:num>
  <w:num w:numId="11">
    <w:abstractNumId w:val="62"/>
  </w:num>
  <w:num w:numId="12">
    <w:abstractNumId w:val="51"/>
  </w:num>
  <w:num w:numId="13">
    <w:abstractNumId w:val="33"/>
  </w:num>
  <w:num w:numId="14">
    <w:abstractNumId w:val="17"/>
  </w:num>
  <w:num w:numId="15">
    <w:abstractNumId w:val="5"/>
  </w:num>
  <w:num w:numId="16">
    <w:abstractNumId w:val="42"/>
  </w:num>
  <w:num w:numId="17">
    <w:abstractNumId w:val="6"/>
  </w:num>
  <w:num w:numId="18">
    <w:abstractNumId w:val="26"/>
  </w:num>
  <w:num w:numId="19">
    <w:abstractNumId w:val="55"/>
  </w:num>
  <w:num w:numId="20">
    <w:abstractNumId w:val="22"/>
  </w:num>
  <w:num w:numId="21">
    <w:abstractNumId w:val="24"/>
  </w:num>
  <w:num w:numId="22">
    <w:abstractNumId w:val="10"/>
  </w:num>
  <w:num w:numId="23">
    <w:abstractNumId w:val="37"/>
  </w:num>
  <w:num w:numId="24">
    <w:abstractNumId w:val="20"/>
  </w:num>
  <w:num w:numId="25">
    <w:abstractNumId w:val="30"/>
  </w:num>
  <w:num w:numId="26">
    <w:abstractNumId w:val="1"/>
  </w:num>
  <w:num w:numId="27">
    <w:abstractNumId w:val="38"/>
  </w:num>
  <w:num w:numId="28">
    <w:abstractNumId w:val="11"/>
  </w:num>
  <w:num w:numId="29">
    <w:abstractNumId w:val="29"/>
  </w:num>
  <w:num w:numId="30">
    <w:abstractNumId w:val="40"/>
  </w:num>
  <w:num w:numId="31">
    <w:abstractNumId w:val="59"/>
  </w:num>
  <w:num w:numId="32">
    <w:abstractNumId w:val="27"/>
  </w:num>
  <w:num w:numId="33">
    <w:abstractNumId w:val="48"/>
  </w:num>
  <w:num w:numId="34">
    <w:abstractNumId w:val="4"/>
  </w:num>
  <w:num w:numId="35">
    <w:abstractNumId w:val="13"/>
  </w:num>
  <w:num w:numId="36">
    <w:abstractNumId w:val="46"/>
  </w:num>
  <w:num w:numId="37">
    <w:abstractNumId w:val="43"/>
  </w:num>
  <w:num w:numId="38">
    <w:abstractNumId w:val="15"/>
  </w:num>
  <w:num w:numId="39">
    <w:abstractNumId w:val="31"/>
  </w:num>
  <w:num w:numId="40">
    <w:abstractNumId w:val="9"/>
  </w:num>
  <w:num w:numId="41">
    <w:abstractNumId w:val="56"/>
  </w:num>
  <w:num w:numId="42">
    <w:abstractNumId w:val="23"/>
  </w:num>
  <w:num w:numId="43">
    <w:abstractNumId w:val="49"/>
  </w:num>
  <w:num w:numId="44">
    <w:abstractNumId w:val="7"/>
  </w:num>
  <w:num w:numId="45">
    <w:abstractNumId w:val="34"/>
  </w:num>
  <w:num w:numId="46">
    <w:abstractNumId w:val="2"/>
  </w:num>
  <w:num w:numId="47">
    <w:abstractNumId w:val="14"/>
  </w:num>
  <w:num w:numId="48">
    <w:abstractNumId w:val="12"/>
  </w:num>
  <w:num w:numId="49">
    <w:abstractNumId w:val="60"/>
  </w:num>
  <w:num w:numId="50">
    <w:abstractNumId w:val="0"/>
  </w:num>
  <w:num w:numId="51">
    <w:abstractNumId w:val="3"/>
  </w:num>
  <w:num w:numId="52">
    <w:abstractNumId w:val="44"/>
  </w:num>
  <w:num w:numId="53">
    <w:abstractNumId w:val="16"/>
  </w:num>
  <w:num w:numId="54">
    <w:abstractNumId w:val="19"/>
  </w:num>
  <w:num w:numId="55">
    <w:abstractNumId w:val="18"/>
  </w:num>
  <w:num w:numId="56">
    <w:abstractNumId w:val="57"/>
  </w:num>
  <w:num w:numId="57">
    <w:abstractNumId w:val="47"/>
  </w:num>
  <w:num w:numId="58">
    <w:abstractNumId w:val="39"/>
  </w:num>
  <w:num w:numId="59">
    <w:abstractNumId w:val="35"/>
  </w:num>
  <w:num w:numId="60">
    <w:abstractNumId w:val="50"/>
  </w:num>
  <w:num w:numId="61">
    <w:abstractNumId w:val="32"/>
  </w:num>
  <w:num w:numId="62">
    <w:abstractNumId w:val="21"/>
  </w:num>
  <w:num w:numId="63">
    <w:abstractNumId w:val="52"/>
  </w:num>
  <w:num w:numId="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44CA4"/>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457426"/>
    <w:rsid w:val="015D3C39"/>
    <w:rsid w:val="01EA6720"/>
    <w:rsid w:val="02B47C4D"/>
    <w:rsid w:val="0343587A"/>
    <w:rsid w:val="043E06A4"/>
    <w:rsid w:val="04450729"/>
    <w:rsid w:val="04926393"/>
    <w:rsid w:val="04C66C1A"/>
    <w:rsid w:val="04D46768"/>
    <w:rsid w:val="04F90B5F"/>
    <w:rsid w:val="053A1CC8"/>
    <w:rsid w:val="05586F5D"/>
    <w:rsid w:val="060E4700"/>
    <w:rsid w:val="063A4F5D"/>
    <w:rsid w:val="06856661"/>
    <w:rsid w:val="06922C98"/>
    <w:rsid w:val="06C063CC"/>
    <w:rsid w:val="077B4608"/>
    <w:rsid w:val="07BB74B6"/>
    <w:rsid w:val="07D7576E"/>
    <w:rsid w:val="08493DEA"/>
    <w:rsid w:val="086E4EC9"/>
    <w:rsid w:val="09122E6E"/>
    <w:rsid w:val="091B72FF"/>
    <w:rsid w:val="0A157F43"/>
    <w:rsid w:val="0B0E7AD5"/>
    <w:rsid w:val="0B734A64"/>
    <w:rsid w:val="0C133D7D"/>
    <w:rsid w:val="0C324B95"/>
    <w:rsid w:val="0C421D53"/>
    <w:rsid w:val="0C461C45"/>
    <w:rsid w:val="0C7826E8"/>
    <w:rsid w:val="0CB553CD"/>
    <w:rsid w:val="0CCA19FA"/>
    <w:rsid w:val="0CDE01F2"/>
    <w:rsid w:val="0DAD62C9"/>
    <w:rsid w:val="0DD201F4"/>
    <w:rsid w:val="0E0117E6"/>
    <w:rsid w:val="0F4526B6"/>
    <w:rsid w:val="10091618"/>
    <w:rsid w:val="110941F4"/>
    <w:rsid w:val="11941D7C"/>
    <w:rsid w:val="122359B0"/>
    <w:rsid w:val="122E1411"/>
    <w:rsid w:val="12962DCC"/>
    <w:rsid w:val="134D50ED"/>
    <w:rsid w:val="135C500E"/>
    <w:rsid w:val="1387365B"/>
    <w:rsid w:val="145573E7"/>
    <w:rsid w:val="14577BC7"/>
    <w:rsid w:val="152B64B8"/>
    <w:rsid w:val="154C6CC8"/>
    <w:rsid w:val="15740DA4"/>
    <w:rsid w:val="157A6F9C"/>
    <w:rsid w:val="15E90D16"/>
    <w:rsid w:val="160F5957"/>
    <w:rsid w:val="169D67CB"/>
    <w:rsid w:val="173C6354"/>
    <w:rsid w:val="176E3BFD"/>
    <w:rsid w:val="18911B87"/>
    <w:rsid w:val="18B401A7"/>
    <w:rsid w:val="195A6BC0"/>
    <w:rsid w:val="1A393B62"/>
    <w:rsid w:val="1A952462"/>
    <w:rsid w:val="1AB155AB"/>
    <w:rsid w:val="1AC16282"/>
    <w:rsid w:val="1AF94440"/>
    <w:rsid w:val="1B3144DC"/>
    <w:rsid w:val="1BD937BC"/>
    <w:rsid w:val="1C5670DA"/>
    <w:rsid w:val="1C735FAF"/>
    <w:rsid w:val="1D1961B1"/>
    <w:rsid w:val="1D1A1DCB"/>
    <w:rsid w:val="1D423E08"/>
    <w:rsid w:val="1DAB4142"/>
    <w:rsid w:val="1DEE17CE"/>
    <w:rsid w:val="1E2570A0"/>
    <w:rsid w:val="1E483033"/>
    <w:rsid w:val="1E70614F"/>
    <w:rsid w:val="1E8739F7"/>
    <w:rsid w:val="1F7074E6"/>
    <w:rsid w:val="1FCD5F08"/>
    <w:rsid w:val="20680006"/>
    <w:rsid w:val="20714B84"/>
    <w:rsid w:val="20DE2646"/>
    <w:rsid w:val="210E5303"/>
    <w:rsid w:val="21D613E9"/>
    <w:rsid w:val="22761828"/>
    <w:rsid w:val="227A4EED"/>
    <w:rsid w:val="22876403"/>
    <w:rsid w:val="228D0750"/>
    <w:rsid w:val="22B94AD1"/>
    <w:rsid w:val="22F3339E"/>
    <w:rsid w:val="24053C15"/>
    <w:rsid w:val="24786106"/>
    <w:rsid w:val="24B32F35"/>
    <w:rsid w:val="24B97681"/>
    <w:rsid w:val="25811DE1"/>
    <w:rsid w:val="25A5748F"/>
    <w:rsid w:val="25BE1EBF"/>
    <w:rsid w:val="25D85A3C"/>
    <w:rsid w:val="25DC004A"/>
    <w:rsid w:val="261E6333"/>
    <w:rsid w:val="267E19B6"/>
    <w:rsid w:val="26E95967"/>
    <w:rsid w:val="275B754E"/>
    <w:rsid w:val="27BA1A81"/>
    <w:rsid w:val="27C748D4"/>
    <w:rsid w:val="27E924CD"/>
    <w:rsid w:val="291317F9"/>
    <w:rsid w:val="292349E1"/>
    <w:rsid w:val="2954218B"/>
    <w:rsid w:val="29822373"/>
    <w:rsid w:val="29943C2F"/>
    <w:rsid w:val="29EA3C9B"/>
    <w:rsid w:val="2A1D36D7"/>
    <w:rsid w:val="2ADE4EB2"/>
    <w:rsid w:val="2AED0279"/>
    <w:rsid w:val="2B145343"/>
    <w:rsid w:val="2B9E3425"/>
    <w:rsid w:val="2BAA3B30"/>
    <w:rsid w:val="2BD84FDD"/>
    <w:rsid w:val="2BFA4386"/>
    <w:rsid w:val="2CD73EA3"/>
    <w:rsid w:val="2CE47BDA"/>
    <w:rsid w:val="2D224A7E"/>
    <w:rsid w:val="2D845ED0"/>
    <w:rsid w:val="2E774696"/>
    <w:rsid w:val="2E913546"/>
    <w:rsid w:val="2EAB6E76"/>
    <w:rsid w:val="2F424D64"/>
    <w:rsid w:val="2F8D7FC8"/>
    <w:rsid w:val="2FB36A37"/>
    <w:rsid w:val="2FC95AB4"/>
    <w:rsid w:val="30381F4F"/>
    <w:rsid w:val="30E32536"/>
    <w:rsid w:val="30F57B47"/>
    <w:rsid w:val="30F80A90"/>
    <w:rsid w:val="311A5235"/>
    <w:rsid w:val="31334B29"/>
    <w:rsid w:val="317435FB"/>
    <w:rsid w:val="317940B5"/>
    <w:rsid w:val="323B55D9"/>
    <w:rsid w:val="32BD3382"/>
    <w:rsid w:val="32C1150F"/>
    <w:rsid w:val="335D5724"/>
    <w:rsid w:val="336C1A83"/>
    <w:rsid w:val="34320FEE"/>
    <w:rsid w:val="345050F8"/>
    <w:rsid w:val="34A05B77"/>
    <w:rsid w:val="35121EA0"/>
    <w:rsid w:val="35407287"/>
    <w:rsid w:val="36432D8A"/>
    <w:rsid w:val="364D3670"/>
    <w:rsid w:val="37097428"/>
    <w:rsid w:val="375D7505"/>
    <w:rsid w:val="38226B7C"/>
    <w:rsid w:val="387A4225"/>
    <w:rsid w:val="38946606"/>
    <w:rsid w:val="38AC36F6"/>
    <w:rsid w:val="39414A34"/>
    <w:rsid w:val="394A3FAD"/>
    <w:rsid w:val="3A39703C"/>
    <w:rsid w:val="3A563FC1"/>
    <w:rsid w:val="3AA014B8"/>
    <w:rsid w:val="3AAD7F79"/>
    <w:rsid w:val="3B212980"/>
    <w:rsid w:val="3B991A52"/>
    <w:rsid w:val="3BB26AC4"/>
    <w:rsid w:val="3BBE3CE3"/>
    <w:rsid w:val="3C35255B"/>
    <w:rsid w:val="3D3679ED"/>
    <w:rsid w:val="3DF00C05"/>
    <w:rsid w:val="3ECE02B0"/>
    <w:rsid w:val="3EDC21AF"/>
    <w:rsid w:val="3F165E66"/>
    <w:rsid w:val="3F8A1674"/>
    <w:rsid w:val="3FA76F32"/>
    <w:rsid w:val="3FD4649E"/>
    <w:rsid w:val="3FD46925"/>
    <w:rsid w:val="4022263A"/>
    <w:rsid w:val="404C62DF"/>
    <w:rsid w:val="408D7227"/>
    <w:rsid w:val="409269D2"/>
    <w:rsid w:val="4094134A"/>
    <w:rsid w:val="411774CC"/>
    <w:rsid w:val="41407E51"/>
    <w:rsid w:val="416718EC"/>
    <w:rsid w:val="418E7347"/>
    <w:rsid w:val="42721C8F"/>
    <w:rsid w:val="427A2137"/>
    <w:rsid w:val="42AC1F32"/>
    <w:rsid w:val="42B375CC"/>
    <w:rsid w:val="430C7804"/>
    <w:rsid w:val="439D7A21"/>
    <w:rsid w:val="43C5093C"/>
    <w:rsid w:val="43CB4EB6"/>
    <w:rsid w:val="43D97719"/>
    <w:rsid w:val="447267E8"/>
    <w:rsid w:val="44B47C0A"/>
    <w:rsid w:val="44DD06D6"/>
    <w:rsid w:val="44E431E5"/>
    <w:rsid w:val="44FB1854"/>
    <w:rsid w:val="450E2987"/>
    <w:rsid w:val="456E79C4"/>
    <w:rsid w:val="459E5682"/>
    <w:rsid w:val="46565568"/>
    <w:rsid w:val="46B30DE6"/>
    <w:rsid w:val="46D84BDE"/>
    <w:rsid w:val="46D868E0"/>
    <w:rsid w:val="46F1721A"/>
    <w:rsid w:val="46F90406"/>
    <w:rsid w:val="47D67784"/>
    <w:rsid w:val="480D6FCE"/>
    <w:rsid w:val="482D5C6E"/>
    <w:rsid w:val="48DF3264"/>
    <w:rsid w:val="492A4A83"/>
    <w:rsid w:val="49427075"/>
    <w:rsid w:val="495C1F5C"/>
    <w:rsid w:val="49D47458"/>
    <w:rsid w:val="4A176B9D"/>
    <w:rsid w:val="4A941BA7"/>
    <w:rsid w:val="4AF77150"/>
    <w:rsid w:val="4B1D38C6"/>
    <w:rsid w:val="4B201129"/>
    <w:rsid w:val="4B413666"/>
    <w:rsid w:val="4B657267"/>
    <w:rsid w:val="4B8B03E4"/>
    <w:rsid w:val="4BD97FFD"/>
    <w:rsid w:val="4C021567"/>
    <w:rsid w:val="4C023470"/>
    <w:rsid w:val="4CE240F8"/>
    <w:rsid w:val="4D066429"/>
    <w:rsid w:val="4D9A3F67"/>
    <w:rsid w:val="4DDF67CC"/>
    <w:rsid w:val="4E0E27D7"/>
    <w:rsid w:val="4E4926E0"/>
    <w:rsid w:val="4EE12BFB"/>
    <w:rsid w:val="4F51039F"/>
    <w:rsid w:val="4F917B73"/>
    <w:rsid w:val="4FB77699"/>
    <w:rsid w:val="50F66274"/>
    <w:rsid w:val="50FA6A61"/>
    <w:rsid w:val="51794BC1"/>
    <w:rsid w:val="518D6A05"/>
    <w:rsid w:val="51B15B29"/>
    <w:rsid w:val="51CA3298"/>
    <w:rsid w:val="525E0955"/>
    <w:rsid w:val="52A801B9"/>
    <w:rsid w:val="52E902E7"/>
    <w:rsid w:val="5309228A"/>
    <w:rsid w:val="5325271C"/>
    <w:rsid w:val="53392F48"/>
    <w:rsid w:val="537A2677"/>
    <w:rsid w:val="53D25371"/>
    <w:rsid w:val="540F1FD2"/>
    <w:rsid w:val="5443731F"/>
    <w:rsid w:val="548660C8"/>
    <w:rsid w:val="54C651E3"/>
    <w:rsid w:val="550D624F"/>
    <w:rsid w:val="55904B88"/>
    <w:rsid w:val="559D3643"/>
    <w:rsid w:val="561F6663"/>
    <w:rsid w:val="56A4250A"/>
    <w:rsid w:val="57315BF2"/>
    <w:rsid w:val="57594B93"/>
    <w:rsid w:val="57902651"/>
    <w:rsid w:val="58F61727"/>
    <w:rsid w:val="593332CE"/>
    <w:rsid w:val="594A6990"/>
    <w:rsid w:val="597861B7"/>
    <w:rsid w:val="59F75D19"/>
    <w:rsid w:val="5A03430B"/>
    <w:rsid w:val="5A2C7E3E"/>
    <w:rsid w:val="5A2E0F40"/>
    <w:rsid w:val="5AC3723C"/>
    <w:rsid w:val="5B2F135F"/>
    <w:rsid w:val="5BD0007C"/>
    <w:rsid w:val="5BE56AFB"/>
    <w:rsid w:val="5BEC41FD"/>
    <w:rsid w:val="5D8A7211"/>
    <w:rsid w:val="5E2A2C07"/>
    <w:rsid w:val="5E8307E5"/>
    <w:rsid w:val="5EA00326"/>
    <w:rsid w:val="5F750B32"/>
    <w:rsid w:val="60475C3F"/>
    <w:rsid w:val="60785544"/>
    <w:rsid w:val="60A60070"/>
    <w:rsid w:val="616445FA"/>
    <w:rsid w:val="61A26997"/>
    <w:rsid w:val="61D95BD1"/>
    <w:rsid w:val="622C21AB"/>
    <w:rsid w:val="624F1172"/>
    <w:rsid w:val="62524EF1"/>
    <w:rsid w:val="62696F6E"/>
    <w:rsid w:val="62CE0E5D"/>
    <w:rsid w:val="62D00ABF"/>
    <w:rsid w:val="632A4D52"/>
    <w:rsid w:val="635A4C2E"/>
    <w:rsid w:val="640C25AF"/>
    <w:rsid w:val="64AA7461"/>
    <w:rsid w:val="64AF5DC1"/>
    <w:rsid w:val="650574F1"/>
    <w:rsid w:val="6541126B"/>
    <w:rsid w:val="65A044D2"/>
    <w:rsid w:val="65C14C3C"/>
    <w:rsid w:val="65C97C47"/>
    <w:rsid w:val="668A797B"/>
    <w:rsid w:val="673E1558"/>
    <w:rsid w:val="6754021E"/>
    <w:rsid w:val="67AA37A9"/>
    <w:rsid w:val="67CA1A73"/>
    <w:rsid w:val="67D47658"/>
    <w:rsid w:val="67DE0FE2"/>
    <w:rsid w:val="683A303D"/>
    <w:rsid w:val="68704678"/>
    <w:rsid w:val="68E97B63"/>
    <w:rsid w:val="69845EBA"/>
    <w:rsid w:val="69D5409E"/>
    <w:rsid w:val="6A5778EC"/>
    <w:rsid w:val="6A5B2F9C"/>
    <w:rsid w:val="6A7841BC"/>
    <w:rsid w:val="6A8C0A96"/>
    <w:rsid w:val="6AB11900"/>
    <w:rsid w:val="6B1E605C"/>
    <w:rsid w:val="6B505198"/>
    <w:rsid w:val="6B746A36"/>
    <w:rsid w:val="6BA74681"/>
    <w:rsid w:val="6C5E0507"/>
    <w:rsid w:val="6C6B5505"/>
    <w:rsid w:val="6CB22F1A"/>
    <w:rsid w:val="6CBE5DCD"/>
    <w:rsid w:val="6D415F9E"/>
    <w:rsid w:val="6DF67C63"/>
    <w:rsid w:val="6E0F3169"/>
    <w:rsid w:val="6E175119"/>
    <w:rsid w:val="6E3F209B"/>
    <w:rsid w:val="6E8E6E41"/>
    <w:rsid w:val="6ED02117"/>
    <w:rsid w:val="70B1378A"/>
    <w:rsid w:val="70FD7EF1"/>
    <w:rsid w:val="725336E8"/>
    <w:rsid w:val="725D3971"/>
    <w:rsid w:val="738B299C"/>
    <w:rsid w:val="73935CE3"/>
    <w:rsid w:val="73E229D3"/>
    <w:rsid w:val="74047ED1"/>
    <w:rsid w:val="747022E4"/>
    <w:rsid w:val="74783A1C"/>
    <w:rsid w:val="74891CCE"/>
    <w:rsid w:val="74AB354D"/>
    <w:rsid w:val="74B05132"/>
    <w:rsid w:val="74BD2202"/>
    <w:rsid w:val="752E61FA"/>
    <w:rsid w:val="75E42140"/>
    <w:rsid w:val="761B6719"/>
    <w:rsid w:val="76C52AAF"/>
    <w:rsid w:val="76E063E5"/>
    <w:rsid w:val="7713141E"/>
    <w:rsid w:val="772A35DE"/>
    <w:rsid w:val="773724A9"/>
    <w:rsid w:val="774150D6"/>
    <w:rsid w:val="77660191"/>
    <w:rsid w:val="777145D5"/>
    <w:rsid w:val="77883606"/>
    <w:rsid w:val="779B2CD1"/>
    <w:rsid w:val="781B5752"/>
    <w:rsid w:val="78A62633"/>
    <w:rsid w:val="798425C1"/>
    <w:rsid w:val="79A35F22"/>
    <w:rsid w:val="79A7233B"/>
    <w:rsid w:val="79BF662E"/>
    <w:rsid w:val="7A751935"/>
    <w:rsid w:val="7AD3061F"/>
    <w:rsid w:val="7B2952F2"/>
    <w:rsid w:val="7B3A2930"/>
    <w:rsid w:val="7C415961"/>
    <w:rsid w:val="7CF46BD3"/>
    <w:rsid w:val="7DCE06CC"/>
    <w:rsid w:val="7E186228"/>
    <w:rsid w:val="7E357016"/>
    <w:rsid w:val="7F0D46A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7"/>
    <w:unhideWhenUsed/>
    <w:qFormat/>
    <w:uiPriority w:val="99"/>
    <w:pPr>
      <w:jc w:val="left"/>
    </w:pPr>
  </w:style>
  <w:style w:type="paragraph" w:styleId="5">
    <w:name w:val="Body Text Indent"/>
    <w:basedOn w:val="1"/>
    <w:semiHidden/>
    <w:qFormat/>
    <w:uiPriority w:val="0"/>
    <w:pPr>
      <w:ind w:left="-2" w:leftChars="-1" w:firstLine="420" w:firstLineChars="200"/>
    </w:p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3"/>
    <w:semiHidden/>
    <w:unhideWhenUsed/>
    <w:qFormat/>
    <w:uiPriority w:val="99"/>
    <w:rPr>
      <w:b/>
      <w:bCs/>
    </w:rPr>
  </w:style>
  <w:style w:type="paragraph" w:styleId="16">
    <w:name w:val="Body Text First Indent 2"/>
    <w:basedOn w:val="5"/>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32</Pages>
  <Words>16165</Words>
  <Characters>17311</Characters>
  <Lines>140</Lines>
  <Paragraphs>39</Paragraphs>
  <TotalTime>27</TotalTime>
  <ScaleCrop>false</ScaleCrop>
  <LinksUpToDate>false</LinksUpToDate>
  <CharactersWithSpaces>19778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2024-03-25T08:48:42Z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4E07B637F58E448384664F5D1AD450E0_13</vt:lpwstr>
  </property>
</Properties>
</file>