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both"/>
        <w:rPr>
          <w:rFonts w:hint="eastAsia"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rPr>
        <w:t>深圳会展中心发电机组母线槽锈蚀反碱维修项目</w:t>
      </w:r>
    </w:p>
    <w:p>
      <w:pPr>
        <w:spacing w:line="360" w:lineRule="auto"/>
        <w:ind w:firstLine="3534" w:firstLineChars="1100"/>
        <w:jc w:val="both"/>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color w:val="auto"/>
          <w:sz w:val="32"/>
          <w:szCs w:val="32"/>
          <w:highlight w:val="none"/>
          <w:lang w:eastAsia="zh-CN"/>
        </w:rPr>
        <w:t>（</w:t>
      </w:r>
      <w:r>
        <w:rPr>
          <w:rFonts w:hint="eastAsia" w:ascii="方正小标宋简体" w:hAnsi="方正小标宋_GBK" w:eastAsia="方正小标宋简体" w:cs="方正小标宋_GBK"/>
          <w:b/>
          <w:color w:val="auto"/>
          <w:sz w:val="32"/>
          <w:szCs w:val="32"/>
          <w:highlight w:val="none"/>
          <w:lang w:val="en-US" w:eastAsia="zh-CN"/>
        </w:rPr>
        <w:t>二次启动</w:t>
      </w:r>
      <w:r>
        <w:rPr>
          <w:rFonts w:hint="eastAsia" w:ascii="方正小标宋简体" w:hAnsi="方正小标宋_GBK" w:eastAsia="方正小标宋简体" w:cs="方正小标宋_GBK"/>
          <w:b/>
          <w:color w:val="auto"/>
          <w:sz w:val="32"/>
          <w:szCs w:val="32"/>
          <w:highlight w:val="none"/>
          <w:lang w:eastAsia="zh-CN"/>
        </w:rPr>
        <w:t>）</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ind w:left="0" w:leftChars="0" w:firstLine="0" w:firstLineChars="0"/>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rPr>
              <w:t>黄先生</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cs="宋体"/>
                <w:color w:val="000000"/>
                <w:szCs w:val="21"/>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w:t>
            </w:r>
            <w:r>
              <w:rPr>
                <w:rFonts w:hint="eastAsia" w:ascii="宋体" w:hAnsi="宋体" w:cs="宋体"/>
                <w:color w:val="000000"/>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深圳会展中心发电机组母线槽锈蚀反碱维修项目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工程</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深圳会展中心</w:t>
            </w:r>
            <w:r>
              <w:rPr>
                <w:rFonts w:hint="eastAsia" w:ascii="宋体" w:hAnsi="宋体" w:eastAsia="宋体"/>
                <w:color w:val="auto"/>
                <w:sz w:val="21"/>
                <w:szCs w:val="21"/>
                <w:highlight w:val="none"/>
                <w:lang w:val="en-US" w:eastAsia="zh-CN"/>
              </w:rPr>
              <w:t>负11.9米综合管沟的发电机组母线槽连接处锈蚀反碱,</w:t>
            </w:r>
            <w:r>
              <w:rPr>
                <w:rFonts w:hint="eastAsia" w:ascii="宋体" w:hAnsi="宋体"/>
                <w:color w:val="auto"/>
                <w:sz w:val="21"/>
                <w:szCs w:val="21"/>
                <w:highlight w:val="none"/>
                <w:lang w:val="en-US" w:eastAsia="zh-CN"/>
              </w:rPr>
              <w:t>拟委托专业公司</w:t>
            </w:r>
            <w:r>
              <w:rPr>
                <w:rFonts w:hint="eastAsia" w:ascii="宋体" w:hAnsi="宋体" w:eastAsia="宋体"/>
                <w:color w:val="auto"/>
                <w:sz w:val="21"/>
                <w:szCs w:val="21"/>
                <w:highlight w:val="none"/>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https://cg.szcec.com/sharing/pcJUBgyZ0，</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4-23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https://cg.szcec.com/sharing/4gKcldLy0，</w:t>
            </w:r>
            <w:r>
              <w:rPr>
                <w:rFonts w:hint="eastAsia" w:ascii="宋体" w:hAnsi="宋体"/>
                <w:szCs w:val="21"/>
              </w:rPr>
              <w:t>并致电确认</w:t>
            </w:r>
            <w:bookmarkStart w:id="1" w:name="_Toc478392822"/>
            <w:bookmarkStart w:id="2" w:name="_Toc478393187"/>
            <w:bookmarkStart w:id="3" w:name="_Toc47811053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w:t>
            </w:r>
            <w:r>
              <w:rPr>
                <w:rFonts w:hint="eastAsia" w:ascii="宋体" w:hAnsi="宋体" w:cs="宋体"/>
                <w:color w:val="FF0000"/>
                <w:szCs w:val="21"/>
                <w:highlight w:val="cyan"/>
                <w:lang w:val="en-US" w:eastAsia="zh-CN"/>
              </w:rPr>
              <w:t>后</w:t>
            </w:r>
            <w:r>
              <w:rPr>
                <w:rFonts w:hint="eastAsia" w:ascii="宋体" w:hAnsi="宋体" w:cs="宋体"/>
                <w:color w:val="FF0000"/>
                <w:szCs w:val="21"/>
                <w:highlight w:val="cyan"/>
              </w:rPr>
              <w:t>15分钟内将投标文件解密密码上传至https://cg.szcec.com/sharing/AxSROEBg1</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lang w:eastAsia="zh-CN"/>
              </w:rPr>
              <w:t>☑</w:t>
            </w: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r>
              <w:rPr>
                <w:rFonts w:hint="eastAsia" w:ascii="宋体" w:hAnsi="宋体"/>
                <w:kern w:val="0"/>
                <w:szCs w:val="21"/>
                <w:lang w:eastAsia="zh-CN"/>
              </w:rPr>
              <w:t>周工</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w:t>
            </w:r>
            <w:r>
              <w:rPr>
                <w:rFonts w:hint="eastAsia" w:ascii="宋体" w:hAnsi="宋体" w:cs="Segoe UI Symbol"/>
                <w:color w:val="FF0000"/>
                <w:kern w:val="0"/>
                <w:szCs w:val="21"/>
                <w:highlight w:val="yellow"/>
                <w:lang w:val="en-US" w:eastAsia="zh-CN"/>
              </w:rPr>
              <w:t>8819</w:t>
            </w:r>
            <w:r>
              <w:rPr>
                <w:rFonts w:hint="eastAsia" w:ascii="宋体" w:hAnsi="宋体" w:cs="Segoe UI Symbol"/>
                <w:color w:val="FF0000"/>
                <w:kern w:val="0"/>
                <w:szCs w:val="21"/>
                <w:highlight w:val="yellow"/>
              </w:rPr>
              <w:t>,移动电话：</w:t>
            </w:r>
            <w:r>
              <w:rPr>
                <w:rFonts w:hint="eastAsia" w:ascii="宋体" w:hAnsi="宋体" w:cs="Segoe UI Symbol"/>
                <w:color w:val="FF0000"/>
                <w:kern w:val="0"/>
                <w:szCs w:val="21"/>
                <w:highlight w:val="yellow"/>
                <w:lang w:val="en-US" w:eastAsia="zh-CN"/>
              </w:rPr>
              <w:t>18998919684</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lang w:eastAsia="zh-CN"/>
              </w:rPr>
              <w:t>深圳会展中心北广场北</w:t>
            </w:r>
            <w:r>
              <w:rPr>
                <w:rFonts w:hint="eastAsia" w:ascii="宋体" w:hAnsi="宋体" w:cs="Segoe UI Symbol"/>
                <w:color w:val="FF0000"/>
                <w:kern w:val="0"/>
                <w:szCs w:val="21"/>
                <w:highlight w:val="yellow"/>
                <w:lang w:val="en-US" w:eastAsia="zh-CN"/>
              </w:rPr>
              <w:t>3门保安岗亭处</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kern w:val="0"/>
                <w:szCs w:val="21"/>
                <w:highlight w:val="yellow"/>
                <w:lang w:eastAsia="zh-CN"/>
              </w:rPr>
              <w:t>☑</w:t>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78387747"/>
      <w:bookmarkStart w:id="6" w:name="_Toc517278751"/>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color w:val="auto"/>
                <w:szCs w:val="21"/>
                <w:highlight w:val="none"/>
              </w:rPr>
            </w:pP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9"/>
              </w:numPr>
              <w:tabs>
                <w:tab w:val="left" w:pos="531"/>
              </w:tabs>
              <w:snapToGrid w:val="0"/>
              <w:ind w:left="5" w:hanging="5"/>
              <w:rPr>
                <w:rFonts w:ascii="宋体" w:hAnsi="宋体" w:cs="宋体"/>
                <w:color w:val="auto"/>
                <w:kern w:val="0"/>
                <w:sz w:val="21"/>
                <w:szCs w:val="21"/>
                <w:highlight w:val="none"/>
              </w:rPr>
            </w:pPr>
            <w:bookmarkStart w:id="10" w:name="OLE_LINK3"/>
            <w:bookmarkStart w:id="11" w:name="OLE_LINK4"/>
            <w:r>
              <w:rPr>
                <w:rFonts w:hint="eastAsia" w:ascii="宋体" w:hAnsi="宋体" w:cs="宋体"/>
                <w:color w:val="auto"/>
                <w:highlight w:val="none"/>
              </w:rPr>
              <w:t>参加单位的代表，必须是参加单位的法定代表人或持有法定代表人亲自签署的法人授权委托证明书的人员。（提供法定代表人证明书、法人授权委托证明书及法定代表人、被委托人身份证扫描件并加盖投</w:t>
            </w:r>
            <w:r>
              <w:rPr>
                <w:rFonts w:hint="eastAsia" w:ascii="宋体" w:hAnsi="宋体" w:cs="宋体"/>
                <w:color w:val="auto"/>
                <w:highlight w:val="none"/>
                <w:lang w:val="en-US" w:eastAsia="zh-CN"/>
              </w:rPr>
              <w:t>参加单位</w:t>
            </w:r>
            <w:r>
              <w:rPr>
                <w:rFonts w:hint="eastAsia" w:ascii="宋体" w:hAnsi="宋体" w:cs="宋体"/>
                <w:color w:val="auto"/>
                <w:highlight w:val="none"/>
              </w:rPr>
              <w:t>公章；如单位法定代表人为本项目授权代表，则仅需提供法定代表人证明书及身份证复印件，各证明书须加盖公章，身份证原件备查）。</w:t>
            </w:r>
            <w:bookmarkEnd w:id="10"/>
            <w:bookmarkEnd w:id="11"/>
          </w:p>
          <w:p>
            <w:pPr>
              <w:numPr>
                <w:ilvl w:val="0"/>
                <w:numId w:val="9"/>
              </w:numPr>
              <w:tabs>
                <w:tab w:val="left" w:pos="531"/>
              </w:tabs>
              <w:snapToGrid w:val="0"/>
              <w:ind w:left="5" w:hanging="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cs="宋体"/>
                <w:color w:val="auto"/>
                <w:szCs w:val="21"/>
                <w:highlight w:val="none"/>
              </w:rPr>
              <w:t>应具有建筑机电安装工程专业承包资质或承装（修、试）电力设施许可证资质</w:t>
            </w:r>
            <w:r>
              <w:rPr>
                <w:rFonts w:hint="eastAsia" w:ascii="宋体" w:hAnsi="宋体" w:cs="宋体"/>
                <w:color w:val="auto"/>
                <w:szCs w:val="21"/>
                <w:highlight w:val="none"/>
                <w:lang w:eastAsia="zh-CN"/>
              </w:rPr>
              <w:t>。</w:t>
            </w:r>
          </w:p>
          <w:p>
            <w:pPr>
              <w:numPr>
                <w:ilvl w:val="0"/>
                <w:numId w:val="9"/>
              </w:numPr>
              <w:tabs>
                <w:tab w:val="left" w:pos="531"/>
              </w:tabs>
              <w:snapToGrid w:val="0"/>
              <w:ind w:left="5" w:hanging="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rPr>
              <w:t>须具有</w:t>
            </w:r>
            <w:r>
              <w:rPr>
                <w:rFonts w:hint="eastAsia" w:ascii="宋体" w:hAnsi="宋体" w:cs="宋体"/>
                <w:color w:val="auto"/>
                <w:kern w:val="0"/>
                <w:sz w:val="21"/>
                <w:szCs w:val="21"/>
                <w:highlight w:val="none"/>
              </w:rPr>
              <w:t>机电安装或维护相关经验</w:t>
            </w:r>
            <w:r>
              <w:rPr>
                <w:rFonts w:hint="eastAsia" w:ascii="宋体" w:hAnsi="宋体" w:eastAsia="宋体" w:cs="宋体"/>
                <w:color w:val="auto"/>
                <w:szCs w:val="21"/>
                <w:highlight w:val="none"/>
              </w:rPr>
              <w:t>。</w:t>
            </w:r>
            <w:r>
              <w:rPr>
                <w:rFonts w:hint="eastAsia" w:ascii="宋体" w:hAnsi="宋体" w:cs="宋体"/>
                <w:color w:val="auto"/>
                <w:kern w:val="0"/>
                <w:sz w:val="21"/>
                <w:szCs w:val="21"/>
                <w:highlight w:val="none"/>
              </w:rPr>
              <w:t>相关项目案例不少于2个</w:t>
            </w:r>
            <w:r>
              <w:rPr>
                <w:rFonts w:hint="eastAsia" w:ascii="宋体" w:hAnsi="宋体" w:eastAsia="宋体" w:cs="宋体"/>
                <w:color w:val="auto"/>
                <w:szCs w:val="21"/>
                <w:highlight w:val="none"/>
              </w:rPr>
              <w:t>。（提供202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年1月1日至本项目开标日所签订的</w:t>
            </w:r>
            <w:r>
              <w:rPr>
                <w:rFonts w:hint="eastAsia" w:ascii="宋体" w:hAnsi="宋体" w:cs="宋体"/>
                <w:color w:val="auto"/>
                <w:kern w:val="0"/>
                <w:sz w:val="21"/>
                <w:szCs w:val="21"/>
                <w:highlight w:val="none"/>
              </w:rPr>
              <w:t>机电安装或维护</w:t>
            </w:r>
            <w:r>
              <w:rPr>
                <w:rFonts w:hint="eastAsia" w:ascii="宋体" w:hAnsi="宋体" w:eastAsia="宋体" w:cs="宋体"/>
                <w:color w:val="auto"/>
                <w:szCs w:val="21"/>
                <w:highlight w:val="none"/>
              </w:rPr>
              <w:t>保养合同2个）</w:t>
            </w:r>
          </w:p>
          <w:p>
            <w:pPr>
              <w:numPr>
                <w:ilvl w:val="0"/>
                <w:numId w:val="9"/>
              </w:numPr>
              <w:tabs>
                <w:tab w:val="left" w:pos="531"/>
              </w:tabs>
              <w:snapToGrid w:val="0"/>
              <w:rPr>
                <w:rFonts w:ascii="宋体" w:hAnsi="宋体" w:cs="宋体"/>
                <w:color w:val="auto"/>
                <w:kern w:val="0"/>
                <w:sz w:val="24"/>
                <w:highlight w:val="none"/>
              </w:rPr>
            </w:pP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640"/>
              </w:tabs>
              <w:snapToGrid w:val="0"/>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报价以人民币为结算币种，报价</w:t>
            </w:r>
            <w:r>
              <w:rPr>
                <w:rFonts w:hint="eastAsia" w:ascii="宋体" w:hAnsi="宋体"/>
                <w:color w:val="auto"/>
                <w:szCs w:val="21"/>
                <w:highlight w:val="none"/>
              </w:rPr>
              <w:t>应包含税率、</w:t>
            </w:r>
            <w:r>
              <w:rPr>
                <w:rFonts w:hint="eastAsia" w:ascii="宋体" w:hAnsi="宋体" w:cs="宋体"/>
                <w:color w:val="auto"/>
                <w:szCs w:val="21"/>
                <w:highlight w:val="none"/>
              </w:rPr>
              <w:t>单价和总价。</w:t>
            </w:r>
          </w:p>
          <w:p>
            <w:pPr>
              <w:numPr>
                <w:ilvl w:val="0"/>
                <w:numId w:val="10"/>
              </w:numPr>
              <w:tabs>
                <w:tab w:val="left" w:pos="640"/>
              </w:tabs>
              <w:snapToGrid w:val="0"/>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10"/>
              </w:numPr>
              <w:tabs>
                <w:tab w:val="left" w:pos="640"/>
              </w:tabs>
              <w:snapToGrid w:val="0"/>
              <w:ind w:left="0" w:leftChars="0" w:firstLine="0" w:firstLineChars="0"/>
              <w:rPr>
                <w:rFonts w:ascii="宋体" w:hAnsi="宋体" w:cs="宋体"/>
                <w:color w:val="auto"/>
                <w:sz w:val="24"/>
                <w:highlight w:val="none"/>
              </w:rPr>
            </w:pPr>
            <w:r>
              <w:rPr>
                <w:rFonts w:hint="eastAsia" w:ascii="宋体" w:hAnsi="宋体" w:cs="宋体"/>
                <w:color w:val="auto"/>
                <w:szCs w:val="21"/>
                <w:highlight w:val="none"/>
              </w:rPr>
              <w:t>报价包括但不限于</w:t>
            </w:r>
            <w:r>
              <w:rPr>
                <w:rFonts w:hint="eastAsia" w:ascii="宋体" w:hAnsi="宋体" w:cs="宋体"/>
                <w:b/>
                <w:bCs/>
                <w:color w:val="auto"/>
                <w:szCs w:val="21"/>
                <w:highlight w:val="none"/>
              </w:rPr>
              <w:t>主材、设备、运输、装卸、安装、施工、调试、保险、安全措施、人工、管理</w:t>
            </w:r>
            <w:r>
              <w:rPr>
                <w:rFonts w:hint="eastAsia" w:ascii="宋体" w:hAnsi="宋体" w:cs="宋体"/>
                <w:color w:val="auto"/>
                <w:szCs w:val="21"/>
                <w:highlight w:val="none"/>
              </w:rPr>
              <w:t>费及增值税</w:t>
            </w:r>
            <w:r>
              <w:rPr>
                <w:rFonts w:hint="eastAsia"/>
                <w:lang w:val="en-US" w:eastAsia="zh-CN"/>
              </w:rPr>
              <w:t>专用发票</w:t>
            </w:r>
            <w:r>
              <w:rPr>
                <w:rFonts w:hint="eastAsia" w:ascii="宋体" w:hAnsi="宋体" w:cs="宋体"/>
                <w:color w:val="auto"/>
                <w:szCs w:val="21"/>
                <w:highlight w:val="none"/>
              </w:rPr>
              <w:t>等完成本项目所需的全部费用。</w:t>
            </w:r>
          </w:p>
          <w:p>
            <w:pPr>
              <w:numPr>
                <w:ilvl w:val="0"/>
                <w:numId w:val="10"/>
              </w:numPr>
              <w:tabs>
                <w:tab w:val="left" w:pos="640"/>
              </w:tabs>
              <w:snapToGrid w:val="0"/>
              <w:ind w:left="0" w:leftChars="0" w:firstLine="0" w:firstLineChars="0"/>
              <w:rPr>
                <w:rFonts w:ascii="宋体" w:hAnsi="宋体" w:cs="宋体"/>
                <w:color w:val="auto"/>
                <w:sz w:val="24"/>
                <w:highlight w:val="none"/>
              </w:rPr>
            </w:pPr>
            <w:r>
              <w:rPr>
                <w:rFonts w:hint="eastAsia" w:ascii="宋体" w:hAnsi="宋体" w:cs="宋体"/>
                <w:color w:val="auto"/>
                <w:szCs w:val="21"/>
                <w:highlight w:val="none"/>
              </w:rPr>
              <w:t>本项目承包方式为总价包干，因中选单位施工或管理原因导致的返工等问题，均由中选单位自行承担，采购人不再支付其他任何费用。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sz w:val="24"/>
                <w:highlight w:val="none"/>
              </w:rPr>
            </w:pPr>
            <w:r>
              <w:rPr>
                <w:rFonts w:hint="eastAsia" w:ascii="宋体" w:hAnsi="宋体" w:cs="宋体"/>
                <w:color w:val="auto"/>
                <w:highlight w:val="none"/>
              </w:rPr>
              <w:t>本项目控制金额为人民币</w:t>
            </w:r>
            <w:r>
              <w:rPr>
                <w:rFonts w:hint="eastAsia" w:ascii="宋体" w:hAnsi="宋体" w:cs="宋体"/>
                <w:color w:val="auto"/>
                <w:highlight w:val="none"/>
                <w:lang w:val="en-US" w:eastAsia="zh-CN"/>
              </w:rPr>
              <w:t>3.69</w:t>
            </w:r>
            <w:r>
              <w:rPr>
                <w:rFonts w:hint="eastAsia" w:ascii="宋体" w:hAnsi="宋体" w:cs="宋体"/>
                <w:color w:val="auto"/>
                <w:highlight w:val="none"/>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640"/>
              </w:tabs>
              <w:snapToGrid w:val="0"/>
              <w:ind w:left="0" w:leftChars="0" w:firstLine="0" w:firstLineChars="0"/>
              <w:rPr>
                <w:rFonts w:ascii="宋体" w:hAnsi="宋体" w:cs="宋体"/>
                <w:color w:val="auto"/>
                <w:kern w:val="0"/>
                <w:sz w:val="24"/>
                <w:highlight w:val="none"/>
              </w:rPr>
            </w:pPr>
            <w:r>
              <w:rPr>
                <w:rFonts w:hint="eastAsia" w:ascii="宋体" w:hAnsi="宋体" w:cs="宋体"/>
                <w:color w:val="auto"/>
                <w:highlight w:val="none"/>
              </w:rPr>
              <w:t>本项目施工完毕且验收合格后，一次性支付合同总金额的97%。</w:t>
            </w:r>
          </w:p>
          <w:p>
            <w:pPr>
              <w:numPr>
                <w:ilvl w:val="0"/>
                <w:numId w:val="11"/>
              </w:numPr>
              <w:tabs>
                <w:tab w:val="left" w:pos="640"/>
              </w:tabs>
              <w:snapToGrid w:val="0"/>
              <w:ind w:left="0" w:leftChars="0" w:firstLine="0" w:firstLineChars="0"/>
              <w:rPr>
                <w:rFonts w:ascii="宋体" w:hAnsi="宋体" w:cs="宋体"/>
                <w:color w:val="auto"/>
                <w:kern w:val="0"/>
                <w:sz w:val="24"/>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1"/>
              </w:numPr>
              <w:tabs>
                <w:tab w:val="left" w:pos="640"/>
              </w:tabs>
              <w:snapToGrid w:val="0"/>
              <w:ind w:left="0" w:leftChars="0" w:firstLine="0" w:firstLineChars="0"/>
              <w:rPr>
                <w:rFonts w:ascii="宋体" w:hAnsi="宋体" w:cs="宋体"/>
                <w:color w:val="auto"/>
                <w:kern w:val="0"/>
                <w:sz w:val="24"/>
                <w:highlight w:val="none"/>
              </w:rPr>
            </w:pP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kern w:val="0"/>
                <w:sz w:val="24"/>
              </w:rPr>
            </w:pPr>
            <w:r>
              <w:rPr>
                <w:rFonts w:hint="eastAsia" w:ascii="宋体" w:hAnsi="宋体" w:cs="宋体"/>
                <w:color w:val="auto"/>
                <w:kern w:val="0"/>
                <w:sz w:val="21"/>
                <w:szCs w:val="21"/>
                <w:lang w:eastAsia="zh-CN"/>
              </w:rPr>
              <w:t>工期为</w:t>
            </w:r>
            <w:r>
              <w:rPr>
                <w:rFonts w:hint="eastAsia" w:ascii="宋体" w:hAnsi="宋体" w:cs="宋体"/>
                <w:color w:val="auto"/>
                <w:kern w:val="0"/>
                <w:sz w:val="21"/>
                <w:szCs w:val="21"/>
                <w:lang w:val="en-US" w:eastAsia="zh-CN"/>
              </w:rPr>
              <w:t>20天。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kern w:val="0"/>
                <w:sz w:val="24"/>
              </w:rPr>
            </w:pPr>
            <w:r>
              <w:rPr>
                <w:rFonts w:hint="eastAsia" w:ascii="宋体" w:hAnsi="宋体"/>
                <w:szCs w:val="21"/>
                <w:lang w:val="en-US" w:eastAsia="zh-CN"/>
              </w:rPr>
              <w:t>自项目通过验收日起，质量保修时间不低于12个月。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napToGrid w:val="0"/>
                <w:spacing w:val="0"/>
                <w:kern w:val="2"/>
                <w:sz w:val="21"/>
                <w:szCs w:val="21"/>
                <w:lang w:val="en-US" w:eastAsia="zh-CN" w:bidi="ar-SA"/>
              </w:rPr>
            </w:pPr>
            <w:r>
              <w:rPr>
                <w:rFonts w:hint="eastAsia" w:ascii="宋体" w:hAnsi="宋体" w:cs="宋体"/>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auto"/>
                <w:szCs w:val="21"/>
                <w:highlight w:val="none"/>
                <w:lang w:val="en-US" w:eastAsia="zh-CN"/>
              </w:rPr>
              <w:t>验收</w:t>
            </w:r>
          </w:p>
        </w:tc>
        <w:tc>
          <w:tcPr>
            <w:tcW w:w="6847" w:type="dxa"/>
            <w:tcBorders>
              <w:top w:val="single" w:color="auto" w:sz="4" w:space="0"/>
              <w:left w:val="single" w:color="auto" w:sz="4" w:space="0"/>
              <w:bottom w:val="single" w:color="auto" w:sz="4" w:space="0"/>
              <w:right w:val="single" w:color="auto" w:sz="4" w:space="0"/>
            </w:tcBorders>
            <w:vAlign w:val="center"/>
          </w:tcPr>
          <w:p>
            <w:pPr>
              <w:pStyle w:val="11"/>
              <w:jc w:val="both"/>
              <w:rPr>
                <w:rFonts w:ascii="Times New Roman" w:hAnsi="Times New Roman" w:eastAsia="宋体"/>
              </w:rPr>
            </w:pPr>
            <w:r>
              <w:rPr>
                <w:rFonts w:hint="eastAsia" w:ascii="Times New Roman" w:hAnsi="Times New Roman" w:eastAsia="宋体"/>
              </w:rPr>
              <w:t>（1）根据</w:t>
            </w:r>
            <w:r>
              <w:rPr>
                <w:rFonts w:hint="eastAsia" w:ascii="Times New Roman" w:hAnsi="Times New Roman" w:eastAsia="宋体"/>
                <w:lang w:val="en-US" w:eastAsia="zh-CN"/>
              </w:rPr>
              <w:t>参加单位</w:t>
            </w:r>
            <w:r>
              <w:rPr>
                <w:rFonts w:hint="eastAsia" w:ascii="Times New Roman" w:hAnsi="Times New Roman" w:eastAsia="宋体"/>
              </w:rPr>
              <w:t>投标文件表述及合同约定的技术标准，</w:t>
            </w:r>
            <w:r>
              <w:rPr>
                <w:rFonts w:hint="eastAsia" w:ascii="Times New Roman" w:hAnsi="Times New Roman" w:eastAsia="宋体"/>
                <w:lang w:val="en-US" w:eastAsia="zh-CN"/>
              </w:rPr>
              <w:t>采购</w:t>
            </w:r>
            <w:r>
              <w:rPr>
                <w:rFonts w:hint="eastAsia" w:ascii="Times New Roman" w:hAnsi="Times New Roman" w:eastAsia="宋体"/>
              </w:rPr>
              <w:t>人</w:t>
            </w:r>
            <w:r>
              <w:rPr>
                <w:rFonts w:hint="eastAsia" w:ascii="Times New Roman" w:hAnsi="Times New Roman" w:eastAsia="宋体"/>
                <w:lang w:val="en-US" w:eastAsia="zh-CN"/>
              </w:rPr>
              <w:t>组织相关</w:t>
            </w:r>
            <w:r>
              <w:rPr>
                <w:rFonts w:hint="eastAsia" w:ascii="Times New Roman" w:hAnsi="Times New Roman" w:eastAsia="宋体"/>
              </w:rPr>
              <w:t>部门结合现场实际产品进行验收。</w:t>
            </w:r>
          </w:p>
          <w:p>
            <w:pPr>
              <w:pStyle w:val="14"/>
              <w:ind w:left="0" w:leftChars="0"/>
              <w:rPr>
                <w:rFonts w:hint="eastAsia" w:ascii="Calibri" w:hAnsi="Calibri" w:eastAsia="宋体" w:cs="Times New Roman"/>
                <w:sz w:val="21"/>
                <w:szCs w:val="22"/>
              </w:rPr>
            </w:pPr>
            <w:r>
              <w:rPr>
                <w:rFonts w:hint="eastAsia" w:ascii="Calibri" w:hAnsi="Calibri" w:eastAsia="宋体" w:cs="Times New Roman"/>
                <w:color w:val="auto"/>
                <w:sz w:val="21"/>
                <w:szCs w:val="22"/>
                <w:lang w:eastAsia="zh-CN"/>
              </w:rPr>
              <w:t>（</w:t>
            </w:r>
            <w:r>
              <w:rPr>
                <w:rFonts w:hint="eastAsia" w:ascii="Calibri" w:hAnsi="Calibri" w:eastAsia="宋体" w:cs="Times New Roman"/>
                <w:color w:val="auto"/>
                <w:sz w:val="21"/>
                <w:szCs w:val="22"/>
                <w:lang w:val="en-US" w:eastAsia="zh-CN"/>
              </w:rPr>
              <w:t>2</w:t>
            </w:r>
            <w:r>
              <w:rPr>
                <w:rFonts w:hint="eastAsia" w:ascii="Calibri" w:hAnsi="Calibri" w:eastAsia="宋体" w:cs="Times New Roman"/>
                <w:color w:val="auto"/>
                <w:sz w:val="21"/>
                <w:szCs w:val="22"/>
                <w:lang w:eastAsia="zh-CN"/>
              </w:rPr>
              <w:t>）</w:t>
            </w:r>
            <w:r>
              <w:rPr>
                <w:rFonts w:hint="eastAsia" w:ascii="Calibri" w:hAnsi="Calibri" w:eastAsia="宋体" w:cs="Times New Roman"/>
                <w:color w:val="auto"/>
                <w:sz w:val="21"/>
                <w:szCs w:val="22"/>
              </w:rPr>
              <w:t>工程质量验收不合格，经整改后，另行验收，整改费用由</w:t>
            </w:r>
            <w:r>
              <w:rPr>
                <w:rFonts w:hint="eastAsia" w:cs="Times New Roman"/>
                <w:sz w:val="21"/>
                <w:szCs w:val="22"/>
                <w:lang w:val="en-US" w:eastAsia="zh-CN"/>
              </w:rPr>
              <w:t>参加单位</w:t>
            </w:r>
            <w:r>
              <w:rPr>
                <w:rFonts w:hint="eastAsia" w:ascii="Calibri" w:hAnsi="Calibri" w:eastAsia="宋体" w:cs="Times New Roman"/>
                <w:color w:val="auto"/>
                <w:sz w:val="21"/>
                <w:szCs w:val="22"/>
              </w:rPr>
              <w:t>承担。整改后仍不合格，</w:t>
            </w:r>
            <w:r>
              <w:rPr>
                <w:rFonts w:hint="eastAsia" w:cs="Times New Roman"/>
                <w:sz w:val="21"/>
                <w:szCs w:val="22"/>
                <w:lang w:val="en-US" w:eastAsia="zh-CN"/>
              </w:rPr>
              <w:t>采购</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可要求</w:t>
            </w:r>
            <w:r>
              <w:rPr>
                <w:rFonts w:hint="eastAsia" w:cs="Times New Roman"/>
                <w:sz w:val="21"/>
                <w:szCs w:val="22"/>
                <w:lang w:val="en-US" w:eastAsia="zh-CN"/>
              </w:rPr>
              <w:t>参加单位</w:t>
            </w:r>
            <w:r>
              <w:rPr>
                <w:rFonts w:hint="eastAsia" w:ascii="Calibri" w:hAnsi="Calibri" w:eastAsia="宋体" w:cs="Times New Roman"/>
                <w:color w:val="auto"/>
                <w:sz w:val="21"/>
                <w:szCs w:val="22"/>
              </w:rPr>
              <w:t>继续整改，整改费用由</w:t>
            </w:r>
            <w:r>
              <w:rPr>
                <w:rFonts w:hint="eastAsia" w:cs="Times New Roman"/>
                <w:sz w:val="21"/>
                <w:szCs w:val="22"/>
                <w:lang w:val="en-US" w:eastAsia="zh-CN"/>
              </w:rPr>
              <w:t>参加单位</w:t>
            </w:r>
            <w:r>
              <w:rPr>
                <w:rFonts w:hint="eastAsia" w:ascii="Calibri" w:hAnsi="Calibri" w:eastAsia="宋体" w:cs="Times New Roman"/>
                <w:color w:val="auto"/>
                <w:sz w:val="21"/>
                <w:szCs w:val="22"/>
              </w:rPr>
              <w:t>承担，也可要求</w:t>
            </w:r>
            <w:r>
              <w:rPr>
                <w:rFonts w:hint="eastAsia" w:cs="Times New Roman"/>
                <w:sz w:val="21"/>
                <w:szCs w:val="22"/>
                <w:lang w:val="en-US" w:eastAsia="zh-CN"/>
              </w:rPr>
              <w:t>参加单位</w:t>
            </w:r>
            <w:r>
              <w:rPr>
                <w:rFonts w:hint="eastAsia" w:ascii="Calibri" w:hAnsi="Calibri" w:eastAsia="宋体" w:cs="Times New Roman"/>
                <w:color w:val="auto"/>
                <w:sz w:val="21"/>
                <w:szCs w:val="22"/>
              </w:rPr>
              <w:t>离场并赔偿不合格项目的损失。</w:t>
            </w:r>
          </w:p>
          <w:p>
            <w:pPr>
              <w:pStyle w:val="29"/>
              <w:spacing w:line="0" w:lineRule="atLeast"/>
              <w:ind w:firstLine="0" w:firstLineChars="0"/>
              <w:rPr>
                <w:rFonts w:hint="eastAsia" w:ascii="Calibri" w:hAnsi="Calibri" w:eastAsia="宋体" w:cs="Times New Roman"/>
                <w:color w:val="auto"/>
                <w:sz w:val="21"/>
                <w:szCs w:val="22"/>
                <w:highlight w:val="none"/>
              </w:rPr>
            </w:pPr>
            <w:r>
              <w:rPr>
                <w:rFonts w:hint="eastAsia" w:eastAsia="宋体" w:cs="Times New Roman"/>
                <w:sz w:val="21"/>
                <w:szCs w:val="22"/>
                <w:highlight w:val="none"/>
                <w:lang w:eastAsia="zh-CN"/>
              </w:rPr>
              <w:t>（</w:t>
            </w:r>
            <w:r>
              <w:rPr>
                <w:rFonts w:hint="eastAsia" w:eastAsia="宋体" w:cs="Times New Roman"/>
                <w:sz w:val="21"/>
                <w:szCs w:val="22"/>
                <w:highlight w:val="none"/>
                <w:lang w:val="en-US" w:eastAsia="zh-CN"/>
              </w:rPr>
              <w:t>3）</w:t>
            </w:r>
            <w:r>
              <w:rPr>
                <w:rFonts w:hint="eastAsia" w:ascii="Calibri" w:hAnsi="Calibri" w:eastAsia="宋体" w:cs="Times New Roman"/>
                <w:color w:val="auto"/>
                <w:sz w:val="21"/>
                <w:szCs w:val="22"/>
                <w:highlight w:val="none"/>
              </w:rPr>
              <w:t>在工程质量验收合格后，</w:t>
            </w:r>
            <w:r>
              <w:rPr>
                <w:rFonts w:hint="eastAsia" w:ascii="Calibri" w:hAnsi="Calibri" w:eastAsia="宋体" w:cs="Times New Roman"/>
                <w:color w:val="auto"/>
                <w:sz w:val="21"/>
                <w:szCs w:val="22"/>
                <w:highlight w:val="none"/>
                <w:lang w:val="en-US" w:eastAsia="zh-CN"/>
              </w:rPr>
              <w:t>出具验收报告</w:t>
            </w:r>
            <w:r>
              <w:rPr>
                <w:rFonts w:hint="eastAsia" w:ascii="Calibri" w:hAnsi="Calibri" w:eastAsia="宋体" w:cs="Times New Roman"/>
                <w:color w:val="auto"/>
                <w:sz w:val="21"/>
                <w:szCs w:val="22"/>
                <w:highlight w:val="none"/>
              </w:rPr>
              <w:t>。</w:t>
            </w:r>
          </w:p>
          <w:p>
            <w:pPr>
              <w:pStyle w:val="29"/>
              <w:spacing w:line="0" w:lineRule="atLeast"/>
              <w:ind w:firstLine="0" w:firstLineChars="0"/>
              <w:rPr>
                <w:rFonts w:hint="eastAsia" w:ascii="Calibri" w:hAnsi="Calibri" w:eastAsia="宋体" w:cs="Times New Roman"/>
                <w:color w:val="auto"/>
                <w:kern w:val="2"/>
                <w:sz w:val="21"/>
                <w:szCs w:val="22"/>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建筑电气工程施工质量验收规范, GB50055-2011通用用电设备配电设计规范</w:t>
            </w:r>
            <w:r>
              <w:rPr>
                <w:rFonts w:hint="eastAsia" w:ascii="宋体" w:hAnsi="宋体" w:cs="宋体"/>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1"/>
                <w:szCs w:val="21"/>
                <w:lang w:val="en-US" w:eastAsia="zh-CN"/>
              </w:rPr>
              <w:t>维修工程</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numPr>
                <w:ilvl w:val="-1"/>
                <w:numId w:val="0"/>
              </w:numPr>
              <w:spacing w:line="264"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会展中心负11.9米综合管沟的发电机组母线槽连接处锈蚀反碱</w:t>
            </w:r>
            <w:r>
              <w:rPr>
                <w:rFonts w:hint="eastAsia" w:ascii="宋体" w:hAnsi="宋体" w:cs="宋体"/>
                <w:sz w:val="21"/>
                <w:szCs w:val="21"/>
                <w:lang w:val="en-US" w:eastAsia="zh-CN"/>
              </w:rPr>
              <w:t>，需</w:t>
            </w:r>
          </w:p>
          <w:p>
            <w:pPr>
              <w:pStyle w:val="29"/>
              <w:numPr>
                <w:ilvl w:val="-1"/>
                <w:numId w:val="0"/>
              </w:numPr>
              <w:spacing w:line="264" w:lineRule="auto"/>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维修，主要工程量如下：</w:t>
            </w:r>
          </w:p>
          <w:p>
            <w:pPr>
              <w:pStyle w:val="29"/>
              <w:numPr>
                <w:ilvl w:val="0"/>
                <w:numId w:val="12"/>
              </w:numPr>
              <w:spacing w:line="264"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保护性拆除4000A型号XB49L300密集母线连接附件2套；</w:t>
            </w:r>
          </w:p>
          <w:p>
            <w:pPr>
              <w:pStyle w:val="29"/>
              <w:numPr>
                <w:ilvl w:val="0"/>
                <w:numId w:val="12"/>
              </w:numPr>
              <w:spacing w:line="264"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更换4000A型号XB49L300密集母线连接附件2套； </w:t>
            </w:r>
          </w:p>
          <w:p>
            <w:pPr>
              <w:pStyle w:val="29"/>
              <w:numPr>
                <w:ilvl w:val="0"/>
                <w:numId w:val="12"/>
              </w:numPr>
              <w:spacing w:line="264"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维修7米密集母线；</w:t>
            </w:r>
          </w:p>
          <w:p>
            <w:pPr>
              <w:numPr>
                <w:ilvl w:val="0"/>
                <w:numId w:val="12"/>
              </w:numPr>
              <w:ind w:left="425" w:leftChars="0" w:hanging="425" w:firstLineChars="0"/>
              <w:rPr>
                <w:rFonts w:ascii="宋体" w:hAnsi="宋体" w:cs="宋体"/>
                <w:sz w:val="24"/>
              </w:rPr>
            </w:pPr>
            <w:r>
              <w:rPr>
                <w:rFonts w:hint="eastAsia" w:ascii="宋体" w:hAnsi="宋体" w:cs="宋体"/>
                <w:sz w:val="21"/>
                <w:szCs w:val="21"/>
                <w:highlight w:val="yellow"/>
                <w:lang w:val="en-US" w:eastAsia="zh-CN"/>
              </w:rPr>
              <w:t>本项目需高处高业。</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1"/>
                <w:szCs w:val="21"/>
                <w:lang w:val="en-US" w:eastAsia="zh-CN"/>
              </w:rPr>
              <w:t>施工要求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先将发电机转换开关置于停止位置，并将发电机断路器摇出到试验位置后，设置挂接地线、悬挂标识牌；</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搭建脚手架；</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母线槽底部搭设安全支架，母线槽两端增加固定支架</w:t>
            </w:r>
            <w:r>
              <w:rPr>
                <w:rFonts w:hint="eastAsia" w:ascii="宋体" w:hAnsi="宋体" w:eastAsia="宋体" w:cs="宋体"/>
                <w:sz w:val="21"/>
                <w:szCs w:val="21"/>
                <w:lang w:eastAsia="zh-CN"/>
              </w:rPr>
              <w:t>；</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拆开密集母线连接处附件，检测密集母线受潮情况并进行绝缘电阻测试；</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更换新的密集母线连接处附件及紧固螺栓，并做好密封防水处理；</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清除7米密集母线表面残余油漆，并对生锈位置打磨处理；</w:t>
            </w:r>
          </w:p>
          <w:p>
            <w:pPr>
              <w:widowControl/>
              <w:numPr>
                <w:ilvl w:val="0"/>
                <w:numId w:val="13"/>
              </w:numPr>
              <w:spacing w:line="240"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7米密集母线整体除锈清理完成后，先喷涂一层底漆，再喷涂防锈绝缘漆；</w:t>
            </w:r>
          </w:p>
          <w:p>
            <w:pPr>
              <w:pStyle w:val="29"/>
              <w:numPr>
                <w:ilvl w:val="0"/>
                <w:numId w:val="12"/>
              </w:numPr>
              <w:spacing w:line="264"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待油漆干燥后，再进行绝缘电阻测试，测试合格后，启动发电机进行送电试运行；</w:t>
            </w:r>
          </w:p>
          <w:p>
            <w:pPr>
              <w:pStyle w:val="29"/>
              <w:numPr>
                <w:ilvl w:val="0"/>
                <w:numId w:val="12"/>
              </w:numPr>
              <w:spacing w:line="264" w:lineRule="auto"/>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调试运行正常后，清理现场遗留物，拆除脚手架。</w:t>
            </w:r>
          </w:p>
          <w:p>
            <w:pPr>
              <w:widowControl/>
              <w:jc w:val="left"/>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2" w:name="_Toc128989097"/>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维修人员</w:t>
            </w:r>
          </w:p>
          <w:p>
            <w:pPr>
              <w:jc w:val="center"/>
              <w:rPr>
                <w:rFonts w:hint="eastAsia" w:ascii="宋体" w:hAnsi="宋体" w:cs="宋体"/>
                <w:sz w:val="21"/>
                <w:szCs w:val="21"/>
                <w:lang w:val="en-US" w:eastAsia="zh-CN"/>
              </w:rPr>
            </w:pPr>
            <w:r>
              <w:rPr>
                <w:rFonts w:hint="eastAsia" w:ascii="宋体" w:hAnsi="宋体" w:cs="宋体"/>
                <w:sz w:val="21"/>
                <w:szCs w:val="21"/>
                <w:lang w:val="en-US" w:eastAsia="zh-CN"/>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pPr>
            <w:r>
              <w:rPr>
                <w:rFonts w:hint="eastAsia" w:ascii="宋体" w:hAnsi="宋体"/>
                <w:szCs w:val="21"/>
              </w:rPr>
              <w:t>维修人员须具有</w:t>
            </w:r>
            <w:r>
              <w:rPr>
                <w:rFonts w:hint="eastAsia"/>
              </w:rPr>
              <w:t>应急管理</w:t>
            </w:r>
            <w:r>
              <w:rPr>
                <w:rFonts w:hint="eastAsia"/>
                <w:lang w:eastAsia="zh-CN"/>
              </w:rPr>
              <w:t>部门</w:t>
            </w:r>
            <w:r>
              <w:rPr>
                <w:rFonts w:hint="eastAsia"/>
              </w:rPr>
              <w:t>颁发的特种作业操作证，作业类别：电工作业；操作</w:t>
            </w:r>
            <w:r>
              <w:rPr>
                <w:rFonts w:hint="eastAsia"/>
                <w:lang w:eastAsia="zh-CN"/>
              </w:rPr>
              <w:t>项目</w:t>
            </w:r>
            <w:r>
              <w:rPr>
                <w:rFonts w:hint="eastAsia"/>
              </w:rPr>
              <w:t>：</w:t>
            </w:r>
            <w:r>
              <w:rPr>
                <w:rFonts w:hint="eastAsia"/>
                <w:lang w:eastAsia="zh-CN"/>
              </w:rPr>
              <w:t>低</w:t>
            </w:r>
            <w:r>
              <w:rPr>
                <w:rFonts w:hint="eastAsia"/>
              </w:rPr>
              <w:t>压电工作业</w:t>
            </w:r>
            <w:r>
              <w:rPr>
                <w:rFonts w:hint="eastAsia"/>
                <w:lang w:eastAsia="zh-CN"/>
              </w:rPr>
              <w:t>。</w:t>
            </w:r>
          </w:p>
          <w:p>
            <w:pPr>
              <w:widowControl/>
              <w:numPr>
                <w:ilvl w:val="0"/>
                <w:numId w:val="14"/>
              </w:numPr>
              <w:tabs>
                <w:tab w:val="left" w:pos="531"/>
              </w:tabs>
              <w:snapToGrid w:val="0"/>
              <w:jc w:val="left"/>
              <w:rPr>
                <w:rFonts w:hint="eastAsia" w:ascii="宋体" w:hAnsi="宋体" w:eastAsia="宋体" w:cs="宋体"/>
                <w:sz w:val="21"/>
                <w:szCs w:val="21"/>
                <w:lang w:val="en-US" w:eastAsia="zh-CN"/>
              </w:rPr>
            </w:pPr>
            <w:r>
              <w:rPr>
                <w:rFonts w:hint="eastAsia"/>
              </w:rPr>
              <w:t>提供以上人员资格证明文件和近三个月社保清单证明，如开标日上一个月的社保材料因社保部门原因暂时无法取得，则可以往前顺推一个月，社保证明须同时加盖投标人公章。</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r>
        <w:rPr>
          <w:rFonts w:hint="eastAsia" w:ascii="宋体" w:hAnsi="宋体" w:cs="宋体"/>
          <w:b/>
          <w:sz w:val="24"/>
        </w:rPr>
        <w:t>其他项目说明资料</w:t>
      </w:r>
      <w:bookmarkEnd w:id="12"/>
    </w:p>
    <w:p>
      <w:pPr>
        <w:numPr>
          <w:ilvl w:val="0"/>
          <w:numId w:val="0"/>
        </w:numPr>
        <w:spacing w:line="300" w:lineRule="auto"/>
        <w:ind w:left="420" w:leftChars="0" w:firstLine="482" w:firstLineChars="200"/>
        <w:outlineLvl w:val="0"/>
        <w:rPr>
          <w:rFonts w:hint="default" w:ascii="宋体" w:hAnsi="宋体" w:eastAsia="宋体" w:cs="宋体"/>
          <w:b/>
          <w:sz w:val="24"/>
          <w:lang w:val="en-US" w:eastAsia="zh-CN"/>
        </w:rPr>
      </w:pPr>
      <w:bookmarkStart w:id="13" w:name="_Toc128989098"/>
      <w:r>
        <w:rPr>
          <w:rFonts w:hint="eastAsia" w:ascii="宋体" w:hAnsi="宋体" w:cs="宋体"/>
          <w:b/>
          <w:sz w:val="24"/>
          <w:lang w:val="en-US" w:eastAsia="zh-CN"/>
        </w:rPr>
        <w:t>无</w:t>
      </w:r>
    </w:p>
    <w:p>
      <w:pPr>
        <w:numPr>
          <w:ilvl w:val="0"/>
          <w:numId w:val="1"/>
        </w:numPr>
        <w:spacing w:line="300" w:lineRule="auto"/>
        <w:outlineLvl w:val="0"/>
        <w:rPr>
          <w:rFonts w:ascii="宋体" w:hAnsi="宋体" w:cs="宋体"/>
          <w:b/>
          <w:sz w:val="24"/>
        </w:rPr>
      </w:pPr>
      <w:r>
        <w:rPr>
          <w:rFonts w:hint="eastAsia" w:ascii="宋体" w:hAnsi="宋体" w:cs="宋体"/>
          <w:b/>
          <w:sz w:val="24"/>
        </w:rPr>
        <w:t>开标评标流程</w:t>
      </w:r>
      <w:bookmarkEnd w:id="13"/>
    </w:p>
    <w:p>
      <w:pPr>
        <w:numPr>
          <w:ilvl w:val="0"/>
          <w:numId w:val="15"/>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5"/>
        </w:numPr>
        <w:ind w:hanging="5"/>
        <w:rPr>
          <w:rFonts w:ascii="宋体" w:hAnsi="宋体" w:cs="宋体"/>
          <w:szCs w:val="21"/>
        </w:rPr>
      </w:pPr>
      <w:r>
        <w:rPr>
          <w:rFonts w:hint="eastAsia" w:ascii="宋体" w:hAnsi="宋体"/>
          <w:szCs w:val="21"/>
        </w:rPr>
        <w:t>宣读开标注意事项、流程；</w:t>
      </w:r>
    </w:p>
    <w:p>
      <w:pPr>
        <w:numPr>
          <w:ilvl w:val="0"/>
          <w:numId w:val="15"/>
        </w:numPr>
        <w:ind w:hanging="5"/>
        <w:rPr>
          <w:rFonts w:ascii="宋体" w:hAnsi="宋体" w:cs="宋体"/>
          <w:szCs w:val="21"/>
        </w:rPr>
      </w:pPr>
      <w:r>
        <w:rPr>
          <w:rFonts w:hint="eastAsia" w:ascii="宋体" w:hAnsi="宋体" w:cs="宋体"/>
          <w:szCs w:val="21"/>
        </w:rPr>
        <w:t>评标小组推选组长；</w:t>
      </w:r>
    </w:p>
    <w:p>
      <w:pPr>
        <w:numPr>
          <w:ilvl w:val="0"/>
          <w:numId w:val="15"/>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5"/>
        </w:numPr>
        <w:ind w:hanging="5"/>
        <w:rPr>
          <w:rFonts w:ascii="宋体" w:hAnsi="宋体" w:cs="宋体"/>
          <w:szCs w:val="21"/>
        </w:rPr>
      </w:pPr>
      <w:r>
        <w:rPr>
          <w:rFonts w:hint="eastAsia" w:ascii="宋体" w:hAnsi="宋体" w:cs="宋体"/>
          <w:szCs w:val="21"/>
        </w:rPr>
        <w:t>商务及技术/服务需求响应性评定；</w:t>
      </w:r>
    </w:p>
    <w:p>
      <w:pPr>
        <w:numPr>
          <w:ilvl w:val="0"/>
          <w:numId w:val="15"/>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6"/>
        </w:numPr>
        <w:spacing w:line="300" w:lineRule="auto"/>
        <w:jc w:val="center"/>
        <w:outlineLvl w:val="1"/>
        <w:rPr>
          <w:rFonts w:ascii="宋体" w:hAnsi="宋体" w:cs="宋体"/>
          <w:sz w:val="24"/>
        </w:rPr>
      </w:pPr>
      <w:bookmarkStart w:id="15" w:name="_Toc128989100"/>
      <w:r>
        <w:rPr>
          <w:rStyle w:val="27"/>
          <w:rFonts w:hint="eastAsia" w:ascii="宋体" w:hAnsi="宋体" w:cs="宋体"/>
          <w:b/>
          <w:bCs/>
          <w:sz w:val="24"/>
        </w:rPr>
        <w:t>符合性检查</w:t>
      </w:r>
      <w:bookmarkEnd w:id="15"/>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是否提供以下证明文件：</w:t>
            </w:r>
          </w:p>
          <w:p>
            <w:pPr>
              <w:numPr>
                <w:ilvl w:val="0"/>
                <w:numId w:val="17"/>
              </w:numPr>
              <w:tabs>
                <w:tab w:val="left" w:pos="531"/>
              </w:tabs>
              <w:snapToGrid w:val="0"/>
              <w:rPr>
                <w:rFonts w:ascii="宋体" w:hAnsi="宋体" w:cs="宋体"/>
                <w:color w:val="auto"/>
                <w:szCs w:val="21"/>
                <w:highlight w:val="none"/>
              </w:rPr>
            </w:pP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17"/>
              </w:numPr>
              <w:tabs>
                <w:tab w:val="left" w:pos="531"/>
              </w:tabs>
              <w:snapToGrid w:val="0"/>
              <w:rPr>
                <w:rFonts w:ascii="宋体" w:hAnsi="宋体" w:cs="宋体"/>
                <w:color w:val="auto"/>
                <w:kern w:val="0"/>
                <w:sz w:val="21"/>
                <w:szCs w:val="21"/>
                <w:highlight w:val="none"/>
              </w:rPr>
            </w:pPr>
            <w:r>
              <w:rPr>
                <w:rFonts w:hint="eastAsia" w:ascii="宋体" w:hAnsi="宋体" w:cs="宋体"/>
                <w:color w:val="auto"/>
                <w:szCs w:val="21"/>
                <w:highlight w:val="none"/>
                <w:lang w:val="en-US" w:eastAsia="zh-CN"/>
              </w:rPr>
              <w:t>参加单位的</w:t>
            </w:r>
            <w:r>
              <w:rPr>
                <w:rFonts w:hint="eastAsia" w:ascii="宋体" w:hAnsi="宋体" w:cs="宋体"/>
                <w:color w:val="auto"/>
                <w:szCs w:val="21"/>
                <w:highlight w:val="none"/>
              </w:rPr>
              <w:t>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7"/>
              </w:numPr>
              <w:tabs>
                <w:tab w:val="left" w:pos="531"/>
              </w:tabs>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cs="宋体"/>
                <w:color w:val="auto"/>
                <w:szCs w:val="21"/>
                <w:highlight w:val="none"/>
              </w:rPr>
              <w:t>应具有建筑机电安装工程专业承包资质或承装（修、试）电力设施许可证资质</w:t>
            </w:r>
            <w:r>
              <w:rPr>
                <w:rFonts w:hint="eastAsia" w:ascii="宋体" w:hAnsi="宋体" w:cs="宋体"/>
                <w:color w:val="auto"/>
                <w:szCs w:val="21"/>
                <w:highlight w:val="none"/>
                <w:lang w:eastAsia="zh-CN"/>
              </w:rPr>
              <w:t>。</w:t>
            </w:r>
          </w:p>
          <w:p>
            <w:pPr>
              <w:numPr>
                <w:ilvl w:val="0"/>
                <w:numId w:val="17"/>
              </w:numPr>
              <w:tabs>
                <w:tab w:val="left" w:pos="531"/>
              </w:tabs>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rPr>
              <w:t>须具有</w:t>
            </w:r>
            <w:r>
              <w:rPr>
                <w:rFonts w:hint="eastAsia" w:ascii="宋体" w:hAnsi="宋体" w:cs="宋体"/>
                <w:color w:val="auto"/>
                <w:kern w:val="0"/>
                <w:sz w:val="21"/>
                <w:szCs w:val="21"/>
                <w:highlight w:val="none"/>
              </w:rPr>
              <w:t>机电安装或维护相关经验</w:t>
            </w:r>
            <w:r>
              <w:rPr>
                <w:rFonts w:hint="eastAsia" w:ascii="宋体" w:hAnsi="宋体" w:eastAsia="宋体" w:cs="宋体"/>
                <w:color w:val="auto"/>
                <w:szCs w:val="21"/>
                <w:highlight w:val="none"/>
              </w:rPr>
              <w:t>。</w:t>
            </w:r>
            <w:r>
              <w:rPr>
                <w:rFonts w:hint="eastAsia" w:ascii="宋体" w:hAnsi="宋体" w:cs="宋体"/>
                <w:color w:val="auto"/>
                <w:kern w:val="0"/>
                <w:sz w:val="21"/>
                <w:szCs w:val="21"/>
                <w:highlight w:val="none"/>
              </w:rPr>
              <w:t>相关项目案例不少于2个</w:t>
            </w:r>
            <w:r>
              <w:rPr>
                <w:rFonts w:hint="eastAsia" w:ascii="宋体" w:hAnsi="宋体" w:eastAsia="宋体" w:cs="宋体"/>
                <w:color w:val="auto"/>
                <w:szCs w:val="21"/>
                <w:highlight w:val="none"/>
              </w:rPr>
              <w:t>。（提供202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年1月1日至本项目开标日所签订的</w:t>
            </w:r>
            <w:r>
              <w:rPr>
                <w:rFonts w:hint="eastAsia" w:ascii="宋体" w:hAnsi="宋体" w:cs="宋体"/>
                <w:color w:val="auto"/>
                <w:kern w:val="0"/>
                <w:sz w:val="21"/>
                <w:szCs w:val="21"/>
                <w:highlight w:val="none"/>
              </w:rPr>
              <w:t>机电安装或维护</w:t>
            </w:r>
            <w:r>
              <w:rPr>
                <w:rFonts w:hint="eastAsia" w:ascii="宋体" w:hAnsi="宋体" w:eastAsia="宋体" w:cs="宋体"/>
                <w:color w:val="auto"/>
                <w:szCs w:val="21"/>
                <w:highlight w:val="none"/>
              </w:rPr>
              <w:t>保养合同2个）</w:t>
            </w:r>
          </w:p>
          <w:p>
            <w:pPr>
              <w:numPr>
                <w:ilvl w:val="0"/>
                <w:numId w:val="17"/>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color w:val="auto"/>
                <w:szCs w:val="21"/>
              </w:rPr>
            </w:pPr>
            <w:r>
              <w:rPr>
                <w:rFonts w:hint="eastAsia" w:ascii="宋体" w:hAnsi="宋体" w:cs="宋体"/>
                <w:color w:val="auto"/>
                <w:szCs w:val="21"/>
              </w:rPr>
              <w:t>本项目报价是否超过人民币</w:t>
            </w:r>
            <w:r>
              <w:rPr>
                <w:rFonts w:hint="eastAsia" w:ascii="宋体" w:hAnsi="宋体" w:cs="宋体"/>
                <w:color w:val="auto"/>
                <w:szCs w:val="21"/>
                <w:lang w:val="en-US" w:eastAsia="zh-CN"/>
              </w:rPr>
              <w:t>3.69</w:t>
            </w:r>
            <w:r>
              <w:rPr>
                <w:rFonts w:hint="eastAsia" w:ascii="宋体" w:hAnsi="宋体" w:cs="宋体"/>
                <w:color w:val="auto"/>
                <w:szCs w:val="21"/>
              </w:rPr>
              <w:t>万元（含税）</w:t>
            </w:r>
            <w:r>
              <w:rPr>
                <w:rFonts w:hint="eastAsia" w:ascii="宋体" w:hAnsi="宋体" w:cs="仿宋"/>
                <w:color w:val="auto"/>
                <w:szCs w:val="21"/>
              </w:rPr>
              <w:t>，超过上述控制金额的视为无效报价</w:t>
            </w:r>
            <w:r>
              <w:rPr>
                <w:rFonts w:hint="eastAsia" w:ascii="宋体" w:hAnsi="宋体" w:cs="宋体"/>
                <w:color w:val="auto"/>
                <w:szCs w:val="21"/>
              </w:rPr>
              <w:t>。</w:t>
            </w:r>
          </w:p>
        </w:tc>
      </w:tr>
    </w:tbl>
    <w:p>
      <w:pPr>
        <w:numPr>
          <w:ilvl w:val="0"/>
          <w:numId w:val="16"/>
        </w:numPr>
        <w:spacing w:before="156" w:beforeLines="50" w:line="300" w:lineRule="auto"/>
        <w:jc w:val="center"/>
        <w:outlineLvl w:val="1"/>
        <w:rPr>
          <w:rStyle w:val="27"/>
          <w:rFonts w:ascii="宋体" w:hAnsi="宋体" w:cs="宋体"/>
          <w:b/>
          <w:bCs/>
          <w:sz w:val="24"/>
        </w:rPr>
      </w:pPr>
      <w:bookmarkStart w:id="16" w:name="_Toc128989101"/>
      <w:r>
        <w:rPr>
          <w:rStyle w:val="27"/>
          <w:rFonts w:hint="eastAsia" w:ascii="宋体" w:hAnsi="宋体" w:cs="宋体"/>
          <w:b/>
          <w:bCs/>
          <w:sz w:val="24"/>
        </w:rPr>
        <w:t>价格评议</w:t>
      </w:r>
      <w:bookmarkEnd w:id="16"/>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w:t>
            </w:r>
            <w:r>
              <w:rPr>
                <w:rFonts w:hint="eastAsia" w:ascii="宋体" w:hAnsi="宋体" w:cs="宋体"/>
                <w:szCs w:val="21"/>
                <w:lang w:val="en-US" w:eastAsia="zh-CN"/>
              </w:rPr>
              <w:t>未</w:t>
            </w:r>
            <w:r>
              <w:rPr>
                <w:rFonts w:hint="eastAsia"/>
                <w:lang w:val="en-US" w:eastAsia="zh-CN"/>
              </w:rPr>
              <w:t>税前价格最低</w:t>
            </w:r>
            <w:r>
              <w:rPr>
                <w:rFonts w:hint="eastAsia" w:ascii="宋体" w:hAnsi="宋体" w:cs="宋体"/>
                <w:szCs w:val="21"/>
              </w:rPr>
              <w:t>得分最高。</w:t>
            </w:r>
          </w:p>
        </w:tc>
      </w:tr>
    </w:tbl>
    <w:p>
      <w:pPr>
        <w:numPr>
          <w:ilvl w:val="0"/>
          <w:numId w:val="1"/>
        </w:numPr>
        <w:spacing w:line="300" w:lineRule="auto"/>
        <w:outlineLvl w:val="0"/>
        <w:rPr>
          <w:rFonts w:ascii="宋体" w:hAnsi="宋体" w:cs="宋体"/>
          <w:b/>
          <w:sz w:val="24"/>
        </w:rPr>
      </w:pPr>
      <w:bookmarkStart w:id="17" w:name="_Toc128989102"/>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28989103"/>
      <w:r>
        <w:rPr>
          <w:rFonts w:hint="eastAsia" w:ascii="宋体" w:hAnsi="宋体" w:cs="宋体"/>
          <w:b/>
          <w:sz w:val="24"/>
        </w:rPr>
        <w:t>合同条款及格式</w:t>
      </w:r>
      <w:bookmarkEnd w:id="18"/>
    </w:p>
    <w:p>
      <w:pPr>
        <w:pStyle w:val="29"/>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方正小标宋简体" w:hAnsi="方正小标宋简体" w:eastAsia="方正小标宋简体" w:cs="方正小标宋简体"/>
          <w:sz w:val="28"/>
          <w:szCs w:val="28"/>
          <w:lang w:eastAsia="zh-CN"/>
        </w:rPr>
        <w:t>深圳会展中心发电机组母线槽锈蚀反碱紧急维修</w:t>
      </w:r>
      <w:r>
        <w:rPr>
          <w:rFonts w:hint="eastAsia" w:ascii="方正小标宋简体" w:hAnsi="方正小标宋简体" w:eastAsia="方正小标宋简体" w:cs="方正小标宋简体"/>
          <w:bCs/>
          <w:kern w:val="0"/>
          <w:sz w:val="28"/>
          <w:szCs w:val="28"/>
        </w:rPr>
        <w:t>合同</w:t>
      </w:r>
    </w:p>
    <w:bookmarkEnd w:id="19"/>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6"/>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及其它有关法律、法规、标准规范和招标文件要求，甲、乙双方本着平等、自愿、公平和诚实信用原则，就甲方委托乙方实施深圳会展中心发电机组母线槽锈蚀反碱紧急维修项目，经协商达成一致，签订本合同。</w:t>
      </w:r>
    </w:p>
    <w:p>
      <w:pPr>
        <w:adjustRightInd w:val="0"/>
        <w:snapToGrid w:val="0"/>
        <w:spacing w:line="360" w:lineRule="auto"/>
        <w:ind w:firstLine="120" w:firstLineChars="50"/>
        <w:rPr>
          <w:rFonts w:hint="eastAsia" w:ascii="宋体" w:hAnsi="宋体" w:eastAsia="宋体" w:cs="宋体"/>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第1条  项目概况</w:t>
      </w:r>
    </w:p>
    <w:p>
      <w:pPr>
        <w:adjustRightInd w:val="0"/>
        <w:snapToGrid w:val="0"/>
        <w:spacing w:line="360" w:lineRule="auto"/>
        <w:ind w:left="1051" w:leftChars="271" w:hanging="482" w:hangingChars="201"/>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 </w:t>
      </w:r>
      <w:r>
        <w:rPr>
          <w:rFonts w:hint="eastAsia" w:ascii="宋体" w:hAnsi="宋体" w:eastAsia="宋体" w:cs="宋体"/>
          <w:sz w:val="24"/>
          <w:szCs w:val="24"/>
        </w:rPr>
        <w:t>项目名称：</w:t>
      </w:r>
      <w:r>
        <w:rPr>
          <w:rFonts w:hint="eastAsia" w:ascii="宋体" w:hAnsi="宋体" w:cs="宋体"/>
          <w:sz w:val="24"/>
          <w:szCs w:val="24"/>
          <w:lang w:eastAsia="zh-CN"/>
        </w:rPr>
        <w:t>深圳</w:t>
      </w:r>
      <w:r>
        <w:rPr>
          <w:rFonts w:hint="eastAsia" w:ascii="宋体" w:hAnsi="宋体" w:eastAsia="宋体" w:cs="宋体"/>
          <w:sz w:val="24"/>
          <w:szCs w:val="24"/>
        </w:rPr>
        <w:t>会展中心发电机组母线槽锈蚀反碱紧急维修项目</w:t>
      </w:r>
      <w:r>
        <w:rPr>
          <w:rFonts w:hint="eastAsia" w:ascii="宋体" w:hAnsi="宋体" w:eastAsia="宋体" w:cs="宋体"/>
          <w:color w:val="000000"/>
          <w:sz w:val="24"/>
          <w:szCs w:val="24"/>
        </w:rPr>
        <w:t xml:space="preserve">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 项目地点：</w:t>
      </w:r>
      <w:r>
        <w:rPr>
          <w:rFonts w:hint="eastAsia" w:ascii="宋体" w:hAnsi="宋体" w:eastAsia="宋体" w:cs="宋体"/>
          <w:color w:val="000000"/>
          <w:sz w:val="24"/>
          <w:szCs w:val="24"/>
          <w:u w:val="single"/>
        </w:rPr>
        <w:t xml:space="preserve">深圳会展中心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 项目内容：</w:t>
      </w:r>
      <w:r>
        <w:rPr>
          <w:rFonts w:hint="eastAsia" w:ascii="宋体" w:hAnsi="宋体" w:eastAsia="宋体" w:cs="宋体"/>
          <w:sz w:val="24"/>
          <w:szCs w:val="24"/>
        </w:rPr>
        <w:t>会展中心负11.9米综合管沟的发电机组母线槽上方</w:t>
      </w:r>
      <w:r>
        <w:rPr>
          <w:rFonts w:hint="eastAsia" w:ascii="宋体" w:hAnsi="宋体" w:eastAsia="宋体" w:cs="宋体"/>
          <w:sz w:val="24"/>
          <w:szCs w:val="24"/>
          <w:lang w:val="en-US" w:eastAsia="zh-CN"/>
        </w:rPr>
        <w:t>因</w:t>
      </w:r>
      <w:r>
        <w:rPr>
          <w:rFonts w:hint="eastAsia" w:ascii="宋体" w:hAnsi="宋体" w:eastAsia="宋体" w:cs="宋体"/>
          <w:sz w:val="24"/>
          <w:szCs w:val="24"/>
        </w:rPr>
        <w:t>滴水，导致</w:t>
      </w:r>
      <w:r>
        <w:rPr>
          <w:rFonts w:hint="eastAsia" w:ascii="宋体" w:hAnsi="宋体" w:eastAsia="宋体" w:cs="宋体"/>
          <w:sz w:val="24"/>
          <w:szCs w:val="24"/>
          <w:lang w:val="en-US" w:eastAsia="zh-CN"/>
        </w:rPr>
        <w:t>1段</w:t>
      </w:r>
      <w:r>
        <w:rPr>
          <w:rFonts w:hint="eastAsia" w:ascii="宋体" w:hAnsi="宋体" w:eastAsia="宋体" w:cs="宋体"/>
          <w:sz w:val="24"/>
          <w:szCs w:val="24"/>
        </w:rPr>
        <w:t>母线槽连接处锈蚀反碱</w:t>
      </w:r>
      <w:r>
        <w:rPr>
          <w:rFonts w:hint="eastAsia" w:ascii="宋体" w:hAnsi="宋体" w:eastAsia="宋体" w:cs="宋体"/>
          <w:sz w:val="24"/>
          <w:szCs w:val="24"/>
          <w:lang w:val="en-US" w:eastAsia="zh-CN"/>
        </w:rPr>
        <w:t>后的维修，主要工程量：1、保护性拆除4000A型号XB49L3002密集母线连接附件套；2、</w:t>
      </w:r>
      <w:r>
        <w:rPr>
          <w:rFonts w:hint="eastAsia" w:ascii="宋体" w:hAnsi="宋体" w:cs="宋体"/>
          <w:sz w:val="24"/>
          <w:szCs w:val="24"/>
          <w:lang w:val="en-US" w:eastAsia="zh-CN"/>
        </w:rPr>
        <w:t>更换</w:t>
      </w:r>
      <w:r>
        <w:rPr>
          <w:rFonts w:hint="eastAsia" w:ascii="宋体" w:hAnsi="宋体" w:eastAsia="宋体" w:cs="宋体"/>
          <w:sz w:val="24"/>
          <w:szCs w:val="24"/>
          <w:lang w:val="en-US" w:eastAsia="zh-CN"/>
        </w:rPr>
        <w:t>2套4000A型号XB49L300密集母线连接附件； 3、清理7米密集母线表面氧化</w:t>
      </w:r>
      <w:r>
        <w:rPr>
          <w:rFonts w:hint="eastAsia" w:ascii="宋体" w:hAnsi="宋体" w:cs="宋体"/>
          <w:sz w:val="24"/>
          <w:szCs w:val="24"/>
          <w:lang w:val="en-US" w:eastAsia="zh-CN"/>
        </w:rPr>
        <w:t>层</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对</w:t>
      </w:r>
      <w:r>
        <w:rPr>
          <w:rFonts w:hint="eastAsia" w:ascii="宋体" w:hAnsi="宋体" w:eastAsia="宋体" w:cs="宋体"/>
          <w:sz w:val="24"/>
          <w:szCs w:val="24"/>
          <w:lang w:val="en-US" w:eastAsia="zh-CN"/>
        </w:rPr>
        <w:t>7米密集母线表面</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防锈</w:t>
      </w:r>
      <w:r>
        <w:rPr>
          <w:rFonts w:hint="eastAsia" w:ascii="宋体" w:hAnsi="宋体" w:cs="宋体"/>
          <w:sz w:val="24"/>
          <w:szCs w:val="24"/>
          <w:lang w:val="en-US" w:eastAsia="zh-CN"/>
        </w:rPr>
        <w:t>处理后，</w:t>
      </w:r>
      <w:r>
        <w:rPr>
          <w:rFonts w:hint="eastAsia" w:ascii="宋体" w:hAnsi="宋体" w:eastAsia="宋体" w:cs="宋体"/>
          <w:sz w:val="24"/>
          <w:szCs w:val="24"/>
          <w:lang w:val="en-US" w:eastAsia="zh-CN"/>
        </w:rPr>
        <w:t>先喷涂一层底漆，再喷涂防锈绝缘漆</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母线槽维修前后绝缘</w:t>
      </w:r>
      <w:r>
        <w:rPr>
          <w:rFonts w:hint="eastAsia" w:ascii="宋体" w:hAnsi="宋体" w:cs="宋体"/>
          <w:sz w:val="24"/>
          <w:szCs w:val="24"/>
          <w:lang w:val="en-US" w:eastAsia="zh-CN"/>
        </w:rPr>
        <w:t>、耐压以及</w:t>
      </w:r>
      <w:r>
        <w:rPr>
          <w:rFonts w:hint="eastAsia" w:ascii="宋体" w:hAnsi="宋体" w:eastAsia="宋体" w:cs="宋体"/>
          <w:sz w:val="24"/>
          <w:szCs w:val="24"/>
          <w:lang w:val="en-US" w:eastAsia="zh-CN"/>
        </w:rPr>
        <w:t>主回路接触电阻测试</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1.4 工期：自合同签订起</w:t>
      </w:r>
      <w:r>
        <w:rPr>
          <w:rFonts w:hint="eastAsia" w:ascii="宋体" w:hAnsi="宋体" w:eastAsia="宋体" w:cs="宋体"/>
          <w:color w:val="000000"/>
          <w:sz w:val="24"/>
          <w:szCs w:val="24"/>
          <w:lang w:val="en-US" w:eastAsia="zh-CN"/>
        </w:rPr>
        <w:t>XX</w:t>
      </w:r>
      <w:r>
        <w:rPr>
          <w:rFonts w:hint="eastAsia" w:ascii="宋体" w:hAnsi="宋体" w:eastAsia="宋体" w:cs="宋体"/>
          <w:color w:val="000000"/>
          <w:sz w:val="24"/>
          <w:szCs w:val="24"/>
        </w:rPr>
        <w:t>天。</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 工程质量验收标准</w:t>
      </w:r>
      <w:r>
        <w:rPr>
          <w:rFonts w:hint="eastAsia" w:ascii="宋体" w:hAnsi="宋体" w:eastAsia="宋体" w:cs="宋体"/>
          <w:color w:val="000000"/>
          <w:sz w:val="24"/>
          <w:szCs w:val="24"/>
          <w:u w:val="single"/>
        </w:rPr>
        <w:t xml:space="preserve">：合格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 合同价款（人民币大写）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元整</w:t>
      </w:r>
      <w:r>
        <w:rPr>
          <w:rFonts w:hint="eastAsia" w:ascii="宋体" w:hAnsi="宋体" w:eastAsia="宋体" w:cs="宋体"/>
          <w:color w:val="000000"/>
          <w:sz w:val="24"/>
          <w:szCs w:val="24"/>
        </w:rPr>
        <w:t>（人民币小写）：</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.00  </w:t>
      </w:r>
      <w:r>
        <w:rPr>
          <w:rFonts w:hint="eastAsia" w:ascii="宋体" w:hAnsi="宋体" w:eastAsia="宋体" w:cs="宋体"/>
          <w:color w:val="000000"/>
          <w:sz w:val="24"/>
          <w:szCs w:val="24"/>
        </w:rPr>
        <w:t>（含一切费用及税费）。</w:t>
      </w:r>
    </w:p>
    <w:p>
      <w:pPr>
        <w:adjustRightInd w:val="0"/>
        <w:snapToGrid w:val="0"/>
        <w:spacing w:line="360" w:lineRule="auto"/>
        <w:ind w:firstLine="120" w:firstLineChars="50"/>
        <w:jc w:val="center"/>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第2条  双方工作</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甲方工作</w:t>
      </w:r>
    </w:p>
    <w:p>
      <w:pPr>
        <w:spacing w:line="360" w:lineRule="auto"/>
        <w:ind w:right="-197" w:rightChars="-94"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2.1.1 协助乙方办理</w:t>
      </w:r>
      <w:bookmarkStart w:id="20" w:name="_Hlk60728821"/>
      <w:r>
        <w:rPr>
          <w:rFonts w:hint="eastAsia" w:ascii="宋体" w:hAnsi="宋体" w:eastAsia="宋体" w:cs="宋体"/>
          <w:color w:val="000000"/>
          <w:sz w:val="24"/>
          <w:szCs w:val="24"/>
        </w:rPr>
        <w:t>检修</w:t>
      </w:r>
      <w:bookmarkEnd w:id="20"/>
      <w:r>
        <w:rPr>
          <w:rFonts w:hint="eastAsia" w:ascii="宋体" w:hAnsi="宋体" w:eastAsia="宋体" w:cs="宋体"/>
          <w:color w:val="000000"/>
          <w:sz w:val="24"/>
          <w:szCs w:val="24"/>
        </w:rPr>
        <w:t>所涉及的各种申请、批件等手续，协助乙方接驳检修所需的水、电，协调做好通道、电梯、消防设备的使用和保护。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2.1.2 协助乙方熟悉检修所涉及的电气电路，配合乙方完成检修需要的停电和通电操作。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 指派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XXX</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为甲方代表，负责对项目质量、进度进行监督检查，办理验收、变更、登记手续和其他事宜。</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2.1.4 监督检修质量及进度计划执行情况。</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  乙方工作</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 收到中标通知书后，立即拟定检修方案和进度计划，交甲方审定，并着手开展检修准备工作。</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2.2.2 严格执行检修规范、室内环境污染控制规范、安全操作规程、防火安全规定、环境保护规定。严格按照图纸或作法说明进行检修，做好各项质量检查记录。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2.2.3 指派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为乙方代表，负责履行合同，组织检修，按期保质保量完成任务，解决由乙方负责的各项事宜。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2.2.4 乙方有义务按甲方的要求办理相关的进场检修手续，遵守甲方相关管理规定，保证检修安全。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2.2.5 乙方有义务事先告知甲方未知的在本项目设计或甲方指令中存在的问题或缺陷，避免造成项目损失。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2.2.6 检修中涉及需要拆改原建筑物结构或设备管线的，乙方应当向甲方提出意见。甲方未办理相关审批手续或未经甲方同意，乙方不得拆改原建筑物结构或设备管线，否则，由此造成的事故或发生的损失（包括罚款），由乙方负责并承担。</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2.2.7 乙方应当妥善保护好检修现场周围建筑物、设备管线等不受破坏，做好现场保卫和垃圾清运等工作。</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2.2.8 乙方在检修中应妥善保护场地内外的甲方项目成品。项目竣工之前，负责对检修现场的一切设施和工程成品进行保护。</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2.2.9 所有检修、材料进出等不得影响甲方正常经营生产。</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2.2.10 参加竣工验收。</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第3条  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工期按本合同1.5执行。乙方应按照本合同约定的工期和招标文件要求、投标文件承诺按期完工。</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 因乙方责任，不能按期开工或中途无故停工，影响工期，工期不顺延。</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3.3 由于项目质量原因返工，工期不顺延。</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3.4 因乙方预算少算、漏报所产生的增加项目，导致工期延误，工期不顺延。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非乙方原因造成的停电、停水、停气及不可抗力等因素影响，导致停工8小时以上（一周内累计计算），工期相应顺延。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乙方须充分考虑甲方正常经营生产可能对检修造成的影响，要调配足够的人力、物力，合理安排好检修作业时间，确保如期完工。</w:t>
      </w:r>
    </w:p>
    <w:p>
      <w:pPr>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第4条 材料设备的供应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 乙方供应的材料，经甲方验收后，由乙方负责保管，由于乙方保管不当或施工不当造成的损失，由乙方负责。</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4.3 乙方采购的材料均应当符合国家强制性文件要求。如乙方采购的材料不符要求，由乙方承担相应责任。</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如由甲方供应的材料，乙方有义务事先告知甲方准确的材料用量。</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第5条  项目变更</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5.1 甲方变更设计，应在该项检修前7天向乙方发出书面通知。</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5.2 所有的设计变更和工程量增减，甲方应当办理签字确认手续，以作为费用调整依据。</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 因甲方设计变更，造成乙方返工费用和相应损失均由甲方承担。</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5.4 由于设计变更，造成乙方材料积压，由双方协商处理。协商不成，由甲方承担损失。</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 乙方接到变更通知后，可按下列方法提出变更价款，送甲方同意后调整合同价款：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5.6.1 合同附件的预算书中已有适用于变更项目单价的，按已有项目单价调整合同价款；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5.6.2 合同附件的预算书中只有类似于变更项目单价的，可以参照类似项目单价确定变更项目单价，调整合同价款；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5.6.3 合同附件的预算书中没有适用或类似变更项目单价的，按标底的编制方法同比例下浮后确定变更项目单价，调整合同价款。</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5.8 对于甲方提出的不可行的设计变更，乙方有义务事先告知甲方将由此产生的质量问题及后果，否则造成的损失由乙方承担。若甲方仍坚持进行变更，造成项目质量问题及后果，由甲方承担。</w:t>
      </w:r>
    </w:p>
    <w:p>
      <w:pPr>
        <w:adjustRightInd w:val="0"/>
        <w:snapToGrid w:val="0"/>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第6条  项目质量检验及验收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6.1本质量评定验收标准的依据：</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6.1.1 项目相关的国家标准规范，包括不限于</w:t>
      </w:r>
      <w:r>
        <w:rPr>
          <w:rFonts w:hint="eastAsia" w:ascii="宋体" w:hAnsi="宋体" w:eastAsia="宋体" w:cs="宋体"/>
          <w:sz w:val="24"/>
          <w:szCs w:val="24"/>
        </w:rPr>
        <w:t>：建筑电气工程施工质量验收规范, GB50055-2011通用用电设备配电设计规范</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6.1.2 施工图纸、作法说明、设计变更；</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6.1.3 本项目招标文件要求和乙方投标文件承诺。</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6.2 甲乙双方应及时办理隐蔽工程和中间工程的检查与验收手续。当项目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6.3 因乙方提供的材料、设备质量不合格而影响项目质量，由此造成的全部损失由乙方承担；因乙方施工质量问题造成材料、设备的损坏，其全部损失由乙方承担。</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6.4 项目竣工后，乙方应通知甲方验收，甲方自接到验收通知</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日内组织验收，如甲方在规定时间内不能组织验收，需及时通知乙方，另定验收日期。</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6.5 项目质量验收不合格，经整改后，另行验收，整改费用由乙方承担。整改后仍不合格，甲方可要求乙方继续整改，整改费用由乙方承担，也可要求乙方离场并赔偿不合格项目的损失。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6.6 在项目质量验收后，双方办理验收手续。</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第7条 合同价款及支付</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 双方商定本合同价采用下列第</w:t>
      </w:r>
      <w:r>
        <w:rPr>
          <w:rFonts w:hint="eastAsia" w:ascii="宋体" w:hAnsi="宋体" w:eastAsia="宋体" w:cs="宋体"/>
          <w:color w:val="000000"/>
          <w:sz w:val="24"/>
          <w:szCs w:val="24"/>
          <w:u w:val="single"/>
        </w:rPr>
        <w:t xml:space="preserve">  7.1.1</w:t>
      </w:r>
      <w:r>
        <w:rPr>
          <w:rFonts w:hint="eastAsia" w:ascii="宋体" w:hAnsi="宋体" w:eastAsia="宋体" w:cs="宋体"/>
          <w:color w:val="000000"/>
          <w:sz w:val="24"/>
          <w:szCs w:val="24"/>
        </w:rPr>
        <w:t>种方式。</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7.1.1 固定总价合同，即承包范围内价格一次包死，结算时除变更项目外不做任何调整。变更工程价款的确定，参照本合同5.6条款的约定执行。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7.1.2 固定单价合同，即项目结算时，工程量根据双方招标清单中确认的计量方式按实结算，承包范围内的项目单价按照中标价不作任何调整。变更项目价款的确定，参照本合同5.6条款的约定执行。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7.1.3 可调单价合同，</w:t>
      </w:r>
      <w:r>
        <w:rPr>
          <w:rFonts w:hint="eastAsia" w:ascii="宋体" w:hAnsi="宋体" w:eastAsia="宋体" w:cs="宋体"/>
          <w:sz w:val="24"/>
          <w:szCs w:val="24"/>
        </w:rPr>
        <w:t>结算时按第三方造价咨询公司审核的价格为最终结算价。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7.2 </w:t>
      </w:r>
      <w:r>
        <w:rPr>
          <w:rFonts w:hint="eastAsia" w:ascii="宋体" w:hAnsi="宋体" w:eastAsia="宋体" w:cs="宋体"/>
          <w:sz w:val="24"/>
          <w:szCs w:val="24"/>
        </w:rPr>
        <w:t>本项目合同价总额为乙方中标价，按本合同1.7执行。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7.3</w:t>
      </w:r>
      <w:r>
        <w:rPr>
          <w:rFonts w:hint="eastAsia" w:ascii="宋体" w:hAnsi="宋体" w:eastAsia="宋体" w:cs="宋体"/>
          <w:color w:val="000000"/>
          <w:sz w:val="24"/>
          <w:szCs w:val="24"/>
        </w:rPr>
        <w:t>双方约定，项目整体竣工经甲方验收合格后，支付合同款的</w:t>
      </w:r>
      <w:r>
        <w:rPr>
          <w:rFonts w:hint="eastAsia" w:ascii="宋体" w:hAnsi="宋体" w:eastAsia="宋体" w:cs="宋体"/>
          <w:color w:val="000000"/>
          <w:sz w:val="24"/>
          <w:szCs w:val="24"/>
          <w:lang w:val="en-US" w:eastAsia="zh-CN"/>
        </w:rPr>
        <w:t>97</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sz w:val="24"/>
          <w:szCs w:val="24"/>
        </w:rPr>
        <w:t>质保期满后不存在质量问题，则支付合同总金额剩余的的3%（不计利息）</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乙方按项目结算款额开具发票。</w:t>
      </w:r>
    </w:p>
    <w:p>
      <w:pPr>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第8条  索赔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8.1 甲方未按合同约定提供检修所需条件、支付工程款、顺延工期或其他非乙方原因造成乙方经济损失，乙方可依照合同有关条款进行索赔。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8.3 索赔程序</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8.3.1 索赔事件发生</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天内，索赔方向被索赔方发出要求索赔的通知书；</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8.3.2 索赔方在发出索赔意向通知书后</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天内，向被索赔方提交全部和详细的索赔资料；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8.3.3 被索赔方在接到索赔资料后</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天内给予书面答复或要求索赔方进一步补充索赔理由和证据，被索赔方在</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天内未作答复，则视为该项索赔已被认可。</w:t>
      </w:r>
    </w:p>
    <w:p>
      <w:pPr>
        <w:adjustRightInd w:val="0"/>
        <w:snapToGrid w:val="0"/>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第9条  安全和防火</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9.1 乙方提供的施工图纸或作法说明，应符合《中华人民共和国消防法》和有关防火设计规范。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 乙方在检修期间应严格遵守《建筑安装工程安全技术规程》、  《建筑安装工程安全操作规程》、《中华人民共和国消防法》及其它相关的法规、规范，对检修区域做好安全围护或隔离。乙方在本项目检修过程中，自行承担一切因违反有关安全操作规程导致的安全责任和经济损失（包括因检修造成对第三方的伤害）。如有上述意外发生，均与甲方无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 乙方在检修期间应严格遵守深圳会展中心管理有限责任公司规定，因乙方在检修过程中违反有关安全操作规程和消防法，导致发生安全或火灾事故，乙方承担由此引发的一切责任和经济损失。</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第10条  违约责任</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10.2 </w:t>
      </w:r>
      <w:r>
        <w:rPr>
          <w:rFonts w:hint="eastAsia" w:ascii="宋体" w:hAnsi="宋体" w:eastAsia="宋体" w:cs="宋体"/>
          <w:sz w:val="24"/>
          <w:szCs w:val="24"/>
        </w:rPr>
        <w:t>由于乙方原因，延迟检修进度计划或逾期竣工，每延迟或逾期一天，乙方支付甲方</w:t>
      </w:r>
      <w:r>
        <w:rPr>
          <w:rFonts w:hint="eastAsia" w:ascii="宋体" w:hAnsi="宋体" w:eastAsia="宋体" w:cs="宋体"/>
          <w:b/>
          <w:i/>
          <w:sz w:val="24"/>
          <w:szCs w:val="24"/>
          <w:u w:val="single"/>
        </w:rPr>
        <w:t xml:space="preserve"> </w:t>
      </w:r>
      <w:r>
        <w:rPr>
          <w:rFonts w:hint="eastAsia" w:ascii="宋体" w:hAnsi="宋体" w:eastAsia="宋体" w:cs="宋体"/>
          <w:bCs/>
          <w:iCs/>
          <w:sz w:val="24"/>
          <w:szCs w:val="24"/>
          <w:u w:val="single"/>
          <w:lang w:val="en-US" w:eastAsia="zh-CN"/>
        </w:rPr>
        <w:t>XX</w:t>
      </w:r>
      <w:r>
        <w:rPr>
          <w:rFonts w:hint="eastAsia" w:ascii="宋体" w:hAnsi="宋体" w:eastAsia="宋体" w:cs="宋体"/>
          <w:b/>
          <w:i/>
          <w:sz w:val="24"/>
          <w:szCs w:val="24"/>
          <w:u w:val="single"/>
        </w:rPr>
        <w:t xml:space="preserve"> </w:t>
      </w:r>
      <w:r>
        <w:rPr>
          <w:rFonts w:hint="eastAsia" w:ascii="宋体" w:hAnsi="宋体" w:eastAsia="宋体" w:cs="宋体"/>
          <w:sz w:val="24"/>
          <w:szCs w:val="24"/>
        </w:rPr>
        <w:t>元违约金。</w:t>
      </w:r>
    </w:p>
    <w:p>
      <w:pPr>
        <w:spacing w:line="360" w:lineRule="auto"/>
        <w:ind w:firstLine="0" w:firstLineChars="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第11条  保修条款</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11.1本工程保修责任期（质保期）自竣工验收合格之日起</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X</w:t>
      </w:r>
      <w:r>
        <w:rPr>
          <w:rFonts w:hint="eastAsia" w:ascii="宋体" w:hAnsi="宋体" w:eastAsia="宋体" w:cs="宋体"/>
          <w:color w:val="000000"/>
          <w:sz w:val="24"/>
          <w:szCs w:val="24"/>
          <w:u w:val="none"/>
          <w:lang w:val="en-US" w:eastAsia="zh-CN"/>
        </w:rPr>
        <w:t>个月</w:t>
      </w:r>
      <w:r>
        <w:rPr>
          <w:rFonts w:hint="eastAsia" w:ascii="宋体" w:hAnsi="宋体" w:eastAsia="宋体" w:cs="宋体"/>
          <w:color w:val="000000"/>
          <w:sz w:val="24"/>
          <w:szCs w:val="24"/>
        </w:rPr>
        <w:t>。</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11.2 质保期内乙方保修范围为乙方施工的工程项目。</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11.3 质保期内因施工质量问题和乙方提供材料原因造成的损坏，由乙方保修。</w:t>
      </w:r>
    </w:p>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11.4 由于甲方提供的材料质量问题、人为造成的损坏和不可避免因素造成的损坏，不在乙方保修范围内。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 在质保期内，乙方工程质量原因造成的其它财产损失，由乙方按当时市场价格全额赔偿。</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11.6 质保期内，乙方在每天8:00-18:00期间</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小时内做出响应，并在接到报障电话后，</w:t>
      </w:r>
      <w:r>
        <w:rPr>
          <w:rFonts w:hint="eastAsia" w:ascii="宋体" w:hAnsi="宋体" w:eastAsia="宋体" w:cs="宋体"/>
          <w:color w:val="000000"/>
          <w:sz w:val="24"/>
          <w:szCs w:val="24"/>
          <w:u w:val="single"/>
        </w:rPr>
        <w:t xml:space="preserve">  3  </w:t>
      </w:r>
      <w:r>
        <w:rPr>
          <w:rFonts w:hint="eastAsia" w:ascii="宋体" w:hAnsi="宋体" w:eastAsia="宋体" w:cs="宋体"/>
          <w:color w:val="000000"/>
          <w:sz w:val="24"/>
          <w:szCs w:val="24"/>
        </w:rPr>
        <w:t>小时之内到达现场进行服务。其余时间为</w:t>
      </w:r>
      <w:r>
        <w:rPr>
          <w:rFonts w:hint="eastAsia" w:ascii="宋体" w:hAnsi="宋体" w:eastAsia="宋体" w:cs="宋体"/>
          <w:color w:val="000000"/>
          <w:sz w:val="24"/>
          <w:szCs w:val="24"/>
          <w:u w:val="single"/>
        </w:rPr>
        <w:t xml:space="preserve">   4 </w:t>
      </w:r>
      <w:r>
        <w:rPr>
          <w:rFonts w:hint="eastAsia" w:ascii="宋体" w:hAnsi="宋体" w:eastAsia="宋体" w:cs="宋体"/>
          <w:color w:val="000000"/>
          <w:sz w:val="24"/>
          <w:szCs w:val="24"/>
        </w:rPr>
        <w:t>小时到达现场。如故障非乙方原因，乙方仅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乙方在收到用户通知后4小时内派遣相关人员到达现场进行维修和必要的更换，乙方只向甲方收取零配件和人工等成本费。</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条  争议</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 本合同在履行期间，双方发生争议时，在不影响工程进度的前提下，双方可采取协商解决。</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 协商不成可通过</w:t>
      </w:r>
      <w:r>
        <w:rPr>
          <w:rFonts w:hint="eastAsia" w:ascii="宋体" w:hAnsi="宋体" w:eastAsia="宋体" w:cs="宋体"/>
          <w:color w:val="000000"/>
          <w:sz w:val="24"/>
          <w:szCs w:val="24"/>
          <w:u w:val="single"/>
        </w:rPr>
        <w:t>双方认可的部门或</w:t>
      </w:r>
      <w:r>
        <w:rPr>
          <w:rFonts w:hint="eastAsia" w:ascii="宋体" w:hAnsi="宋体" w:eastAsia="宋体" w:cs="宋体"/>
          <w:color w:val="000000"/>
          <w:sz w:val="24"/>
          <w:szCs w:val="24"/>
        </w:rPr>
        <w:t>机构调解。</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.3 对项目质量或使用的原材料质量发生争议的，可以选择有资质的检测机构进行检测。</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.4 当事人不愿意通过协商、调解解决或者协商调解不成时，双方可向有管辖权的人民法院提起诉讼。</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第12条  合同解除和终止</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 有下列情形之一的，可以解除合同：</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.1.1 甲乙双方协商一致；</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.1.2 因不可抗力致使合同无法履行；</w:t>
      </w:r>
    </w:p>
    <w:p>
      <w:pPr>
        <w:adjustRightInd w:val="0"/>
        <w:snapToGrid w:val="0"/>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.1.3 因一方违约致使合同无法履行。</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 甲乙双方履行完本合同全部义务，项目竣工结算、价款支付完毕，本合同即告终止。</w:t>
      </w:r>
    </w:p>
    <w:p>
      <w:pPr>
        <w:adjustRightInd w:val="0"/>
        <w:snapToGrid w:val="0"/>
        <w:spacing w:line="360" w:lineRule="auto"/>
        <w:ind w:firstLine="120" w:firstLineChars="50"/>
        <w:rPr>
          <w:rFonts w:hint="eastAsia" w:ascii="宋体" w:hAnsi="宋体" w:eastAsia="宋体" w:cs="宋体"/>
          <w:color w:val="000000"/>
          <w:sz w:val="24"/>
          <w:szCs w:val="24"/>
        </w:rPr>
      </w:pP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第13条  附则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.1合同一式</w:t>
      </w:r>
      <w:r>
        <w:rPr>
          <w:rFonts w:hint="eastAsia" w:ascii="宋体" w:hAnsi="宋体" w:cs="宋体"/>
          <w:color w:val="000000"/>
          <w:sz w:val="24"/>
          <w:szCs w:val="24"/>
          <w:lang w:val="en-US" w:eastAsia="zh-CN"/>
        </w:rPr>
        <w:t>陆</w:t>
      </w:r>
      <w:r>
        <w:rPr>
          <w:rFonts w:hint="eastAsia" w:ascii="宋体" w:hAnsi="宋体" w:eastAsia="宋体" w:cs="宋体"/>
          <w:color w:val="000000"/>
          <w:sz w:val="24"/>
          <w:szCs w:val="24"/>
        </w:rPr>
        <w:t>份，招标人执</w:t>
      </w:r>
      <w:r>
        <w:rPr>
          <w:rFonts w:hint="eastAsia" w:ascii="宋体" w:hAnsi="宋体" w:eastAsia="宋体" w:cs="宋体"/>
          <w:color w:val="000000"/>
          <w:sz w:val="24"/>
          <w:szCs w:val="24"/>
          <w:u w:val="single"/>
        </w:rPr>
        <w:t xml:space="preserve"> 肆 </w:t>
      </w:r>
      <w:r>
        <w:rPr>
          <w:rFonts w:hint="eastAsia" w:ascii="宋体" w:hAnsi="宋体" w:eastAsia="宋体" w:cs="宋体"/>
          <w:color w:val="000000"/>
          <w:sz w:val="24"/>
          <w:szCs w:val="24"/>
        </w:rPr>
        <w:t>份，乙方执</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份，自双方代表签字，加盖公章之日起生效，均具同等法律效力。</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 本项目招标清单或作法说明、招标文件、乙方投标文件、中标通知书属本合同的组成部分，甲乙双方需共同遵守。</w:t>
      </w:r>
    </w:p>
    <w:p>
      <w:pPr>
        <w:adjustRightInd w:val="0"/>
        <w:snapToGrid w:val="0"/>
        <w:spacing w:line="360" w:lineRule="auto"/>
        <w:ind w:firstLine="480" w:firstLineChars="200"/>
        <w:rPr>
          <w:rFonts w:hint="eastAsia" w:ascii="宋体" w:hAnsi="宋体" w:eastAsia="宋体" w:cs="宋体"/>
          <w:color w:val="000000"/>
          <w:sz w:val="24"/>
          <w:szCs w:val="24"/>
        </w:rPr>
      </w:pPr>
    </w:p>
    <w:p>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第14条  补充条款</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附件《深圳会展中心与合作单位安全协议书》作为本合同的组成部分。</w:t>
      </w:r>
    </w:p>
    <w:p>
      <w:pPr>
        <w:pStyle w:val="11"/>
        <w:rPr>
          <w:rFonts w:hint="eastAsia" w:ascii="宋体" w:hAnsi="宋体" w:eastAsia="宋体" w:cs="宋体"/>
          <w:sz w:val="24"/>
          <w:szCs w:val="24"/>
        </w:rPr>
      </w:pPr>
    </w:p>
    <w:p>
      <w:pPr>
        <w:pStyle w:val="11"/>
      </w:pPr>
    </w:p>
    <w:p>
      <w:pPr>
        <w:pStyle w:val="11"/>
      </w:pPr>
    </w:p>
    <w:p>
      <w:pPr>
        <w:pStyle w:val="11"/>
      </w:pPr>
    </w:p>
    <w:p>
      <w:pPr>
        <w:pStyle w:val="11"/>
      </w:pP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r>
        <w:br w:type="page"/>
      </w: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1" w:name="_Toc128989104"/>
      <w:r>
        <w:rPr>
          <w:rFonts w:hint="eastAsia" w:ascii="宋体" w:hAnsi="宋体" w:cs="宋体"/>
          <w:b/>
          <w:sz w:val="24"/>
        </w:rPr>
        <w:t>附件</w:t>
      </w:r>
      <w:bookmarkEnd w:id="21"/>
    </w:p>
    <w:p>
      <w:pPr>
        <w:pStyle w:val="11"/>
        <w:rPr>
          <w:rFonts w:ascii="仿宋" w:hAnsi="仿宋" w:eastAsia="仿宋" w:cs="仿宋"/>
          <w:sz w:val="28"/>
          <w:szCs w:val="28"/>
        </w:rPr>
      </w:pPr>
      <w:bookmarkStart w:id="22" w:name="_Toc478387760"/>
    </w:p>
    <w:p>
      <w:pPr>
        <w:spacing w:line="0" w:lineRule="atLeast"/>
        <w:outlineLvl w:val="0"/>
        <w:rPr>
          <w:rFonts w:ascii="宋体" w:hAnsi="宋体"/>
        </w:rPr>
      </w:pPr>
      <w:bookmarkStart w:id="23" w:name="_Toc128989105"/>
      <w:r>
        <w:rPr>
          <w:rFonts w:hint="eastAsia" w:ascii="仿宋" w:hAnsi="仿宋" w:eastAsia="仿宋" w:cs="仿宋"/>
          <w:sz w:val="28"/>
          <w:szCs w:val="28"/>
        </w:rPr>
        <w:t>附件1：报名回函</w:t>
      </w:r>
      <w:bookmarkEnd w:id="23"/>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w:t>
      </w:r>
      <w:r>
        <w:rPr>
          <w:rStyle w:val="18"/>
          <w:rFonts w:hint="eastAsia" w:ascii="方正小标宋简体" w:hAnsi="方正小标宋_GBK" w:eastAsia="方正小标宋简体"/>
          <w:sz w:val="32"/>
          <w:szCs w:val="32"/>
          <w:u w:val="single"/>
          <w:lang w:val="en-US" w:eastAsia="zh-CN"/>
        </w:rPr>
        <w:t xml:space="preserve"> </w:t>
      </w:r>
      <w:r>
        <w:rPr>
          <w:rStyle w:val="18"/>
          <w:rFonts w:hint="eastAsia" w:ascii="方正小标宋简体" w:hAnsi="方正小标宋_GBK" w:eastAsia="方正小标宋简体" w:cs="Times New Roman"/>
          <w:sz w:val="24"/>
          <w:szCs w:val="24"/>
          <w:u w:val="single"/>
        </w:rPr>
        <w:t>深圳会展中心发电机组母线槽锈蚀反碱维修项目</w:t>
      </w:r>
      <w:r>
        <w:rPr>
          <w:rStyle w:val="18"/>
          <w:rFonts w:hint="eastAsia" w:ascii="方正小标宋简体" w:hAnsi="方正小标宋_GBK" w:eastAsia="方正小标宋简体" w:cs="Times New Roman"/>
          <w:sz w:val="24"/>
          <w:szCs w:val="24"/>
          <w:u w:val="single"/>
          <w:lang w:eastAsia="zh-CN"/>
        </w:rPr>
        <w:t>（</w:t>
      </w:r>
      <w:r>
        <w:rPr>
          <w:rStyle w:val="18"/>
          <w:rFonts w:hint="eastAsia" w:ascii="方正小标宋简体" w:hAnsi="方正小标宋_GBK" w:eastAsia="方正小标宋简体" w:cs="Times New Roman"/>
          <w:sz w:val="24"/>
          <w:szCs w:val="24"/>
          <w:u w:val="single"/>
          <w:lang w:val="en-US" w:eastAsia="zh-CN"/>
        </w:rPr>
        <w:t>二次启动</w:t>
      </w:r>
      <w:r>
        <w:rPr>
          <w:rStyle w:val="18"/>
          <w:rFonts w:hint="eastAsia" w:ascii="方正小标宋简体" w:hAnsi="方正小标宋_GBK" w:eastAsia="方正小标宋简体" w:cs="Times New Roman"/>
          <w:sz w:val="24"/>
          <w:szCs w:val="24"/>
          <w:u w:val="single"/>
          <w:lang w:eastAsia="zh-CN"/>
        </w:rPr>
        <w:t>）</w:t>
      </w:r>
      <w:r>
        <w:rPr>
          <w:rStyle w:val="18"/>
          <w:rFonts w:hint="eastAsia" w:ascii="方正小标宋简体" w:hAnsi="方正小标宋_GBK" w:eastAsia="方正小标宋简体"/>
          <w:sz w:val="32"/>
          <w:szCs w:val="32"/>
        </w:rPr>
        <w:t>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hint="eastAsia" w:ascii="仿宋" w:hAnsi="仿宋" w:eastAsia="仿宋"/>
          <w:sz w:val="28"/>
          <w:szCs w:val="28"/>
          <w:u w:val="single"/>
        </w:rPr>
      </w:pPr>
      <w:r>
        <w:rPr>
          <w:rFonts w:hint="eastAsia" w:ascii="仿宋" w:hAnsi="仿宋" w:eastAsia="仿宋"/>
          <w:sz w:val="28"/>
          <w:szCs w:val="28"/>
          <w:lang w:val="en-US" w:eastAsia="zh-CN"/>
        </w:rPr>
        <w:t>统一社会信用代码</w:t>
      </w:r>
      <w:r>
        <w:rPr>
          <w:rFonts w:hint="eastAsia" w:ascii="仿宋" w:hAnsi="仿宋" w:eastAsia="仿宋"/>
          <w:sz w:val="28"/>
          <w:szCs w:val="28"/>
        </w:rPr>
        <w:t>：</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bookmarkStart w:id="51" w:name="_GoBack"/>
      <w:bookmarkEnd w:id="51"/>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4" w:name="_Toc128989106"/>
      <w:r>
        <w:rPr>
          <w:rFonts w:hint="eastAsia" w:ascii="仿宋" w:hAnsi="仿宋" w:eastAsia="仿宋" w:cs="仿宋"/>
          <w:sz w:val="28"/>
          <w:szCs w:val="28"/>
        </w:rPr>
        <w:t>附件2：考察证明</w:t>
      </w:r>
      <w:bookmarkEnd w:id="22"/>
      <w:bookmarkEnd w:id="24"/>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5"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6"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6"/>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8"/>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7" w:name="_Toc25356"/>
      <w:r>
        <w:rPr>
          <w:rFonts w:hint="eastAsia" w:ascii="仿宋" w:hAnsi="仿宋" w:eastAsia="仿宋" w:cs="仿宋"/>
          <w:sz w:val="28"/>
          <w:szCs w:val="28"/>
        </w:rPr>
        <w:t>日期：_________年____月____日</w:t>
      </w:r>
      <w:bookmarkEnd w:id="27"/>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8"/>
      <w:r>
        <w:rPr>
          <w:rFonts w:hint="eastAsia" w:ascii="仿宋" w:hAnsi="仿宋" w:eastAsia="仿宋" w:cs="仿宋"/>
          <w:sz w:val="28"/>
          <w:szCs w:val="28"/>
        </w:rPr>
        <w:t>附件4：报价一览表（服务）</w:t>
      </w:r>
      <w:r>
        <w:rPr>
          <w:rFonts w:hint="eastAsia" w:ascii="仿宋" w:hAnsi="仿宋" w:eastAsia="仿宋" w:cs="仿宋"/>
          <w:color w:val="FF0000"/>
          <w:sz w:val="28"/>
          <w:szCs w:val="28"/>
        </w:rPr>
        <w:t>（本项目不适用）</w:t>
      </w:r>
      <w:bookmarkEnd w:id="28"/>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9" w:name="_Toc211248412"/>
      <w:r>
        <w:rPr>
          <w:rFonts w:hint="eastAsia" w:ascii="仿宋" w:hAnsi="仿宋" w:eastAsia="仿宋" w:cs="仿宋"/>
          <w:sz w:val="28"/>
          <w:szCs w:val="28"/>
        </w:rPr>
        <w:br w:type="page"/>
      </w:r>
      <w:bookmarkEnd w:id="29"/>
      <w:bookmarkStart w:id="30" w:name="_Toc128989109"/>
      <w:bookmarkStart w:id="31" w:name="_Toc54773233"/>
      <w:r>
        <w:rPr>
          <w:rFonts w:hint="eastAsia" w:ascii="仿宋" w:hAnsi="仿宋" w:eastAsia="仿宋" w:cs="仿宋"/>
          <w:sz w:val="28"/>
          <w:szCs w:val="28"/>
        </w:rPr>
        <w:t>附件5：报价一览表（工程）</w:t>
      </w:r>
      <w:bookmarkEnd w:id="30"/>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增值税专用发票</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20"/>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2" w:name="_Toc128989110"/>
      <w:r>
        <w:rPr>
          <w:rFonts w:hint="eastAsia" w:ascii="仿宋" w:hAnsi="仿宋" w:eastAsia="仿宋" w:cs="仿宋"/>
          <w:color w:val="000000"/>
          <w:sz w:val="28"/>
          <w:szCs w:val="28"/>
        </w:rPr>
        <w:t>附件6：商务条款响应/偏离表</w:t>
      </w:r>
      <w:bookmarkEnd w:id="32"/>
    </w:p>
    <w:p>
      <w:pPr>
        <w:adjustRightInd w:val="0"/>
        <w:snapToGrid w:val="0"/>
        <w:spacing w:before="240" w:after="240" w:line="400" w:lineRule="exact"/>
        <w:jc w:val="center"/>
        <w:rPr>
          <w:rFonts w:ascii="仿宋" w:hAnsi="仿宋" w:eastAsia="仿宋" w:cs="仿宋"/>
          <w:color w:val="000000"/>
          <w:sz w:val="28"/>
          <w:szCs w:val="28"/>
        </w:rPr>
      </w:pPr>
      <w:bookmarkStart w:id="33"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3"/>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4" w:name="_Toc236803114"/>
      <w:bookmarkStart w:id="35" w:name="_Toc85808702"/>
      <w:bookmarkStart w:id="36" w:name="_Toc128989111"/>
      <w:r>
        <w:rPr>
          <w:rFonts w:hint="eastAsia" w:ascii="仿宋" w:hAnsi="仿宋" w:eastAsia="仿宋" w:cs="仿宋"/>
          <w:color w:val="000000"/>
          <w:sz w:val="28"/>
          <w:szCs w:val="28"/>
        </w:rPr>
        <w:t>附件7： 技术（服务）响应/偏离表</w:t>
      </w:r>
      <w:bookmarkEnd w:id="34"/>
      <w:bookmarkEnd w:id="35"/>
      <w:bookmarkEnd w:id="36"/>
    </w:p>
    <w:p>
      <w:pPr>
        <w:adjustRightInd w:val="0"/>
        <w:snapToGrid w:val="0"/>
        <w:spacing w:before="240" w:after="240" w:line="400" w:lineRule="exact"/>
        <w:jc w:val="center"/>
        <w:rPr>
          <w:rFonts w:ascii="仿宋" w:hAnsi="仿宋" w:eastAsia="仿宋" w:cs="仿宋"/>
          <w:color w:val="000000"/>
          <w:sz w:val="28"/>
          <w:szCs w:val="28"/>
        </w:rPr>
      </w:pPr>
      <w:bookmarkStart w:id="37"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7"/>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8" w:name="_Toc128989112"/>
      <w:r>
        <w:rPr>
          <w:rFonts w:hint="eastAsia" w:ascii="仿宋" w:hAnsi="仿宋" w:eastAsia="仿宋" w:cs="仿宋"/>
          <w:sz w:val="28"/>
          <w:szCs w:val="28"/>
        </w:rPr>
        <w:t>附件8：法定代表人证明书</w:t>
      </w:r>
      <w:bookmarkEnd w:id="31"/>
      <w:bookmarkEnd w:id="3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0" w:name="_Toc128989113"/>
      <w:r>
        <w:rPr>
          <w:rFonts w:hint="eastAsia" w:ascii="仿宋" w:hAnsi="仿宋" w:eastAsia="仿宋" w:cs="仿宋"/>
          <w:sz w:val="28"/>
          <w:szCs w:val="28"/>
        </w:rPr>
        <w:t>附件9：法人授权委托证明书</w:t>
      </w:r>
      <w:bookmarkEnd w:id="39"/>
      <w:bookmarkEnd w:id="4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1" w:name="_Toc54773235"/>
      <w:bookmarkStart w:id="42" w:name="_Toc128989114"/>
      <w:r>
        <w:rPr>
          <w:rFonts w:hint="eastAsia" w:ascii="仿宋" w:hAnsi="仿宋" w:eastAsia="仿宋" w:cs="仿宋"/>
          <w:sz w:val="28"/>
          <w:szCs w:val="28"/>
        </w:rPr>
        <w:t>附件10：经营业绩一览表</w:t>
      </w:r>
      <w:bookmarkEnd w:id="41"/>
      <w:bookmarkEnd w:id="42"/>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3" w:name="_Toc54773236"/>
      <w:bookmarkStart w:id="44" w:name="_Toc128989115"/>
      <w:r>
        <w:rPr>
          <w:rFonts w:hint="eastAsia" w:ascii="仿宋" w:hAnsi="仿宋" w:eastAsia="仿宋" w:cs="仿宋"/>
          <w:sz w:val="28"/>
          <w:szCs w:val="28"/>
        </w:rPr>
        <w:t>附件11：售后服务承诺书</w:t>
      </w:r>
      <w:bookmarkEnd w:id="43"/>
      <w:r>
        <w:rPr>
          <w:rFonts w:ascii="仿宋" w:hAnsi="仿宋" w:eastAsia="仿宋" w:cs="仿宋"/>
          <w:sz w:val="28"/>
          <w:szCs w:val="28"/>
        </w:rPr>
        <w:t>/质量保修服务承诺书（根据项目类型选择）</w:t>
      </w:r>
      <w:bookmarkEnd w:id="44"/>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5" w:name="_Toc32341"/>
      <w:r>
        <w:rPr>
          <w:rFonts w:hint="eastAsia" w:ascii="仿宋" w:hAnsi="仿宋" w:eastAsia="仿宋" w:cs="仿宋"/>
          <w:sz w:val="28"/>
          <w:szCs w:val="28"/>
        </w:rPr>
        <w:br w:type="page"/>
      </w:r>
      <w:bookmarkStart w:id="46" w:name="_Toc54773237"/>
      <w:bookmarkStart w:id="47" w:name="_Toc128989116"/>
      <w:r>
        <w:rPr>
          <w:rFonts w:hint="eastAsia" w:ascii="仿宋" w:hAnsi="仿宋" w:eastAsia="仿宋" w:cs="仿宋"/>
          <w:sz w:val="28"/>
          <w:szCs w:val="28"/>
        </w:rPr>
        <w:t>附件12：履约情况及社会信誉承诺书</w:t>
      </w:r>
      <w:bookmarkEnd w:id="45"/>
      <w:bookmarkEnd w:id="46"/>
      <w:bookmarkEnd w:id="4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8"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8"/>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9" w:name="_Toc128989117"/>
      <w:r>
        <w:rPr>
          <w:rFonts w:hint="eastAsia" w:ascii="仿宋" w:hAnsi="仿宋" w:eastAsia="仿宋" w:cs="仿宋"/>
          <w:sz w:val="28"/>
          <w:szCs w:val="28"/>
        </w:rPr>
        <w:t>附件13：投标文件密码</w:t>
      </w:r>
      <w:bookmarkEnd w:id="49"/>
    </w:p>
    <w:p>
      <w:pPr>
        <w:spacing w:line="360" w:lineRule="auto"/>
        <w:jc w:val="center"/>
        <w:rPr>
          <w:rFonts w:ascii="宋体" w:hAnsi="宋体"/>
          <w:b/>
          <w:sz w:val="44"/>
          <w:szCs w:val="44"/>
        </w:rPr>
      </w:pPr>
    </w:p>
    <w:p>
      <w:pPr>
        <w:jc w:val="center"/>
        <w:rPr>
          <w:rFonts w:ascii="宋体" w:hAnsi="宋体"/>
          <w:b/>
          <w:color w:val="000000"/>
          <w:sz w:val="32"/>
          <w:szCs w:val="32"/>
        </w:rPr>
      </w:pPr>
      <w:bookmarkStart w:id="50"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0"/>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val="en-US"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41330"/>
    <w:multiLevelType w:val="singleLevel"/>
    <w:tmpl w:val="B9741330"/>
    <w:lvl w:ilvl="0" w:tentative="0">
      <w:start w:val="1"/>
      <w:numFmt w:val="decimal"/>
      <w:lvlText w:val="(%1)"/>
      <w:lvlJc w:val="left"/>
      <w:pPr>
        <w:ind w:left="425" w:hanging="425"/>
      </w:pPr>
      <w:rPr>
        <w:rFonts w:hint="default"/>
      </w:rPr>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3">
    <w:nsid w:val="DD530911"/>
    <w:multiLevelType w:val="singleLevel"/>
    <w:tmpl w:val="DD530911"/>
    <w:lvl w:ilvl="0" w:tentative="0">
      <w:start w:val="1"/>
      <w:numFmt w:val="decimal"/>
      <w:lvlText w:val="(%1)"/>
      <w:lvlJc w:val="left"/>
      <w:pPr>
        <w:ind w:left="425" w:hanging="425"/>
      </w:pPr>
      <w:rPr>
        <w:rFonts w:hint="default"/>
      </w:rPr>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E06988"/>
    <w:multiLevelType w:val="singleLevel"/>
    <w:tmpl w:val="0DE06988"/>
    <w:lvl w:ilvl="0" w:tentative="0">
      <w:start w:val="1"/>
      <w:numFmt w:val="decimal"/>
      <w:lvlText w:val="(%1)"/>
      <w:lvlJc w:val="left"/>
      <w:pPr>
        <w:ind w:left="425" w:hanging="425"/>
      </w:pPr>
      <w:rPr>
        <w:rFonts w:hint="default"/>
      </w:r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21305886"/>
    <w:multiLevelType w:val="singleLevel"/>
    <w:tmpl w:val="21305886"/>
    <w:lvl w:ilvl="0" w:tentative="0">
      <w:start w:val="1"/>
      <w:numFmt w:val="decimal"/>
      <w:lvlText w:val="（%1）"/>
      <w:lvlJc w:val="left"/>
      <w:pPr>
        <w:ind w:left="420" w:hanging="420"/>
      </w:pPr>
      <w:rPr>
        <w:rFonts w:hint="eastAsia"/>
      </w:r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7">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2D6470"/>
    <w:multiLevelType w:val="singleLevel"/>
    <w:tmpl w:val="472D6470"/>
    <w:lvl w:ilvl="0" w:tentative="0">
      <w:start w:val="1"/>
      <w:numFmt w:val="decimal"/>
      <w:lvlText w:val="%1."/>
      <w:lvlJc w:val="left"/>
      <w:pPr>
        <w:ind w:left="425" w:hanging="425"/>
      </w:pPr>
      <w:rPr>
        <w:rFonts w:hint="default"/>
      </w:rPr>
    </w:lvl>
  </w:abstractNum>
  <w:abstractNum w:abstractNumId="19">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5">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26">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19"/>
  </w:num>
  <w:num w:numId="2">
    <w:abstractNumId w:val="24"/>
  </w:num>
  <w:num w:numId="3">
    <w:abstractNumId w:val="15"/>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20"/>
  </w:num>
  <w:num w:numId="9">
    <w:abstractNumId w:val="2"/>
  </w:num>
  <w:num w:numId="10">
    <w:abstractNumId w:val="27"/>
  </w:num>
  <w:num w:numId="11">
    <w:abstractNumId w:val="12"/>
  </w:num>
  <w:num w:numId="12">
    <w:abstractNumId w:val="3"/>
  </w:num>
  <w:num w:numId="13">
    <w:abstractNumId w:val="0"/>
  </w:num>
  <w:num w:numId="14">
    <w:abstractNumId w:val="9"/>
  </w:num>
  <w:num w:numId="15">
    <w:abstractNumId w:val="18"/>
  </w:num>
  <w:num w:numId="16">
    <w:abstractNumId w:val="6"/>
  </w:num>
  <w:num w:numId="17">
    <w:abstractNumId w:val="25"/>
  </w:num>
  <w:num w:numId="18">
    <w:abstractNumId w:val="23"/>
  </w:num>
  <w:num w:numId="19">
    <w:abstractNumId w:val="16"/>
  </w:num>
  <w:num w:numId="20">
    <w:abstractNumId w:val="14"/>
  </w:num>
  <w:num w:numId="21">
    <w:abstractNumId w:val="4"/>
  </w:num>
  <w:num w:numId="22">
    <w:abstractNumId w:val="8"/>
  </w:num>
  <w:num w:numId="23">
    <w:abstractNumId w:val="5"/>
  </w:num>
  <w:num w:numId="24">
    <w:abstractNumId w:val="26"/>
  </w:num>
  <w:num w:numId="25">
    <w:abstractNumId w:val="17"/>
  </w:num>
  <w:num w:numId="26">
    <w:abstractNumId w:val="22"/>
  </w:num>
  <w:num w:numId="27">
    <w:abstractNumId w:val="7"/>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YjdhYjVlOTA1Nzc0YTExMWI5MDcwYWI1MjJiMmQ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4881CEB"/>
    <w:rsid w:val="05623C89"/>
    <w:rsid w:val="06D05917"/>
    <w:rsid w:val="08980FA6"/>
    <w:rsid w:val="08EB5929"/>
    <w:rsid w:val="09550008"/>
    <w:rsid w:val="0BB540F7"/>
    <w:rsid w:val="0BE25677"/>
    <w:rsid w:val="0CBF3E0A"/>
    <w:rsid w:val="0D6C68DD"/>
    <w:rsid w:val="0DE325EB"/>
    <w:rsid w:val="0FE67E91"/>
    <w:rsid w:val="0FF30054"/>
    <w:rsid w:val="10512A91"/>
    <w:rsid w:val="114C469F"/>
    <w:rsid w:val="11672EFE"/>
    <w:rsid w:val="12233FCD"/>
    <w:rsid w:val="12843799"/>
    <w:rsid w:val="16252961"/>
    <w:rsid w:val="17F6273C"/>
    <w:rsid w:val="1828123D"/>
    <w:rsid w:val="18A624A5"/>
    <w:rsid w:val="18DE5200"/>
    <w:rsid w:val="192E1C11"/>
    <w:rsid w:val="1B9A1A18"/>
    <w:rsid w:val="1CCD79EE"/>
    <w:rsid w:val="1D012599"/>
    <w:rsid w:val="1D9D4BEE"/>
    <w:rsid w:val="1E020668"/>
    <w:rsid w:val="1E1C321D"/>
    <w:rsid w:val="1E6A5405"/>
    <w:rsid w:val="22C64C6F"/>
    <w:rsid w:val="22C90A12"/>
    <w:rsid w:val="23256BE9"/>
    <w:rsid w:val="252941C0"/>
    <w:rsid w:val="28413D6F"/>
    <w:rsid w:val="28C21443"/>
    <w:rsid w:val="298D33FE"/>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B83DF0"/>
    <w:rsid w:val="3AD75885"/>
    <w:rsid w:val="3B40215F"/>
    <w:rsid w:val="3BCF39AC"/>
    <w:rsid w:val="3BEA21CB"/>
    <w:rsid w:val="3C681CBB"/>
    <w:rsid w:val="3C6E4331"/>
    <w:rsid w:val="3C974E78"/>
    <w:rsid w:val="3D0C7562"/>
    <w:rsid w:val="3E0221C9"/>
    <w:rsid w:val="3E857452"/>
    <w:rsid w:val="3EA22AA7"/>
    <w:rsid w:val="3F5E1222"/>
    <w:rsid w:val="41AE46E3"/>
    <w:rsid w:val="44663420"/>
    <w:rsid w:val="4479539E"/>
    <w:rsid w:val="44D742D8"/>
    <w:rsid w:val="45061DAE"/>
    <w:rsid w:val="452E5288"/>
    <w:rsid w:val="481C5C5C"/>
    <w:rsid w:val="48A35FF2"/>
    <w:rsid w:val="48B22660"/>
    <w:rsid w:val="48CB55FA"/>
    <w:rsid w:val="48D32A87"/>
    <w:rsid w:val="4C314B4E"/>
    <w:rsid w:val="4C844900"/>
    <w:rsid w:val="4E3426DD"/>
    <w:rsid w:val="4E976357"/>
    <w:rsid w:val="4F2D7873"/>
    <w:rsid w:val="4F906F89"/>
    <w:rsid w:val="50764612"/>
    <w:rsid w:val="51CB596B"/>
    <w:rsid w:val="52EE0307"/>
    <w:rsid w:val="52F57C70"/>
    <w:rsid w:val="53400A98"/>
    <w:rsid w:val="53FE2BDF"/>
    <w:rsid w:val="55C74643"/>
    <w:rsid w:val="561332A1"/>
    <w:rsid w:val="57CC741D"/>
    <w:rsid w:val="5991464D"/>
    <w:rsid w:val="5B6C034E"/>
    <w:rsid w:val="5C9546B7"/>
    <w:rsid w:val="5CA52C31"/>
    <w:rsid w:val="5EB66460"/>
    <w:rsid w:val="5F7C7776"/>
    <w:rsid w:val="60BB5712"/>
    <w:rsid w:val="611F6EE4"/>
    <w:rsid w:val="619B20E5"/>
    <w:rsid w:val="63141A74"/>
    <w:rsid w:val="631B5A25"/>
    <w:rsid w:val="63841BD1"/>
    <w:rsid w:val="638A29C9"/>
    <w:rsid w:val="66CA17F4"/>
    <w:rsid w:val="67027BAA"/>
    <w:rsid w:val="67DD1DA1"/>
    <w:rsid w:val="68D4038F"/>
    <w:rsid w:val="69467E01"/>
    <w:rsid w:val="69A30E21"/>
    <w:rsid w:val="6AD21273"/>
    <w:rsid w:val="6C642F64"/>
    <w:rsid w:val="6D9018A4"/>
    <w:rsid w:val="6E1B6D8D"/>
    <w:rsid w:val="6E597A7A"/>
    <w:rsid w:val="6F4A172C"/>
    <w:rsid w:val="6FBE3414"/>
    <w:rsid w:val="74701065"/>
    <w:rsid w:val="75106734"/>
    <w:rsid w:val="751975AF"/>
    <w:rsid w:val="755A63B4"/>
    <w:rsid w:val="75864917"/>
    <w:rsid w:val="764269C5"/>
    <w:rsid w:val="778B51DA"/>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27</TotalTime>
  <ScaleCrop>false</ScaleCrop>
  <LinksUpToDate>false</LinksUpToDate>
  <CharactersWithSpaces>13502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2024-04-15T02:19:08Z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934D6DFFF82444B9B568B51AB2E378DD</vt:lpwstr>
  </property>
</Properties>
</file>