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深圳会展中心合规体系建设服务项目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hint="eastAsia" w:ascii="方正小标宋_GBK" w:hAnsi="方正小标宋_GBK" w:eastAsia="方正小标宋_GBK" w:cs="方正小标宋_GBK"/>
          <w:b/>
          <w:sz w:val="32"/>
          <w:szCs w:val="32"/>
          <w:lang w:eastAsia="zh-CN"/>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5</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9</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28</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pStyle w:val="3"/>
        <w:rPr>
          <w:rFonts w:hint="eastAsia" w:eastAsia="宋体"/>
          <w:lang w:eastAsia="zh-CN"/>
        </w:rPr>
      </w:pPr>
      <w:r>
        <w:rPr>
          <w:rFonts w:hint="eastAsia" w:ascii="宋体" w:hAnsi="宋体"/>
          <w:szCs w:val="21"/>
        </w:rPr>
        <w:t>招标人在编制招标文件时，示范文本中的空格部分应根据招标项目实际需求填写，无内容或不采用者应用斜画线表示或者注明“本项目不适用”。</w:t>
      </w:r>
    </w:p>
    <w:p>
      <w:pPr>
        <w:numPr>
          <w:ilvl w:val="0"/>
          <w:numId w:val="2"/>
        </w:numPr>
        <w:autoSpaceDE w:val="0"/>
        <w:autoSpaceDN w:val="0"/>
        <w:adjustRightInd w:val="0"/>
        <w:snapToGrid w:val="0"/>
        <w:spacing w:line="360" w:lineRule="auto"/>
        <w:ind w:firstLine="562" w:firstLineChars="200"/>
        <w:rPr>
          <w:rFonts w:ascii="宋体" w:hAnsi="宋体"/>
          <w:b/>
          <w:sz w:val="28"/>
          <w:szCs w:val="28"/>
        </w:rPr>
      </w:pP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color w:val="000000"/>
                <w:szCs w:val="21"/>
                <w:lang w:val="en-US" w:eastAsia="zh-CN"/>
              </w:rPr>
              <w:t>刘工</w:t>
            </w:r>
          </w:p>
          <w:p>
            <w:pPr>
              <w:wordWrap w:val="0"/>
              <w:autoSpaceDE w:val="0"/>
              <w:autoSpaceDN w:val="0"/>
              <w:adjustRightInd w:val="0"/>
              <w:snapToGrid w:val="0"/>
              <w:rPr>
                <w:rFonts w:ascii="宋体" w:hAnsi="宋体"/>
                <w:szCs w:val="21"/>
              </w:rPr>
            </w:pPr>
            <w:r>
              <w:rPr>
                <w:rFonts w:hint="eastAsia" w:ascii="宋体" w:hAnsi="宋体"/>
                <w:szCs w:val="21"/>
              </w:rPr>
              <w:t>电话：0755-8284882</w:t>
            </w:r>
            <w:r>
              <w:rPr>
                <w:rFonts w:hint="eastAsia" w:ascii="宋体" w:hAnsi="宋体"/>
                <w:szCs w:val="21"/>
                <w:lang w:val="en-US" w:eastAsia="zh-CN"/>
              </w:rPr>
              <w:t>6</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liuxh</w:t>
            </w:r>
            <w:r>
              <w:rPr>
                <w:rFonts w:hint="eastAsia" w:ascii="宋体" w:hAnsi="宋体"/>
                <w:szCs w:val="21"/>
              </w:rPr>
              <w:t>@</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cs="Times New Roman"/>
                <w:szCs w:val="21"/>
              </w:rPr>
            </w:pPr>
            <w:r>
              <w:rPr>
                <w:rFonts w:hint="eastAsia" w:ascii="宋体" w:hAnsi="宋体" w:eastAsia="宋体" w:cs="Times New Roman"/>
                <w:sz w:val="21"/>
                <w:szCs w:val="21"/>
                <w:lang w:val="en-US" w:eastAsia="zh-CN"/>
              </w:rPr>
              <w:t>深圳会展中心合规体系建设服务项目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numPr>
                <w:ilvl w:val="-1"/>
                <w:numId w:val="0"/>
              </w:numPr>
              <w:wordWrap/>
              <w:autoSpaceDE w:val="0"/>
              <w:autoSpaceDN w:val="0"/>
              <w:adjustRightInd w:val="0"/>
              <w:snapToGrid w:val="0"/>
              <w:jc w:val="left"/>
              <w:rPr>
                <w:rFonts w:hint="eastAsia" w:ascii="宋体" w:hAnsi="宋体"/>
                <w:i w:val="0"/>
                <w:szCs w:val="21"/>
              </w:rPr>
            </w:pPr>
            <w:r>
              <w:rPr>
                <w:rFonts w:hint="eastAsia" w:ascii="宋体" w:hAnsi="宋体"/>
                <w:szCs w:val="21"/>
              </w:rPr>
              <w:t>拟委托专业机构开展</w:t>
            </w:r>
            <w:r>
              <w:rPr>
                <w:rFonts w:hint="eastAsia" w:ascii="宋体" w:hAnsi="宋体"/>
                <w:szCs w:val="21"/>
                <w:lang w:val="en-US" w:eastAsia="zh-CN"/>
              </w:rPr>
              <w:t>企业</w:t>
            </w:r>
            <w:r>
              <w:rPr>
                <w:rFonts w:hint="eastAsia" w:ascii="宋体" w:hAnsi="宋体"/>
                <w:szCs w:val="21"/>
              </w:rPr>
              <w:t>合规体系建设服务，</w:t>
            </w:r>
            <w:r>
              <w:rPr>
                <w:rFonts w:hint="eastAsia" w:ascii="宋体" w:hAnsi="宋体"/>
                <w:szCs w:val="21"/>
                <w:lang w:val="en-US" w:eastAsia="zh-CN"/>
              </w:rPr>
              <w:t>根据《中央企业合规管理办法》和上级单位要求，建立包括建立合规制度、完善运行机制、培育合规文化、强化监督问责等有组织、有计划的合规管理体系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jc w:val="left"/>
              <w:rPr>
                <w:rFonts w:hint="eastAsia"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jc w:val="left"/>
              <w:rPr>
                <w:rFonts w:hint="eastAsia" w:ascii="宋体" w:hAnsi="宋体" w:eastAsia="宋体"/>
                <w:szCs w:val="21"/>
                <w:lang w:eastAsia="zh-CN"/>
              </w:rPr>
            </w:pPr>
            <w:r>
              <w:rPr>
                <w:rFonts w:hint="eastAsia" w:ascii="宋体" w:hAnsi="宋体"/>
                <w:szCs w:val="21"/>
                <w:lang w:val="en-US" w:eastAsia="zh-CN"/>
              </w:rPr>
              <w:t>90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5-20</w:t>
            </w:r>
            <w:r>
              <w:rPr>
                <w:rFonts w:ascii="宋体" w:hAnsi="宋体"/>
                <w:szCs w:val="21"/>
                <w:highlight w:val="yellow"/>
              </w:rPr>
              <w:t xml:space="preserve"> </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https://cg.szcec.com/sharing/ZqnRLMN4f，</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5-27</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5-27</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5-28</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5-29</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https://cg.szcec.com/sharing/qWYpSDNee，</w:t>
            </w:r>
            <w:r>
              <w:rPr>
                <w:rFonts w:hint="eastAsia" w:ascii="宋体" w:hAnsi="宋体"/>
                <w:szCs w:val="21"/>
              </w:rPr>
              <w:t>并致电确认</w:t>
            </w:r>
            <w:bookmarkStart w:id="2" w:name="_Toc478110532"/>
            <w:bookmarkStart w:id="3" w:name="_Toc478393187"/>
            <w:bookmarkStart w:id="4" w:name="_Toc478392822"/>
            <w:r>
              <w:rPr>
                <w:rFonts w:hint="eastAsia" w:ascii="宋体" w:hAnsi="宋体"/>
                <w:szCs w:val="21"/>
              </w:rPr>
              <w:t>。</w:t>
            </w:r>
            <w:r>
              <w:rPr>
                <w:rFonts w:hint="eastAsia" w:ascii="宋体" w:hAnsi="宋体"/>
              </w:rPr>
              <w:t>注意事项如</w:t>
            </w:r>
            <w:bookmarkStart w:id="97" w:name="_GoBack"/>
            <w:bookmarkEnd w:id="97"/>
            <w:r>
              <w:rPr>
                <w:rFonts w:hint="eastAsia" w:ascii="宋体" w:hAnsi="宋体"/>
              </w:rPr>
              <w:t>下：</w:t>
            </w:r>
          </w:p>
          <w:p>
            <w:pPr>
              <w:pStyle w:val="24"/>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5-30</w:t>
            </w:r>
            <w:r>
              <w:rPr>
                <w:rFonts w:ascii="宋体" w:hAnsi="宋体"/>
                <w:szCs w:val="21"/>
                <w:highlight w:val="yellow"/>
              </w:rPr>
              <w:t xml:space="preserve"> </w:t>
            </w:r>
            <w:r>
              <w:rPr>
                <w:rFonts w:hint="eastAsia" w:ascii="宋体" w:hAnsi="宋体"/>
                <w:szCs w:val="21"/>
                <w:highlight w:val="yellow"/>
                <w:lang w:val="en-US" w:eastAsia="zh-CN"/>
              </w:rPr>
              <w:t>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rPr>
              <w:t>腾讯会议号：</w:t>
            </w:r>
            <w:r>
              <w:rPr>
                <w:rFonts w:hint="eastAsia" w:ascii="宋体" w:hAnsi="宋体"/>
                <w:szCs w:val="21"/>
                <w:highlight w:val="yellow"/>
                <w:lang w:val="en-US" w:eastAsia="zh-CN"/>
              </w:rPr>
              <w:t>218773650</w:t>
            </w:r>
          </w:p>
          <w:p>
            <w:pPr>
              <w:autoSpaceDE w:val="0"/>
              <w:autoSpaceDN w:val="0"/>
              <w:adjustRightInd w:val="0"/>
              <w:snapToGrid w:val="0"/>
              <w:rPr>
                <w:rFonts w:ascii="宋体" w:hAnsi="宋体"/>
                <w:szCs w:val="21"/>
              </w:rPr>
            </w:pP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https://cg.szcec.com/sharing/K2coUT6QL。</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保证金</w:t>
            </w:r>
          </w:p>
        </w:tc>
        <w:tc>
          <w:tcPr>
            <w:tcW w:w="7029" w:type="dxa"/>
            <w:vAlign w:val="center"/>
          </w:tcPr>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是否要求递交履约保证金：</w:t>
            </w:r>
            <w:r>
              <w:rPr>
                <w:rFonts w:ascii="宋体" w:hAnsi="宋体" w:cs="Segoe UI Symbol"/>
                <w:color w:val="000000" w:themeColor="text1"/>
                <w:kern w:val="0"/>
                <w:szCs w:val="21"/>
                <w14:textFill>
                  <w14:solidFill>
                    <w14:schemeClr w14:val="tx1"/>
                  </w14:solidFill>
                </w14:textFill>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履约保证金金额：人民币</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ascii="宋体" w:hAnsi="宋体" w:eastAsia="宋体" w:cs="Segoe UI Symbol"/>
                <w:color w:val="000000" w:themeColor="text1"/>
                <w:kern w:val="0"/>
                <w:szCs w:val="21"/>
                <w:u w:val="single"/>
                <w14:textFill>
                  <w14:solidFill>
                    <w14:schemeClr w14:val="tx1"/>
                  </w14:solidFill>
                </w14:textFill>
              </w:rPr>
              <w:t>/</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□银行转账</w:t>
            </w:r>
            <w:r>
              <w:rPr>
                <w:rFonts w:ascii="宋体" w:hAnsi="宋体" w:eastAsia="宋体" w:cs="Segoe UI Symbol"/>
                <w:color w:val="000000" w:themeColor="text1"/>
                <w:kern w:val="0"/>
                <w:szCs w:val="21"/>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投标人保证金</w:t>
            </w:r>
            <w:r>
              <w:rPr>
                <w:rFonts w:ascii="宋体" w:hAnsi="宋体" w:eastAsia="宋体" w:cs="Segoe UI Symbol"/>
                <w:color w:val="000000" w:themeColor="text1"/>
                <w:kern w:val="0"/>
                <w:szCs w:val="21"/>
                <w14:textFill>
                  <w14:solidFill>
                    <w14:schemeClr w14:val="tx1"/>
                  </w14:solidFill>
                </w14:textFill>
              </w:rPr>
              <w:t>收款</w:t>
            </w:r>
            <w:r>
              <w:rPr>
                <w:rFonts w:hint="eastAsia" w:ascii="宋体" w:hAnsi="宋体" w:eastAsia="宋体" w:cs="Segoe UI Symbol"/>
                <w:color w:val="000000" w:themeColor="text1"/>
                <w:kern w:val="0"/>
                <w:szCs w:val="21"/>
                <w14:textFill>
                  <w14:solidFill>
                    <w14:schemeClr w14:val="tx1"/>
                  </w14:solidFill>
                </w14:textFill>
              </w:rPr>
              <w:t>银行账户信息（选用“银行转账</w:t>
            </w:r>
            <w:r>
              <w:rPr>
                <w:rFonts w:ascii="宋体" w:hAnsi="宋体" w:eastAsia="宋体" w:cs="Segoe UI Symbol"/>
                <w:color w:val="000000" w:themeColor="text1"/>
                <w:kern w:val="0"/>
                <w:szCs w:val="21"/>
                <w14:textFill>
                  <w14:solidFill>
                    <w14:schemeClr w14:val="tx1"/>
                  </w14:solidFill>
                </w14:textFill>
              </w:rPr>
              <w:t>”</w:t>
            </w:r>
            <w:r>
              <w:rPr>
                <w:rFonts w:hint="eastAsia" w:ascii="宋体" w:hAnsi="宋体" w:eastAsia="宋体" w:cs="Segoe UI Symbol"/>
                <w:color w:val="000000" w:themeColor="text1"/>
                <w:kern w:val="0"/>
                <w:szCs w:val="21"/>
                <w14:textFill>
                  <w14:solidFill>
                    <w14:schemeClr w14:val="tx1"/>
                  </w14:solidFill>
                </w14:textFill>
              </w:rPr>
              <w:t>方式须填</w:t>
            </w:r>
            <w:r>
              <w:rPr>
                <w:rFonts w:ascii="宋体" w:hAnsi="宋体" w:eastAsia="宋体" w:cs="Segoe UI Symbol"/>
                <w:color w:val="000000" w:themeColor="text1"/>
                <w:kern w:val="0"/>
                <w:szCs w:val="21"/>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收款单位：</w:t>
            </w:r>
            <w:r>
              <w:rPr>
                <w:rFonts w:hint="eastAsia" w:ascii="宋体" w:hAnsi="宋体" w:cs="Segoe UI Symbol"/>
                <w:color w:val="000000" w:themeColor="text1"/>
                <w:kern w:val="0"/>
                <w:szCs w:val="21"/>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开户银行：</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u w:val="single"/>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银行账号</w:t>
            </w:r>
            <w:r>
              <w:rPr>
                <w:rFonts w:ascii="宋体" w:hAnsi="宋体" w:cs="Segoe UI Symbol"/>
                <w:color w:val="000000" w:themeColor="text1"/>
                <w:kern w:val="0"/>
                <w:szCs w:val="21"/>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□递交投标样品，具体要求：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推荐中标</w:t>
            </w:r>
          </w:p>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6" w:name="_Toc82684706"/>
      <w:bookmarkEnd w:id="6"/>
      <w:bookmarkStart w:id="7" w:name="_Toc82684590"/>
      <w:bookmarkEnd w:id="7"/>
      <w:bookmarkStart w:id="8" w:name="_Toc82685542"/>
      <w:bookmarkEnd w:id="8"/>
      <w:bookmarkStart w:id="9" w:name="_Toc82685543"/>
      <w:bookmarkEnd w:id="9"/>
      <w:bookmarkStart w:id="10" w:name="_Toc82684703"/>
      <w:bookmarkEnd w:id="10"/>
      <w:bookmarkStart w:id="11" w:name="_Toc82591927"/>
      <w:bookmarkEnd w:id="11"/>
      <w:bookmarkStart w:id="12" w:name="_Toc82684591"/>
      <w:bookmarkEnd w:id="12"/>
      <w:bookmarkStart w:id="13" w:name="_Toc82685540"/>
      <w:bookmarkEnd w:id="13"/>
      <w:bookmarkStart w:id="14" w:name="_Toc82591926"/>
      <w:bookmarkEnd w:id="14"/>
      <w:bookmarkStart w:id="15" w:name="_Toc82591928"/>
      <w:bookmarkEnd w:id="15"/>
      <w:bookmarkStart w:id="16" w:name="_Toc82684588"/>
      <w:bookmarkEnd w:id="16"/>
      <w:bookmarkStart w:id="17" w:name="_Toc82591925"/>
      <w:bookmarkEnd w:id="17"/>
      <w:bookmarkStart w:id="18" w:name="_Toc82685541"/>
      <w:bookmarkEnd w:id="18"/>
      <w:bookmarkStart w:id="19" w:name="_Toc82684705"/>
      <w:bookmarkEnd w:id="19"/>
      <w:bookmarkStart w:id="20" w:name="_Toc82684704"/>
      <w:bookmarkEnd w:id="20"/>
      <w:bookmarkStart w:id="21" w:name="_Toc82684589"/>
      <w:bookmarkEnd w:id="21"/>
      <w:bookmarkStart w:id="22" w:name="_Toc116550346"/>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30"/>
      <w:bookmarkEnd w:id="26"/>
      <w:bookmarkStart w:id="27" w:name="_Toc82684593"/>
      <w:bookmarkEnd w:id="27"/>
      <w:bookmarkStart w:id="28" w:name="_Toc82685545"/>
      <w:bookmarkEnd w:id="28"/>
      <w:bookmarkStart w:id="29" w:name="_Toc82591987"/>
      <w:bookmarkEnd w:id="29"/>
      <w:bookmarkStart w:id="30" w:name="_Toc82591988"/>
      <w:bookmarkEnd w:id="30"/>
      <w:bookmarkStart w:id="31" w:name="_Toc82591989"/>
      <w:bookmarkEnd w:id="31"/>
      <w:bookmarkStart w:id="32" w:name="_Toc82591985"/>
      <w:bookmarkEnd w:id="32"/>
      <w:bookmarkStart w:id="33" w:name="_Toc82684708"/>
      <w:bookmarkEnd w:id="33"/>
      <w:bookmarkStart w:id="34" w:name="_Toc82591986"/>
      <w:bookmarkEnd w:id="34"/>
      <w:bookmarkStart w:id="35" w:name="_Toc116550347"/>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p>
      <w:pPr>
        <w:numPr>
          <w:ilvl w:val="0"/>
          <w:numId w:val="10"/>
        </w:numPr>
        <w:spacing w:line="560" w:lineRule="exact"/>
        <w:outlineLvl w:val="1"/>
        <w:rPr>
          <w:rFonts w:ascii="宋体" w:hAnsi="宋体"/>
          <w:b/>
          <w:szCs w:val="21"/>
        </w:rPr>
      </w:pPr>
      <w:r>
        <w:rPr>
          <w:rFonts w:hint="eastAsia" w:ascii="宋体" w:hAnsi="宋体" w:cs="宋体"/>
          <w:b/>
          <w:szCs w:val="21"/>
          <w:lang w:bidi="ar"/>
        </w:rPr>
        <w:t>项目要求</w:t>
      </w:r>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序号</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需求名称</w:t>
            </w:r>
          </w:p>
        </w:tc>
        <w:tc>
          <w:tcPr>
            <w:tcW w:w="7438" w:type="dxa"/>
            <w:tcBorders>
              <w:top w:val="single" w:color="auto" w:sz="4" w:space="0"/>
              <w:left w:val="nil"/>
              <w:bottom w:val="single" w:color="auto" w:sz="4" w:space="0"/>
              <w:right w:val="single" w:color="auto" w:sz="4" w:space="0"/>
            </w:tcBorders>
            <w:shd w:val="clear" w:color="auto" w:fill="auto"/>
            <w:vAlign w:val="center"/>
          </w:tcPr>
          <w:p>
            <w:pPr>
              <w:ind w:left="1386" w:leftChars="660" w:firstLine="1136" w:firstLineChars="539"/>
              <w:rPr>
                <w:rFonts w:ascii="宋体" w:hAnsi="宋体" w:cs="宋体"/>
                <w:b/>
                <w:szCs w:val="21"/>
              </w:rPr>
            </w:pPr>
            <w:r>
              <w:rPr>
                <w:rFonts w:hint="eastAsia" w:ascii="宋体" w:hAnsi="宋体" w:cs="宋体"/>
                <w:b/>
                <w:szCs w:val="21"/>
                <w:lang w:bidi="ar"/>
              </w:rPr>
              <w:t>需求说明</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jc w:val="center"/>
              <w:rPr>
                <w:kern w:val="2"/>
                <w:sz w:val="21"/>
                <w:szCs w:val="21"/>
              </w:rPr>
            </w:pPr>
            <w:r>
              <w:rPr>
                <w:rFonts w:hint="eastAsia"/>
                <w:kern w:val="2"/>
                <w:sz w:val="21"/>
                <w:szCs w:val="21"/>
                <w:lang w:bidi="ar"/>
              </w:rPr>
              <w:t>1</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资质要求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1"/>
              </w:numPr>
              <w:snapToGrid w:val="0"/>
              <w:ind w:left="-1" w:firstLine="0"/>
              <w:rPr>
                <w:rFonts w:ascii="宋体"/>
                <w:color w:val="auto"/>
                <w:szCs w:val="21"/>
                <w:highlight w:val="none"/>
              </w:rPr>
            </w:pPr>
            <w:r>
              <w:rPr>
                <w:rFonts w:hint="eastAsia" w:ascii="宋体" w:hAnsi="宋体" w:cs="宋体"/>
                <w:color w:val="auto"/>
                <w:szCs w:val="21"/>
                <w:highlight w:val="none"/>
                <w:lang w:bidi="ar"/>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1"/>
              </w:numPr>
              <w:snapToGrid w:val="0"/>
              <w:ind w:left="0" w:firstLine="0"/>
              <w:rPr>
                <w:color w:val="auto"/>
                <w:szCs w:val="21"/>
                <w:highlight w:val="none"/>
              </w:rPr>
            </w:pPr>
            <w:r>
              <w:rPr>
                <w:rFonts w:hint="eastAsia" w:ascii="宋体" w:hAnsi="宋体" w:cs="宋体"/>
                <w:color w:val="auto"/>
                <w:szCs w:val="21"/>
                <w:highlight w:val="none"/>
                <w:lang w:bidi="ar"/>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11"/>
              </w:numPr>
              <w:snapToGrid w:val="0"/>
              <w:rPr>
                <w:rFonts w:ascii="宋体" w:hAnsi="宋体" w:cs="宋体"/>
                <w:color w:val="auto"/>
                <w:szCs w:val="21"/>
                <w:highlight w:val="none"/>
              </w:rPr>
            </w:pPr>
            <w:r>
              <w:rPr>
                <w:rFonts w:hint="eastAsia" w:ascii="宋体" w:hAnsi="宋体" w:cs="宋体"/>
                <w:color w:val="auto"/>
                <w:szCs w:val="21"/>
                <w:highlight w:val="none"/>
                <w:lang w:bidi="ar"/>
              </w:rPr>
              <w:t>本项目不接受联合体投标，严禁转包或非法分包。</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kern w:val="2"/>
                <w:sz w:val="21"/>
                <w:szCs w:val="21"/>
              </w:rPr>
            </w:pPr>
            <w:r>
              <w:rPr>
                <w:rFonts w:hint="eastAsia"/>
                <w:kern w:val="2"/>
                <w:sz w:val="21"/>
                <w:szCs w:val="21"/>
                <w:lang w:bidi="ar"/>
              </w:rPr>
              <w:t>2</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报价要求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2"/>
              </w:numPr>
              <w:snapToGrid w:val="0"/>
              <w:ind w:left="0" w:firstLine="0"/>
              <w:rPr>
                <w:rFonts w:ascii="宋体" w:hAnsi="宋体"/>
                <w:color w:val="auto"/>
                <w:szCs w:val="21"/>
                <w:highlight w:val="none"/>
              </w:rPr>
            </w:pPr>
            <w:r>
              <w:rPr>
                <w:rFonts w:hint="eastAsia" w:ascii="宋体" w:hAnsi="宋体" w:cs="宋体"/>
                <w:color w:val="auto"/>
                <w:szCs w:val="21"/>
                <w:highlight w:val="none"/>
                <w:lang w:bidi="ar"/>
              </w:rPr>
              <w:t>报价以人民币为结算币种，《投标一览表》应包含税率、税额、税前及税后总金额。</w:t>
            </w:r>
          </w:p>
          <w:p>
            <w:pPr>
              <w:numPr>
                <w:ilvl w:val="0"/>
                <w:numId w:val="12"/>
              </w:numPr>
              <w:snapToGrid w:val="0"/>
              <w:ind w:left="0" w:firstLine="0"/>
              <w:rPr>
                <w:rFonts w:ascii="宋体" w:hAnsi="宋体" w:cs="仿宋_GB2312"/>
                <w:color w:val="auto"/>
                <w:szCs w:val="21"/>
                <w:highlight w:val="none"/>
              </w:rPr>
            </w:pPr>
            <w:r>
              <w:rPr>
                <w:rFonts w:hint="eastAsia" w:ascii="宋体" w:hAnsi="宋体" w:cs="宋体"/>
                <w:color w:val="auto"/>
                <w:szCs w:val="21"/>
                <w:highlight w:val="none"/>
                <w:lang w:bidi="ar"/>
              </w:rPr>
              <w:t>投标报价不得出现可选择性的报价,含有备选方案的报价将导致废标。</w:t>
            </w:r>
          </w:p>
          <w:p>
            <w:pPr>
              <w:numPr>
                <w:ilvl w:val="0"/>
                <w:numId w:val="12"/>
              </w:numPr>
              <w:snapToGrid w:val="0"/>
              <w:ind w:left="0" w:firstLine="0"/>
              <w:rPr>
                <w:rFonts w:ascii="宋体" w:hAnsi="宋体" w:cs="仿宋_GB2312"/>
                <w:color w:val="auto"/>
                <w:szCs w:val="21"/>
                <w:highlight w:val="none"/>
              </w:rPr>
            </w:pPr>
            <w:r>
              <w:rPr>
                <w:rFonts w:hint="eastAsia" w:ascii="宋体" w:hAnsi="宋体" w:cs="宋体"/>
                <w:color w:val="auto"/>
                <w:szCs w:val="21"/>
                <w:highlight w:val="none"/>
                <w:lang w:bidi="ar"/>
              </w:rPr>
              <w:t>投标报价包括但不限于咨询费、人工费、差旅费、管理费及增值税等完成本项目所需的全部费用。</w:t>
            </w:r>
          </w:p>
          <w:p>
            <w:pPr>
              <w:numPr>
                <w:ilvl w:val="0"/>
                <w:numId w:val="12"/>
              </w:numPr>
              <w:snapToGrid w:val="0"/>
              <w:ind w:left="0" w:firstLine="0"/>
              <w:rPr>
                <w:color w:val="auto"/>
                <w:szCs w:val="21"/>
                <w:highlight w:val="none"/>
              </w:rPr>
            </w:pPr>
            <w:r>
              <w:rPr>
                <w:rFonts w:hint="eastAsia" w:ascii="宋体" w:hAnsi="宋体" w:cs="宋体"/>
                <w:color w:val="auto"/>
                <w:szCs w:val="21"/>
                <w:highlight w:val="none"/>
                <w:lang w:bidi="ar"/>
              </w:rPr>
              <w:t>本项目承包方式为总价包干，招标人不再支付其他任何费用。</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kern w:val="2"/>
                <w:sz w:val="21"/>
                <w:szCs w:val="21"/>
              </w:rPr>
            </w:pPr>
            <w:r>
              <w:rPr>
                <w:rFonts w:hint="eastAsia"/>
                <w:kern w:val="2"/>
                <w:sz w:val="21"/>
                <w:szCs w:val="21"/>
                <w:lang w:bidi="ar"/>
              </w:rPr>
              <w:t>3</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lang w:bidi="ar"/>
              </w:rPr>
              <w:t>控制金额</w:t>
            </w:r>
          </w:p>
        </w:tc>
        <w:tc>
          <w:tcPr>
            <w:tcW w:w="7438" w:type="dxa"/>
            <w:tcBorders>
              <w:top w:val="single" w:color="auto" w:sz="4" w:space="0"/>
              <w:left w:val="nil"/>
              <w:bottom w:val="single" w:color="auto" w:sz="4" w:space="0"/>
              <w:right w:val="single" w:color="auto" w:sz="4" w:space="0"/>
            </w:tcBorders>
            <w:shd w:val="clear" w:color="auto" w:fill="auto"/>
            <w:vAlign w:val="center"/>
          </w:tcPr>
          <w:p>
            <w:pPr>
              <w:widowControl/>
              <w:ind w:right="28"/>
              <w:jc w:val="left"/>
              <w:rPr>
                <w:rFonts w:ascii="宋体" w:hAnsi="宋体" w:cs="宋体"/>
                <w:color w:val="auto"/>
                <w:szCs w:val="21"/>
                <w:highlight w:val="none"/>
              </w:rPr>
            </w:pPr>
            <w:r>
              <w:rPr>
                <w:rFonts w:hint="eastAsia" w:ascii="宋体" w:hAnsi="宋体" w:cs="宋体"/>
                <w:color w:val="auto"/>
                <w:szCs w:val="21"/>
                <w:highlight w:val="none"/>
                <w:lang w:bidi="ar"/>
              </w:rPr>
              <w:t>本项目采购控制金额为人民币</w:t>
            </w:r>
            <w:r>
              <w:rPr>
                <w:rFonts w:hint="eastAsia" w:ascii="宋体" w:hAnsi="宋体" w:cs="宋体"/>
                <w:color w:val="auto"/>
                <w:szCs w:val="21"/>
                <w:highlight w:val="none"/>
                <w:lang w:val="en-US" w:eastAsia="zh-CN" w:bidi="ar"/>
              </w:rPr>
              <w:t>28</w:t>
            </w:r>
            <w:r>
              <w:rPr>
                <w:rFonts w:hint="eastAsia" w:ascii="宋体" w:hAnsi="宋体" w:cs="宋体"/>
                <w:color w:val="auto"/>
                <w:szCs w:val="21"/>
                <w:highlight w:val="none"/>
                <w:lang w:bidi="ar"/>
              </w:rPr>
              <w:t>万元（含税），报价超过上述控制金额的投标文件作废标处理。</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kern w:val="2"/>
                <w:sz w:val="21"/>
                <w:szCs w:val="21"/>
              </w:rPr>
            </w:pPr>
            <w:r>
              <w:rPr>
                <w:rFonts w:hint="eastAsia"/>
                <w:kern w:val="2"/>
                <w:sz w:val="21"/>
                <w:szCs w:val="21"/>
                <w:lang w:bidi="ar"/>
              </w:rPr>
              <w:t>4</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lang w:bidi="ar"/>
              </w:rPr>
              <w:t>付款要求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snapToGrid w:val="0"/>
              <w:rPr>
                <w:rFonts w:ascii="宋体" w:hAnsi="宋体" w:cs="宋体"/>
                <w:color w:val="auto"/>
                <w:szCs w:val="21"/>
                <w:highlight w:val="none"/>
              </w:rPr>
            </w:pPr>
            <w:r>
              <w:rPr>
                <w:rFonts w:hint="eastAsia" w:ascii="宋体" w:hAnsi="宋体" w:cs="宋体"/>
                <w:color w:val="auto"/>
                <w:szCs w:val="21"/>
                <w:highlight w:val="none"/>
                <w:lang w:bidi="ar"/>
              </w:rPr>
              <w:t>本项目合同签订后，</w:t>
            </w:r>
            <w:r>
              <w:rPr>
                <w:rFonts w:hint="eastAsia" w:ascii="宋体" w:hAnsi="宋体" w:cs="宋体"/>
                <w:color w:val="auto"/>
                <w:szCs w:val="21"/>
                <w:highlight w:val="none"/>
                <w:lang w:val="en-US" w:eastAsia="zh-CN" w:bidi="ar"/>
              </w:rPr>
              <w:t>项目第一阶段成果验收后，</w:t>
            </w:r>
            <w:r>
              <w:rPr>
                <w:rFonts w:hint="eastAsia" w:ascii="宋体" w:hAnsi="宋体" w:cs="宋体"/>
                <w:color w:val="auto"/>
                <w:sz w:val="21"/>
                <w:szCs w:val="21"/>
                <w:highlight w:val="none"/>
                <w:lang w:val="en-US" w:eastAsia="zh-CN" w:bidi="ar"/>
              </w:rPr>
              <w:t>招标人</w:t>
            </w:r>
            <w:r>
              <w:rPr>
                <w:rFonts w:hint="eastAsia" w:ascii="宋体" w:hAnsi="宋体" w:cs="宋体"/>
                <w:color w:val="auto"/>
                <w:szCs w:val="21"/>
                <w:highlight w:val="none"/>
                <w:lang w:bidi="ar"/>
              </w:rPr>
              <w:t>支付合同总金额的</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0%；</w:t>
            </w:r>
          </w:p>
          <w:p>
            <w:pPr>
              <w:numPr>
                <w:ilvl w:val="0"/>
                <w:numId w:val="13"/>
              </w:numPr>
              <w:snapToGrid w:val="0"/>
              <w:rPr>
                <w:rFonts w:ascii="宋体" w:hAnsi="宋体" w:cs="宋体"/>
              </w:rPr>
            </w:pPr>
            <w:r>
              <w:rPr>
                <w:rFonts w:hint="eastAsia" w:ascii="宋体" w:cs="宋体"/>
              </w:rPr>
              <w:t>本项目结束且</w:t>
            </w:r>
            <w:r>
              <w:rPr>
                <w:rFonts w:hint="eastAsia" w:ascii="宋体" w:cs="宋体"/>
                <w:lang w:val="en-US" w:eastAsia="zh-CN"/>
              </w:rPr>
              <w:t>所有交付成果</w:t>
            </w:r>
            <w:r>
              <w:rPr>
                <w:rFonts w:hint="eastAsia" w:ascii="宋体" w:cs="宋体"/>
              </w:rPr>
              <w:t>经</w:t>
            </w:r>
            <w:r>
              <w:rPr>
                <w:rFonts w:hint="eastAsia" w:ascii="宋体" w:cs="宋体"/>
                <w:lang w:eastAsia="zh-CN"/>
              </w:rPr>
              <w:t>招标人</w:t>
            </w:r>
            <w:r>
              <w:rPr>
                <w:rFonts w:hint="eastAsia" w:ascii="宋体" w:cs="宋体"/>
              </w:rPr>
              <w:t>验收合格后，</w:t>
            </w:r>
            <w:r>
              <w:rPr>
                <w:rFonts w:hint="eastAsia" w:ascii="宋体" w:cs="宋体"/>
                <w:lang w:eastAsia="zh-CN"/>
              </w:rPr>
              <w:t>招标人</w:t>
            </w:r>
            <w:r>
              <w:rPr>
                <w:rFonts w:hint="eastAsia" w:ascii="宋体" w:cs="宋体"/>
              </w:rPr>
              <w:t>支付</w:t>
            </w:r>
            <w:r>
              <w:rPr>
                <w:rFonts w:hint="eastAsia" w:ascii="宋体" w:cs="宋体"/>
                <w:lang w:val="en-US" w:eastAsia="zh-CN"/>
              </w:rPr>
              <w:t>剩余</w:t>
            </w:r>
            <w:r>
              <w:rPr>
                <w:rFonts w:hint="eastAsia" w:ascii="宋体" w:cs="宋体"/>
              </w:rPr>
              <w:t>全部款</w:t>
            </w:r>
            <w:r>
              <w:rPr>
                <w:rFonts w:hint="eastAsia" w:ascii="宋体" w:cs="宋体"/>
                <w:lang w:eastAsia="zh-CN"/>
              </w:rPr>
              <w:t>项</w:t>
            </w:r>
            <w:r>
              <w:rPr>
                <w:rFonts w:hint="eastAsia" w:ascii="宋体" w:cs="宋体"/>
              </w:rPr>
              <w:t>。</w:t>
            </w:r>
          </w:p>
          <w:p>
            <w:pPr>
              <w:numPr>
                <w:ilvl w:val="0"/>
                <w:numId w:val="13"/>
              </w:numPr>
              <w:snapToGrid w:val="0"/>
              <w:ind w:left="0" w:leftChars="0" w:firstLine="0" w:firstLineChars="0"/>
              <w:rPr>
                <w:rFonts w:ascii="仿宋_GB2312" w:eastAsia="仿宋_GB2312" w:cs="Times New Roman"/>
                <w:color w:val="auto"/>
                <w:kern w:val="2"/>
                <w:sz w:val="21"/>
                <w:szCs w:val="21"/>
                <w:highlight w:val="none"/>
              </w:rPr>
            </w:pPr>
            <w:r>
              <w:rPr>
                <w:rFonts w:hint="eastAsia" w:ascii="宋体" w:cs="宋体"/>
                <w:lang w:eastAsia="zh-CN"/>
              </w:rPr>
              <w:t>招标人</w:t>
            </w:r>
            <w:r>
              <w:rPr>
                <w:rFonts w:hint="eastAsia" w:ascii="宋体" w:cs="宋体"/>
              </w:rPr>
              <w:t>付款前</w:t>
            </w:r>
            <w:r>
              <w:rPr>
                <w:rFonts w:hint="eastAsia" w:ascii="宋体" w:cs="宋体"/>
                <w:lang w:eastAsia="zh-CN"/>
              </w:rPr>
              <w:t>投标人</w:t>
            </w:r>
            <w:r>
              <w:rPr>
                <w:rFonts w:hint="eastAsia" w:ascii="宋体" w:cs="宋体"/>
              </w:rPr>
              <w:t>须提供真实、有效增值税发票</w:t>
            </w:r>
            <w:r>
              <w:rPr>
                <w:rFonts w:hint="eastAsia" w:ascii="宋体" w:cs="宋体"/>
                <w:lang w:eastAsia="zh-CN"/>
              </w:rPr>
              <w:t>，</w:t>
            </w:r>
            <w:r>
              <w:rPr>
                <w:rFonts w:hint="eastAsia" w:ascii="宋体" w:hAnsi="宋体" w:cs="宋体"/>
                <w:color w:val="auto"/>
                <w:szCs w:val="21"/>
                <w:highlight w:val="none"/>
                <w:lang w:bidi="ar"/>
              </w:rPr>
              <w:t>详细付款事宜以合同条款为准。</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ascii="宋体" w:hAnsi="宋体" w:cs="宋体"/>
                <w:b/>
                <w:bCs/>
                <w:color w:val="auto"/>
                <w:szCs w:val="21"/>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kern w:val="2"/>
                <w:sz w:val="21"/>
                <w:szCs w:val="21"/>
              </w:rPr>
            </w:pPr>
            <w:r>
              <w:rPr>
                <w:rFonts w:hint="eastAsia"/>
                <w:kern w:val="2"/>
                <w:sz w:val="21"/>
                <w:szCs w:val="21"/>
                <w:lang w:bidi="ar"/>
              </w:rPr>
              <w:t>5</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highlight w:val="yellow"/>
              </w:rPr>
            </w:pPr>
            <w:r>
              <w:rPr>
                <w:rFonts w:hint="eastAsia" w:ascii="宋体" w:hAnsi="宋体" w:cs="宋体"/>
                <w:szCs w:val="21"/>
              </w:rPr>
              <w:t>知识产权保护及保密要求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4"/>
              </w:numPr>
              <w:snapToGrid w:val="0"/>
              <w:rPr>
                <w:rFonts w:hint="eastAsia" w:ascii="宋体" w:cs="宋体"/>
              </w:rPr>
            </w:pPr>
            <w:r>
              <w:rPr>
                <w:rFonts w:hint="eastAsia" w:ascii="宋体" w:hAnsi="宋体" w:cs="宋体"/>
                <w:szCs w:val="21"/>
              </w:rPr>
              <w:t>项目所有成</w:t>
            </w:r>
            <w:r>
              <w:rPr>
                <w:rFonts w:hint="eastAsia" w:ascii="宋体" w:cs="宋体"/>
              </w:rPr>
              <w:t>果版权归</w:t>
            </w:r>
            <w:r>
              <w:rPr>
                <w:rFonts w:hint="eastAsia" w:ascii="宋体" w:cs="宋体"/>
                <w:lang w:eastAsia="zh-CN"/>
              </w:rPr>
              <w:t>招标人</w:t>
            </w:r>
            <w:r>
              <w:rPr>
                <w:rFonts w:hint="eastAsia" w:ascii="宋体" w:cs="宋体"/>
              </w:rPr>
              <w:t>所有。</w:t>
            </w:r>
          </w:p>
          <w:p>
            <w:pPr>
              <w:numPr>
                <w:ilvl w:val="0"/>
                <w:numId w:val="14"/>
              </w:numPr>
              <w:snapToGrid w:val="0"/>
              <w:ind w:left="0" w:leftChars="0" w:firstLine="0" w:firstLineChars="0"/>
              <w:rPr>
                <w:rFonts w:hint="eastAsia" w:ascii="宋体" w:cs="宋体"/>
              </w:rPr>
            </w:pPr>
            <w:r>
              <w:rPr>
                <w:rFonts w:hint="eastAsia" w:ascii="宋体" w:cs="宋体"/>
                <w:lang w:eastAsia="zh-CN"/>
              </w:rPr>
              <w:t>投标人</w:t>
            </w:r>
            <w:r>
              <w:rPr>
                <w:rFonts w:hint="eastAsia" w:ascii="宋体" w:cs="宋体"/>
              </w:rPr>
              <w:t>必须对编制内容拥有原创知识产权，不得有模仿、抄袭等侵权行为。</w:t>
            </w:r>
            <w:r>
              <w:rPr>
                <w:rFonts w:hint="eastAsia" w:ascii="宋体" w:cs="宋体"/>
                <w:lang w:eastAsia="zh-CN"/>
              </w:rPr>
              <w:t>招标人</w:t>
            </w:r>
            <w:r>
              <w:rPr>
                <w:rFonts w:hint="eastAsia" w:ascii="宋体" w:cs="宋体"/>
              </w:rPr>
              <w:t>在使用项目成果的任何一部分时，免受第三方提出的涉及侵犯其知识产权的起诉；由此所带来的任何法律和经济赔偿责任全部由</w:t>
            </w:r>
            <w:r>
              <w:rPr>
                <w:rFonts w:hint="eastAsia" w:ascii="宋体" w:cs="宋体"/>
                <w:lang w:eastAsia="zh-CN"/>
              </w:rPr>
              <w:t>投标人</w:t>
            </w:r>
            <w:r>
              <w:rPr>
                <w:rFonts w:hint="eastAsia" w:ascii="宋体" w:cs="宋体"/>
              </w:rPr>
              <w:t>承担，与</w:t>
            </w:r>
            <w:r>
              <w:rPr>
                <w:rFonts w:hint="eastAsia" w:ascii="宋体" w:cs="宋体"/>
                <w:lang w:eastAsia="zh-CN"/>
              </w:rPr>
              <w:t>招标人</w:t>
            </w:r>
            <w:r>
              <w:rPr>
                <w:rFonts w:hint="eastAsia" w:ascii="宋体" w:cs="宋体"/>
              </w:rPr>
              <w:t>无关。</w:t>
            </w:r>
          </w:p>
          <w:p>
            <w:pPr>
              <w:numPr>
                <w:ilvl w:val="0"/>
                <w:numId w:val="14"/>
              </w:numPr>
              <w:snapToGrid w:val="0"/>
              <w:ind w:left="0" w:leftChars="0" w:firstLine="0" w:firstLineChars="0"/>
              <w:rPr>
                <w:rFonts w:ascii="宋体" w:cs="宋体"/>
                <w:color w:val="auto"/>
                <w:szCs w:val="21"/>
                <w:highlight w:val="none"/>
              </w:rPr>
            </w:pPr>
            <w:r>
              <w:rPr>
                <w:rFonts w:hint="eastAsia" w:ascii="宋体" w:cs="宋体"/>
                <w:lang w:eastAsia="zh-CN"/>
              </w:rPr>
              <w:t>招标人</w:t>
            </w:r>
            <w:r>
              <w:rPr>
                <w:rFonts w:hint="eastAsia" w:ascii="宋体" w:cs="宋体"/>
              </w:rPr>
              <w:t>及</w:t>
            </w:r>
            <w:r>
              <w:rPr>
                <w:rFonts w:hint="eastAsia" w:ascii="宋体" w:cs="宋体"/>
                <w:lang w:eastAsia="zh-CN"/>
              </w:rPr>
              <w:t>投标人</w:t>
            </w:r>
            <w:r>
              <w:rPr>
                <w:rFonts w:hint="eastAsia" w:ascii="宋体" w:cs="宋体"/>
              </w:rPr>
              <w:t>双方都有责任对对方提供的技术情报、资料数据及商业秘密保密。未经对方同意，任何一方不得以任何形式向第三方泄露本项目资料或在项目中接触</w:t>
            </w:r>
            <w:r>
              <w:rPr>
                <w:rFonts w:hint="eastAsia" w:ascii="宋体" w:hAnsi="宋体" w:cs="宋体"/>
                <w:szCs w:val="21"/>
              </w:rPr>
              <w:t>到的资料，不得将其用于履行本合同之外的其他用途。</w:t>
            </w:r>
            <w:r>
              <w:rPr>
                <w:rFonts w:hint="eastAsia" w:ascii="宋体" w:hAnsi="宋体" w:cs="宋体"/>
                <w:szCs w:val="21"/>
                <w:lang w:eastAsia="zh-CN"/>
              </w:rPr>
              <w:t>投标人</w:t>
            </w:r>
            <w:r>
              <w:rPr>
                <w:rFonts w:hint="eastAsia" w:ascii="宋体" w:hAnsi="宋体" w:cs="宋体"/>
                <w:szCs w:val="21"/>
              </w:rPr>
              <w:t>违反本条约定，给</w:t>
            </w:r>
            <w:r>
              <w:rPr>
                <w:rFonts w:hint="eastAsia" w:ascii="宋体" w:hAnsi="宋体" w:cs="宋体"/>
                <w:szCs w:val="21"/>
                <w:lang w:eastAsia="zh-CN"/>
              </w:rPr>
              <w:t>招标人</w:t>
            </w:r>
            <w:r>
              <w:rPr>
                <w:rFonts w:hint="eastAsia" w:ascii="宋体" w:hAnsi="宋体" w:cs="宋体"/>
                <w:szCs w:val="21"/>
              </w:rPr>
              <w:t>造成损失的，应当赔偿造成的全部损失。本条约定的保密义务不因本项目合同的变更、解除、终止而受影响。</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ascii="宋体" w:hAnsi="宋体" w:cs="宋体"/>
                <w:color w:val="auto"/>
                <w:szCs w:val="21"/>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rFonts w:hint="default" w:eastAsia="宋体"/>
                <w:kern w:val="2"/>
                <w:sz w:val="21"/>
                <w:szCs w:val="21"/>
                <w:lang w:val="en-US" w:eastAsia="zh-CN" w:bidi="ar"/>
              </w:rPr>
            </w:pPr>
            <w:r>
              <w:rPr>
                <w:rFonts w:hint="eastAsia"/>
                <w:kern w:val="2"/>
                <w:sz w:val="21"/>
                <w:szCs w:val="21"/>
                <w:lang w:val="en-US" w:eastAsia="zh-CN" w:bidi="ar"/>
              </w:rPr>
              <w:t>6</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auto"/>
                <w:szCs w:val="21"/>
                <w:highlight w:val="none"/>
                <w:lang w:bidi="ar"/>
              </w:rPr>
            </w:pPr>
            <w:r>
              <w:rPr>
                <w:rFonts w:hint="eastAsia" w:ascii="宋体" w:hAnsi="宋体" w:cs="宋体"/>
                <w:szCs w:val="21"/>
              </w:rPr>
              <w:t>工期要求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5"/>
              </w:numPr>
              <w:rPr>
                <w:rFonts w:ascii="宋体" w:hAnsi="宋体" w:cs="宋体"/>
              </w:rPr>
            </w:pPr>
            <w:r>
              <w:rPr>
                <w:rFonts w:hint="eastAsia" w:ascii="宋体" w:hAnsi="宋体" w:cs="宋体"/>
              </w:rPr>
              <w:t>项目实施时间为签订合</w:t>
            </w:r>
            <w:r>
              <w:rPr>
                <w:rFonts w:hint="eastAsia" w:ascii="宋体" w:hAnsi="宋体" w:cs="宋体"/>
                <w:highlight w:val="none"/>
              </w:rPr>
              <w:t>同</w:t>
            </w:r>
            <w:r>
              <w:rPr>
                <w:rFonts w:hint="eastAsia" w:ascii="宋体" w:hAnsi="宋体" w:cs="宋体"/>
                <w:highlight w:val="none"/>
                <w:lang w:val="en-US" w:eastAsia="zh-CN"/>
              </w:rPr>
              <w:t>9</w:t>
            </w:r>
            <w:r>
              <w:rPr>
                <w:rFonts w:hint="eastAsia" w:ascii="宋体" w:hAnsi="宋体" w:cs="宋体"/>
                <w:highlight w:val="none"/>
              </w:rPr>
              <w:t>0天内完成。</w:t>
            </w:r>
          </w:p>
          <w:p>
            <w:pPr>
              <w:numPr>
                <w:ilvl w:val="255"/>
                <w:numId w:val="0"/>
              </w:numPr>
              <w:ind w:left="0" w:leftChars="0" w:firstLine="0" w:firstLineChars="0"/>
              <w:rPr>
                <w:rFonts w:hint="eastAsia" w:ascii="宋体" w:hAnsi="宋体" w:eastAsia="宋体" w:cs="宋体"/>
              </w:rPr>
            </w:pPr>
            <w:r>
              <w:rPr>
                <w:rFonts w:hint="eastAsia" w:ascii="宋体" w:hAnsi="宋体" w:cs="宋体"/>
              </w:rPr>
              <w:t>（2）</w:t>
            </w:r>
            <w:r>
              <w:rPr>
                <w:rFonts w:hint="eastAsia" w:ascii="宋体" w:hAnsi="宋体" w:cs="宋体"/>
                <w:lang w:eastAsia="zh-CN"/>
              </w:rPr>
              <w:t>投标人</w:t>
            </w:r>
            <w:r>
              <w:rPr>
                <w:rFonts w:hint="eastAsia" w:ascii="宋体" w:hAnsi="宋体" w:cs="宋体"/>
              </w:rPr>
              <w:t>需按</w:t>
            </w:r>
            <w:r>
              <w:rPr>
                <w:rFonts w:hint="eastAsia" w:ascii="宋体" w:hAnsi="宋体" w:cs="宋体"/>
                <w:lang w:val="en-US" w:eastAsia="zh-CN"/>
              </w:rPr>
              <w:t>项目计划节点</w:t>
            </w:r>
            <w:r>
              <w:rPr>
                <w:rFonts w:hint="eastAsia" w:ascii="宋体" w:hAnsi="宋体" w:cs="宋体"/>
              </w:rPr>
              <w:t>时</w:t>
            </w:r>
            <w:r>
              <w:rPr>
                <w:rFonts w:hint="eastAsia" w:ascii="宋体" w:hAnsi="宋体" w:cs="宋体"/>
                <w:lang w:val="en-US" w:eastAsia="zh-CN"/>
              </w:rPr>
              <w:t>间</w:t>
            </w:r>
            <w:r>
              <w:rPr>
                <w:rFonts w:hint="eastAsia" w:ascii="宋体" w:hAnsi="宋体" w:cs="宋体"/>
              </w:rPr>
              <w:t>提交</w:t>
            </w:r>
            <w:r>
              <w:rPr>
                <w:rFonts w:hint="eastAsia" w:ascii="宋体" w:hAnsi="宋体" w:cs="宋体"/>
                <w:lang w:val="en-US" w:eastAsia="zh-CN"/>
              </w:rPr>
              <w:t>相关资料并经</w:t>
            </w:r>
            <w:r>
              <w:rPr>
                <w:rFonts w:hint="eastAsia" w:ascii="宋体" w:hAnsi="宋体" w:cs="宋体"/>
                <w:lang w:eastAsia="zh-CN"/>
              </w:rPr>
              <w:t>招标</w:t>
            </w:r>
            <w:r>
              <w:rPr>
                <w:rFonts w:hint="eastAsia" w:ascii="宋体" w:hAnsi="宋体" w:cs="宋体"/>
                <w:lang w:val="en-US" w:eastAsia="zh-CN"/>
              </w:rPr>
              <w:t>人</w:t>
            </w:r>
            <w:r>
              <w:rPr>
                <w:rFonts w:hint="eastAsia" w:ascii="宋体" w:hAnsi="宋体" w:cs="宋体"/>
              </w:rPr>
              <w:t>确认。</w:t>
            </w:r>
            <w:r>
              <w:rPr>
                <w:rFonts w:hint="eastAsia" w:ascii="宋体" w:hAnsi="宋体" w:cs="宋体"/>
                <w:lang w:eastAsia="zh-CN"/>
              </w:rPr>
              <w:t>招标人</w:t>
            </w:r>
            <w:r>
              <w:rPr>
                <w:rFonts w:hint="eastAsia" w:ascii="宋体" w:hAnsi="宋体" w:cs="宋体"/>
              </w:rPr>
              <w:t>有权检查和监督工作流程及进展。</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hint="eastAsia" w:ascii="宋体" w:hAnsi="宋体" w:cs="宋体"/>
                <w:color w:val="auto"/>
                <w:szCs w:val="21"/>
                <w:lang w:bidi="ar"/>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Cs w:val="21"/>
              </w:rPr>
            </w:pPr>
            <w:r>
              <w:rPr>
                <w:rFonts w:hint="eastAsia" w:ascii="宋体" w:hAnsi="宋体" w:cs="宋体"/>
                <w:b/>
                <w:color w:val="auto"/>
                <w:szCs w:val="21"/>
                <w:lang w:bidi="ar"/>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序号</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Cs w:val="21"/>
              </w:rPr>
            </w:pPr>
            <w:r>
              <w:rPr>
                <w:rFonts w:hint="eastAsia" w:ascii="宋体" w:hAnsi="宋体" w:cs="宋体"/>
                <w:b/>
                <w:color w:val="auto"/>
                <w:szCs w:val="21"/>
                <w:lang w:bidi="ar"/>
              </w:rPr>
              <w:t>需求名称</w:t>
            </w:r>
          </w:p>
        </w:tc>
        <w:tc>
          <w:tcPr>
            <w:tcW w:w="7438" w:type="dxa"/>
            <w:tcBorders>
              <w:top w:val="single" w:color="auto" w:sz="4" w:space="0"/>
              <w:left w:val="nil"/>
              <w:bottom w:val="single" w:color="auto" w:sz="4" w:space="0"/>
              <w:right w:val="single" w:color="auto" w:sz="4" w:space="0"/>
            </w:tcBorders>
            <w:shd w:val="clear" w:color="auto" w:fill="auto"/>
            <w:vAlign w:val="center"/>
          </w:tcPr>
          <w:p>
            <w:pPr>
              <w:ind w:left="1386" w:leftChars="660" w:firstLine="1136" w:firstLineChars="539"/>
              <w:rPr>
                <w:rFonts w:ascii="宋体" w:hAnsi="宋体" w:cs="宋体"/>
                <w:b/>
                <w:color w:val="auto"/>
                <w:szCs w:val="21"/>
              </w:rPr>
            </w:pPr>
            <w:r>
              <w:rPr>
                <w:rFonts w:hint="eastAsia" w:ascii="宋体" w:hAnsi="宋体" w:cs="宋体"/>
                <w:b/>
                <w:color w:val="auto"/>
                <w:szCs w:val="21"/>
                <w:lang w:bidi="ar"/>
              </w:rPr>
              <w:t>需求说明</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Cs w:val="21"/>
              </w:rPr>
            </w:pPr>
            <w:r>
              <w:rPr>
                <w:rFonts w:hint="eastAsia" w:ascii="宋体" w:hAnsi="宋体" w:cs="宋体"/>
                <w:b/>
                <w:color w:val="auto"/>
                <w:szCs w:val="21"/>
                <w:lang w:bidi="ar"/>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rFonts w:hint="eastAsia" w:eastAsia="宋体"/>
                <w:kern w:val="2"/>
                <w:sz w:val="21"/>
                <w:szCs w:val="21"/>
                <w:lang w:val="en-US" w:eastAsia="zh-CN" w:bidi="ar"/>
              </w:rPr>
            </w:pPr>
            <w:r>
              <w:rPr>
                <w:rFonts w:hint="eastAsia"/>
                <w:kern w:val="2"/>
                <w:sz w:val="21"/>
                <w:szCs w:val="21"/>
                <w:lang w:val="en-US" w:eastAsia="zh-CN" w:bidi="ar"/>
              </w:rPr>
              <w:t>1</w:t>
            </w:r>
          </w:p>
        </w:tc>
        <w:tc>
          <w:tcPr>
            <w:tcW w:w="13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项目实施</w:t>
            </w:r>
          </w:p>
          <w:p>
            <w:pPr>
              <w:jc w:val="center"/>
              <w:rPr>
                <w:rFonts w:hint="eastAsia" w:cs="宋体"/>
                <w:color w:val="auto"/>
                <w:sz w:val="21"/>
                <w:szCs w:val="21"/>
                <w:lang w:val="en-US" w:eastAsia="zh-CN"/>
              </w:rPr>
            </w:pPr>
            <w:r>
              <w:rPr>
                <w:rFonts w:hint="eastAsia" w:ascii="宋体" w:hAnsi="宋体" w:cs="宋体"/>
                <w:szCs w:val="21"/>
              </w:rPr>
              <w:t>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rPr>
            </w:pPr>
            <w:r>
              <w:rPr>
                <w:rFonts w:hint="eastAsia" w:ascii="宋体" w:hAnsi="宋体" w:cs="宋体"/>
              </w:rPr>
              <w:t>建立健全具有公司特色、符合公司实际情况的合规组织体系、制度体系、管理体系和风险防范机制体系，有效防控合规风险。</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rFonts w:hint="eastAsia" w:eastAsia="宋体"/>
                <w:kern w:val="2"/>
                <w:sz w:val="21"/>
                <w:szCs w:val="21"/>
                <w:lang w:val="en-US" w:eastAsia="zh-CN"/>
              </w:rPr>
            </w:pPr>
            <w:r>
              <w:rPr>
                <w:rFonts w:hint="eastAsia"/>
                <w:kern w:val="2"/>
                <w:sz w:val="21"/>
                <w:szCs w:val="21"/>
                <w:lang w:val="en-US" w:eastAsia="zh-CN"/>
              </w:rPr>
              <w:t>2</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4"/>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工作内容</w:t>
            </w:r>
          </w:p>
        </w:tc>
        <w:tc>
          <w:tcPr>
            <w:tcW w:w="743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rPr>
            </w:pPr>
            <w:r>
              <w:rPr>
                <w:rFonts w:hint="eastAsia" w:ascii="宋体" w:hAnsi="宋体" w:cs="宋体"/>
              </w:rPr>
              <w:t>围绕项目实施要求，结合《中央企业合规管理办法》、上级单位要求、公司已发布的合规管理办法和合规管理体系建设工作实施方案，开展工作内容如下</w:t>
            </w:r>
            <w:r>
              <w:rPr>
                <w:rFonts w:hint="eastAsia" w:ascii="宋体" w:hAnsi="宋体" w:cs="宋体"/>
                <w:lang w:eastAsia="zh-CN"/>
              </w:rPr>
              <w:t>：</w:t>
            </w:r>
          </w:p>
          <w:p>
            <w:pPr>
              <w:widowControl/>
              <w:numPr>
                <w:ilvl w:val="0"/>
                <w:numId w:val="16"/>
              </w:numPr>
              <w:rPr>
                <w:rFonts w:ascii="宋体" w:hAnsi="宋体" w:cs="宋体"/>
              </w:rPr>
            </w:pPr>
            <w:r>
              <w:rPr>
                <w:rFonts w:hint="eastAsia" w:ascii="宋体" w:hAnsi="宋体" w:cs="宋体"/>
              </w:rPr>
              <w:t>合规组织体系优化：针对深圳会展中心本部及下属3家所属企业，优化健全现有合规制度体系，更新及完善合规组织领导</w:t>
            </w:r>
            <w:r>
              <w:rPr>
                <w:rFonts w:hint="eastAsia" w:ascii="宋体" w:hAnsi="宋体" w:cs="宋体"/>
                <w:lang w:val="en-US" w:eastAsia="zh-CN"/>
              </w:rPr>
              <w:t>架构</w:t>
            </w:r>
            <w:r>
              <w:rPr>
                <w:rFonts w:hint="eastAsia" w:ascii="宋体" w:hAnsi="宋体" w:cs="宋体"/>
              </w:rPr>
              <w:t>及管理权责，</w:t>
            </w:r>
            <w:r>
              <w:rPr>
                <w:rFonts w:hint="eastAsia" w:ascii="宋体" w:hAnsi="宋体" w:cs="宋体"/>
                <w:lang w:val="en-US" w:eastAsia="zh-CN"/>
              </w:rPr>
              <w:t>进一步推动合规委员会、首席合规官、合规管理部门及合规管理人员“四个到位”</w:t>
            </w:r>
            <w:r>
              <w:rPr>
                <w:rFonts w:hint="eastAsia" w:ascii="宋体" w:hAnsi="宋体" w:cs="宋体"/>
                <w:lang w:eastAsia="zh-CN"/>
              </w:rPr>
              <w:t>，</w:t>
            </w:r>
            <w:r>
              <w:rPr>
                <w:rFonts w:hint="eastAsia" w:ascii="宋体" w:hAnsi="宋体" w:cs="宋体"/>
                <w:lang w:val="en-US" w:eastAsia="zh-CN"/>
              </w:rPr>
              <w:t>构建完善合规管理业务及职能部门切实承担主体责任、合规管理部门加强统筹协调、强化纪检监察、审计等部门监督责任“三道防线”；</w:t>
            </w:r>
          </w:p>
          <w:p>
            <w:pPr>
              <w:widowControl/>
              <w:numPr>
                <w:ilvl w:val="0"/>
                <w:numId w:val="16"/>
              </w:numPr>
              <w:rPr>
                <w:rFonts w:hint="eastAsia" w:ascii="宋体" w:hAnsi="宋体" w:cs="宋体"/>
                <w:lang w:eastAsia="zh-CN"/>
              </w:rPr>
            </w:pPr>
            <w:r>
              <w:rPr>
                <w:rFonts w:hint="eastAsia" w:ascii="宋体" w:hAnsi="宋体" w:cs="宋体"/>
                <w:lang w:val="en-US" w:eastAsia="zh-CN"/>
              </w:rPr>
              <w:t>重点</w:t>
            </w:r>
            <w:r>
              <w:rPr>
                <w:rFonts w:hint="eastAsia" w:ascii="宋体" w:hAnsi="宋体" w:cs="宋体"/>
              </w:rPr>
              <w:t>领域合规运行机制完善：全方位梳理</w:t>
            </w:r>
            <w:r>
              <w:rPr>
                <w:rFonts w:hint="eastAsia" w:ascii="宋体" w:hAnsi="宋体" w:cs="宋体"/>
                <w:lang w:val="en-US" w:eastAsia="zh-CN"/>
              </w:rPr>
              <w:t>公司及所属企业</w:t>
            </w:r>
            <w:r>
              <w:rPr>
                <w:rFonts w:hint="eastAsia" w:ascii="宋体" w:hAnsi="宋体" w:cs="宋体"/>
              </w:rPr>
              <w:t>主营业务</w:t>
            </w:r>
            <w:r>
              <w:rPr>
                <w:rFonts w:hint="eastAsia" w:ascii="宋体" w:hAnsi="宋体" w:cs="宋体"/>
                <w:lang w:val="en-US" w:eastAsia="zh-CN"/>
              </w:rPr>
              <w:t>及管理等</w:t>
            </w:r>
            <w:r>
              <w:rPr>
                <w:rFonts w:hint="eastAsia" w:ascii="宋体" w:hAnsi="宋体" w:cs="宋体"/>
              </w:rPr>
              <w:t>方面所涉风险要点</w:t>
            </w:r>
            <w:r>
              <w:rPr>
                <w:rFonts w:hint="eastAsia" w:ascii="宋体" w:hAnsi="宋体" w:cs="宋体"/>
                <w:lang w:eastAsia="zh-CN"/>
              </w:rPr>
              <w:t>，</w:t>
            </w:r>
            <w:r>
              <w:rPr>
                <w:rFonts w:hint="eastAsia" w:ascii="宋体" w:hAnsi="宋体" w:cs="宋体"/>
                <w:lang w:val="en-US" w:eastAsia="zh-CN"/>
              </w:rPr>
              <w:t>形成合规管理指导手册或义务清单。同时针对</w:t>
            </w:r>
            <w:r>
              <w:rPr>
                <w:rFonts w:hint="eastAsia" w:ascii="宋体" w:hAnsi="宋体" w:cs="宋体"/>
                <w:highlight w:val="none"/>
              </w:rPr>
              <w:t>重点领域</w:t>
            </w:r>
            <w:r>
              <w:rPr>
                <w:rFonts w:hint="eastAsia" w:ascii="宋体" w:hAnsi="宋体" w:cs="宋体"/>
              </w:rPr>
              <w:t>形成风险识别、岗位职责、流程管控“三张清单”，融入廉洁合规</w:t>
            </w:r>
            <w:r>
              <w:rPr>
                <w:rFonts w:hint="eastAsia" w:ascii="宋体" w:hAnsi="宋体" w:cs="宋体"/>
                <w:lang w:eastAsia="zh-CN"/>
              </w:rPr>
              <w:t>，</w:t>
            </w:r>
            <w:r>
              <w:rPr>
                <w:rFonts w:hint="eastAsia" w:ascii="宋体" w:hAnsi="宋体" w:cs="宋体"/>
                <w:lang w:val="en-US" w:eastAsia="zh-CN"/>
              </w:rPr>
              <w:t>同时将</w:t>
            </w:r>
            <w:r>
              <w:rPr>
                <w:rFonts w:hint="eastAsia" w:ascii="宋体" w:hAnsi="宋体" w:cs="宋体"/>
                <w:lang w:eastAsia="zh-CN"/>
              </w:rPr>
              <w:t>相关合规要求延伸至</w:t>
            </w:r>
            <w:r>
              <w:rPr>
                <w:rFonts w:hint="eastAsia" w:ascii="宋体" w:hAnsi="宋体" w:cs="宋体"/>
                <w:lang w:val="en-US" w:eastAsia="zh-CN"/>
              </w:rPr>
              <w:t>所属</w:t>
            </w:r>
            <w:r>
              <w:rPr>
                <w:rFonts w:hint="eastAsia" w:ascii="宋体" w:hAnsi="宋体" w:cs="宋体"/>
                <w:lang w:eastAsia="zh-CN"/>
              </w:rPr>
              <w:t>企业；</w:t>
            </w:r>
          </w:p>
          <w:p>
            <w:pPr>
              <w:widowControl/>
              <w:numPr>
                <w:ilvl w:val="0"/>
                <w:numId w:val="16"/>
              </w:numPr>
              <w:rPr>
                <w:rFonts w:ascii="宋体" w:hAnsi="宋体" w:cs="宋体"/>
              </w:rPr>
            </w:pPr>
            <w:r>
              <w:rPr>
                <w:rFonts w:hint="eastAsia" w:ascii="宋体" w:hAnsi="宋体" w:cs="宋体"/>
                <w:lang w:val="en-US" w:eastAsia="zh-CN"/>
              </w:rPr>
              <w:t>合规评价机制完善：</w:t>
            </w:r>
            <w:r>
              <w:rPr>
                <w:rFonts w:hint="eastAsia" w:ascii="宋体" w:hAnsi="宋体" w:cs="宋体"/>
              </w:rPr>
              <w:t>完善上述重点领域的常态化合规检查与合规管理评价机制，协助将合规管理纳入对各部门和所属企业的考核评价，实现公司合规审查标准化、表单化；</w:t>
            </w:r>
          </w:p>
          <w:p>
            <w:pPr>
              <w:widowControl/>
              <w:rPr>
                <w:rFonts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合规</w:t>
            </w:r>
            <w:r>
              <w:rPr>
                <w:rFonts w:hint="eastAsia" w:ascii="宋体" w:hAnsi="宋体" w:cs="宋体"/>
              </w:rPr>
              <w:t>管理领域的诊断及管控优化：针对</w:t>
            </w:r>
            <w:r>
              <w:rPr>
                <w:rFonts w:hint="eastAsia" w:ascii="宋体" w:hAnsi="宋体" w:cs="宋体"/>
                <w:lang w:val="en-US" w:eastAsia="zh-CN"/>
              </w:rPr>
              <w:t>合规</w:t>
            </w:r>
            <w:r>
              <w:rPr>
                <w:rFonts w:hint="eastAsia" w:ascii="宋体" w:hAnsi="宋体" w:cs="宋体"/>
              </w:rPr>
              <w:t>管理流程，开展专项管理诊断及管控优化，识别风险敞口、管控漏洞，并提出下一步管控优化空间；</w:t>
            </w:r>
          </w:p>
          <w:p>
            <w:pPr>
              <w:widowControl/>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）法律、合规、风险管理、内控体系融合优化: 从构建法治框架下的法律、合规、风险管理、内控“四位一体”融合视角出发，立足于企业实际，提出体系融合优化建议，包括协同工作机制、资源整合和成果共享机制、监督闭环机制建议等；</w:t>
            </w:r>
          </w:p>
          <w:p>
            <w:pPr>
              <w:widowControl/>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）合规管理信息化规划：结合公司合规管理目标，基于公司现有信息化程度，对合规管理平台进行规划设计，明确系统建设方向，编制规划报告；</w:t>
            </w:r>
          </w:p>
          <w:p>
            <w:pPr>
              <w:widowControl/>
              <w:rPr>
                <w:rFonts w:hint="eastAsia" w:ascii="宋体" w:hAnsi="宋体" w:eastAsia="宋体" w:cs="宋体"/>
                <w:color w:val="auto"/>
                <w:sz w:val="21"/>
                <w:szCs w:val="21"/>
                <w:lang w:bidi="ar"/>
              </w:rPr>
            </w:pPr>
            <w:r>
              <w:rPr>
                <w:rFonts w:hint="eastAsia" w:ascii="宋体" w:hAnsi="宋体" w:cs="宋体"/>
              </w:rPr>
              <w:t>（</w:t>
            </w:r>
            <w:r>
              <w:rPr>
                <w:rFonts w:hint="eastAsia" w:ascii="宋体" w:hAnsi="宋体" w:cs="宋体"/>
                <w:lang w:val="en-US" w:eastAsia="zh-CN"/>
              </w:rPr>
              <w:t>7</w:t>
            </w:r>
            <w:r>
              <w:rPr>
                <w:rFonts w:hint="eastAsia" w:ascii="宋体" w:hAnsi="宋体" w:cs="宋体"/>
              </w:rPr>
              <w:t>）合规培训：组织开展不少于两次合规培训，推动签订合规承诺。</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ascii="宋体" w:hAnsi="宋体" w:cs="宋体"/>
                <w:color w:val="auto"/>
                <w:szCs w:val="21"/>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rFonts w:hint="default" w:eastAsia="宋体"/>
                <w:kern w:val="2"/>
                <w:sz w:val="21"/>
                <w:szCs w:val="21"/>
                <w:lang w:val="en-US" w:eastAsia="zh-CN" w:bidi="ar"/>
              </w:rPr>
            </w:pPr>
            <w:bookmarkStart w:id="37" w:name="_Toc116550349"/>
            <w:r>
              <w:rPr>
                <w:rFonts w:hint="eastAsia"/>
                <w:kern w:val="2"/>
                <w:sz w:val="21"/>
                <w:szCs w:val="21"/>
                <w:lang w:val="en-US" w:eastAsia="zh-CN" w:bidi="ar"/>
              </w:rPr>
              <w:t>3</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4"/>
              <w:jc w:val="center"/>
              <w:rPr>
                <w:rFonts w:hint="default" w:cs="宋体"/>
                <w:color w:val="auto"/>
                <w:sz w:val="21"/>
                <w:szCs w:val="21"/>
                <w:lang w:val="en-US" w:eastAsia="zh-CN"/>
              </w:rPr>
            </w:pPr>
            <w:r>
              <w:rPr>
                <w:rFonts w:hint="eastAsia" w:cs="宋体"/>
                <w:color w:val="auto"/>
                <w:sz w:val="21"/>
                <w:szCs w:val="21"/>
                <w:lang w:val="en-US" w:eastAsia="zh-CN"/>
              </w:rPr>
              <w:t>交付成果</w:t>
            </w:r>
          </w:p>
        </w:tc>
        <w:tc>
          <w:tcPr>
            <w:tcW w:w="7438"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7"/>
              </w:numPr>
              <w:rPr>
                <w:rFonts w:hint="eastAsia" w:ascii="宋体" w:hAnsi="宋体" w:cs="宋体"/>
                <w:highlight w:val="none"/>
                <w:lang w:val="en-US" w:eastAsia="zh-CN"/>
              </w:rPr>
            </w:pPr>
            <w:r>
              <w:rPr>
                <w:rFonts w:hint="eastAsia" w:ascii="宋体" w:hAnsi="宋体" w:cs="宋体"/>
                <w:highlight w:val="none"/>
              </w:rPr>
              <w:t>《合规管理办法（更新版）》</w:t>
            </w:r>
            <w:r>
              <w:rPr>
                <w:rFonts w:hint="eastAsia" w:ascii="宋体" w:hAnsi="宋体" w:cs="宋体"/>
                <w:highlight w:val="none"/>
                <w:lang w:eastAsia="zh-CN"/>
              </w:rPr>
              <w:t>（</w:t>
            </w:r>
            <w:r>
              <w:rPr>
                <w:rFonts w:hint="eastAsia" w:ascii="宋体" w:hAnsi="宋体" w:cs="宋体"/>
                <w:highlight w:val="none"/>
                <w:lang w:val="en-US" w:eastAsia="zh-CN"/>
              </w:rPr>
              <w:t>如需</w:t>
            </w:r>
            <w:r>
              <w:rPr>
                <w:rFonts w:hint="eastAsia" w:ascii="宋体" w:hAnsi="宋体" w:cs="宋体"/>
                <w:highlight w:val="none"/>
                <w:lang w:eastAsia="zh-CN"/>
              </w:rPr>
              <w:t>）</w:t>
            </w:r>
            <w:r>
              <w:rPr>
                <w:rFonts w:hint="eastAsia" w:ascii="宋体" w:hAnsi="宋体" w:cs="宋体"/>
                <w:highlight w:val="none"/>
              </w:rPr>
              <w:t>；</w:t>
            </w:r>
          </w:p>
          <w:p>
            <w:pPr>
              <w:widowControl/>
              <w:rPr>
                <w:rFonts w:hint="eastAsia" w:ascii="宋体" w:hAnsi="宋体" w:cs="宋体"/>
                <w:highlight w:val="none"/>
              </w:rPr>
            </w:pPr>
            <w:r>
              <w:rPr>
                <w:rFonts w:hint="eastAsia" w:ascii="宋体" w:hAnsi="宋体" w:cs="宋体"/>
                <w:highlight w:val="none"/>
                <w:lang w:val="en-US" w:eastAsia="zh-CN"/>
              </w:rPr>
              <w:t>（2）合规管理指导手册或义务清单；</w:t>
            </w:r>
          </w:p>
          <w:p>
            <w:pPr>
              <w:widowControl/>
              <w:rPr>
                <w:rFonts w:ascii="宋体" w:hAnsi="宋体" w:cs="宋体"/>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val="en-US" w:eastAsia="zh-CN"/>
              </w:rPr>
              <w:t>重点</w:t>
            </w:r>
            <w:r>
              <w:rPr>
                <w:rFonts w:hint="eastAsia" w:ascii="宋体" w:hAnsi="宋体" w:cs="宋体"/>
                <w:highlight w:val="none"/>
              </w:rPr>
              <w:t>领域风险识别、岗位职责、流程管控的</w:t>
            </w:r>
            <w:r>
              <w:rPr>
                <w:rFonts w:hint="eastAsia" w:ascii="宋体" w:hAnsi="宋体" w:cs="宋体"/>
              </w:rPr>
              <w:t>“三张清单”；</w:t>
            </w:r>
          </w:p>
          <w:p>
            <w:pPr>
              <w:widowControl/>
              <w:rPr>
                <w:rFonts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重点</w:t>
            </w:r>
            <w:r>
              <w:rPr>
                <w:rFonts w:hint="eastAsia" w:ascii="宋体" w:hAnsi="宋体" w:cs="宋体"/>
              </w:rPr>
              <w:t>领域合规检查与评价文件；</w:t>
            </w:r>
          </w:p>
          <w:p>
            <w:pPr>
              <w:widowControl/>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合规</w:t>
            </w:r>
            <w:r>
              <w:rPr>
                <w:rFonts w:hint="eastAsia" w:ascii="宋体" w:hAnsi="宋体" w:cs="宋体"/>
              </w:rPr>
              <w:t>管理领域诊断及优化报告》，包括风险敞口、管控漏洞及下一步管控优化空间；</w:t>
            </w:r>
          </w:p>
          <w:p>
            <w:pPr>
              <w:widowControl/>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）《法律、风险、内控、合规体系融合优化建议》，包括协同工作机制、资源整合和成果共享机制、监督闭环机制建议等；</w:t>
            </w:r>
          </w:p>
          <w:p>
            <w:pPr>
              <w:widowControl/>
              <w:rPr>
                <w:rFonts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）《合规管理信息化蓝图规划报告》，包括但不限于合规管理平台信息化的调研评估分析及合规管理平台的蓝图规划；</w:t>
            </w:r>
          </w:p>
          <w:p>
            <w:pPr>
              <w:widowControl/>
              <w:rPr>
                <w:rFonts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）2次合规培训；</w:t>
            </w:r>
          </w:p>
          <w:p>
            <w:pPr>
              <w:widowControl/>
              <w:numPr>
                <w:ilvl w:val="0"/>
                <w:numId w:val="0"/>
              </w:numPr>
              <w:jc w:val="left"/>
              <w:rPr>
                <w:rFonts w:hint="eastAsia"/>
              </w:rPr>
            </w:pPr>
            <w:r>
              <w:rPr>
                <w:rFonts w:hint="eastAsia" w:ascii="宋体" w:hAnsi="宋体" w:cs="宋体"/>
              </w:rPr>
              <w:t>（</w:t>
            </w:r>
            <w:r>
              <w:rPr>
                <w:rFonts w:hint="eastAsia" w:ascii="宋体" w:hAnsi="宋体" w:cs="宋体"/>
                <w:lang w:val="en-US" w:eastAsia="zh-CN"/>
              </w:rPr>
              <w:t>9</w:t>
            </w:r>
            <w:r>
              <w:rPr>
                <w:rFonts w:hint="eastAsia" w:ascii="宋体" w:hAnsi="宋体" w:cs="宋体"/>
              </w:rPr>
              <w:t>）合规承诺书。</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4"/>
              <w:jc w:val="center"/>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rPr>
              <w:t>人员</w:t>
            </w:r>
            <w:r>
              <w:rPr>
                <w:rFonts w:hint="default" w:ascii="宋体" w:hAnsi="宋体" w:cs="宋体"/>
                <w:color w:val="auto"/>
                <w:sz w:val="21"/>
                <w:szCs w:val="21"/>
              </w:rPr>
              <w:t>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spacing w:line="240" w:lineRule="atLeast"/>
              <w:jc w:val="left"/>
              <w:rPr>
                <w:rFonts w:ascii="宋体" w:hAnsi="宋体" w:cs="宋体"/>
                <w:szCs w:val="21"/>
              </w:rPr>
            </w:pPr>
            <w:r>
              <w:rPr>
                <w:rFonts w:hint="eastAsia" w:ascii="宋体" w:hAnsi="宋体" w:cs="宋体"/>
              </w:rPr>
              <w:t>（1）</w:t>
            </w:r>
            <w:r>
              <w:rPr>
                <w:rFonts w:hint="eastAsia" w:ascii="宋体" w:hAnsi="宋体" w:cs="宋体"/>
                <w:szCs w:val="21"/>
                <w:lang w:eastAsia="zh-CN"/>
              </w:rPr>
              <w:t>投标人</w:t>
            </w:r>
            <w:r>
              <w:rPr>
                <w:rFonts w:hint="eastAsia" w:ascii="宋体" w:hAnsi="宋体" w:cs="宋体"/>
                <w:szCs w:val="21"/>
              </w:rPr>
              <w:t>须指定项目负责人，并提供该负责人姓名、电话等信息，负责联络协调及跟进该项目具体实施。</w:t>
            </w:r>
          </w:p>
          <w:p>
            <w:pPr>
              <w:spacing w:line="240" w:lineRule="atLeast"/>
              <w:jc w:val="left"/>
              <w:rPr>
                <w:rFonts w:hint="eastAsia" w:ascii="Times New Roman" w:hAnsi="Times New Roman" w:eastAsia="宋体" w:cs="Times New Roman"/>
                <w:kern w:val="2"/>
                <w:sz w:val="21"/>
                <w:szCs w:val="24"/>
                <w:lang w:val="en-US" w:eastAsia="zh-CN" w:bidi="ar-SA"/>
              </w:rPr>
            </w:pPr>
            <w:r>
              <w:rPr>
                <w:rFonts w:hint="eastAsia" w:ascii="宋体" w:hAnsi="宋体" w:cs="宋体"/>
              </w:rPr>
              <w:t>（2）</w:t>
            </w:r>
            <w:r>
              <w:rPr>
                <w:rFonts w:hint="eastAsia" w:ascii="宋体" w:hAnsi="宋体" w:cs="宋体"/>
                <w:szCs w:val="21"/>
                <w:lang w:eastAsia="zh-CN"/>
              </w:rPr>
              <w:t>投标人</w:t>
            </w:r>
            <w:r>
              <w:rPr>
                <w:rFonts w:hint="eastAsia" w:ascii="宋体" w:hAnsi="宋体" w:cs="宋体"/>
                <w:szCs w:val="21"/>
              </w:rPr>
              <w:t>须提供拟派人员名单（名单内容包括但不限于姓名，学历，证书（如有），职称（如有）等级）。项目负责人及拟投入本项目人员不得随意更换，除非</w:t>
            </w:r>
            <w:r>
              <w:rPr>
                <w:rFonts w:hint="eastAsia" w:ascii="宋体" w:hAnsi="宋体" w:cs="宋体"/>
                <w:szCs w:val="21"/>
                <w:lang w:eastAsia="zh-CN"/>
              </w:rPr>
              <w:t>招标人</w:t>
            </w:r>
            <w:r>
              <w:rPr>
                <w:rFonts w:hint="eastAsia" w:ascii="宋体" w:hAnsi="宋体" w:cs="宋体"/>
                <w:szCs w:val="21"/>
              </w:rPr>
              <w:t>提出更换。如确需更换，需取得</w:t>
            </w:r>
            <w:r>
              <w:rPr>
                <w:rFonts w:hint="eastAsia" w:ascii="宋体" w:hAnsi="宋体" w:cs="宋体"/>
                <w:szCs w:val="21"/>
                <w:lang w:eastAsia="zh-CN"/>
              </w:rPr>
              <w:t>招标人</w:t>
            </w:r>
            <w:r>
              <w:rPr>
                <w:rFonts w:hint="eastAsia" w:ascii="宋体" w:hAnsi="宋体" w:cs="宋体"/>
                <w:szCs w:val="21"/>
              </w:rPr>
              <w:t>同意。</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4"/>
              <w:jc w:val="center"/>
              <w:rPr>
                <w:rFonts w:hint="eastAsia" w:ascii="宋体" w:hAnsi="宋体" w:cs="宋体"/>
                <w:color w:val="auto"/>
                <w:sz w:val="21"/>
                <w:szCs w:val="21"/>
              </w:rPr>
            </w:pPr>
            <w:r>
              <w:rPr>
                <w:rFonts w:hint="eastAsia" w:ascii="宋体" w:hAnsi="宋体" w:cs="宋体"/>
                <w:color w:val="auto"/>
                <w:sz w:val="21"/>
                <w:szCs w:val="21"/>
              </w:rPr>
              <w:t>验收</w:t>
            </w:r>
            <w:r>
              <w:rPr>
                <w:rFonts w:hint="default" w:ascii="宋体" w:hAnsi="宋体" w:cs="宋体"/>
                <w:color w:val="auto"/>
                <w:sz w:val="21"/>
                <w:szCs w:val="21"/>
              </w:rPr>
              <w:t>要求</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rPr>
                <w:rFonts w:hint="eastAsia" w:ascii="宋体" w:hAnsi="宋体" w:cs="宋体"/>
                <w:lang w:val="en-US" w:eastAsia="zh-CN"/>
              </w:rPr>
            </w:pPr>
            <w:r>
              <w:rPr>
                <w:rFonts w:hint="eastAsia" w:ascii="宋体" w:hAnsi="宋体" w:cs="宋体"/>
                <w:lang w:val="en-US" w:eastAsia="zh-CN"/>
              </w:rPr>
              <w:t>1、第一阶段验收：</w:t>
            </w:r>
          </w:p>
          <w:p>
            <w:pPr>
              <w:numPr>
                <w:ilvl w:val="255"/>
                <w:numId w:val="0"/>
              </w:numPr>
              <w:rPr>
                <w:rFonts w:hint="eastAsia" w:ascii="宋体" w:hAnsi="宋体" w:cs="宋体"/>
                <w:highlight w:val="none"/>
                <w:lang w:val="en-US" w:eastAsia="zh-CN"/>
              </w:rPr>
            </w:pPr>
            <w:r>
              <w:rPr>
                <w:rFonts w:hint="eastAsia" w:ascii="宋体" w:hAnsi="宋体" w:cs="宋体"/>
              </w:rPr>
              <w:t>全方位梳理</w:t>
            </w:r>
            <w:r>
              <w:rPr>
                <w:rFonts w:hint="eastAsia" w:ascii="宋体" w:hAnsi="宋体" w:cs="宋体"/>
                <w:lang w:val="en-US" w:eastAsia="zh-CN"/>
              </w:rPr>
              <w:t>公司及所属企业</w:t>
            </w:r>
            <w:r>
              <w:rPr>
                <w:rFonts w:hint="eastAsia" w:ascii="宋体" w:hAnsi="宋体" w:cs="宋体"/>
              </w:rPr>
              <w:t>主营业务</w:t>
            </w:r>
            <w:r>
              <w:rPr>
                <w:rFonts w:hint="eastAsia" w:ascii="宋体" w:hAnsi="宋体" w:cs="宋体"/>
                <w:lang w:val="en-US" w:eastAsia="zh-CN"/>
              </w:rPr>
              <w:t>及管理等</w:t>
            </w:r>
            <w:r>
              <w:rPr>
                <w:rFonts w:hint="eastAsia" w:ascii="宋体" w:hAnsi="宋体" w:cs="宋体"/>
              </w:rPr>
              <w:t>方面所涉风险要点</w:t>
            </w:r>
            <w:r>
              <w:rPr>
                <w:rFonts w:hint="eastAsia" w:ascii="宋体" w:hAnsi="宋体" w:cs="宋体"/>
                <w:lang w:eastAsia="zh-CN"/>
              </w:rPr>
              <w:t>，</w:t>
            </w:r>
            <w:r>
              <w:rPr>
                <w:rFonts w:hint="eastAsia" w:ascii="宋体" w:hAnsi="宋体" w:cs="宋体"/>
                <w:lang w:val="en-US" w:eastAsia="zh-CN"/>
              </w:rPr>
              <w:t>明确</w:t>
            </w:r>
            <w:r>
              <w:rPr>
                <w:rFonts w:hint="eastAsia" w:ascii="宋体" w:hAnsi="宋体" w:cs="宋体"/>
                <w:highlight w:val="none"/>
              </w:rPr>
              <w:t>重点领域</w:t>
            </w:r>
            <w:r>
              <w:rPr>
                <w:rFonts w:hint="eastAsia" w:ascii="宋体" w:hAnsi="宋体" w:cs="宋体"/>
                <w:highlight w:val="none"/>
                <w:lang w:eastAsia="zh-CN"/>
              </w:rPr>
              <w:t>，</w:t>
            </w:r>
            <w:r>
              <w:rPr>
                <w:rFonts w:hint="eastAsia" w:ascii="宋体" w:hAnsi="宋体" w:cs="宋体"/>
                <w:highlight w:val="none"/>
                <w:lang w:val="en-US" w:eastAsia="zh-CN"/>
              </w:rPr>
              <w:t>细化下一阶段工作安排，形成合规管理指导手册或义务清单初稿。</w:t>
            </w:r>
          </w:p>
          <w:p>
            <w:pPr>
              <w:numPr>
                <w:ilvl w:val="255"/>
                <w:numId w:val="0"/>
              </w:numPr>
              <w:rPr>
                <w:rFonts w:hint="eastAsia" w:ascii="宋体" w:hAnsi="宋体" w:cs="宋体"/>
                <w:lang w:val="en-US" w:eastAsia="zh-CN"/>
              </w:rPr>
            </w:pPr>
            <w:r>
              <w:rPr>
                <w:rFonts w:hint="eastAsia" w:ascii="宋体" w:hAnsi="宋体" w:cs="宋体"/>
                <w:highlight w:val="none"/>
                <w:lang w:val="en-US" w:eastAsia="zh-CN"/>
              </w:rPr>
              <w:t>按时交付成果、制作第一阶段成果验收单，</w:t>
            </w:r>
            <w:r>
              <w:rPr>
                <w:rFonts w:hint="eastAsia" w:ascii="宋体" w:hAnsi="宋体" w:cs="宋体"/>
              </w:rPr>
              <w:t>及时申请</w:t>
            </w:r>
            <w:r>
              <w:rPr>
                <w:rFonts w:hint="eastAsia" w:ascii="宋体" w:hAnsi="宋体" w:cs="宋体"/>
                <w:lang w:eastAsia="zh-CN"/>
              </w:rPr>
              <w:t>招标人</w:t>
            </w:r>
            <w:r>
              <w:rPr>
                <w:rFonts w:hint="eastAsia" w:ascii="宋体" w:hAnsi="宋体" w:cs="宋体"/>
                <w:lang w:val="en-US" w:eastAsia="zh-CN"/>
              </w:rPr>
              <w:t>进行</w:t>
            </w:r>
            <w:r>
              <w:rPr>
                <w:rFonts w:hint="eastAsia" w:ascii="宋体" w:hAnsi="宋体" w:cs="宋体"/>
              </w:rPr>
              <w:t>验收</w:t>
            </w:r>
            <w:r>
              <w:rPr>
                <w:rFonts w:hint="eastAsia" w:ascii="宋体" w:hAnsi="宋体" w:cs="宋体"/>
                <w:lang w:eastAsia="zh-CN"/>
              </w:rPr>
              <w:t>。</w:t>
            </w:r>
          </w:p>
          <w:p>
            <w:pPr>
              <w:rPr>
                <w:rFonts w:hint="default"/>
                <w:lang w:val="en-US" w:eastAsia="zh-CN"/>
              </w:rPr>
            </w:pPr>
            <w:r>
              <w:rPr>
                <w:rFonts w:hint="eastAsia" w:ascii="宋体" w:hAnsi="宋体" w:cs="宋体"/>
                <w:lang w:val="en-US" w:eastAsia="zh-CN"/>
              </w:rPr>
              <w:t>2、</w:t>
            </w:r>
            <w:r>
              <w:rPr>
                <w:rFonts w:hint="eastAsia"/>
                <w:lang w:val="en-US" w:eastAsia="zh-CN"/>
              </w:rPr>
              <w:t>项目整体验收：</w:t>
            </w:r>
          </w:p>
          <w:p>
            <w:pPr>
              <w:numPr>
                <w:ilvl w:val="255"/>
                <w:numId w:val="0"/>
              </w:numPr>
              <w:rPr>
                <w:rFonts w:ascii="宋体" w:hAnsi="宋体" w:cs="宋体"/>
              </w:rPr>
            </w:pPr>
            <w:r>
              <w:rPr>
                <w:rFonts w:hint="eastAsia" w:ascii="宋体" w:hAnsi="宋体" w:cs="宋体"/>
              </w:rPr>
              <w:t>项目完成按</w:t>
            </w:r>
            <w:r>
              <w:rPr>
                <w:rFonts w:hint="eastAsia" w:ascii="宋体" w:hAnsi="宋体" w:cs="宋体"/>
                <w:lang w:val="en-US" w:eastAsia="zh-CN"/>
              </w:rPr>
              <w:t>时</w:t>
            </w:r>
            <w:r>
              <w:rPr>
                <w:rFonts w:hint="eastAsia" w:ascii="宋体" w:hAnsi="宋体" w:cs="宋体"/>
              </w:rPr>
              <w:t>交付成果</w:t>
            </w:r>
            <w:r>
              <w:rPr>
                <w:rFonts w:hint="eastAsia" w:ascii="宋体" w:hAnsi="宋体" w:cs="宋体"/>
                <w:lang w:eastAsia="zh-CN"/>
              </w:rPr>
              <w:t>、</w:t>
            </w:r>
            <w:r>
              <w:rPr>
                <w:rFonts w:hint="eastAsia" w:ascii="宋体" w:hAnsi="宋体" w:cs="宋体"/>
              </w:rPr>
              <w:t>制作验收报告，及时申请</w:t>
            </w:r>
            <w:r>
              <w:rPr>
                <w:rFonts w:hint="eastAsia" w:ascii="宋体" w:hAnsi="宋体" w:cs="宋体"/>
                <w:lang w:eastAsia="zh-CN"/>
              </w:rPr>
              <w:t>招标人</w:t>
            </w:r>
            <w:r>
              <w:rPr>
                <w:rFonts w:hint="eastAsia" w:ascii="宋体" w:hAnsi="宋体" w:cs="宋体"/>
              </w:rPr>
              <w:t>进行</w:t>
            </w:r>
            <w:r>
              <w:rPr>
                <w:rFonts w:hint="eastAsia" w:ascii="宋体" w:hAnsi="宋体" w:cs="宋体"/>
                <w:lang w:val="en-US" w:eastAsia="zh-CN"/>
              </w:rPr>
              <w:t>项目整体</w:t>
            </w:r>
            <w:r>
              <w:rPr>
                <w:rFonts w:hint="eastAsia" w:ascii="宋体" w:hAnsi="宋体" w:cs="宋体"/>
              </w:rPr>
              <w:t>成果验收，交付成果和验收报告应符合以下标准。</w:t>
            </w:r>
          </w:p>
          <w:p>
            <w:pPr>
              <w:numPr>
                <w:ilvl w:val="0"/>
                <w:numId w:val="18"/>
              </w:numPr>
              <w:spacing w:line="240" w:lineRule="atLeast"/>
              <w:jc w:val="left"/>
              <w:rPr>
                <w:rFonts w:ascii="宋体" w:hAnsi="宋体" w:cs="宋体"/>
              </w:rPr>
            </w:pPr>
            <w:r>
              <w:rPr>
                <w:rFonts w:hint="eastAsia" w:ascii="宋体" w:hAnsi="宋体" w:cs="宋体"/>
              </w:rPr>
              <w:t>需结合根据现行法律法规、监管要求、行业特点和经营管理实际编制；</w:t>
            </w:r>
          </w:p>
          <w:p>
            <w:pPr>
              <w:numPr>
                <w:ilvl w:val="0"/>
                <w:numId w:val="18"/>
              </w:numPr>
              <w:spacing w:line="240" w:lineRule="atLeast"/>
              <w:jc w:val="left"/>
              <w:rPr>
                <w:rFonts w:ascii="宋体" w:hAnsi="宋体" w:cs="宋体"/>
              </w:rPr>
            </w:pPr>
            <w:r>
              <w:rPr>
                <w:rFonts w:hint="eastAsia" w:ascii="宋体" w:hAnsi="宋体" w:cs="宋体"/>
              </w:rPr>
              <w:t>详实完整、表述清晰、重点明确、逻辑清晰、准确实用、便于修订；</w:t>
            </w:r>
          </w:p>
          <w:p>
            <w:pPr>
              <w:numPr>
                <w:ilvl w:val="0"/>
                <w:numId w:val="18"/>
              </w:numPr>
              <w:spacing w:line="240" w:lineRule="atLeast"/>
              <w:jc w:val="left"/>
              <w:rPr>
                <w:rFonts w:ascii="宋体" w:hAnsi="宋体" w:cs="宋体"/>
              </w:rPr>
            </w:pPr>
            <w:r>
              <w:rPr>
                <w:rFonts w:hint="eastAsia" w:ascii="宋体" w:hAnsi="宋体" w:cs="宋体"/>
              </w:rPr>
              <w:t>符合双方签署的合同内容的要求及双方确定的细节内容；</w:t>
            </w:r>
          </w:p>
          <w:p>
            <w:pPr>
              <w:numPr>
                <w:ilvl w:val="0"/>
                <w:numId w:val="18"/>
              </w:numPr>
              <w:spacing w:line="240" w:lineRule="atLeast"/>
              <w:jc w:val="left"/>
              <w:rPr>
                <w:rFonts w:ascii="宋体" w:hAnsi="宋体" w:cs="宋体"/>
              </w:rPr>
            </w:pPr>
            <w:r>
              <w:rPr>
                <w:rFonts w:hint="eastAsia" w:ascii="宋体" w:hAnsi="宋体" w:cs="宋体"/>
              </w:rPr>
              <w:t>提交的项目报告不应侵犯任何第三方的知识产权；</w:t>
            </w:r>
          </w:p>
          <w:p>
            <w:pPr>
              <w:jc w:val="left"/>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）以电子版提交相关成果报告（word版和PDF版两种格式）。</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rFonts w:hint="default" w:ascii="宋体" w:hAnsi="宋体" w:eastAsia="宋体" w:cs="宋体"/>
                <w:kern w:val="2"/>
                <w:sz w:val="21"/>
                <w:szCs w:val="21"/>
                <w:lang w:val="en-US" w:eastAsia="zh-CN"/>
              </w:rPr>
            </w:pPr>
            <w:r>
              <w:rPr>
                <w:rFonts w:hint="eastAsia" w:cs="宋体"/>
                <w:kern w:val="2"/>
                <w:sz w:val="21"/>
                <w:szCs w:val="21"/>
                <w:lang w:val="en-US" w:eastAsia="zh-CN"/>
              </w:rPr>
              <w:t>6</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4"/>
              <w:jc w:val="center"/>
              <w:rPr>
                <w:rFonts w:hint="eastAsia" w:cs="宋体"/>
                <w:color w:val="auto"/>
                <w:sz w:val="21"/>
                <w:szCs w:val="21"/>
                <w:lang w:val="en-US" w:eastAsia="zh-CN"/>
              </w:rPr>
            </w:pPr>
            <w:r>
              <w:rPr>
                <w:rFonts w:hint="eastAsia" w:ascii="宋体" w:hAnsi="宋体" w:cs="宋体"/>
                <w:color w:val="auto"/>
                <w:sz w:val="21"/>
                <w:szCs w:val="21"/>
              </w:rPr>
              <w:t>售后服务</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19"/>
              </w:numPr>
              <w:spacing w:line="240" w:lineRule="atLeast"/>
              <w:jc w:val="left"/>
              <w:rPr>
                <w:rFonts w:hint="eastAsia" w:ascii="宋体" w:hAnsi="宋体" w:cs="宋体"/>
                <w:sz w:val="21"/>
                <w:szCs w:val="21"/>
                <w:lang w:val="en-US" w:eastAsia="zh-CN"/>
              </w:rPr>
            </w:pPr>
            <w:r>
              <w:rPr>
                <w:rFonts w:hint="eastAsia" w:ascii="宋体" w:hAnsi="宋体" w:cs="宋体"/>
                <w:szCs w:val="22"/>
                <w:lang w:eastAsia="zh-CN"/>
              </w:rPr>
              <w:t>投标人</w:t>
            </w:r>
            <w:r>
              <w:rPr>
                <w:rFonts w:hint="eastAsia" w:ascii="宋体" w:hAnsi="宋体" w:cs="宋体"/>
                <w:szCs w:val="22"/>
              </w:rPr>
              <w:t>须于服务成果全部</w:t>
            </w:r>
            <w:r>
              <w:rPr>
                <w:rFonts w:hint="eastAsia" w:ascii="宋体" w:hAnsi="宋体" w:cs="宋体"/>
                <w:szCs w:val="22"/>
                <w:lang w:val="en-US" w:eastAsia="zh-CN"/>
              </w:rPr>
              <w:t>验收合格</w:t>
            </w:r>
            <w:r>
              <w:rPr>
                <w:rFonts w:hint="eastAsia" w:ascii="宋体" w:hAnsi="宋体" w:cs="宋体"/>
                <w:szCs w:val="22"/>
              </w:rPr>
              <w:t>后，在12</w:t>
            </w:r>
            <w:r>
              <w:rPr>
                <w:rFonts w:hint="eastAsia" w:ascii="宋体" w:hAnsi="宋体" w:cs="宋体"/>
              </w:rPr>
              <w:t>个月的试运行期内根据试运行情况对服务成果进行优化完善；</w:t>
            </w:r>
            <w:r>
              <w:rPr>
                <w:rFonts w:hint="eastAsia" w:ascii="宋体" w:hAnsi="宋体" w:cs="宋体"/>
                <w:lang w:val="en-US" w:eastAsia="zh-CN"/>
              </w:rPr>
              <w:t>同时</w:t>
            </w:r>
            <w:r>
              <w:rPr>
                <w:rFonts w:hint="eastAsia" w:ascii="宋体" w:hAnsi="宋体" w:cs="宋体"/>
              </w:rPr>
              <w:t>根据招标人要求提供与合规管理相关的服务，如咨询、答疑、出席会议、后续的协助汇报等。</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bidi="ar"/>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adjustRightInd w:val="0"/>
              <w:spacing w:line="300" w:lineRule="auto"/>
              <w:jc w:val="center"/>
              <w:textAlignment w:val="center"/>
              <w:rPr>
                <w:rFonts w:hint="default" w:ascii="宋体" w:hAnsi="宋体" w:eastAsia="宋体" w:cs="宋体"/>
                <w:kern w:val="2"/>
                <w:sz w:val="21"/>
                <w:szCs w:val="21"/>
                <w:lang w:val="en-US" w:eastAsia="zh-CN"/>
              </w:rPr>
            </w:pPr>
            <w:r>
              <w:rPr>
                <w:rFonts w:hint="eastAsia" w:cs="宋体"/>
                <w:kern w:val="2"/>
                <w:sz w:val="21"/>
                <w:szCs w:val="21"/>
                <w:lang w:val="en-US" w:eastAsia="zh-CN"/>
              </w:rPr>
              <w:t>7</w:t>
            </w:r>
          </w:p>
        </w:tc>
        <w:tc>
          <w:tcPr>
            <w:tcW w:w="1341" w:type="dxa"/>
            <w:tcBorders>
              <w:top w:val="single" w:color="auto" w:sz="4" w:space="0"/>
              <w:left w:val="nil"/>
              <w:bottom w:val="single" w:color="auto" w:sz="4" w:space="0"/>
              <w:right w:val="single" w:color="auto" w:sz="4" w:space="0"/>
            </w:tcBorders>
            <w:shd w:val="clear" w:color="auto" w:fill="auto"/>
            <w:vAlign w:val="center"/>
          </w:tcPr>
          <w:p>
            <w:pPr>
              <w:pStyle w:val="14"/>
              <w:jc w:val="center"/>
              <w:rPr>
                <w:rFonts w:hint="eastAsia" w:ascii="宋体" w:hAnsi="宋体" w:cs="宋体"/>
                <w:color w:val="auto"/>
                <w:sz w:val="21"/>
                <w:szCs w:val="21"/>
              </w:rPr>
            </w:pPr>
            <w:r>
              <w:rPr>
                <w:rFonts w:hint="eastAsia" w:ascii="宋体" w:hAnsi="宋体" w:cs="宋体"/>
                <w:color w:val="auto"/>
                <w:sz w:val="21"/>
                <w:szCs w:val="21"/>
              </w:rPr>
              <w:t>服务承诺</w:t>
            </w:r>
          </w:p>
        </w:tc>
        <w:tc>
          <w:tcPr>
            <w:tcW w:w="7438" w:type="dxa"/>
            <w:tcBorders>
              <w:top w:val="single" w:color="auto" w:sz="4" w:space="0"/>
              <w:left w:val="nil"/>
              <w:bottom w:val="single" w:color="auto" w:sz="4" w:space="0"/>
              <w:right w:val="single" w:color="auto" w:sz="4" w:space="0"/>
            </w:tcBorders>
            <w:shd w:val="clear" w:color="auto" w:fill="auto"/>
            <w:vAlign w:val="center"/>
          </w:tcPr>
          <w:p>
            <w:pPr>
              <w:numPr>
                <w:ilvl w:val="0"/>
                <w:numId w:val="20"/>
              </w:numPr>
              <w:spacing w:line="240" w:lineRule="atLeast"/>
              <w:jc w:val="left"/>
              <w:rPr>
                <w:rFonts w:ascii="宋体" w:hAnsi="宋体" w:cs="宋体"/>
              </w:rPr>
            </w:pPr>
            <w:r>
              <w:rPr>
                <w:rFonts w:hint="eastAsia" w:ascii="宋体" w:hAnsi="宋体" w:cs="宋体"/>
                <w:lang w:eastAsia="zh-CN"/>
              </w:rPr>
              <w:t>投标人</w:t>
            </w:r>
            <w:r>
              <w:rPr>
                <w:rFonts w:hint="eastAsia" w:ascii="宋体" w:hAnsi="宋体" w:cs="宋体"/>
              </w:rPr>
              <w:t>若因自己或第三者的原因致使项目未能按时完成，则每延迟一天向</w:t>
            </w:r>
            <w:r>
              <w:rPr>
                <w:rFonts w:hint="eastAsia" w:ascii="宋体" w:hAnsi="宋体" w:cs="宋体"/>
                <w:lang w:eastAsia="zh-CN"/>
              </w:rPr>
              <w:t>招标人</w:t>
            </w:r>
            <w:r>
              <w:rPr>
                <w:rFonts w:hint="eastAsia" w:ascii="宋体" w:hAnsi="宋体" w:cs="宋体"/>
              </w:rPr>
              <w:t>支付合同</w:t>
            </w:r>
            <w:r>
              <w:rPr>
                <w:rFonts w:hint="eastAsia" w:ascii="宋体" w:hAnsi="宋体" w:cs="宋体"/>
                <w:lang w:val="en-US" w:eastAsia="zh-CN"/>
              </w:rPr>
              <w:t>总</w:t>
            </w:r>
            <w:r>
              <w:rPr>
                <w:rFonts w:hint="eastAsia" w:ascii="宋体" w:hAnsi="宋体" w:cs="宋体"/>
              </w:rPr>
              <w:t>金额百分之一的违约金。</w:t>
            </w:r>
          </w:p>
          <w:p>
            <w:pPr>
              <w:numPr>
                <w:ilvl w:val="0"/>
                <w:numId w:val="20"/>
              </w:numPr>
              <w:spacing w:line="240" w:lineRule="atLeast"/>
              <w:jc w:val="left"/>
              <w:rPr>
                <w:rFonts w:ascii="宋体" w:hAnsi="宋体" w:cs="宋体"/>
              </w:rPr>
            </w:pPr>
            <w:r>
              <w:rPr>
                <w:rFonts w:hint="eastAsia" w:ascii="宋体" w:hAnsi="宋体" w:cs="宋体"/>
              </w:rPr>
              <w:t>若基于不可抗拒的原因致使项目延期，则合同有效期自</w:t>
            </w:r>
            <w:r>
              <w:rPr>
                <w:rFonts w:hint="eastAsia" w:ascii="宋体" w:hAnsi="宋体" w:cs="宋体"/>
                <w:lang w:val="en-US" w:eastAsia="zh-CN"/>
              </w:rPr>
              <w:t>动增加</w:t>
            </w:r>
            <w:r>
              <w:rPr>
                <w:rFonts w:hint="eastAsia" w:ascii="宋体" w:hAnsi="宋体" w:cs="宋体"/>
              </w:rPr>
              <w:t>不可抗</w:t>
            </w:r>
            <w:r>
              <w:rPr>
                <w:rFonts w:hint="eastAsia" w:ascii="宋体" w:hAnsi="宋体" w:cs="宋体"/>
                <w:lang w:val="en-US" w:eastAsia="zh-CN"/>
              </w:rPr>
              <w:t>力</w:t>
            </w:r>
            <w:r>
              <w:rPr>
                <w:rFonts w:hint="eastAsia" w:ascii="宋体" w:hAnsi="宋体" w:cs="宋体"/>
              </w:rPr>
              <w:t>原因</w:t>
            </w:r>
            <w:r>
              <w:rPr>
                <w:rFonts w:hint="eastAsia" w:ascii="宋体" w:hAnsi="宋体" w:cs="宋体"/>
                <w:lang w:val="en-US" w:eastAsia="zh-CN"/>
              </w:rPr>
              <w:t>导致的</w:t>
            </w:r>
            <w:r>
              <w:rPr>
                <w:rFonts w:hint="eastAsia" w:ascii="宋体" w:hAnsi="宋体" w:cs="宋体"/>
              </w:rPr>
              <w:t>延期</w:t>
            </w:r>
            <w:r>
              <w:rPr>
                <w:rFonts w:hint="eastAsia" w:ascii="宋体" w:hAnsi="宋体" w:cs="宋体"/>
                <w:lang w:val="en-US" w:eastAsia="zh-CN"/>
              </w:rPr>
              <w:t>时间</w:t>
            </w:r>
            <w:r>
              <w:rPr>
                <w:rFonts w:hint="eastAsia" w:ascii="宋体" w:hAnsi="宋体" w:cs="宋体"/>
              </w:rPr>
              <w:t>。</w:t>
            </w:r>
          </w:p>
          <w:p>
            <w:pPr>
              <w:numPr>
                <w:ilvl w:val="0"/>
                <w:numId w:val="20"/>
              </w:numPr>
              <w:spacing w:line="240" w:lineRule="atLeast"/>
              <w:jc w:val="left"/>
              <w:rPr>
                <w:rFonts w:hint="eastAsia" w:ascii="宋体" w:hAnsi="宋体" w:cs="宋体"/>
                <w:szCs w:val="22"/>
                <w:highlight w:val="none"/>
                <w:shd w:val="clear"/>
                <w:lang w:val="en-US" w:eastAsia="zh-CN"/>
              </w:rPr>
            </w:pPr>
            <w:r>
              <w:rPr>
                <w:rFonts w:hint="eastAsia" w:ascii="宋体" w:hAnsi="宋体" w:cs="宋体"/>
                <w:lang w:eastAsia="zh-CN"/>
              </w:rPr>
              <w:t>投标人</w:t>
            </w:r>
            <w:r>
              <w:rPr>
                <w:rFonts w:hint="eastAsia" w:ascii="宋体" w:hAnsi="宋体" w:cs="宋体"/>
              </w:rPr>
              <w:t>若未使用事先约定的方法执行项目，则视为违约，按合同金额的50%进行赔偿；如违反保密协议，则以本项目合同金额进行赔偿，若因此给</w:t>
            </w:r>
            <w:r>
              <w:rPr>
                <w:rFonts w:hint="eastAsia" w:ascii="宋体" w:hAnsi="宋体" w:cs="宋体"/>
                <w:lang w:eastAsia="zh-CN"/>
              </w:rPr>
              <w:t>招标人</w:t>
            </w:r>
            <w:r>
              <w:rPr>
                <w:rFonts w:hint="eastAsia" w:ascii="宋体" w:hAnsi="宋体" w:cs="宋体"/>
              </w:rPr>
              <w:t>造成经济、名誉等损害，</w:t>
            </w:r>
            <w:r>
              <w:rPr>
                <w:rFonts w:hint="eastAsia" w:ascii="宋体" w:hAnsi="宋体" w:cs="宋体"/>
                <w:lang w:eastAsia="zh-CN"/>
              </w:rPr>
              <w:t>招标人</w:t>
            </w:r>
            <w:r>
              <w:rPr>
                <w:rFonts w:hint="eastAsia" w:ascii="宋体" w:hAnsi="宋体" w:cs="宋体"/>
              </w:rPr>
              <w:t>保留进一步追究的权利。</w:t>
            </w:r>
          </w:p>
        </w:tc>
        <w:tc>
          <w:tcPr>
            <w:tcW w:w="784" w:type="dxa"/>
            <w:tcBorders>
              <w:top w:val="single" w:color="auto" w:sz="4" w:space="0"/>
              <w:left w:val="nil"/>
              <w:bottom w:val="single" w:color="auto" w:sz="4" w:space="0"/>
              <w:right w:val="single" w:color="auto" w:sz="4" w:space="0"/>
            </w:tcBorders>
            <w:shd w:val="clear" w:color="auto" w:fill="auto"/>
            <w:vAlign w:val="center"/>
          </w:tcPr>
          <w:p>
            <w:pPr>
              <w:spacing w:before="156" w:beforeLines="50" w:after="156" w:afterLine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bidi="ar"/>
              </w:rPr>
              <w:t>不可偏离</w:t>
            </w:r>
          </w:p>
        </w:tc>
      </w:tr>
    </w:tbl>
    <w:p>
      <w:pPr>
        <w:numPr>
          <w:ilvl w:val="0"/>
          <w:numId w:val="1"/>
        </w:numPr>
        <w:jc w:val="left"/>
        <w:outlineLvl w:val="1"/>
        <w:rPr>
          <w:rFonts w:ascii="宋体" w:hAnsi="宋体"/>
          <w:b/>
          <w:szCs w:val="21"/>
        </w:rPr>
      </w:pPr>
      <w:bookmarkStart w:id="38" w:name="_Toc82591996"/>
      <w:bookmarkEnd w:id="38"/>
      <w:bookmarkStart w:id="39" w:name="_Toc82684600"/>
      <w:bookmarkEnd w:id="39"/>
      <w:bookmarkStart w:id="40" w:name="_Toc82684715"/>
      <w:bookmarkEnd w:id="40"/>
      <w:bookmarkStart w:id="41" w:name="_Toc82685552"/>
      <w:bookmarkEnd w:id="41"/>
      <w:r>
        <w:rPr>
          <w:rFonts w:hint="eastAsia" w:ascii="宋体" w:hAnsi="宋体"/>
          <w:b/>
          <w:szCs w:val="21"/>
        </w:rPr>
        <w:t>其他项目说明资料</w:t>
      </w:r>
      <w:bookmarkEnd w:id="37"/>
    </w:p>
    <w:p>
      <w:pPr>
        <w:widowControl/>
        <w:ind w:firstLine="420" w:firstLineChars="200"/>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16550351"/>
      <w:bookmarkStart w:id="45" w:name="_Hlk104908581"/>
      <w:bookmarkStart w:id="46" w:name="_Hlk104908397"/>
      <w:r>
        <w:rPr>
          <w:rFonts w:hint="eastAsia"/>
          <w:b/>
        </w:rPr>
        <w:t>开标阶段</w:t>
      </w:r>
      <w:bookmarkEnd w:id="43"/>
      <w:bookmarkEnd w:id="44"/>
    </w:p>
    <w:bookmarkEnd w:id="45"/>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16550352"/>
      <w:bookmarkStart w:id="48" w:name="_Toc104994642"/>
      <w:r>
        <w:rPr>
          <w:rFonts w:hint="eastAsia"/>
          <w:b/>
        </w:rPr>
        <w:t>评标阶段</w:t>
      </w:r>
      <w:bookmarkEnd w:id="47"/>
      <w:bookmarkEnd w:id="48"/>
    </w:p>
    <w:p>
      <w:pPr>
        <w:pStyle w:val="24"/>
        <w:numPr>
          <w:ilvl w:val="0"/>
          <w:numId w:val="2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5%</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4"/>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3"/>
        </w:numPr>
        <w:spacing w:before="156" w:beforeLines="50"/>
        <w:jc w:val="left"/>
        <w:outlineLvl w:val="2"/>
        <w:rPr>
          <w:rStyle w:val="31"/>
          <w:rFonts w:ascii="宋体" w:hAnsi="宋体"/>
          <w:b/>
          <w:szCs w:val="21"/>
        </w:rPr>
      </w:pPr>
      <w:bookmarkStart w:id="51" w:name="_Toc116550355"/>
      <w:r>
        <w:rPr>
          <w:rStyle w:val="31"/>
          <w:rFonts w:hint="eastAsia" w:ascii="宋体" w:hAnsi="宋体"/>
          <w:b/>
          <w:bCs/>
          <w:szCs w:val="21"/>
        </w:rPr>
        <w:t>符合性检查</w:t>
      </w:r>
      <w:bookmarkEnd w:id="51"/>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szCs w:val="21"/>
                <w:lang w:bidi="ar"/>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tabs>
                <w:tab w:val="left" w:pos="531"/>
              </w:tabs>
              <w:snapToGrid w:val="0"/>
              <w:spacing w:line="360" w:lineRule="auto"/>
              <w:rPr>
                <w:rFonts w:ascii="宋体" w:hAnsi="宋体" w:cs="仿宋"/>
                <w:szCs w:val="21"/>
              </w:rPr>
            </w:pPr>
            <w:r>
              <w:rPr>
                <w:rFonts w:hint="eastAsia" w:ascii="宋体" w:hAnsi="宋体" w:cs="仿宋"/>
                <w:szCs w:val="21"/>
              </w:rPr>
              <w:t>投标人是否提供以下证明文件：</w:t>
            </w:r>
          </w:p>
          <w:p>
            <w:pPr>
              <w:tabs>
                <w:tab w:val="left" w:pos="531"/>
              </w:tabs>
              <w:snapToGrid w:val="0"/>
              <w:spacing w:line="360" w:lineRule="auto"/>
              <w:ind w:firstLine="0" w:firstLineChars="0"/>
              <w:rPr>
                <w:rFonts w:ascii="宋体" w:hAnsi="宋体"/>
                <w:szCs w:val="21"/>
              </w:rPr>
            </w:pPr>
            <w:r>
              <w:rPr>
                <w:rFonts w:ascii="宋体" w:hAnsi="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pPr>
            <w:r>
              <w:rPr>
                <w:rFonts w:ascii="宋体" w:hAnsi="宋体"/>
                <w:szCs w:val="21"/>
              </w:rPr>
              <w:t>（2）本项目不接受联合体投标，严禁转包或非法分包。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none"/>
                <w:lang w:val="en-US" w:eastAsia="zh-CN"/>
              </w:rPr>
              <w:t>28</w:t>
            </w:r>
            <w:r>
              <w:rPr>
                <w:rFonts w:ascii="宋体" w:hAnsi="宋体" w:cs="仿宋"/>
                <w:szCs w:val="21"/>
                <w:highlight w:val="none"/>
              </w:rPr>
              <w:t>万元（含税</w:t>
            </w:r>
            <w:r>
              <w:rPr>
                <w:rFonts w:ascii="宋体" w:hAnsi="宋体" w:cs="仿宋"/>
                <w:szCs w:val="21"/>
              </w:rPr>
              <w:t>）</w:t>
            </w:r>
            <w:r>
              <w:rPr>
                <w:rFonts w:hint="eastAsia" w:ascii="宋体" w:hAnsi="宋体" w:cs="仿宋"/>
                <w:szCs w:val="21"/>
              </w:rPr>
              <w:t>，超过上述控制金额的视为无效报价。</w:t>
            </w:r>
          </w:p>
        </w:tc>
      </w:tr>
    </w:tbl>
    <w:p>
      <w:pPr>
        <w:numPr>
          <w:ilvl w:val="0"/>
          <w:numId w:val="23"/>
        </w:numPr>
        <w:spacing w:before="156" w:beforeLines="50"/>
        <w:jc w:val="left"/>
        <w:outlineLvl w:val="2"/>
        <w:rPr>
          <w:rStyle w:val="31"/>
          <w:rFonts w:ascii="宋体" w:hAnsi="宋体"/>
          <w:b/>
          <w:bCs/>
          <w:szCs w:val="21"/>
        </w:rPr>
      </w:pPr>
      <w:bookmarkStart w:id="52" w:name="_Toc114675512"/>
      <w:bookmarkStart w:id="53" w:name="_Toc116550356"/>
      <w:r>
        <w:rPr>
          <w:rStyle w:val="31"/>
          <w:rFonts w:hint="eastAsia" w:ascii="宋体" w:hAnsi="宋体"/>
          <w:b/>
          <w:bCs/>
          <w:szCs w:val="21"/>
        </w:rPr>
        <w:t>不可偏离项检查</w:t>
      </w:r>
      <w:bookmarkEnd w:id="52"/>
      <w:bookmarkEnd w:id="53"/>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3"/>
        </w:numPr>
        <w:spacing w:before="156" w:beforeLines="50"/>
        <w:jc w:val="left"/>
        <w:outlineLvl w:val="2"/>
        <w:rPr>
          <w:rFonts w:ascii="宋体" w:hAnsi="宋体"/>
          <w:b/>
          <w:bCs/>
          <w:szCs w:val="21"/>
        </w:rPr>
      </w:pPr>
      <w:bookmarkStart w:id="54" w:name="_Toc114675513"/>
      <w:bookmarkStart w:id="55" w:name="_Toc116550357"/>
      <w:r>
        <w:rPr>
          <w:rStyle w:val="31"/>
          <w:rFonts w:hint="eastAsia" w:ascii="宋体" w:hAnsi="宋体"/>
          <w:b/>
          <w:bCs/>
          <w:szCs w:val="21"/>
        </w:rPr>
        <w:t>综合评议指标表</w:t>
      </w:r>
      <w:bookmarkEnd w:id="54"/>
      <w:bookmarkEnd w:id="55"/>
    </w:p>
    <w:p>
      <w:pPr>
        <w:pStyle w:val="4"/>
      </w:pPr>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auto"/>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color w:val="FF0000"/>
                <w:szCs w:val="21"/>
                <w:highlight w:val="none"/>
              </w:rPr>
              <w:t>3</w:t>
            </w:r>
            <w:r>
              <w:rPr>
                <w:rFonts w:hint="eastAsia" w:ascii="宋体" w:hAnsi="宋体"/>
                <w:color w:val="FF0000"/>
                <w:szCs w:val="21"/>
                <w:highlight w:val="none"/>
                <w:lang w:val="en-US" w:eastAsia="zh-CN"/>
              </w:rPr>
              <w:t>5</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vAlign w:val="center"/>
          </w:tcPr>
          <w:p>
            <w:pPr>
              <w:pStyle w:val="24"/>
              <w:numPr>
                <w:ilvl w:val="0"/>
                <w:numId w:val="24"/>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spacing w:line="320" w:lineRule="exact"/>
              <w:jc w:val="center"/>
              <w:rPr>
                <w:rFonts w:ascii="宋体" w:hAnsi="宋体"/>
                <w:color w:val="FF0000"/>
                <w:szCs w:val="21"/>
                <w:highlight w:val="none"/>
              </w:rPr>
            </w:pPr>
            <w:r>
              <w:rPr>
                <w:rFonts w:ascii="宋体" w:hAnsi="宋体" w:cs="宋体"/>
                <w:szCs w:val="21"/>
                <w:highlight w:val="none"/>
              </w:rPr>
              <w:t>企业资质</w:t>
            </w:r>
          </w:p>
        </w:tc>
        <w:tc>
          <w:tcPr>
            <w:tcW w:w="709" w:type="dxa"/>
            <w:tcBorders>
              <w:tl2br w:val="nil"/>
              <w:tr2bl w:val="nil"/>
            </w:tcBorders>
            <w:shd w:val="clear" w:color="auto" w:fill="auto"/>
            <w:tcMar>
              <w:top w:w="15" w:type="dxa"/>
              <w:left w:w="15" w:type="dxa"/>
              <w:bottom w:w="15" w:type="dxa"/>
              <w:right w:w="15" w:type="dxa"/>
            </w:tcMar>
            <w:vAlign w:val="center"/>
          </w:tcPr>
          <w:p>
            <w:pPr>
              <w:widowControl/>
              <w:ind w:firstLine="0" w:firstLineChars="0"/>
              <w:jc w:val="center"/>
              <w:rPr>
                <w:rFonts w:hint="eastAsia" w:ascii="宋体" w:hAnsi="宋体" w:eastAsia="宋体"/>
                <w:color w:val="FF0000"/>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numPr>
                <w:ilvl w:val="255"/>
                <w:numId w:val="0"/>
              </w:numPr>
              <w:rPr>
                <w:szCs w:val="21"/>
              </w:rPr>
            </w:pPr>
            <w:r>
              <w:rPr>
                <w:rFonts w:hint="eastAsia"/>
                <w:szCs w:val="21"/>
              </w:rPr>
              <w:t>根据投标人的正式工作人员数量进行横向比较：</w:t>
            </w:r>
          </w:p>
          <w:p>
            <w:pPr>
              <w:numPr>
                <w:ilvl w:val="255"/>
                <w:numId w:val="0"/>
              </w:numPr>
              <w:rPr>
                <w:szCs w:val="21"/>
              </w:rPr>
            </w:pPr>
            <w:r>
              <w:rPr>
                <w:rFonts w:hint="eastAsia"/>
                <w:szCs w:val="21"/>
              </w:rPr>
              <w:t>1.</w:t>
            </w:r>
            <w:r>
              <w:rPr>
                <w:rFonts w:hint="eastAsia"/>
                <w:szCs w:val="21"/>
              </w:rPr>
              <w:tab/>
            </w:r>
            <w:r>
              <w:rPr>
                <w:rFonts w:hint="eastAsia"/>
                <w:szCs w:val="21"/>
              </w:rPr>
              <w:t>投标人正式工作人员≥100人，得5分；</w:t>
            </w:r>
          </w:p>
          <w:p>
            <w:pPr>
              <w:numPr>
                <w:ilvl w:val="255"/>
                <w:numId w:val="0"/>
              </w:numPr>
              <w:rPr>
                <w:szCs w:val="21"/>
              </w:rPr>
            </w:pPr>
            <w:r>
              <w:rPr>
                <w:rFonts w:hint="eastAsia"/>
                <w:szCs w:val="21"/>
              </w:rPr>
              <w:t>2.</w:t>
            </w:r>
            <w:r>
              <w:rPr>
                <w:rFonts w:hint="eastAsia"/>
                <w:szCs w:val="21"/>
              </w:rPr>
              <w:tab/>
            </w:r>
            <w:r>
              <w:rPr>
                <w:rFonts w:hint="eastAsia"/>
                <w:szCs w:val="21"/>
              </w:rPr>
              <w:t>50人≤投标人正式工作人员&lt;100人，得3分；</w:t>
            </w:r>
          </w:p>
          <w:p>
            <w:pPr>
              <w:numPr>
                <w:ilvl w:val="255"/>
                <w:numId w:val="0"/>
              </w:numPr>
              <w:rPr>
                <w:szCs w:val="21"/>
              </w:rPr>
            </w:pPr>
            <w:r>
              <w:rPr>
                <w:rFonts w:hint="eastAsia"/>
                <w:szCs w:val="21"/>
              </w:rPr>
              <w:t>3.</w:t>
            </w:r>
            <w:r>
              <w:rPr>
                <w:rFonts w:hint="eastAsia"/>
                <w:szCs w:val="21"/>
              </w:rPr>
              <w:tab/>
            </w:r>
            <w:r>
              <w:rPr>
                <w:rFonts w:hint="eastAsia"/>
                <w:szCs w:val="21"/>
              </w:rPr>
              <w:t>20人≤投标人正式工作人员&lt;50人，得2分；</w:t>
            </w:r>
          </w:p>
          <w:p>
            <w:pPr>
              <w:numPr>
                <w:ilvl w:val="255"/>
                <w:numId w:val="0"/>
              </w:numPr>
              <w:rPr>
                <w:szCs w:val="21"/>
              </w:rPr>
            </w:pPr>
            <w:r>
              <w:rPr>
                <w:rFonts w:hint="eastAsia"/>
                <w:szCs w:val="21"/>
              </w:rPr>
              <w:t>4.</w:t>
            </w:r>
            <w:r>
              <w:rPr>
                <w:rFonts w:hint="eastAsia"/>
                <w:szCs w:val="21"/>
              </w:rPr>
              <w:tab/>
            </w:r>
            <w:r>
              <w:rPr>
                <w:rFonts w:hint="eastAsia"/>
                <w:szCs w:val="21"/>
              </w:rPr>
              <w:t>投标人正式工作人员&lt;20人，得1分。</w:t>
            </w:r>
          </w:p>
          <w:p>
            <w:pPr>
              <w:numPr>
                <w:ilvl w:val="255"/>
                <w:numId w:val="0"/>
              </w:numPr>
              <w:rPr>
                <w:rFonts w:hint="default"/>
                <w:lang w:val="en-US"/>
              </w:rPr>
            </w:pPr>
            <w:r>
              <w:rPr>
                <w:rFonts w:hint="eastAsia"/>
                <w:szCs w:val="21"/>
              </w:rPr>
              <w:t>备注：投标人须提供为员工缴交社保的近3个月的参保人数证明资料并加盖投标人公章（须保留验真码），未按要求提供上述资料者，不得分。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vAlign w:val="center"/>
          </w:tcPr>
          <w:p>
            <w:pPr>
              <w:pStyle w:val="24"/>
              <w:numPr>
                <w:ilvl w:val="0"/>
                <w:numId w:val="24"/>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100" w:beforeAutospacing="1" w:after="160" w:line="240" w:lineRule="atLeast"/>
              <w:ind w:right="63" w:rightChars="30"/>
              <w:jc w:val="center"/>
              <w:rPr>
                <w:color w:val="FF0000"/>
                <w:highlight w:val="none"/>
              </w:rPr>
            </w:pPr>
            <w:r>
              <w:rPr>
                <w:rFonts w:hint="eastAsia" w:ascii="宋体" w:hAnsi="宋体"/>
                <w:szCs w:val="21"/>
              </w:rPr>
              <w:t>客户评价</w:t>
            </w:r>
          </w:p>
        </w:tc>
        <w:tc>
          <w:tcPr>
            <w:tcW w:w="709" w:type="dxa"/>
            <w:tcBorders>
              <w:tl2br w:val="nil"/>
              <w:tr2bl w:val="nil"/>
            </w:tcBorders>
            <w:shd w:val="clear" w:color="auto" w:fill="auto"/>
            <w:tcMar>
              <w:top w:w="15" w:type="dxa"/>
              <w:left w:w="15" w:type="dxa"/>
              <w:bottom w:w="15" w:type="dxa"/>
              <w:right w:w="15" w:type="dxa"/>
            </w:tcMar>
            <w:vAlign w:val="center"/>
          </w:tcPr>
          <w:p>
            <w:pPr>
              <w:autoSpaceDE w:val="0"/>
              <w:autoSpaceDN w:val="0"/>
              <w:adjustRightInd w:val="0"/>
              <w:spacing w:before="100" w:beforeAutospacing="1" w:after="160" w:line="240" w:lineRule="atLeast"/>
              <w:ind w:right="63" w:rightChars="30"/>
              <w:jc w:val="center"/>
              <w:rPr>
                <w:rFonts w:hint="eastAsia" w:ascii="宋体" w:hAnsi="宋体" w:eastAsia="宋体"/>
                <w:bCs/>
                <w:color w:val="FF0000"/>
                <w:szCs w:val="21"/>
                <w:highlight w:val="none"/>
                <w:lang w:eastAsia="zh-CN"/>
              </w:rPr>
            </w:pPr>
            <w:r>
              <w:rPr>
                <w:rFonts w:hint="eastAsia" w:ascii="宋体" w:hAnsi="宋体" w:cs="宋体"/>
                <w:b w:val="0"/>
                <w:bCs/>
                <w:szCs w:val="21"/>
                <w:highlight w:val="none"/>
                <w:lang w:val="en-US" w:eastAsia="zh-CN" w:bidi="ar"/>
              </w:rPr>
              <w:t>5</w:t>
            </w:r>
            <w:r>
              <w:rPr>
                <w:rFonts w:hint="eastAsia" w:ascii="宋体" w:hAnsi="宋体"/>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numPr>
                <w:ilvl w:val="255"/>
                <w:numId w:val="0"/>
              </w:numPr>
            </w:pPr>
            <w:r>
              <w:rPr>
                <w:rFonts w:hint="eastAsia"/>
              </w:rPr>
              <w:t>获得过往服务过的国有企业客户良好评价次数≥5次的得</w:t>
            </w:r>
            <w:r>
              <w:t>5</w:t>
            </w:r>
            <w:r>
              <w:rPr>
                <w:rFonts w:hint="eastAsia"/>
              </w:rPr>
              <w:t>分，3次≤客户良好评价次数≤4次的得</w:t>
            </w:r>
            <w:r>
              <w:t>3</w:t>
            </w:r>
            <w:r>
              <w:rPr>
                <w:rFonts w:hint="eastAsia"/>
              </w:rPr>
              <w:t>分，</w:t>
            </w:r>
            <w:r>
              <w:t>2</w:t>
            </w:r>
            <w:r>
              <w:rPr>
                <w:rFonts w:hint="eastAsia"/>
              </w:rPr>
              <w:t>次≤客户良好评价次数≤</w:t>
            </w:r>
            <w:r>
              <w:t>1</w:t>
            </w:r>
            <w:r>
              <w:rPr>
                <w:rFonts w:hint="eastAsia"/>
              </w:rPr>
              <w:t>次的得</w:t>
            </w:r>
            <w:r>
              <w:t>1</w:t>
            </w:r>
            <w:r>
              <w:rPr>
                <w:rFonts w:hint="eastAsia"/>
              </w:rPr>
              <w:t>分。</w:t>
            </w:r>
          </w:p>
          <w:p>
            <w:pPr>
              <w:numPr>
                <w:ilvl w:val="255"/>
                <w:numId w:val="0"/>
              </w:numPr>
              <w:rPr>
                <w:rFonts w:ascii="宋体" w:hAnsi="宋体"/>
                <w:color w:val="FF0000"/>
                <w:szCs w:val="21"/>
                <w:highlight w:val="none"/>
              </w:rPr>
            </w:pPr>
            <w:r>
              <w:rPr>
                <w:rFonts w:hint="eastAsia"/>
              </w:rPr>
              <w:t>备注：提供所获荣誉证书或书面表扬函件/邮件复印件等可信证明资料</w:t>
            </w:r>
            <w:r>
              <w:rPr>
                <w:rFonts w:hint="eastAsia"/>
                <w:szCs w:val="21"/>
                <w:lang w:eastAsia="zh-CN"/>
              </w:rPr>
              <w:t>，</w:t>
            </w:r>
            <w:r>
              <w:rPr>
                <w:rFonts w:hint="eastAsia"/>
                <w:szCs w:val="21"/>
                <w:lang w:val="en-US" w:eastAsia="zh-CN"/>
              </w:rPr>
              <w:t>以及有效可证明评价方为国资全资或控股企业的证明资料。</w:t>
            </w:r>
            <w:r>
              <w:rPr>
                <w:rFonts w:hint="eastAsia"/>
              </w:rPr>
              <w:t>加盖投标人公章，未提供有效证明文件或证明文件不清晰无法辨识的不得分</w:t>
            </w:r>
            <w:r>
              <w:rPr>
                <w:rFonts w:hint="eastAsia" w:ascii="Times New Roman" w:hAnsi="Times New Roman" w:eastAsia="宋体" w:cs="Times New Roma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vAlign w:val="center"/>
          </w:tcPr>
          <w:p>
            <w:pPr>
              <w:pStyle w:val="24"/>
              <w:numPr>
                <w:ilvl w:val="0"/>
                <w:numId w:val="24"/>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jc w:val="center"/>
              <w:rPr>
                <w:rFonts w:hint="eastAsia" w:ascii="宋体" w:hAnsi="宋体"/>
                <w:szCs w:val="21"/>
              </w:rPr>
            </w:pPr>
            <w:r>
              <w:rPr>
                <w:rFonts w:hint="eastAsia" w:ascii="宋体" w:hAnsi="宋体"/>
                <w:szCs w:val="21"/>
              </w:rPr>
              <w:t>服务团队 配置</w:t>
            </w:r>
          </w:p>
        </w:tc>
        <w:tc>
          <w:tcPr>
            <w:tcW w:w="709" w:type="dxa"/>
            <w:tcBorders>
              <w:tl2br w:val="nil"/>
              <w:tr2bl w:val="nil"/>
            </w:tcBorders>
            <w:shd w:val="clear" w:color="auto" w:fill="auto"/>
            <w:tcMar>
              <w:top w:w="15" w:type="dxa"/>
              <w:left w:w="15" w:type="dxa"/>
              <w:bottom w:w="15" w:type="dxa"/>
              <w:right w:w="15" w:type="dxa"/>
            </w:tcMar>
            <w:vAlign w:val="center"/>
          </w:tcPr>
          <w:p>
            <w:pPr>
              <w:jc w:val="center"/>
              <w:rPr>
                <w:rFonts w:hint="eastAsia" w:ascii="宋体" w:hAnsi="宋体" w:cs="宋体"/>
                <w:b w:val="0"/>
                <w:bCs/>
                <w:szCs w:val="21"/>
                <w:highlight w:val="none"/>
                <w:lang w:val="en-US" w:eastAsia="zh-CN" w:bidi="ar"/>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numPr>
                <w:ilvl w:val="255"/>
                <w:numId w:val="0"/>
              </w:numPr>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lang w:val="en-US" w:eastAsia="zh-CN"/>
              </w:rPr>
              <w:t>1</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rPr>
              <w:t>项目负责人</w:t>
            </w:r>
            <w:r>
              <w:rPr>
                <w:rFonts w:hint="eastAsia" w:ascii="宋体" w:hAnsi="宋体" w:cs="宋体"/>
                <w:b w:val="0"/>
                <w:bCs w:val="0"/>
                <w:kern w:val="0"/>
                <w:sz w:val="21"/>
                <w:szCs w:val="21"/>
                <w:lang w:val="en-US" w:eastAsia="zh-CN"/>
              </w:rPr>
              <w:t>同时满足以下两项的</w:t>
            </w:r>
            <w:r>
              <w:rPr>
                <w:rFonts w:hint="eastAsia" w:ascii="宋体" w:hAnsi="宋体" w:cs="宋体"/>
                <w:b w:val="0"/>
                <w:bCs w:val="0"/>
                <w:kern w:val="0"/>
                <w:sz w:val="21"/>
                <w:szCs w:val="21"/>
              </w:rPr>
              <w:t>得</w:t>
            </w:r>
            <w:r>
              <w:rPr>
                <w:rFonts w:ascii="宋体" w:hAnsi="宋体" w:cs="宋体"/>
                <w:b w:val="0"/>
                <w:bCs w:val="0"/>
                <w:kern w:val="0"/>
                <w:sz w:val="21"/>
                <w:szCs w:val="21"/>
              </w:rPr>
              <w:t>3</w:t>
            </w:r>
            <w:r>
              <w:rPr>
                <w:rFonts w:hint="eastAsia" w:ascii="宋体" w:hAnsi="宋体" w:cs="宋体"/>
                <w:b w:val="0"/>
                <w:bCs w:val="0"/>
                <w:kern w:val="0"/>
                <w:sz w:val="21"/>
                <w:szCs w:val="21"/>
              </w:rPr>
              <w:t>分，</w:t>
            </w:r>
            <w:r>
              <w:rPr>
                <w:rFonts w:hint="eastAsia" w:ascii="宋体" w:hAnsi="宋体" w:cs="宋体"/>
                <w:b w:val="0"/>
                <w:bCs w:val="0"/>
                <w:kern w:val="0"/>
                <w:sz w:val="21"/>
                <w:szCs w:val="21"/>
                <w:lang w:val="en-US" w:eastAsia="zh-CN"/>
              </w:rPr>
              <w:t>满足一</w:t>
            </w:r>
            <w:r>
              <w:rPr>
                <w:rFonts w:hint="eastAsia" w:ascii="宋体" w:hAnsi="宋体" w:cs="宋体"/>
                <w:b w:val="0"/>
                <w:bCs w:val="0"/>
                <w:kern w:val="0"/>
                <w:sz w:val="21"/>
                <w:szCs w:val="21"/>
              </w:rPr>
              <w:t>项的得</w:t>
            </w:r>
            <w:r>
              <w:rPr>
                <w:rFonts w:hint="eastAsia" w:ascii="宋体" w:hAnsi="宋体" w:cs="宋体"/>
                <w:b w:val="0"/>
                <w:bCs w:val="0"/>
                <w:kern w:val="0"/>
                <w:sz w:val="21"/>
                <w:szCs w:val="21"/>
                <w:lang w:val="en-US" w:eastAsia="zh-CN"/>
              </w:rPr>
              <w:t>2</w:t>
            </w:r>
            <w:r>
              <w:rPr>
                <w:rFonts w:hint="eastAsia" w:ascii="宋体" w:hAnsi="宋体" w:cs="宋体"/>
                <w:b w:val="0"/>
                <w:bCs w:val="0"/>
                <w:kern w:val="0"/>
                <w:sz w:val="21"/>
                <w:szCs w:val="21"/>
              </w:rPr>
              <w:t>分，</w:t>
            </w:r>
            <w:r>
              <w:rPr>
                <w:rFonts w:hint="eastAsia" w:ascii="宋体" w:hAnsi="宋体" w:cs="宋体"/>
                <w:b w:val="0"/>
                <w:bCs w:val="0"/>
                <w:kern w:val="0"/>
                <w:sz w:val="21"/>
                <w:szCs w:val="21"/>
                <w:lang w:val="en-US" w:eastAsia="zh-CN"/>
              </w:rPr>
              <w:t>均不满足</w:t>
            </w:r>
            <w:r>
              <w:rPr>
                <w:rFonts w:hint="eastAsia" w:ascii="宋体" w:hAnsi="宋体" w:cs="宋体"/>
                <w:b w:val="0"/>
                <w:bCs w:val="0"/>
                <w:kern w:val="0"/>
                <w:sz w:val="21"/>
                <w:szCs w:val="21"/>
              </w:rPr>
              <w:t>的得</w:t>
            </w:r>
            <w:r>
              <w:rPr>
                <w:rFonts w:hint="eastAsia" w:ascii="宋体" w:hAnsi="宋体" w:cs="宋体"/>
                <w:b w:val="0"/>
                <w:bCs w:val="0"/>
                <w:kern w:val="0"/>
                <w:sz w:val="21"/>
                <w:szCs w:val="21"/>
                <w:lang w:val="en-US" w:eastAsia="zh-CN"/>
              </w:rPr>
              <w:t>0</w:t>
            </w:r>
            <w:r>
              <w:rPr>
                <w:rFonts w:hint="eastAsia" w:ascii="宋体" w:hAnsi="宋体" w:cs="宋体"/>
                <w:b w:val="0"/>
                <w:bCs w:val="0"/>
                <w:kern w:val="0"/>
                <w:sz w:val="21"/>
                <w:szCs w:val="21"/>
              </w:rPr>
              <w:t>分</w:t>
            </w:r>
            <w:r>
              <w:rPr>
                <w:rFonts w:hint="eastAsia" w:ascii="宋体" w:hAnsi="宋体" w:cs="宋体"/>
                <w:b w:val="0"/>
                <w:bCs w:val="0"/>
                <w:kern w:val="0"/>
                <w:sz w:val="21"/>
                <w:szCs w:val="21"/>
                <w:lang w:eastAsia="zh-CN"/>
              </w:rPr>
              <w:t>。</w:t>
            </w:r>
          </w:p>
          <w:p>
            <w:pPr>
              <w:pStyle w:val="2"/>
              <w:numPr>
                <w:ilvl w:val="0"/>
                <w:numId w:val="25"/>
              </w:num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rPr>
              <w:t>具有</w:t>
            </w:r>
            <w:r>
              <w:rPr>
                <w:rFonts w:hint="eastAsia" w:ascii="宋体" w:hAnsi="宋体" w:cs="宋体"/>
                <w:b w:val="0"/>
                <w:bCs w:val="0"/>
                <w:kern w:val="0"/>
                <w:sz w:val="21"/>
                <w:szCs w:val="21"/>
                <w:lang w:val="en-US" w:eastAsia="zh-CN"/>
              </w:rPr>
              <w:t>10</w:t>
            </w:r>
            <w:r>
              <w:rPr>
                <w:rFonts w:hint="eastAsia" w:ascii="宋体" w:hAnsi="宋体" w:cs="宋体"/>
                <w:b w:val="0"/>
                <w:bCs w:val="0"/>
                <w:kern w:val="0"/>
                <w:sz w:val="21"/>
                <w:szCs w:val="21"/>
              </w:rPr>
              <w:t>年及以上（含1</w:t>
            </w:r>
            <w:r>
              <w:rPr>
                <w:rFonts w:hint="eastAsia" w:ascii="宋体" w:hAnsi="宋体" w:cs="宋体"/>
                <w:b w:val="0"/>
                <w:bCs w:val="0"/>
                <w:kern w:val="0"/>
                <w:sz w:val="21"/>
                <w:szCs w:val="21"/>
                <w:lang w:val="en-US" w:eastAsia="zh-CN"/>
              </w:rPr>
              <w:t>0</w:t>
            </w:r>
            <w:r>
              <w:rPr>
                <w:rFonts w:hint="eastAsia" w:ascii="宋体" w:hAnsi="宋体" w:cs="宋体"/>
                <w:b w:val="0"/>
                <w:bCs w:val="0"/>
                <w:kern w:val="0"/>
                <w:sz w:val="21"/>
                <w:szCs w:val="21"/>
              </w:rPr>
              <w:t>年）内控、风控、合规咨询相关工作经验</w:t>
            </w:r>
            <w:r>
              <w:rPr>
                <w:rFonts w:hint="eastAsia" w:ascii="宋体" w:hAnsi="宋体" w:cs="宋体"/>
                <w:b w:val="0"/>
                <w:bCs w:val="0"/>
                <w:kern w:val="0"/>
                <w:sz w:val="21"/>
                <w:szCs w:val="21"/>
                <w:lang w:eastAsia="zh-CN"/>
              </w:rPr>
              <w:t>；</w:t>
            </w:r>
          </w:p>
          <w:p>
            <w:pPr>
              <w:pStyle w:val="2"/>
              <w:numPr>
                <w:ilvl w:val="0"/>
                <w:numId w:val="25"/>
              </w:numPr>
              <w:rPr>
                <w:rFonts w:ascii="宋体" w:hAnsi="宋体" w:cs="宋体"/>
                <w:b w:val="0"/>
                <w:bCs w:val="0"/>
                <w:kern w:val="0"/>
                <w:sz w:val="21"/>
                <w:szCs w:val="21"/>
              </w:rPr>
            </w:pPr>
            <w:r>
              <w:rPr>
                <w:rFonts w:hint="eastAsia" w:ascii="宋体" w:hAnsi="宋体" w:cs="宋体"/>
                <w:b w:val="0"/>
                <w:bCs w:val="0"/>
                <w:kern w:val="0"/>
                <w:sz w:val="21"/>
                <w:szCs w:val="21"/>
              </w:rPr>
              <w:t>具有法律职业资格证书</w:t>
            </w:r>
            <w:r>
              <w:rPr>
                <w:rFonts w:hint="eastAsia" w:ascii="宋体" w:hAnsi="宋体" w:cs="宋体"/>
                <w:b w:val="0"/>
                <w:bCs w:val="0"/>
                <w:kern w:val="0"/>
                <w:sz w:val="21"/>
                <w:szCs w:val="21"/>
                <w:lang w:eastAsia="zh-CN"/>
              </w:rPr>
              <w:t>。</w:t>
            </w:r>
          </w:p>
          <w:p>
            <w:pPr>
              <w:numPr>
                <w:ilvl w:val="-1"/>
                <w:numId w:val="0"/>
              </w:numP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）项目负责人以外，其它拟投入人员具有</w:t>
            </w:r>
            <w:r>
              <w:rPr>
                <w:rFonts w:hint="eastAsia" w:ascii="宋体" w:hAnsi="宋体" w:cs="宋体"/>
                <w:kern w:val="0"/>
                <w:szCs w:val="21"/>
                <w:lang w:val="en-US" w:eastAsia="zh-CN"/>
              </w:rPr>
              <w:t>有效</w:t>
            </w:r>
            <w:r>
              <w:rPr>
                <w:rFonts w:hint="eastAsia" w:ascii="宋体" w:hAnsi="宋体" w:cs="宋体"/>
                <w:kern w:val="0"/>
                <w:sz w:val="21"/>
                <w:szCs w:val="21"/>
              </w:rPr>
              <w:t>法律职业资格</w:t>
            </w:r>
            <w:r>
              <w:rPr>
                <w:rFonts w:hint="eastAsia" w:ascii="宋体" w:hAnsi="宋体" w:cs="宋体"/>
                <w:kern w:val="0"/>
                <w:szCs w:val="21"/>
              </w:rPr>
              <w:t>证书</w:t>
            </w:r>
            <w:r>
              <w:rPr>
                <w:rFonts w:hint="eastAsia"/>
                <w:lang w:eastAsia="zh-CN"/>
              </w:rPr>
              <w:t>、</w:t>
            </w:r>
            <w:r>
              <w:rPr>
                <w:rFonts w:hint="eastAsia" w:ascii="宋体" w:hAnsi="宋体" w:cs="宋体"/>
                <w:kern w:val="0"/>
                <w:szCs w:val="21"/>
              </w:rPr>
              <w:t>国际注册内部审计师(CIA)</w:t>
            </w:r>
            <w:r>
              <w:rPr>
                <w:rFonts w:hint="eastAsia" w:ascii="宋体" w:hAnsi="宋体" w:cs="宋体"/>
                <w:kern w:val="0"/>
                <w:szCs w:val="21"/>
                <w:lang w:eastAsia="zh-CN"/>
              </w:rPr>
              <w:t>、</w:t>
            </w:r>
            <w:r>
              <w:rPr>
                <w:rFonts w:hint="eastAsia" w:ascii="宋体" w:hAnsi="宋体" w:cs="宋体"/>
                <w:kern w:val="0"/>
                <w:szCs w:val="21"/>
                <w:lang w:val="en-US" w:eastAsia="zh-CN"/>
              </w:rPr>
              <w:t>中级或高级审计师职称或</w:t>
            </w:r>
            <w:r>
              <w:rPr>
                <w:rFonts w:hint="eastAsia" w:ascii="宋体" w:hAnsi="宋体" w:cs="宋体"/>
                <w:kern w:val="0"/>
                <w:szCs w:val="21"/>
              </w:rPr>
              <w:t>国际注册反舞弊师（CAP）的，每多1名持证人员得1分，最高得5分（同1人具有多证书者得1分）。</w:t>
            </w:r>
          </w:p>
          <w:p>
            <w:pPr>
              <w:spacing w:line="240" w:lineRule="atLeast"/>
              <w:rPr>
                <w:rFonts w:ascii="宋体" w:hAnsi="宋体" w:cs="宋体"/>
                <w:szCs w:val="21"/>
              </w:rPr>
            </w:pPr>
            <w:r>
              <w:rPr>
                <w:rFonts w:hint="eastAsia" w:ascii="宋体" w:hAnsi="宋体" w:cs="宋体"/>
                <w:szCs w:val="21"/>
              </w:rPr>
              <w:t>（3）拟投入本项目的服务人员至少</w:t>
            </w:r>
            <w:r>
              <w:rPr>
                <w:rFonts w:ascii="宋体" w:hAnsi="宋体" w:cs="宋体"/>
                <w:szCs w:val="21"/>
              </w:rPr>
              <w:t>4</w:t>
            </w:r>
            <w:r>
              <w:rPr>
                <w:rFonts w:hint="eastAsia" w:ascii="宋体" w:hAnsi="宋体" w:cs="宋体"/>
                <w:szCs w:val="21"/>
              </w:rPr>
              <w:t>名，得</w:t>
            </w:r>
            <w:r>
              <w:rPr>
                <w:rFonts w:ascii="宋体" w:hAnsi="宋体" w:cs="宋体"/>
                <w:szCs w:val="21"/>
              </w:rPr>
              <w:t>3</w:t>
            </w:r>
            <w:r>
              <w:rPr>
                <w:rFonts w:hint="eastAsia" w:ascii="宋体" w:hAnsi="宋体" w:cs="宋体"/>
                <w:szCs w:val="21"/>
              </w:rPr>
              <w:t>分，每增加1名服务人员得</w:t>
            </w:r>
            <w:r>
              <w:rPr>
                <w:rFonts w:hint="eastAsia" w:ascii="宋体" w:hAnsi="宋体" w:cs="宋体"/>
                <w:szCs w:val="21"/>
                <w:lang w:val="en-US" w:eastAsia="zh-CN"/>
              </w:rPr>
              <w:t>1</w:t>
            </w:r>
            <w:r>
              <w:rPr>
                <w:rFonts w:hint="eastAsia" w:ascii="宋体" w:hAnsi="宋体" w:cs="宋体"/>
                <w:szCs w:val="21"/>
              </w:rPr>
              <w:t>分，最高得</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eastAsia="zh-CN"/>
              </w:rPr>
              <w:t>。</w:t>
            </w:r>
          </w:p>
          <w:p>
            <w:pPr>
              <w:spacing w:line="240" w:lineRule="atLeast"/>
              <w:rPr>
                <w:rFonts w:ascii="宋体" w:hAnsi="宋体" w:cs="宋体"/>
                <w:szCs w:val="21"/>
              </w:rPr>
            </w:pPr>
          </w:p>
          <w:p>
            <w:pPr>
              <w:spacing w:line="240" w:lineRule="atLeast"/>
              <w:rPr>
                <w:rFonts w:hint="eastAsia" w:ascii="Times New Roman" w:hAnsi="Times New Roman" w:eastAsia="宋体" w:cs="Times New Roman"/>
                <w:lang w:eastAsia="zh-CN"/>
              </w:rPr>
            </w:pPr>
            <w:r>
              <w:rPr>
                <w:rFonts w:hint="eastAsia" w:ascii="宋体" w:hAnsi="宋体" w:cs="宋体"/>
                <w:kern w:val="0"/>
                <w:szCs w:val="21"/>
              </w:rPr>
              <w:t>备注：提供以上人员资格证书复印件、人员简历等证明资料，以上资料均需加盖投标人公章。未提供有效证明文件或证明文件不清晰无法辨识的不得分。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vAlign w:val="center"/>
          </w:tcPr>
          <w:p>
            <w:pPr>
              <w:pStyle w:val="24"/>
              <w:numPr>
                <w:ilvl w:val="0"/>
                <w:numId w:val="24"/>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jc w:val="center"/>
              <w:rPr>
                <w:rFonts w:hint="eastAsia" w:ascii="宋体" w:hAnsi="宋体"/>
                <w:szCs w:val="21"/>
              </w:rPr>
            </w:pPr>
            <w:r>
              <w:rPr>
                <w:rFonts w:hint="eastAsia" w:ascii="宋体" w:hAnsi="宋体"/>
                <w:szCs w:val="21"/>
              </w:rPr>
              <w:t>经验及业绩</w:t>
            </w:r>
          </w:p>
        </w:tc>
        <w:tc>
          <w:tcPr>
            <w:tcW w:w="709" w:type="dxa"/>
            <w:tcBorders>
              <w:tl2br w:val="nil"/>
              <w:tr2bl w:val="nil"/>
            </w:tcBorders>
            <w:shd w:val="clear" w:color="auto" w:fill="auto"/>
            <w:tcMar>
              <w:top w:w="15" w:type="dxa"/>
              <w:left w:w="15" w:type="dxa"/>
              <w:bottom w:w="15" w:type="dxa"/>
              <w:right w:w="15" w:type="dxa"/>
            </w:tcMar>
            <w:vAlign w:val="center"/>
          </w:tcPr>
          <w:p>
            <w:pPr>
              <w:jc w:val="center"/>
              <w:rPr>
                <w:rFonts w:hint="eastAsia" w:ascii="宋体" w:hAnsi="宋体"/>
                <w:szCs w:val="21"/>
              </w:rPr>
            </w:pPr>
            <w:r>
              <w:rPr>
                <w:rFonts w:ascii="宋体" w:hAnsi="宋体"/>
                <w:szCs w:val="21"/>
              </w:rPr>
              <w:t>1</w:t>
            </w:r>
            <w:r>
              <w:rPr>
                <w:rFonts w:hint="eastAsia" w:ascii="宋体" w:hAnsi="宋体"/>
                <w:szCs w:val="21"/>
                <w:lang w:val="en-US" w:eastAsia="zh-CN"/>
              </w:rPr>
              <w:t>2</w:t>
            </w:r>
            <w:r>
              <w:rPr>
                <w:rFonts w:hint="eastAsia" w:ascii="宋体" w:hAnsi="宋体"/>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numPr>
                <w:ilvl w:val="255"/>
                <w:numId w:val="0"/>
              </w:numPr>
              <w:rPr>
                <w:szCs w:val="21"/>
              </w:rPr>
            </w:pPr>
            <w:r>
              <w:rPr>
                <w:rFonts w:hint="eastAsia"/>
                <w:szCs w:val="21"/>
                <w:lang w:val="en-US" w:eastAsia="zh-CN"/>
              </w:rPr>
              <w:t>根据</w:t>
            </w:r>
            <w:r>
              <w:rPr>
                <w:rFonts w:hint="eastAsia"/>
                <w:szCs w:val="21"/>
              </w:rPr>
              <w:t>投标人</w:t>
            </w:r>
            <w:r>
              <w:rPr>
                <w:rFonts w:hint="eastAsia"/>
                <w:szCs w:val="21"/>
                <w:lang w:val="en-US" w:eastAsia="zh-CN"/>
              </w:rPr>
              <w:t>提供的</w:t>
            </w:r>
            <w:r>
              <w:rPr>
                <w:rFonts w:hint="eastAsia"/>
                <w:szCs w:val="21"/>
              </w:rPr>
              <w:t>近</w:t>
            </w:r>
            <w:r>
              <w:rPr>
                <w:szCs w:val="21"/>
              </w:rPr>
              <w:t>3</w:t>
            </w:r>
            <w:r>
              <w:rPr>
                <w:rFonts w:hint="eastAsia"/>
                <w:szCs w:val="21"/>
              </w:rPr>
              <w:t>年内</w:t>
            </w:r>
            <w:r>
              <w:rPr>
                <w:rFonts w:hint="eastAsia"/>
                <w:szCs w:val="21"/>
                <w:lang w:eastAsia="zh-CN"/>
              </w:rPr>
              <w:t>（</w:t>
            </w:r>
            <w:r>
              <w:rPr>
                <w:rFonts w:hint="eastAsia"/>
                <w:szCs w:val="21"/>
                <w:lang w:val="en-US" w:eastAsia="zh-CN"/>
              </w:rPr>
              <w:t>已合同签订时间为准，自招标公告发布之日止</w:t>
            </w:r>
            <w:r>
              <w:rPr>
                <w:rFonts w:hint="eastAsia"/>
                <w:szCs w:val="21"/>
                <w:lang w:eastAsia="zh-CN"/>
              </w:rPr>
              <w:t>）</w:t>
            </w:r>
            <w:r>
              <w:rPr>
                <w:rFonts w:hint="eastAsia"/>
                <w:szCs w:val="21"/>
                <w:lang w:val="en-US" w:eastAsia="zh-CN"/>
              </w:rPr>
              <w:t>合同金额大于28万元人民币的为</w:t>
            </w:r>
            <w:r>
              <w:rPr>
                <w:rFonts w:hint="eastAsia"/>
                <w:szCs w:val="21"/>
              </w:rPr>
              <w:t>国企合规咨询</w:t>
            </w:r>
            <w:r>
              <w:rPr>
                <w:rFonts w:hint="eastAsia"/>
                <w:szCs w:val="21"/>
                <w:lang w:val="en-US" w:eastAsia="zh-CN"/>
              </w:rPr>
              <w:t>或</w:t>
            </w:r>
            <w:r>
              <w:rPr>
                <w:rFonts w:hint="eastAsia"/>
                <w:szCs w:val="21"/>
              </w:rPr>
              <w:t>风控内控管理咨询项目的实施经验，每个项目得</w:t>
            </w:r>
            <w:r>
              <w:rPr>
                <w:szCs w:val="21"/>
              </w:rPr>
              <w:t>2</w:t>
            </w:r>
            <w:r>
              <w:rPr>
                <w:rFonts w:hint="eastAsia"/>
                <w:szCs w:val="21"/>
              </w:rPr>
              <w:t>分，</w:t>
            </w:r>
            <w:r>
              <w:rPr>
                <w:rFonts w:hint="eastAsia"/>
                <w:szCs w:val="21"/>
                <w:lang w:val="en-US" w:eastAsia="zh-CN"/>
              </w:rPr>
              <w:t>最高得12分。其中，如所提供的业绩含</w:t>
            </w:r>
          </w:p>
          <w:p>
            <w:pPr>
              <w:pStyle w:val="13"/>
              <w:rPr>
                <w:rFonts w:ascii="Times New Roman" w:hAnsi="Times New Roman" w:eastAsia="宋体"/>
                <w:szCs w:val="21"/>
              </w:rPr>
            </w:pPr>
            <w:r>
              <w:rPr>
                <w:rFonts w:hint="eastAsia" w:ascii="Times New Roman" w:hAnsi="Times New Roman" w:eastAsia="宋体"/>
                <w:szCs w:val="21"/>
              </w:rPr>
              <w:t>备注：</w:t>
            </w:r>
          </w:p>
          <w:p>
            <w:pPr>
              <w:numPr>
                <w:ilvl w:val="255"/>
                <w:numId w:val="0"/>
              </w:numPr>
              <w:rPr>
                <w:szCs w:val="21"/>
              </w:rPr>
            </w:pPr>
            <w:r>
              <w:rPr>
                <w:rFonts w:hint="eastAsia"/>
                <w:szCs w:val="21"/>
              </w:rPr>
              <w:t>（1）</w:t>
            </w:r>
            <w:r>
              <w:rPr>
                <w:rFonts w:hint="eastAsia"/>
                <w:szCs w:val="21"/>
                <w:lang w:eastAsia="zh-CN"/>
              </w:rPr>
              <w:t>投标人</w:t>
            </w:r>
            <w:r>
              <w:rPr>
                <w:rFonts w:hint="eastAsia"/>
                <w:szCs w:val="21"/>
              </w:rPr>
              <w:t>需编制业绩清单，清单内容包括但不限于项目名称、合同</w:t>
            </w:r>
            <w:r>
              <w:rPr>
                <w:rFonts w:hint="eastAsia"/>
                <w:szCs w:val="21"/>
                <w:lang w:val="en-US" w:eastAsia="zh-CN"/>
              </w:rPr>
              <w:t>甲乙双</w:t>
            </w:r>
            <w:r>
              <w:rPr>
                <w:rFonts w:hint="eastAsia"/>
                <w:szCs w:val="21"/>
              </w:rPr>
              <w:t>方名称、合同金额、合同签订时间等信息。</w:t>
            </w:r>
          </w:p>
          <w:p>
            <w:pPr>
              <w:numPr>
                <w:ilvl w:val="255"/>
                <w:numId w:val="0"/>
              </w:numPr>
              <w:ind w:left="0" w:leftChars="0" w:firstLine="0" w:firstLineChars="0"/>
              <w:rPr>
                <w:rFonts w:hint="eastAsia" w:ascii="宋体" w:hAnsi="宋体" w:cs="宋体"/>
                <w:kern w:val="0"/>
                <w:szCs w:val="21"/>
              </w:rPr>
            </w:pPr>
            <w:r>
              <w:rPr>
                <w:rFonts w:hint="eastAsia"/>
                <w:szCs w:val="21"/>
              </w:rPr>
              <w:t>（2）</w:t>
            </w:r>
            <w:r>
              <w:rPr>
                <w:rFonts w:hint="eastAsia"/>
                <w:szCs w:val="21"/>
                <w:lang w:eastAsia="zh-CN"/>
              </w:rPr>
              <w:t>投标人</w:t>
            </w:r>
            <w:r>
              <w:rPr>
                <w:rFonts w:hint="eastAsia"/>
                <w:szCs w:val="21"/>
              </w:rPr>
              <w:t>须提供相应合同的关键页</w:t>
            </w:r>
            <w:r>
              <w:rPr>
                <w:rFonts w:hint="eastAsia"/>
                <w:szCs w:val="21"/>
                <w:lang w:eastAsia="zh-CN"/>
              </w:rPr>
              <w:t>，</w:t>
            </w:r>
            <w:r>
              <w:rPr>
                <w:rFonts w:hint="eastAsia"/>
                <w:szCs w:val="21"/>
                <w:lang w:val="en-US" w:eastAsia="zh-CN"/>
              </w:rPr>
              <w:t>以及有效可证明合同甲方为国资全资或控股企业的证明资料。</w:t>
            </w:r>
            <w:r>
              <w:rPr>
                <w:rFonts w:hint="eastAsia" w:ascii="宋体" w:hAnsi="宋体" w:cs="宋体"/>
                <w:kern w:val="0"/>
                <w:szCs w:val="21"/>
              </w:rPr>
              <w:t>以上资料均需加盖投标人公章。未提供有效证明文件或证明文件不清晰无法辨识的不得分。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shd w:val="clear" w:color="auto" w:fill="auto"/>
          </w:tcPr>
          <w:p>
            <w:pPr>
              <w:spacing w:line="360" w:lineRule="auto"/>
              <w:jc w:val="center"/>
              <w:rPr>
                <w:rFonts w:ascii="宋体" w:hAnsi="宋体"/>
                <w:b/>
                <w:szCs w:val="21"/>
                <w:highlight w:val="none"/>
              </w:rPr>
            </w:pPr>
          </w:p>
        </w:tc>
        <w:tc>
          <w:tcPr>
            <w:tcW w:w="8647" w:type="dxa"/>
            <w:gridSpan w:val="4"/>
            <w:tcBorders>
              <w:tl2br w:val="nil"/>
              <w:tr2bl w:val="nil"/>
            </w:tcBorders>
            <w:shd w:val="clear" w:color="auto" w:fill="auto"/>
            <w:tcMar>
              <w:top w:w="15" w:type="dxa"/>
              <w:left w:w="15" w:type="dxa"/>
              <w:bottom w:w="15" w:type="dxa"/>
              <w:right w:w="15" w:type="dxa"/>
            </w:tcMar>
            <w:vAlign w:val="center"/>
          </w:tcPr>
          <w:p>
            <w:pPr>
              <w:spacing w:line="360" w:lineRule="auto"/>
              <w:jc w:val="center"/>
              <w:rPr>
                <w:rFonts w:ascii="宋体" w:hAnsi="宋体"/>
                <w:b w:val="0"/>
                <w:bCs/>
                <w:color w:val="FF0000"/>
                <w:szCs w:val="21"/>
                <w:highlight w:val="none"/>
              </w:rPr>
            </w:pPr>
            <w:r>
              <w:rPr>
                <w:rFonts w:hint="eastAsia" w:ascii="宋体" w:hAnsi="宋体"/>
                <w:b w:val="0"/>
                <w:bCs/>
                <w:szCs w:val="21"/>
                <w:highlight w:val="none"/>
              </w:rPr>
              <w:t>技术服务评议项（</w:t>
            </w:r>
            <w:r>
              <w:rPr>
                <w:rFonts w:hint="eastAsia" w:ascii="宋体" w:hAnsi="宋体"/>
                <w:b w:val="0"/>
                <w:bCs/>
                <w:color w:val="FF0000"/>
                <w:szCs w:val="21"/>
                <w:highlight w:val="none"/>
                <w:lang w:val="en-US" w:eastAsia="zh-CN"/>
              </w:rPr>
              <w:t>4</w:t>
            </w:r>
            <w:r>
              <w:rPr>
                <w:rFonts w:hint="eastAsia" w:ascii="宋体" w:hAnsi="宋体"/>
                <w:bCs/>
                <w:color w:val="FF0000"/>
                <w:szCs w:val="21"/>
                <w:highlight w:val="none"/>
                <w:lang w:val="en-US" w:eastAsia="zh-CN"/>
              </w:rPr>
              <w:t>5</w:t>
            </w:r>
            <w:r>
              <w:rPr>
                <w:rFonts w:ascii="宋体" w:hAnsi="宋体"/>
                <w:b w:val="0"/>
                <w:bCs/>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blCellSpacing w:w="0" w:type="dxa"/>
        </w:trPr>
        <w:tc>
          <w:tcPr>
            <w:tcW w:w="704" w:type="dxa"/>
            <w:tcBorders>
              <w:tl2br w:val="nil"/>
              <w:tr2bl w:val="nil"/>
            </w:tcBorders>
            <w:shd w:val="clear" w:color="auto" w:fill="auto"/>
            <w:vAlign w:val="center"/>
          </w:tcPr>
          <w:p>
            <w:pPr>
              <w:pStyle w:val="24"/>
              <w:numPr>
                <w:ilvl w:val="0"/>
                <w:numId w:val="26"/>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jc w:val="center"/>
              <w:rPr>
                <w:color w:val="FF0000"/>
                <w:highlight w:val="none"/>
              </w:rPr>
            </w:pPr>
            <w:r>
              <w:rPr>
                <w:rFonts w:hint="eastAsia" w:ascii="宋体" w:hAnsi="宋体" w:cs="宋体"/>
                <w:szCs w:val="21"/>
              </w:rPr>
              <w:t>项目理解</w:t>
            </w:r>
          </w:p>
        </w:tc>
        <w:tc>
          <w:tcPr>
            <w:tcW w:w="709" w:type="dxa"/>
            <w:tcBorders>
              <w:tl2br w:val="nil"/>
              <w:tr2bl w:val="nil"/>
            </w:tcBorders>
            <w:shd w:val="clear" w:color="auto" w:fill="auto"/>
            <w:tcMar>
              <w:top w:w="15" w:type="dxa"/>
              <w:left w:w="15" w:type="dxa"/>
              <w:bottom w:w="15" w:type="dxa"/>
              <w:right w:w="15" w:type="dxa"/>
            </w:tcMar>
            <w:vAlign w:val="center"/>
          </w:tcPr>
          <w:p>
            <w:pPr>
              <w:jc w:val="center"/>
              <w:rPr>
                <w:rFonts w:hint="eastAsia" w:ascii="宋体" w:hAnsi="宋体" w:eastAsia="宋体"/>
                <w:bCs/>
                <w:color w:val="FF0000"/>
                <w:szCs w:val="21"/>
                <w:highlight w:val="none"/>
                <w:lang w:val="en-US" w:eastAsia="zh-CN"/>
              </w:rPr>
            </w:pPr>
            <w:r>
              <w:rPr>
                <w:rFonts w:ascii="宋体" w:hAnsi="宋体"/>
                <w:szCs w:val="21"/>
              </w:rPr>
              <w:t>5</w:t>
            </w:r>
            <w:r>
              <w:rPr>
                <w:rFonts w:hint="eastAsia" w:ascii="宋体" w:hAnsi="宋体"/>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widowControl/>
              <w:ind w:right="30" w:rightChars="0"/>
              <w:rPr>
                <w:rFonts w:ascii="宋体" w:hAnsi="宋体" w:cs="宋体"/>
                <w:color w:val="FF0000"/>
                <w:kern w:val="0"/>
                <w:szCs w:val="21"/>
                <w:highlight w:val="none"/>
              </w:rPr>
            </w:pPr>
            <w:r>
              <w:rPr>
                <w:rFonts w:hint="eastAsia" w:ascii="宋体" w:hAnsi="宋体" w:cs="宋体"/>
                <w:szCs w:val="21"/>
              </w:rPr>
              <w:t>考察投标人对项目背景和项目目标及公司实际情况的理解。评分分成优良可差四档打分。差</w:t>
            </w:r>
            <w:r>
              <w:rPr>
                <w:rFonts w:ascii="宋体" w:hAnsi="宋体" w:cs="宋体"/>
                <w:szCs w:val="21"/>
              </w:rPr>
              <w:t>0</w:t>
            </w:r>
            <w:r>
              <w:rPr>
                <w:rFonts w:hint="eastAsia" w:ascii="宋体" w:hAnsi="宋体" w:cs="宋体"/>
                <w:szCs w:val="21"/>
              </w:rPr>
              <w:t>分，可</w:t>
            </w:r>
            <w:r>
              <w:rPr>
                <w:rFonts w:ascii="宋体" w:hAnsi="宋体" w:cs="宋体"/>
                <w:szCs w:val="21"/>
              </w:rPr>
              <w:t>2</w:t>
            </w:r>
            <w:r>
              <w:rPr>
                <w:rFonts w:hint="eastAsia" w:ascii="宋体" w:hAnsi="宋体" w:cs="宋体"/>
                <w:szCs w:val="21"/>
              </w:rPr>
              <w:t>分，良好</w:t>
            </w:r>
            <w:r>
              <w:rPr>
                <w:rFonts w:ascii="宋体" w:hAnsi="宋体" w:cs="宋体"/>
                <w:szCs w:val="21"/>
              </w:rPr>
              <w:t>3</w:t>
            </w:r>
            <w:r>
              <w:rPr>
                <w:rFonts w:hint="eastAsia" w:ascii="宋体" w:hAnsi="宋体" w:cs="宋体"/>
                <w:szCs w:val="21"/>
              </w:rPr>
              <w:t>分，优秀</w:t>
            </w:r>
            <w:r>
              <w:rPr>
                <w:rFonts w:ascii="宋体" w:hAnsi="宋体" w:cs="宋体"/>
                <w:szCs w:val="21"/>
              </w:rPr>
              <w:t>5</w:t>
            </w:r>
            <w:r>
              <w:rPr>
                <w:rFonts w:hint="eastAsia" w:ascii="宋体" w:hAnsi="宋体" w:cs="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shd w:val="clear" w:color="auto" w:fill="auto"/>
            <w:vAlign w:val="center"/>
          </w:tcPr>
          <w:p>
            <w:pPr>
              <w:pStyle w:val="24"/>
              <w:numPr>
                <w:ilvl w:val="0"/>
                <w:numId w:val="26"/>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jc w:val="center"/>
              <w:rPr>
                <w:color w:val="FF0000"/>
                <w:highlight w:val="none"/>
              </w:rPr>
            </w:pPr>
            <w:r>
              <w:rPr>
                <w:rFonts w:hint="eastAsia" w:ascii="宋体" w:hAnsi="宋体" w:cs="宋体"/>
                <w:szCs w:val="21"/>
              </w:rPr>
              <w:t>技术咨询方案</w:t>
            </w:r>
          </w:p>
        </w:tc>
        <w:tc>
          <w:tcPr>
            <w:tcW w:w="709" w:type="dxa"/>
            <w:tcBorders>
              <w:tl2br w:val="nil"/>
              <w:tr2bl w:val="nil"/>
            </w:tcBorders>
            <w:shd w:val="clear" w:color="auto" w:fill="auto"/>
            <w:tcMar>
              <w:top w:w="15" w:type="dxa"/>
              <w:left w:w="15" w:type="dxa"/>
              <w:bottom w:w="15" w:type="dxa"/>
              <w:right w:w="15" w:type="dxa"/>
            </w:tcMar>
            <w:vAlign w:val="center"/>
          </w:tcPr>
          <w:p>
            <w:pPr>
              <w:jc w:val="center"/>
              <w:rPr>
                <w:rFonts w:hint="default" w:ascii="宋体" w:hAnsi="宋体"/>
                <w:bCs/>
                <w:color w:val="FF0000"/>
                <w:szCs w:val="21"/>
                <w:highlight w:val="none"/>
                <w:lang w:val="en-US"/>
              </w:rPr>
            </w:pPr>
            <w:r>
              <w:rPr>
                <w:rFonts w:ascii="宋体" w:hAnsi="宋体"/>
                <w:szCs w:val="21"/>
              </w:rPr>
              <w:t>25</w:t>
            </w:r>
            <w:r>
              <w:rPr>
                <w:rFonts w:hint="eastAsia" w:ascii="宋体" w:hAnsi="宋体"/>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numPr>
                <w:ilvl w:val="255"/>
                <w:numId w:val="0"/>
              </w:numPr>
              <w:ind w:left="0" w:leftChars="0" w:firstLine="0" w:firstLineChars="0"/>
              <w:rPr>
                <w:rFonts w:ascii="宋体" w:hAnsi="宋体" w:cs="宋体"/>
                <w:color w:val="FF0000"/>
                <w:kern w:val="0"/>
                <w:szCs w:val="21"/>
                <w:highlight w:val="none"/>
              </w:rPr>
            </w:pPr>
            <w:r>
              <w:rPr>
                <w:rFonts w:hint="eastAsia" w:ascii="宋体" w:hAnsi="宋体" w:cs="宋体"/>
                <w:szCs w:val="21"/>
              </w:rPr>
              <w:t>根据对项目总体是否有深刻认识，方案是否表达清晰、完整、严谨、合理、具体、有效，是否阐明咨询方案主要特点，对各投标文件进行比较后评分。评分分成优良可差四档打分。评分分成优良可差四档打分。差0-</w:t>
            </w:r>
            <w:r>
              <w:rPr>
                <w:rFonts w:ascii="宋体" w:hAnsi="宋体" w:cs="宋体"/>
                <w:szCs w:val="21"/>
              </w:rPr>
              <w:t>6</w:t>
            </w:r>
            <w:r>
              <w:rPr>
                <w:rFonts w:hint="eastAsia" w:ascii="宋体" w:hAnsi="宋体" w:cs="宋体"/>
                <w:szCs w:val="21"/>
              </w:rPr>
              <w:t>分，可</w:t>
            </w:r>
            <w:r>
              <w:rPr>
                <w:rFonts w:ascii="宋体" w:hAnsi="宋体" w:cs="宋体"/>
                <w:szCs w:val="21"/>
              </w:rPr>
              <w:t>7</w:t>
            </w:r>
            <w:r>
              <w:rPr>
                <w:rFonts w:hint="eastAsia" w:ascii="宋体" w:hAnsi="宋体" w:cs="宋体"/>
                <w:szCs w:val="21"/>
              </w:rPr>
              <w:t>-1</w:t>
            </w:r>
            <w:r>
              <w:rPr>
                <w:rFonts w:ascii="宋体" w:hAnsi="宋体" w:cs="宋体"/>
                <w:szCs w:val="21"/>
              </w:rPr>
              <w:t>3</w:t>
            </w:r>
            <w:r>
              <w:rPr>
                <w:rFonts w:hint="eastAsia" w:ascii="宋体" w:hAnsi="宋体" w:cs="宋体"/>
                <w:szCs w:val="21"/>
              </w:rPr>
              <w:t>分，良好1</w:t>
            </w:r>
            <w:r>
              <w:rPr>
                <w:rFonts w:ascii="宋体" w:hAnsi="宋体" w:cs="宋体"/>
                <w:szCs w:val="21"/>
              </w:rPr>
              <w:t>4</w:t>
            </w:r>
            <w:r>
              <w:rPr>
                <w:rFonts w:hint="eastAsia" w:ascii="宋体" w:hAnsi="宋体" w:cs="宋体"/>
                <w:szCs w:val="21"/>
              </w:rPr>
              <w:t>-</w:t>
            </w:r>
            <w:r>
              <w:rPr>
                <w:rFonts w:ascii="宋体" w:hAnsi="宋体" w:cs="宋体"/>
                <w:szCs w:val="21"/>
              </w:rPr>
              <w:t>20</w:t>
            </w:r>
            <w:r>
              <w:rPr>
                <w:rFonts w:hint="eastAsia" w:ascii="宋体" w:hAnsi="宋体" w:cs="宋体"/>
                <w:szCs w:val="21"/>
              </w:rPr>
              <w:t>分，优秀</w:t>
            </w:r>
            <w:r>
              <w:rPr>
                <w:rFonts w:ascii="宋体" w:hAnsi="宋体" w:cs="宋体"/>
                <w:szCs w:val="21"/>
              </w:rPr>
              <w:t>21</w:t>
            </w:r>
            <w:r>
              <w:rPr>
                <w:rFonts w:hint="eastAsia" w:ascii="宋体" w:hAnsi="宋体" w:cs="宋体"/>
                <w:szCs w:val="21"/>
              </w:rPr>
              <w:t>-</w:t>
            </w:r>
            <w:r>
              <w:rPr>
                <w:rFonts w:ascii="宋体" w:hAnsi="宋体" w:cs="宋体"/>
                <w:szCs w:val="21"/>
              </w:rPr>
              <w:t>25</w:t>
            </w:r>
            <w:r>
              <w:rPr>
                <w:rFonts w:hint="eastAsia" w:ascii="宋体" w:hAnsi="宋体" w:cs="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shd w:val="clear" w:color="auto" w:fill="auto"/>
            <w:vAlign w:val="center"/>
          </w:tcPr>
          <w:p>
            <w:pPr>
              <w:pStyle w:val="24"/>
              <w:numPr>
                <w:ilvl w:val="0"/>
                <w:numId w:val="26"/>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jc w:val="center"/>
              <w:rPr>
                <w:color w:val="FF0000"/>
                <w:highlight w:val="none"/>
              </w:rPr>
            </w:pPr>
            <w:r>
              <w:rPr>
                <w:rFonts w:hint="eastAsia" w:ascii="宋体" w:hAnsi="宋体" w:cs="宋体"/>
                <w:szCs w:val="21"/>
              </w:rPr>
              <w:t>项目实施进度计划</w:t>
            </w:r>
          </w:p>
        </w:tc>
        <w:tc>
          <w:tcPr>
            <w:tcW w:w="709" w:type="dxa"/>
            <w:tcBorders>
              <w:tl2br w:val="nil"/>
              <w:tr2bl w:val="nil"/>
            </w:tcBorders>
            <w:shd w:val="clear" w:color="auto" w:fill="auto"/>
            <w:tcMar>
              <w:top w:w="15" w:type="dxa"/>
              <w:left w:w="15" w:type="dxa"/>
              <w:bottom w:w="15" w:type="dxa"/>
              <w:right w:w="15" w:type="dxa"/>
            </w:tcMar>
            <w:vAlign w:val="center"/>
          </w:tcPr>
          <w:p>
            <w:pPr>
              <w:jc w:val="center"/>
              <w:rPr>
                <w:rFonts w:hint="default" w:ascii="宋体" w:hAnsi="宋体" w:eastAsia="宋体"/>
                <w:bCs/>
                <w:color w:val="FF0000"/>
                <w:szCs w:val="21"/>
                <w:highlight w:val="none"/>
                <w:lang w:val="en-US" w:eastAsia="zh-CN"/>
              </w:rPr>
            </w:pPr>
            <w:r>
              <w:rPr>
                <w:rFonts w:hint="eastAsia" w:ascii="宋体" w:hAnsi="宋体"/>
                <w:szCs w:val="21"/>
              </w:rPr>
              <w:t>1</w:t>
            </w:r>
            <w:r>
              <w:rPr>
                <w:rFonts w:ascii="宋体" w:hAnsi="宋体"/>
                <w:szCs w:val="21"/>
              </w:rPr>
              <w:t>0</w:t>
            </w:r>
            <w:r>
              <w:rPr>
                <w:rFonts w:hint="eastAsia" w:ascii="宋体" w:hAnsi="宋体"/>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numPr>
                <w:ilvl w:val="255"/>
                <w:numId w:val="0"/>
              </w:numPr>
              <w:ind w:left="0" w:leftChars="0" w:firstLine="0" w:firstLineChars="0"/>
              <w:rPr>
                <w:rFonts w:ascii="宋体" w:hAnsi="宋体" w:cs="宋体"/>
                <w:color w:val="FF0000"/>
                <w:kern w:val="0"/>
                <w:szCs w:val="21"/>
                <w:highlight w:val="none"/>
              </w:rPr>
            </w:pPr>
            <w:r>
              <w:rPr>
                <w:rFonts w:hint="eastAsia" w:ascii="宋体" w:hAnsi="宋体" w:cs="宋体"/>
                <w:szCs w:val="21"/>
              </w:rPr>
              <w:t>根据项目推进计划是否安排合理、进度控制措施是否安排得当进行评分，对各投标文件进行比较后评分。评分分成优良可差四档打分。差0-</w:t>
            </w:r>
            <w:r>
              <w:rPr>
                <w:rFonts w:ascii="宋体" w:hAnsi="宋体" w:cs="宋体"/>
                <w:szCs w:val="21"/>
              </w:rPr>
              <w:t>3</w:t>
            </w:r>
            <w:r>
              <w:rPr>
                <w:rFonts w:hint="eastAsia" w:ascii="宋体" w:hAnsi="宋体" w:cs="宋体"/>
                <w:szCs w:val="21"/>
              </w:rPr>
              <w:t>分，可</w:t>
            </w: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分，良好</w:t>
            </w:r>
            <w:r>
              <w:rPr>
                <w:rFonts w:ascii="宋体" w:hAnsi="宋体" w:cs="宋体"/>
                <w:szCs w:val="21"/>
              </w:rPr>
              <w:t>6-7</w:t>
            </w:r>
            <w:r>
              <w:rPr>
                <w:rFonts w:hint="eastAsia" w:ascii="宋体" w:hAnsi="宋体" w:cs="宋体"/>
                <w:szCs w:val="21"/>
              </w:rPr>
              <w:t>分，优秀</w:t>
            </w:r>
            <w:r>
              <w:rPr>
                <w:rFonts w:ascii="宋体" w:hAnsi="宋体" w:cs="宋体"/>
                <w:szCs w:val="21"/>
              </w:rPr>
              <w:t>8</w:t>
            </w:r>
            <w:r>
              <w:rPr>
                <w:rFonts w:hint="eastAsia" w:ascii="宋体" w:hAnsi="宋体" w:cs="宋体"/>
                <w:szCs w:val="21"/>
              </w:rPr>
              <w:t>-</w:t>
            </w:r>
            <w:r>
              <w:rPr>
                <w:rFonts w:ascii="宋体" w:hAnsi="宋体" w:cs="宋体"/>
                <w:szCs w:val="21"/>
              </w:rPr>
              <w:t>10</w:t>
            </w:r>
            <w:r>
              <w:rPr>
                <w:rFonts w:hint="eastAsia" w:ascii="宋体" w:hAnsi="宋体" w:cs="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shd w:val="clear" w:color="auto" w:fill="auto"/>
            <w:vAlign w:val="center"/>
          </w:tcPr>
          <w:p>
            <w:pPr>
              <w:pStyle w:val="24"/>
              <w:numPr>
                <w:ilvl w:val="0"/>
                <w:numId w:val="26"/>
              </w:numPr>
              <w:spacing w:line="360" w:lineRule="auto"/>
              <w:ind w:firstLineChars="0"/>
              <w:jc w:val="center"/>
              <w:rPr>
                <w:rFonts w:ascii="宋体" w:hAnsi="宋体" w:eastAsia="宋体"/>
                <w:szCs w:val="21"/>
                <w:highlight w:val="none"/>
              </w:rPr>
            </w:pPr>
          </w:p>
        </w:tc>
        <w:tc>
          <w:tcPr>
            <w:tcW w:w="1134" w:type="dxa"/>
            <w:tcBorders>
              <w:tl2br w:val="nil"/>
              <w:tr2bl w:val="nil"/>
            </w:tcBorders>
            <w:shd w:val="clear" w:color="auto" w:fill="auto"/>
            <w:tcMar>
              <w:top w:w="15" w:type="dxa"/>
              <w:left w:w="15" w:type="dxa"/>
              <w:bottom w:w="15" w:type="dxa"/>
              <w:right w:w="15" w:type="dxa"/>
            </w:tcMar>
            <w:vAlign w:val="center"/>
          </w:tcPr>
          <w:p>
            <w:pPr>
              <w:jc w:val="center"/>
              <w:rPr>
                <w:rFonts w:ascii="宋体" w:hAnsi="宋体" w:cs="宋体"/>
                <w:szCs w:val="21"/>
                <w:highlight w:val="none"/>
              </w:rPr>
            </w:pPr>
            <w:r>
              <w:rPr>
                <w:rFonts w:hint="eastAsia" w:ascii="宋体" w:hAnsi="宋体" w:cs="宋体"/>
                <w:szCs w:val="21"/>
              </w:rPr>
              <w:t>质量目标、质量保证体系及组织措施、售后保障</w:t>
            </w:r>
          </w:p>
        </w:tc>
        <w:tc>
          <w:tcPr>
            <w:tcW w:w="709" w:type="dxa"/>
            <w:tcBorders>
              <w:tl2br w:val="nil"/>
              <w:tr2bl w:val="nil"/>
            </w:tcBorders>
            <w:shd w:val="clear" w:color="auto" w:fill="auto"/>
            <w:tcMar>
              <w:top w:w="15" w:type="dxa"/>
              <w:left w:w="15" w:type="dxa"/>
              <w:bottom w:w="15" w:type="dxa"/>
              <w:right w:w="15" w:type="dxa"/>
            </w:tcMar>
            <w:vAlign w:val="center"/>
          </w:tcPr>
          <w:p>
            <w:pPr>
              <w:jc w:val="center"/>
              <w:rPr>
                <w:rFonts w:hint="default" w:ascii="宋体" w:hAnsi="宋体" w:cs="宋体"/>
                <w:b w:val="0"/>
                <w:bCs/>
                <w:szCs w:val="21"/>
                <w:highlight w:val="none"/>
                <w:lang w:val="en-US" w:eastAsia="zh-CN" w:bidi="ar"/>
              </w:rPr>
            </w:pPr>
            <w:r>
              <w:rPr>
                <w:rFonts w:ascii="宋体" w:hAnsi="宋体"/>
                <w:szCs w:val="21"/>
              </w:rPr>
              <w:t>5</w:t>
            </w:r>
            <w:r>
              <w:rPr>
                <w:rFonts w:hint="eastAsia" w:ascii="宋体" w:hAnsi="宋体"/>
                <w:szCs w:val="21"/>
              </w:rPr>
              <w:t>分</w:t>
            </w:r>
          </w:p>
        </w:tc>
        <w:tc>
          <w:tcPr>
            <w:tcW w:w="6804" w:type="dxa"/>
            <w:gridSpan w:val="2"/>
            <w:tcBorders>
              <w:tl2br w:val="nil"/>
              <w:tr2bl w:val="nil"/>
            </w:tcBorders>
            <w:shd w:val="clear" w:color="auto" w:fill="auto"/>
            <w:tcMar>
              <w:top w:w="15" w:type="dxa"/>
              <w:left w:w="15" w:type="dxa"/>
              <w:bottom w:w="15" w:type="dxa"/>
              <w:right w:w="15" w:type="dxa"/>
            </w:tcMar>
            <w:vAlign w:val="center"/>
          </w:tcPr>
          <w:p>
            <w:pPr>
              <w:numPr>
                <w:ilvl w:val="255"/>
                <w:numId w:val="0"/>
              </w:numPr>
              <w:ind w:left="0" w:leftChars="0" w:firstLine="0" w:firstLineChars="0"/>
              <w:rPr>
                <w:rFonts w:ascii="宋体" w:hAnsi="宋体" w:cs="宋体"/>
                <w:szCs w:val="21"/>
                <w:highlight w:val="none"/>
                <w:lang w:bidi="ar"/>
              </w:rPr>
            </w:pPr>
            <w:r>
              <w:rPr>
                <w:rFonts w:hint="eastAsia" w:ascii="宋体" w:hAnsi="宋体" w:cs="宋体"/>
                <w:szCs w:val="21"/>
              </w:rPr>
              <w:t>项目工作流程及管理措施齐全、质量保证体系完整、质量目标明确、是否有相应管理保障，是否有健全的客户服务管理和监督，是否具备售后承诺，对各投标文件进行比较后评分。评分分成优良可差四档打分。差</w:t>
            </w:r>
            <w:r>
              <w:rPr>
                <w:rFonts w:ascii="宋体" w:hAnsi="宋体" w:cs="宋体"/>
                <w:szCs w:val="21"/>
              </w:rPr>
              <w:t>0</w:t>
            </w:r>
            <w:r>
              <w:rPr>
                <w:rFonts w:hint="eastAsia" w:ascii="宋体" w:hAnsi="宋体" w:cs="宋体"/>
                <w:szCs w:val="21"/>
              </w:rPr>
              <w:t>分，可</w:t>
            </w:r>
            <w:r>
              <w:rPr>
                <w:rFonts w:ascii="宋体" w:hAnsi="宋体" w:cs="宋体"/>
                <w:szCs w:val="21"/>
              </w:rPr>
              <w:t>2</w:t>
            </w:r>
            <w:r>
              <w:rPr>
                <w:rFonts w:hint="eastAsia" w:ascii="宋体" w:hAnsi="宋体" w:cs="宋体"/>
                <w:szCs w:val="21"/>
              </w:rPr>
              <w:t>分，良好</w:t>
            </w:r>
            <w:r>
              <w:rPr>
                <w:rFonts w:ascii="宋体" w:hAnsi="宋体" w:cs="宋体"/>
                <w:szCs w:val="21"/>
              </w:rPr>
              <w:t>3</w:t>
            </w:r>
            <w:r>
              <w:rPr>
                <w:rFonts w:hint="eastAsia" w:ascii="宋体" w:hAnsi="宋体" w:cs="宋体"/>
                <w:szCs w:val="21"/>
              </w:rPr>
              <w:t>分，优秀</w:t>
            </w:r>
            <w:r>
              <w:rPr>
                <w:rFonts w:ascii="宋体" w:hAnsi="宋体" w:cs="宋体"/>
                <w:szCs w:val="21"/>
              </w:rPr>
              <w:t>5</w:t>
            </w:r>
            <w:r>
              <w:rPr>
                <w:rFonts w:hint="eastAsia" w:ascii="宋体" w:hAnsi="宋体" w:cs="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shd w:val="clear" w:color="auto" w:fill="auto"/>
          </w:tcPr>
          <w:p>
            <w:pPr>
              <w:jc w:val="center"/>
              <w:rPr>
                <w:b/>
                <w:bCs/>
              </w:rPr>
            </w:pPr>
            <w:r>
              <w:rPr>
                <w:rFonts w:hint="eastAsia"/>
                <w:b/>
                <w:bCs/>
              </w:rPr>
              <w:t>价格评议项（</w:t>
            </w:r>
            <w:r>
              <w:rPr>
                <w:rFonts w:hint="eastAsia"/>
                <w:b/>
                <w:bCs/>
                <w:lang w:val="en-US" w:eastAsia="zh-CN"/>
              </w:rPr>
              <w:t>20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shd w:val="clear" w:color="auto" w:fill="auto"/>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shd w:val="clear" w:color="auto" w:fill="auto"/>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restart"/>
            <w:tcBorders>
              <w:tl2br w:val="nil"/>
              <w:tr2bl w:val="nil"/>
            </w:tcBorders>
            <w:shd w:val="clear" w:color="auto" w:fill="auto"/>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shd w:val="clear" w:color="auto" w:fill="auto"/>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7513" w:type="dxa"/>
            <w:gridSpan w:val="3"/>
            <w:tcBorders>
              <w:tl2br w:val="nil"/>
              <w:tr2bl w:val="nil"/>
            </w:tcBorders>
            <w:shd w:val="clear" w:color="auto" w:fill="auto"/>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7513" w:type="dxa"/>
            <w:gridSpan w:val="3"/>
            <w:tcBorders>
              <w:tl2br w:val="nil"/>
              <w:tr2bl w:val="nil"/>
            </w:tcBorders>
            <w:shd w:val="clear" w:color="auto" w:fill="auto"/>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restart"/>
            <w:tcBorders>
              <w:tl2br w:val="nil"/>
              <w:tr2bl w:val="nil"/>
            </w:tcBorders>
            <w:shd w:val="clear" w:color="auto" w:fill="auto"/>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shd w:val="clear" w:color="auto" w:fill="auto"/>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shd w:val="clear" w:color="auto" w:fill="auto"/>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1563" w:type="dxa"/>
            <w:gridSpan w:val="2"/>
            <w:tcBorders>
              <w:tl2br w:val="nil"/>
              <w:tr2bl w:val="nil"/>
            </w:tcBorders>
            <w:shd w:val="clear" w:color="auto" w:fill="auto"/>
            <w:vAlign w:val="center"/>
          </w:tcPr>
          <w:p>
            <w:pPr>
              <w:spacing w:line="240" w:lineRule="atLeast"/>
              <w:jc w:val="center"/>
              <w:rPr>
                <w:rFonts w:ascii="宋体" w:cs="宋体"/>
                <w:kern w:val="0"/>
                <w:szCs w:val="21"/>
                <w:highlight w:val="none"/>
              </w:rPr>
            </w:pPr>
            <w:r>
              <w:rPr>
                <w:rFonts w:hint="eastAsia" w:ascii="宋体" w:hAnsi="宋体"/>
                <w:szCs w:val="21"/>
                <w:highlight w:val="none"/>
                <w:lang w:eastAsia="zh-CN"/>
              </w:rPr>
              <w:t>□</w:t>
            </w:r>
            <w:r>
              <w:rPr>
                <w:rFonts w:hint="eastAsia" w:ascii="宋体" w:hAnsi="宋体"/>
                <w:szCs w:val="21"/>
                <w:highlight w:val="none"/>
              </w:rPr>
              <w:t>固定乘积法</w:t>
            </w:r>
          </w:p>
        </w:tc>
        <w:tc>
          <w:tcPr>
            <w:tcW w:w="5950" w:type="dxa"/>
            <w:tcBorders>
              <w:tl2br w:val="nil"/>
              <w:tr2bl w:val="nil"/>
            </w:tcBorders>
            <w:shd w:val="clear" w:color="auto" w:fill="auto"/>
            <w:vAlign w:val="center"/>
          </w:tcPr>
          <w:p>
            <w:pPr>
              <w:autoSpaceDE w:val="0"/>
              <w:autoSpaceDN w:val="0"/>
              <w:adjustRightInd w:val="0"/>
              <w:snapToGrid w:val="0"/>
              <w:jc w:val="left"/>
              <w:rPr>
                <w:rStyle w:val="21"/>
                <w:rFonts w:ascii="宋体" w:hAnsi="宋体"/>
                <w:highlight w:val="none"/>
              </w:rPr>
            </w:pPr>
            <w:r>
              <w:rPr>
                <w:rStyle w:val="21"/>
                <w:rFonts w:hint="eastAsia" w:ascii="宋体" w:hAnsi="宋体"/>
                <w:highlight w:val="none"/>
              </w:rPr>
              <w:t>价格得分=（1-A×｜1-投标报价/Z｜）×M</w:t>
            </w:r>
          </w:p>
          <w:p>
            <w:pPr>
              <w:numPr>
                <w:ilvl w:val="0"/>
                <w:numId w:val="27"/>
              </w:numPr>
              <w:autoSpaceDE w:val="0"/>
              <w:autoSpaceDN w:val="0"/>
              <w:adjustRightInd w:val="0"/>
              <w:snapToGrid w:val="0"/>
              <w:jc w:val="left"/>
              <w:rPr>
                <w:rStyle w:val="21"/>
                <w:rFonts w:ascii="宋体" w:hAnsi="宋体"/>
                <w:highlight w:val="none"/>
              </w:rPr>
            </w:pPr>
            <w:r>
              <w:rPr>
                <w:rStyle w:val="21"/>
                <w:rFonts w:hint="eastAsia" w:ascii="宋体" w:hAnsi="宋体"/>
                <w:highlight w:val="none"/>
              </w:rPr>
              <w:t xml:space="preserve">M= </w:t>
            </w:r>
            <w:r>
              <w:rPr>
                <w:rFonts w:hint="eastAsia" w:ascii="宋体" w:hAnsi="宋体"/>
                <w:color w:val="FF0000"/>
                <w:szCs w:val="21"/>
                <w:highlight w:val="none"/>
              </w:rPr>
              <w:t>××</w:t>
            </w:r>
            <w:r>
              <w:rPr>
                <w:rStyle w:val="21"/>
                <w:rFonts w:hint="eastAsia" w:ascii="宋体" w:hAnsi="宋体"/>
                <w:highlight w:val="none"/>
              </w:rPr>
              <w:t xml:space="preserve"> （价格评价分项满分值），Z为本次招标基准价；</w:t>
            </w:r>
          </w:p>
          <w:p>
            <w:pPr>
              <w:numPr>
                <w:ilvl w:val="0"/>
                <w:numId w:val="27"/>
              </w:numPr>
              <w:autoSpaceDE w:val="0"/>
              <w:autoSpaceDN w:val="0"/>
              <w:adjustRightInd w:val="0"/>
              <w:snapToGrid w:val="0"/>
              <w:jc w:val="left"/>
              <w:rPr>
                <w:rStyle w:val="21"/>
                <w:rFonts w:ascii="宋体" w:hAnsi="宋体"/>
                <w:highlight w:val="none"/>
              </w:rPr>
            </w:pPr>
            <w:r>
              <w:rPr>
                <w:rStyle w:val="21"/>
                <w:rFonts w:hint="eastAsia" w:ascii="宋体" w:hAnsi="宋体"/>
                <w:highlight w:val="none"/>
              </w:rPr>
              <w:t>A为价格调整系数，当投标报价低于本次招标最佳报价（即基准价）时，A=0.5；当投标报价高于次招标基准价时，取A=1；</w:t>
            </w:r>
          </w:p>
          <w:p>
            <w:pPr>
              <w:numPr>
                <w:ilvl w:val="0"/>
                <w:numId w:val="27"/>
              </w:numPr>
              <w:jc w:val="left"/>
              <w:rPr>
                <w:rFonts w:ascii="宋体" w:cs="宋体"/>
                <w:kern w:val="0"/>
                <w:szCs w:val="21"/>
                <w:highlight w:val="none"/>
              </w:rPr>
            </w:pPr>
            <w:r>
              <w:rPr>
                <w:rStyle w:val="21"/>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shd w:val="clear" w:color="auto" w:fill="auto"/>
          </w:tcPr>
          <w:p>
            <w:pPr>
              <w:spacing w:line="360" w:lineRule="auto"/>
              <w:jc w:val="center"/>
              <w:rPr>
                <w:rFonts w:ascii="宋体" w:hAnsi="宋体"/>
                <w:szCs w:val="21"/>
                <w:highlight w:val="none"/>
              </w:rPr>
            </w:pPr>
          </w:p>
        </w:tc>
        <w:tc>
          <w:tcPr>
            <w:tcW w:w="1134" w:type="dxa"/>
            <w:vMerge w:val="continue"/>
            <w:tcBorders>
              <w:tl2br w:val="nil"/>
              <w:tr2bl w:val="nil"/>
            </w:tcBorders>
            <w:shd w:val="clear" w:color="auto" w:fill="auto"/>
            <w:vAlign w:val="center"/>
          </w:tcPr>
          <w:p>
            <w:pPr>
              <w:spacing w:line="360" w:lineRule="auto"/>
              <w:jc w:val="center"/>
              <w:rPr>
                <w:rFonts w:ascii="宋体" w:hAnsi="宋体"/>
                <w:szCs w:val="21"/>
                <w:highlight w:val="none"/>
              </w:rPr>
            </w:pPr>
          </w:p>
        </w:tc>
        <w:tc>
          <w:tcPr>
            <w:tcW w:w="1563" w:type="dxa"/>
            <w:gridSpan w:val="2"/>
            <w:tcBorders>
              <w:tl2br w:val="nil"/>
              <w:tr2bl w:val="nil"/>
            </w:tcBorders>
            <w:shd w:val="clear" w:color="auto" w:fill="auto"/>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30"/>
              <w:jc w:val="left"/>
              <w:rPr>
                <w:rFonts w:hint="default"/>
              </w:rPr>
            </w:pPr>
            <w:r>
              <w:rPr>
                <w:rFonts w:hint="eastAsia"/>
              </w:rPr>
              <w:t>价格得分=（1-｜投标报价-基准价｜</w:t>
            </w:r>
            <w:r>
              <w:rPr>
                <w:rFonts w:hint="default"/>
              </w:rPr>
              <w:t>÷</w:t>
            </w:r>
            <w:r>
              <w:rPr>
                <w:rFonts w:hint="eastAsia"/>
              </w:rPr>
              <w:t>基准价）</w:t>
            </w:r>
            <w:r>
              <w:rPr>
                <w:rFonts w:hint="default"/>
              </w:rPr>
              <w:t>×</w:t>
            </w:r>
            <w:r>
              <w:rPr>
                <w:rFonts w:hint="eastAsia"/>
              </w:rPr>
              <w:t>价格权重分</w:t>
            </w:r>
          </w:p>
          <w:p>
            <w:pPr>
              <w:spacing w:line="240" w:lineRule="atLeast"/>
              <w:jc w:val="center"/>
              <w:rPr>
                <w:rFonts w:ascii="宋体" w:cs="宋体"/>
                <w:kern w:val="0"/>
                <w:szCs w:val="21"/>
                <w:highlight w:val="none"/>
              </w:rPr>
            </w:pPr>
            <w:r>
              <w:rPr>
                <w:rFonts w:hint="eastAsia"/>
              </w:rPr>
              <w:t>说明：报价最接近基准分的</w:t>
            </w:r>
            <w:r>
              <w:rPr>
                <w:rFonts w:hint="eastAsia"/>
                <w:lang w:eastAsia="zh-CN"/>
              </w:rPr>
              <w:t>投标人</w:t>
            </w:r>
            <w:r>
              <w:rPr>
                <w:rFonts w:hint="eastAsia"/>
              </w:rPr>
              <w:t>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6" w:name="_Toc116550358"/>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7" w:name="_Hlk116549198"/>
      <w:r>
        <w:rPr>
          <w:rFonts w:hint="eastAsia" w:ascii="方正小标宋简体" w:hAnsi="方正小标宋简体" w:eastAsia="方正小标宋简体" w:cs="方正小标宋简体"/>
          <w:bCs/>
          <w:kern w:val="0"/>
          <w:sz w:val="28"/>
          <w:szCs w:val="28"/>
        </w:rPr>
        <w:t>深圳会展中心合规体系建设服务项目合同</w:t>
      </w:r>
    </w:p>
    <w:bookmarkEnd w:id="57"/>
    <w:p>
      <w:pPr>
        <w:jc w:val="center"/>
        <w:rPr>
          <w:rFonts w:ascii="宋体" w:hAnsi="宋体"/>
          <w:szCs w:val="21"/>
        </w:rPr>
      </w:pPr>
      <w:bookmarkStart w:id="58" w:name="_Hlk116549211"/>
      <w:r>
        <w:rPr>
          <w:rFonts w:hint="eastAsia" w:ascii="方正小标宋简体" w:hAnsi="方正小标宋简体" w:eastAsia="方正小标宋简体" w:cs="方正小标宋简体"/>
          <w:bCs/>
          <w:kern w:val="0"/>
          <w:sz w:val="28"/>
          <w:szCs w:val="28"/>
        </w:rPr>
        <w:t>（仅供参考）</w:t>
      </w:r>
    </w:p>
    <w:bookmarkEnd w:id="58"/>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4"/>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4"/>
        <w:spacing w:line="360" w:lineRule="auto"/>
        <w:ind w:left="0"/>
        <w:rPr>
          <w:rFonts w:ascii="宋体" w:hAnsi="宋体"/>
          <w:sz w:val="21"/>
          <w:szCs w:val="21"/>
        </w:rPr>
      </w:pPr>
      <w:r>
        <w:rPr>
          <w:rFonts w:hint="eastAsia" w:ascii="宋体" w:hAnsi="宋体" w:cs="宋体"/>
          <w:sz w:val="21"/>
          <w:szCs w:val="21"/>
          <w:highlight w:val="yellow"/>
        </w:rPr>
        <w:t>电子邮件：</w:t>
      </w:r>
    </w:p>
    <w:p>
      <w:pPr>
        <w:pStyle w:val="4"/>
        <w:spacing w:after="0" w:line="360" w:lineRule="auto"/>
        <w:ind w:left="0" w:firstLine="400" w:firstLineChars="200"/>
        <w:rPr>
          <w:rFonts w:ascii="宋体" w:hAnsi="宋体"/>
          <w:sz w:val="21"/>
          <w:szCs w:val="21"/>
        </w:rPr>
      </w:pPr>
    </w:p>
    <w:p>
      <w:pPr>
        <w:pStyle w:val="4"/>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w:t>
      </w:r>
      <w:r>
        <w:rPr>
          <w:rFonts w:hint="eastAsia" w:ascii="宋体" w:hAnsi="宋体" w:eastAsia="宋体" w:cs="Arial"/>
          <w:sz w:val="21"/>
          <w:szCs w:val="21"/>
        </w:rPr>
        <w:t>提供</w:t>
      </w:r>
      <w:r>
        <w:rPr>
          <w:rFonts w:hint="eastAsia" w:ascii="宋体" w:hAnsi="宋体" w:eastAsia="宋体" w:cs="Arial"/>
          <w:sz w:val="21"/>
          <w:szCs w:val="21"/>
          <w:lang w:val="en-US" w:eastAsia="zh-CN"/>
        </w:rPr>
        <w:t>深圳会展中心合规体系建设服务</w:t>
      </w:r>
      <w:r>
        <w:rPr>
          <w:rFonts w:hint="eastAsia" w:ascii="宋体" w:hAnsi="宋体" w:eastAsia="宋体" w:cs="Arial"/>
          <w:sz w:val="21"/>
          <w:szCs w:val="21"/>
        </w:rPr>
        <w:t>，甲乙双方经协商一致，签订本合同，</w:t>
      </w:r>
      <w:r>
        <w:rPr>
          <w:rFonts w:hint="eastAsia" w:ascii="宋体" w:hAnsi="宋体" w:cs="Arial"/>
          <w:sz w:val="21"/>
          <w:szCs w:val="21"/>
        </w:rPr>
        <w:t>双方保证严格遵守和执行。</w:t>
      </w:r>
    </w:p>
    <w:p>
      <w:pPr>
        <w:pStyle w:val="13"/>
        <w:jc w:val="center"/>
        <w:rPr>
          <w:rFonts w:hint="eastAsia" w:ascii="方正公文小标宋" w:hAnsi="方正公文小标宋" w:eastAsia="方正公文小标宋" w:cs="方正公文小标宋"/>
          <w:b/>
          <w:bCs/>
          <w:color w:val="FF0000"/>
          <w:sz w:val="44"/>
          <w:szCs w:val="44"/>
          <w:highlight w:val="yellow"/>
        </w:rPr>
      </w:pPr>
      <w:bookmarkStart w:id="59" w:name="_Toc25002"/>
    </w:p>
    <w:p>
      <w:pPr>
        <w:pStyle w:val="13"/>
        <w:jc w:val="center"/>
        <w:rPr>
          <w:rFonts w:ascii="方正公文小标宋" w:hAnsi="方正公文小标宋" w:eastAsia="方正公文小标宋" w:cs="方正公文小标宋"/>
          <w:b/>
          <w:bCs/>
          <w:color w:val="FF0000"/>
          <w:sz w:val="44"/>
          <w:szCs w:val="44"/>
          <w:highlight w:val="yellow"/>
        </w:rPr>
      </w:pPr>
      <w:r>
        <w:rPr>
          <w:rFonts w:hint="eastAsia" w:ascii="方正公文小标宋" w:hAnsi="方正公文小标宋" w:eastAsia="方正公文小标宋" w:cs="方正公文小标宋"/>
          <w:b/>
          <w:bCs/>
          <w:color w:val="FF0000"/>
          <w:sz w:val="44"/>
          <w:szCs w:val="44"/>
          <w:highlight w:val="yellow"/>
        </w:rPr>
        <w:t>合同条款具体内容</w:t>
      </w:r>
      <w:bookmarkEnd w:id="59"/>
      <w:r>
        <w:rPr>
          <w:rFonts w:hint="eastAsia" w:ascii="方正公文小标宋" w:hAnsi="方正公文小标宋" w:eastAsia="方正公文小标宋" w:cs="方正公文小标宋"/>
          <w:b/>
          <w:bCs/>
          <w:color w:val="FF0000"/>
          <w:sz w:val="44"/>
          <w:szCs w:val="44"/>
          <w:highlight w:val="yellow"/>
          <w:lang w:val="en-US" w:eastAsia="zh-CN"/>
        </w:rPr>
        <w:t>略</w:t>
      </w:r>
    </w:p>
    <w:p>
      <w:pPr>
        <w:pStyle w:val="4"/>
        <w:spacing w:after="0" w:line="360" w:lineRule="auto"/>
        <w:ind w:left="0" w:firstLine="420" w:firstLineChars="200"/>
        <w:rPr>
          <w:rFonts w:hint="eastAsia" w:ascii="宋体" w:hAnsi="宋体" w:cs="仿宋"/>
          <w:spacing w:val="0"/>
          <w:kern w:val="2"/>
          <w:sz w:val="21"/>
          <w:szCs w:val="21"/>
        </w:rPr>
      </w:pPr>
    </w:p>
    <w:p>
      <w:pPr>
        <w:rPr>
          <w:rFonts w:hint="eastAsia" w:ascii="宋体" w:hAnsi="宋体" w:cs="仿宋"/>
          <w:spacing w:val="0"/>
          <w:kern w:val="2"/>
          <w:sz w:val="21"/>
          <w:szCs w:val="21"/>
        </w:rPr>
      </w:pPr>
    </w:p>
    <w:p>
      <w:pPr>
        <w:pStyle w:val="2"/>
        <w:rPr>
          <w:rFonts w:hint="eastAsia" w:ascii="宋体" w:hAnsi="宋体" w:cs="仿宋"/>
          <w:spacing w:val="0"/>
          <w:kern w:val="2"/>
          <w:sz w:val="21"/>
          <w:szCs w:val="21"/>
        </w:rPr>
      </w:pPr>
    </w:p>
    <w:p>
      <w:pPr>
        <w:rPr>
          <w:rFonts w:hint="eastAsia" w:ascii="宋体" w:hAnsi="宋体" w:cs="仿宋"/>
          <w:spacing w:val="0"/>
          <w:kern w:val="2"/>
          <w:sz w:val="21"/>
          <w:szCs w:val="21"/>
        </w:rPr>
      </w:pPr>
    </w:p>
    <w:p>
      <w:pPr>
        <w:pStyle w:val="2"/>
        <w:rPr>
          <w:rFonts w:hint="eastAsia" w:ascii="宋体" w:hAnsi="宋体" w:cs="仿宋"/>
          <w:spacing w:val="0"/>
          <w:kern w:val="2"/>
          <w:sz w:val="21"/>
          <w:szCs w:val="21"/>
        </w:rPr>
      </w:pPr>
    </w:p>
    <w:p>
      <w:pPr>
        <w:rPr>
          <w:rFonts w:hint="eastAsia" w:ascii="宋体" w:hAnsi="宋体" w:cs="仿宋"/>
          <w:spacing w:val="0"/>
          <w:kern w:val="2"/>
          <w:sz w:val="21"/>
          <w:szCs w:val="21"/>
        </w:rPr>
      </w:pPr>
    </w:p>
    <w:p>
      <w:pPr>
        <w:pStyle w:val="2"/>
        <w:rPr>
          <w:rFonts w:hint="eastAsia"/>
        </w:rPr>
      </w:pPr>
    </w:p>
    <w:p>
      <w:pPr>
        <w:pStyle w:val="4"/>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4"/>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3"/>
      </w:pPr>
    </w:p>
    <w:p>
      <w:pPr>
        <w:pStyle w:val="14"/>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5" w:name="_Toc116550363"/>
      <w:r>
        <w:rPr>
          <w:rFonts w:hint="eastAsia" w:ascii="宋体" w:hAnsi="宋体"/>
          <w:szCs w:val="21"/>
        </w:rPr>
        <w:t>附件4：考察证明</w:t>
      </w:r>
      <w:bookmarkEnd w:id="65"/>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395883088"/>
      <w:bookmarkStart w:id="77" w:name="_Toc236803111"/>
      <w:bookmarkStart w:id="78" w:name="_Toc478387764"/>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359026"/>
      <w:bookmarkStart w:id="82"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w:t>
      </w:r>
      <w:bookmarkEnd w:id="8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3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3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3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3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3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7"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3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4"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4"/>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5" w:name="_Hlk116546063"/>
    <w:bookmarkStart w:id="96"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5"/>
    <w:bookmarkEnd w:id="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7C6D5"/>
    <w:multiLevelType w:val="singleLevel"/>
    <w:tmpl w:val="8137C6D5"/>
    <w:lvl w:ilvl="0" w:tentative="0">
      <w:start w:val="1"/>
      <w:numFmt w:val="decimal"/>
      <w:suff w:val="nothing"/>
      <w:lvlText w:val="（%1）"/>
      <w:lvlJc w:val="left"/>
    </w:lvl>
  </w:abstractNum>
  <w:abstractNum w:abstractNumId="1">
    <w:nsid w:val="98FC3848"/>
    <w:multiLevelType w:val="singleLevel"/>
    <w:tmpl w:val="98FC3848"/>
    <w:lvl w:ilvl="0" w:tentative="0">
      <w:start w:val="1"/>
      <w:numFmt w:val="decimal"/>
      <w:suff w:val="nothing"/>
      <w:lvlText w:val="（%1）"/>
      <w:lvlJc w:val="left"/>
    </w:lvl>
  </w:abstractNum>
  <w:abstractNum w:abstractNumId="2">
    <w:nsid w:val="9EEA2F70"/>
    <w:multiLevelType w:val="singleLevel"/>
    <w:tmpl w:val="9EEA2F70"/>
    <w:lvl w:ilvl="0" w:tentative="0">
      <w:start w:val="1"/>
      <w:numFmt w:val="decimal"/>
      <w:suff w:val="nothing"/>
      <w:lvlText w:val="（%1）"/>
      <w:lvlJc w:val="left"/>
    </w:lvl>
  </w:abstractNum>
  <w:abstractNum w:abstractNumId="3">
    <w:nsid w:val="A2281775"/>
    <w:multiLevelType w:val="singleLevel"/>
    <w:tmpl w:val="A2281775"/>
    <w:lvl w:ilvl="0" w:tentative="0">
      <w:start w:val="1"/>
      <w:numFmt w:val="decimal"/>
      <w:suff w:val="space"/>
      <w:lvlText w:val="%1."/>
      <w:lvlJc w:val="left"/>
    </w:lvl>
  </w:abstractNum>
  <w:abstractNum w:abstractNumId="4">
    <w:nsid w:val="B66F96BF"/>
    <w:multiLevelType w:val="multilevel"/>
    <w:tmpl w:val="B66F96BF"/>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3A8CB24"/>
    <w:multiLevelType w:val="singleLevel"/>
    <w:tmpl w:val="D3A8CB24"/>
    <w:lvl w:ilvl="0" w:tentative="0">
      <w:start w:val="1"/>
      <w:numFmt w:val="decimal"/>
      <w:lvlText w:val="%1."/>
      <w:lvlJc w:val="left"/>
      <w:pPr>
        <w:tabs>
          <w:tab w:val="left" w:pos="312"/>
        </w:tabs>
      </w:pPr>
    </w:lvl>
  </w:abstractNum>
  <w:abstractNum w:abstractNumId="8">
    <w:nsid w:val="DAA5A57F"/>
    <w:multiLevelType w:val="singleLevel"/>
    <w:tmpl w:val="DAA5A57F"/>
    <w:lvl w:ilvl="0" w:tentative="0">
      <w:start w:val="1"/>
      <w:numFmt w:val="decimal"/>
      <w:suff w:val="space"/>
      <w:lvlText w:val="%1."/>
      <w:lvlJc w:val="left"/>
    </w:lvl>
  </w:abstractNum>
  <w:abstractNum w:abstractNumId="9">
    <w:nsid w:val="DD68A0A9"/>
    <w:multiLevelType w:val="multilevel"/>
    <w:tmpl w:val="DD68A0A9"/>
    <w:lvl w:ilvl="0" w:tentative="0">
      <w:start w:val="1"/>
      <w:numFmt w:val="chineseCounting"/>
      <w:suff w:val="nothing"/>
      <w:lvlText w:val="%1、"/>
      <w:lvlJc w:val="left"/>
      <w:pPr>
        <w:ind w:left="0" w:firstLine="0"/>
      </w:pPr>
      <w:rPr>
        <w:rFonts w:hint="eastAsia" w:ascii="宋体" w:hAnsi="宋体" w:eastAsia="宋体" w:cs="仿宋"/>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F017F3C2"/>
    <w:multiLevelType w:val="singleLevel"/>
    <w:tmpl w:val="F017F3C2"/>
    <w:lvl w:ilvl="0" w:tentative="0">
      <w:start w:val="1"/>
      <w:numFmt w:val="decimal"/>
      <w:suff w:val="nothing"/>
      <w:lvlText w:val="（%1）"/>
      <w:lvlJc w:val="left"/>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E10C89"/>
    <w:multiLevelType w:val="singleLevel"/>
    <w:tmpl w:val="28E10C89"/>
    <w:lvl w:ilvl="0" w:tentative="0">
      <w:start w:val="1"/>
      <w:numFmt w:val="decimal"/>
      <w:suff w:val="space"/>
      <w:lvlText w:val="%1."/>
      <w:lvlJc w:val="left"/>
    </w:lvl>
  </w:abstractNum>
  <w:abstractNum w:abstractNumId="22">
    <w:nsid w:val="32A4AB08"/>
    <w:multiLevelType w:val="multilevel"/>
    <w:tmpl w:val="32A4AB08"/>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E5CF7CB"/>
    <w:multiLevelType w:val="singleLevel"/>
    <w:tmpl w:val="3E5CF7CB"/>
    <w:lvl w:ilvl="0" w:tentative="0">
      <w:start w:val="1"/>
      <w:numFmt w:val="decimal"/>
      <w:suff w:val="nothing"/>
      <w:lvlText w:val="（%1）"/>
      <w:lvlJc w:val="left"/>
    </w:lvl>
  </w:abstractNum>
  <w:abstractNum w:abstractNumId="2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4717E00E"/>
    <w:multiLevelType w:val="multilevel"/>
    <w:tmpl w:val="4717E00E"/>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2">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3">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6">
    <w:nsid w:val="7728BBD1"/>
    <w:multiLevelType w:val="singleLevel"/>
    <w:tmpl w:val="7728BBD1"/>
    <w:lvl w:ilvl="0" w:tentative="0">
      <w:start w:val="1"/>
      <w:numFmt w:val="decimal"/>
      <w:suff w:val="nothing"/>
      <w:lvlText w:val="（%1）"/>
      <w:lvlJc w:val="left"/>
    </w:lvl>
  </w:abstractNum>
  <w:abstractNum w:abstractNumId="37">
    <w:nsid w:val="7B688A06"/>
    <w:multiLevelType w:val="multilevel"/>
    <w:tmpl w:val="7B688A06"/>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2"/>
  </w:num>
  <w:num w:numId="2">
    <w:abstractNumId w:val="35"/>
  </w:num>
  <w:num w:numId="3">
    <w:abstractNumId w:val="25"/>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3"/>
  </w:num>
  <w:num w:numId="8">
    <w:abstractNumId w:val="26"/>
  </w:num>
  <w:num w:numId="9">
    <w:abstractNumId w:val="15"/>
  </w:num>
  <w:num w:numId="10">
    <w:abstractNumId w:val="9"/>
  </w:num>
  <w:num w:numId="11">
    <w:abstractNumId w:val="4"/>
  </w:num>
  <w:num w:numId="12">
    <w:abstractNumId w:val="22"/>
  </w:num>
  <w:num w:numId="13">
    <w:abstractNumId w:val="37"/>
  </w:num>
  <w:num w:numId="14">
    <w:abstractNumId w:val="29"/>
  </w:num>
  <w:num w:numId="15">
    <w:abstractNumId w:val="36"/>
  </w:num>
  <w:num w:numId="16">
    <w:abstractNumId w:val="0"/>
  </w:num>
  <w:num w:numId="17">
    <w:abstractNumId w:val="10"/>
  </w:num>
  <w:num w:numId="18">
    <w:abstractNumId w:val="27"/>
  </w:num>
  <w:num w:numId="19">
    <w:abstractNumId w:val="1"/>
  </w:num>
  <w:num w:numId="20">
    <w:abstractNumId w:val="2"/>
  </w:num>
  <w:num w:numId="21">
    <w:abstractNumId w:val="6"/>
  </w:num>
  <w:num w:numId="22">
    <w:abstractNumId w:val="21"/>
  </w:num>
  <w:num w:numId="23">
    <w:abstractNumId w:val="13"/>
  </w:num>
  <w:num w:numId="24">
    <w:abstractNumId w:val="17"/>
  </w:num>
  <w:num w:numId="25">
    <w:abstractNumId w:val="7"/>
  </w:num>
  <w:num w:numId="26">
    <w:abstractNumId w:val="24"/>
  </w:num>
  <w:num w:numId="27">
    <w:abstractNumId w:val="3"/>
  </w:num>
  <w:num w:numId="28">
    <w:abstractNumId w:val="8"/>
  </w:num>
  <w:num w:numId="29">
    <w:abstractNumId w:val="12"/>
  </w:num>
  <w:num w:numId="30">
    <w:abstractNumId w:val="11"/>
  </w:num>
  <w:num w:numId="31">
    <w:abstractNumId w:val="34"/>
  </w:num>
  <w:num w:numId="32">
    <w:abstractNumId w:val="28"/>
  </w:num>
  <w:num w:numId="33">
    <w:abstractNumId w:val="23"/>
  </w:num>
  <w:num w:numId="34">
    <w:abstractNumId w:val="19"/>
  </w:num>
  <w:num w:numId="35">
    <w:abstractNumId w:val="30"/>
  </w:num>
  <w:num w:numId="36">
    <w:abstractNumId w:val="18"/>
  </w:num>
  <w:num w:numId="37">
    <w:abstractNumId w:val="14"/>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Yzk5MzAwMTk4ZmExY2Q2ZGYwMjczMjEzODEyMWUifQ=="/>
  </w:docVars>
  <w:rsids>
    <w:rsidRoot w:val="00172A27"/>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2A27"/>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017"/>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3D39"/>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43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555118"/>
    <w:rsid w:val="02B47C4D"/>
    <w:rsid w:val="02BA5D3C"/>
    <w:rsid w:val="03394EB3"/>
    <w:rsid w:val="041B255E"/>
    <w:rsid w:val="043C349D"/>
    <w:rsid w:val="04450729"/>
    <w:rsid w:val="04D46768"/>
    <w:rsid w:val="04F90B5F"/>
    <w:rsid w:val="053A1CC8"/>
    <w:rsid w:val="063224EB"/>
    <w:rsid w:val="06450013"/>
    <w:rsid w:val="06532730"/>
    <w:rsid w:val="06856661"/>
    <w:rsid w:val="06F7343C"/>
    <w:rsid w:val="077B4608"/>
    <w:rsid w:val="07BB74B6"/>
    <w:rsid w:val="07D7576E"/>
    <w:rsid w:val="08493DEA"/>
    <w:rsid w:val="086E4EC9"/>
    <w:rsid w:val="097924AD"/>
    <w:rsid w:val="09FE29B2"/>
    <w:rsid w:val="0A2C4F0D"/>
    <w:rsid w:val="0AAF1EFF"/>
    <w:rsid w:val="0B734A64"/>
    <w:rsid w:val="0BBC0D77"/>
    <w:rsid w:val="0C022514"/>
    <w:rsid w:val="0CDE01F2"/>
    <w:rsid w:val="0DD201F4"/>
    <w:rsid w:val="0F4526B6"/>
    <w:rsid w:val="0FA77648"/>
    <w:rsid w:val="0FF454C3"/>
    <w:rsid w:val="10091618"/>
    <w:rsid w:val="11160F29"/>
    <w:rsid w:val="152B64B8"/>
    <w:rsid w:val="15740DA4"/>
    <w:rsid w:val="165F0D1D"/>
    <w:rsid w:val="16D01B7A"/>
    <w:rsid w:val="17FF2717"/>
    <w:rsid w:val="195A6BC0"/>
    <w:rsid w:val="19B57018"/>
    <w:rsid w:val="1B0679C6"/>
    <w:rsid w:val="1BA873F4"/>
    <w:rsid w:val="1BAA299A"/>
    <w:rsid w:val="1BDE43F2"/>
    <w:rsid w:val="1C5670DA"/>
    <w:rsid w:val="1E467139"/>
    <w:rsid w:val="1F7074E6"/>
    <w:rsid w:val="1FD935FC"/>
    <w:rsid w:val="1FF468DA"/>
    <w:rsid w:val="21462AF7"/>
    <w:rsid w:val="215F77C5"/>
    <w:rsid w:val="227A4EED"/>
    <w:rsid w:val="228D0750"/>
    <w:rsid w:val="23502791"/>
    <w:rsid w:val="24786106"/>
    <w:rsid w:val="25A5748F"/>
    <w:rsid w:val="25BE1EBF"/>
    <w:rsid w:val="25D85A3C"/>
    <w:rsid w:val="25DB04AA"/>
    <w:rsid w:val="267E19B6"/>
    <w:rsid w:val="26E95967"/>
    <w:rsid w:val="2A1D36D7"/>
    <w:rsid w:val="2A2B157A"/>
    <w:rsid w:val="2A475858"/>
    <w:rsid w:val="2B9E3425"/>
    <w:rsid w:val="2BD84FDD"/>
    <w:rsid w:val="2BFA4386"/>
    <w:rsid w:val="2C7212B2"/>
    <w:rsid w:val="2C892158"/>
    <w:rsid w:val="2CD73EA3"/>
    <w:rsid w:val="2D845ED0"/>
    <w:rsid w:val="2DCC054E"/>
    <w:rsid w:val="2E327F63"/>
    <w:rsid w:val="2EAB6E76"/>
    <w:rsid w:val="2F0476B2"/>
    <w:rsid w:val="30381F4F"/>
    <w:rsid w:val="305055F8"/>
    <w:rsid w:val="310B3A83"/>
    <w:rsid w:val="31F64B95"/>
    <w:rsid w:val="329D6F19"/>
    <w:rsid w:val="32C651BC"/>
    <w:rsid w:val="33236803"/>
    <w:rsid w:val="341E77B0"/>
    <w:rsid w:val="34A05B77"/>
    <w:rsid w:val="35BA3CB8"/>
    <w:rsid w:val="35C01AA4"/>
    <w:rsid w:val="361A2073"/>
    <w:rsid w:val="37097428"/>
    <w:rsid w:val="38AC36F6"/>
    <w:rsid w:val="391D6AA3"/>
    <w:rsid w:val="394A3FAD"/>
    <w:rsid w:val="395A79F9"/>
    <w:rsid w:val="398262C9"/>
    <w:rsid w:val="39CE5C8A"/>
    <w:rsid w:val="39E26A5F"/>
    <w:rsid w:val="39E365DC"/>
    <w:rsid w:val="3AAD7F79"/>
    <w:rsid w:val="3B991A52"/>
    <w:rsid w:val="3BB26AC4"/>
    <w:rsid w:val="3C35255B"/>
    <w:rsid w:val="3C7B6331"/>
    <w:rsid w:val="3C964B49"/>
    <w:rsid w:val="3D3679ED"/>
    <w:rsid w:val="3ED902E6"/>
    <w:rsid w:val="3F485EA2"/>
    <w:rsid w:val="3F5712F5"/>
    <w:rsid w:val="3FEE7E6F"/>
    <w:rsid w:val="40185875"/>
    <w:rsid w:val="405C3EB8"/>
    <w:rsid w:val="408D7227"/>
    <w:rsid w:val="41407E51"/>
    <w:rsid w:val="416718EC"/>
    <w:rsid w:val="4269060A"/>
    <w:rsid w:val="4340580E"/>
    <w:rsid w:val="439D7A21"/>
    <w:rsid w:val="43D97719"/>
    <w:rsid w:val="447267E8"/>
    <w:rsid w:val="44E431E5"/>
    <w:rsid w:val="45AB50E5"/>
    <w:rsid w:val="464911E0"/>
    <w:rsid w:val="46503FBA"/>
    <w:rsid w:val="46B30DE6"/>
    <w:rsid w:val="470362C6"/>
    <w:rsid w:val="47573C7E"/>
    <w:rsid w:val="47591B4F"/>
    <w:rsid w:val="492A4A83"/>
    <w:rsid w:val="495C1F5C"/>
    <w:rsid w:val="4A2B1BF9"/>
    <w:rsid w:val="4AF77150"/>
    <w:rsid w:val="4B104367"/>
    <w:rsid w:val="4B8B03E4"/>
    <w:rsid w:val="4D9A3F67"/>
    <w:rsid w:val="4DDF67CC"/>
    <w:rsid w:val="4DEE0329"/>
    <w:rsid w:val="4E6968A7"/>
    <w:rsid w:val="4EE12BFB"/>
    <w:rsid w:val="4F3B1580"/>
    <w:rsid w:val="4FA179D1"/>
    <w:rsid w:val="50FA6A61"/>
    <w:rsid w:val="51794BC1"/>
    <w:rsid w:val="53D25371"/>
    <w:rsid w:val="540F1FD2"/>
    <w:rsid w:val="55694C0E"/>
    <w:rsid w:val="561F6663"/>
    <w:rsid w:val="56A96836"/>
    <w:rsid w:val="56BD4EBF"/>
    <w:rsid w:val="57315BF2"/>
    <w:rsid w:val="57594B93"/>
    <w:rsid w:val="58CB74D0"/>
    <w:rsid w:val="594A6990"/>
    <w:rsid w:val="59587F22"/>
    <w:rsid w:val="59FD5DAF"/>
    <w:rsid w:val="5A2E0F40"/>
    <w:rsid w:val="5E8307E5"/>
    <w:rsid w:val="60475C3F"/>
    <w:rsid w:val="60785544"/>
    <w:rsid w:val="60A60070"/>
    <w:rsid w:val="60BD1420"/>
    <w:rsid w:val="61282DA3"/>
    <w:rsid w:val="61A26997"/>
    <w:rsid w:val="61FA4982"/>
    <w:rsid w:val="622C21AB"/>
    <w:rsid w:val="62D00ABF"/>
    <w:rsid w:val="63E861DD"/>
    <w:rsid w:val="640C25AF"/>
    <w:rsid w:val="644E0C0F"/>
    <w:rsid w:val="6486074F"/>
    <w:rsid w:val="6541126B"/>
    <w:rsid w:val="678E6299"/>
    <w:rsid w:val="67FD6F7B"/>
    <w:rsid w:val="683A303D"/>
    <w:rsid w:val="68E97B63"/>
    <w:rsid w:val="6A5B2F9C"/>
    <w:rsid w:val="6B106FC5"/>
    <w:rsid w:val="6B1E605C"/>
    <w:rsid w:val="6C384A25"/>
    <w:rsid w:val="6C5E0507"/>
    <w:rsid w:val="6C6B5505"/>
    <w:rsid w:val="6DF67C63"/>
    <w:rsid w:val="6E3F209B"/>
    <w:rsid w:val="6E663ACB"/>
    <w:rsid w:val="6ED02117"/>
    <w:rsid w:val="70F51137"/>
    <w:rsid w:val="725336E8"/>
    <w:rsid w:val="738F1617"/>
    <w:rsid w:val="74783A1C"/>
    <w:rsid w:val="7479614F"/>
    <w:rsid w:val="74A36B6F"/>
    <w:rsid w:val="74AB354D"/>
    <w:rsid w:val="74B05132"/>
    <w:rsid w:val="76C52AAF"/>
    <w:rsid w:val="76E063E5"/>
    <w:rsid w:val="772A35DE"/>
    <w:rsid w:val="77A95233"/>
    <w:rsid w:val="781B5752"/>
    <w:rsid w:val="7919798C"/>
    <w:rsid w:val="798425C1"/>
    <w:rsid w:val="79A35F22"/>
    <w:rsid w:val="79BF662E"/>
    <w:rsid w:val="7A13262E"/>
    <w:rsid w:val="7A372E59"/>
    <w:rsid w:val="7A751935"/>
    <w:rsid w:val="7B2952F2"/>
    <w:rsid w:val="7B8A7AB3"/>
    <w:rsid w:val="7CF46BD3"/>
    <w:rsid w:val="7D2004CB"/>
    <w:rsid w:val="7E8A7344"/>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unhideWhenUsed/>
    <w:qFormat/>
    <w:uiPriority w:val="99"/>
    <w:pPr>
      <w:jc w:val="left"/>
    </w:pPr>
  </w:style>
  <w:style w:type="paragraph" w:styleId="4">
    <w:name w:val="Body Text"/>
    <w:basedOn w:val="1"/>
    <w:next w:val="1"/>
    <w:qFormat/>
    <w:uiPriority w:val="0"/>
    <w:pPr>
      <w:widowControl/>
      <w:spacing w:after="220" w:line="180" w:lineRule="atLeast"/>
      <w:ind w:left="835"/>
    </w:pPr>
    <w:rPr>
      <w:rFonts w:ascii="Arial" w:hAnsi="Arial"/>
      <w:spacing w:val="-5"/>
      <w:kern w:val="0"/>
      <w:sz w:val="20"/>
    </w:rPr>
  </w:style>
  <w:style w:type="paragraph" w:styleId="5">
    <w:name w:val="toc 3"/>
    <w:basedOn w:val="1"/>
    <w:next w:val="1"/>
    <w:unhideWhenUsed/>
    <w:qFormat/>
    <w:uiPriority w:val="39"/>
    <w:pPr>
      <w:ind w:left="840" w:leftChars="400"/>
    </w:p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28"/>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4"/>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7"/>
    <w:semiHidden/>
    <w:qFormat/>
    <w:uiPriority w:val="99"/>
    <w:rPr>
      <w:rFonts w:ascii="Times New Roman" w:hAnsi="Times New Roman" w:eastAsia="宋体" w:cs="Times New Roman"/>
      <w:sz w:val="18"/>
      <w:szCs w:val="18"/>
    </w:rPr>
  </w:style>
  <w:style w:type="character" w:customStyle="1" w:styleId="29">
    <w:name w:val="页眉 字符"/>
    <w:basedOn w:val="18"/>
    <w:link w:val="9"/>
    <w:qFormat/>
    <w:uiPriority w:val="99"/>
    <w:rPr>
      <w:rFonts w:ascii="Times New Roman" w:hAnsi="Times New Roman" w:eastAsia="宋体" w:cs="Times New Roman"/>
      <w:sz w:val="18"/>
      <w:szCs w:val="18"/>
    </w:rPr>
  </w:style>
  <w:style w:type="character" w:customStyle="1" w:styleId="30">
    <w:name w:val="页脚 字符"/>
    <w:basedOn w:val="18"/>
    <w:link w:val="8"/>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5"/>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3"/>
    <w:qFormat/>
    <w:uiPriority w:val="0"/>
    <w:rPr>
      <w:rFonts w:ascii="仿宋_GB2312" w:hAnsi="宋体" w:eastAsia="仿宋_GB2312"/>
      <w:kern w:val="2"/>
      <w:sz w:val="21"/>
      <w:szCs w:val="24"/>
    </w:rPr>
  </w:style>
  <w:style w:type="character" w:customStyle="1" w:styleId="35">
    <w:name w:val="脚注文本 字符"/>
    <w:basedOn w:val="18"/>
    <w:link w:val="11"/>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13498</Words>
  <Characters>14325</Characters>
  <Lines>155</Lines>
  <Paragraphs>43</Paragraphs>
  <TotalTime>37</TotalTime>
  <ScaleCrop>false</ScaleCrop>
  <LinksUpToDate>false</LinksUpToDate>
  <CharactersWithSpaces>16722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2023-12-12T08:51:00Z</dcterms:created>
  <dc:creator>Tony Young</dc:creator>
  <cp:lastModifiedBy>lxh</cp:lastModifiedBy>
  <dcterms:modified xsi:type="dcterms:W3CDTF">2024-05-20T03:17:21Z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C9408F12E664491786A3192E365B85AC_13</vt:lpwstr>
  </property>
</Properties>
</file>