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val="0"/>
          <w:bCs/>
          <w:color w:val="auto"/>
          <w:sz w:val="32"/>
          <w:szCs w:val="32"/>
          <w:highlight w:val="none"/>
        </w:rPr>
        <w:t>深圳会展中心2024-2027年除虫灭鼠服务项目</w:t>
      </w:r>
      <w:bookmarkEnd w:id="0"/>
    </w:p>
    <w:p>
      <w:pPr>
        <w:tabs>
          <w:tab w:val="left" w:pos="2127"/>
          <w:tab w:val="left" w:pos="2694"/>
        </w:tabs>
        <w:spacing w:line="360" w:lineRule="auto"/>
        <w:ind w:firstLine="2030" w:firstLineChars="632"/>
        <w:rPr>
          <w:rFonts w:ascii="宋体" w:hAnsi="宋体"/>
          <w:b/>
          <w:sz w:val="32"/>
          <w:szCs w:val="32"/>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pStyle w:val="24"/>
        <w:numPr>
          <w:ilvl w:val="0"/>
          <w:numId w:val="0"/>
        </w:numPr>
        <w:tabs>
          <w:tab w:val="left" w:pos="284"/>
        </w:tabs>
        <w:spacing w:line="360" w:lineRule="auto"/>
        <w:ind w:leftChars="0"/>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05</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_Toc2014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_Toc2014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_Toc32069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_Toc32069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_Toc13291 </w:instrText>
      </w:r>
      <w:r>
        <w:rPr>
          <w:rFonts w:hint="eastAsia" w:ascii="宋体" w:hAnsi="宋体" w:cs="仿宋"/>
          <w:szCs w:val="21"/>
        </w:rPr>
        <w:fldChar w:fldCharType="separate"/>
      </w:r>
      <w:r>
        <w:rPr>
          <w:rFonts w:hint="eastAsia" w:ascii="宋体" w:hAnsi="宋体"/>
          <w:szCs w:val="21"/>
        </w:rPr>
        <w:t>二、 特别说明</w:t>
      </w:r>
      <w:r>
        <w:tab/>
      </w:r>
      <w:r>
        <w:fldChar w:fldCharType="begin"/>
      </w:r>
      <w:r>
        <w:instrText xml:space="preserve"> PAGEREF _Toc13291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_Toc18520 </w:instrText>
      </w:r>
      <w:r>
        <w:rPr>
          <w:rFonts w:hint="eastAsia" w:ascii="宋体" w:hAnsi="宋体" w:cs="仿宋"/>
          <w:szCs w:val="21"/>
        </w:rPr>
        <w:fldChar w:fldCharType="separate"/>
      </w:r>
      <w:r>
        <w:rPr>
          <w:rFonts w:hint="eastAsia" w:ascii="宋体" w:hAnsi="宋体" w:cs="仿宋"/>
          <w:bCs/>
          <w:szCs w:val="21"/>
          <w:lang w:eastAsia="zh-CN"/>
        </w:rPr>
        <w:t>三</w:t>
      </w:r>
      <w:r>
        <w:rPr>
          <w:rFonts w:hint="eastAsia" w:ascii="宋体" w:hAnsi="宋体" w:eastAsia="宋体" w:cs="仿宋"/>
          <w:bCs/>
          <w:szCs w:val="21"/>
          <w:lang w:eastAsia="zh-CN"/>
        </w:rPr>
        <w:t xml:space="preserve">、 </w:t>
      </w:r>
      <w:r>
        <w:rPr>
          <w:rFonts w:hint="eastAsia" w:ascii="宋体" w:hAnsi="宋体"/>
          <w:szCs w:val="21"/>
          <w:lang w:eastAsia="zh-CN"/>
        </w:rPr>
        <w:t>投标文件编制</w:t>
      </w:r>
      <w:r>
        <w:tab/>
      </w:r>
      <w:r>
        <w:fldChar w:fldCharType="begin"/>
      </w:r>
      <w:r>
        <w:instrText xml:space="preserve"> PAGEREF _Toc18520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_Toc11041 </w:instrText>
      </w:r>
      <w:r>
        <w:rPr>
          <w:rFonts w:hint="eastAsia" w:ascii="宋体" w:hAnsi="宋体" w:cs="仿宋"/>
          <w:szCs w:val="21"/>
        </w:rPr>
        <w:fldChar w:fldCharType="separate"/>
      </w:r>
      <w:r>
        <w:rPr>
          <w:rFonts w:hint="eastAsia" w:ascii="宋体" w:hAnsi="宋体"/>
          <w:szCs w:val="21"/>
        </w:rPr>
        <w:t xml:space="preserve">四、 </w:t>
      </w:r>
      <w:r>
        <w:rPr>
          <w:rFonts w:hint="eastAsia" w:ascii="宋体" w:hAnsi="宋体"/>
          <w:szCs w:val="21"/>
          <w:lang w:eastAsia="zh-CN"/>
        </w:rPr>
        <w:t>项目要求</w:t>
      </w:r>
      <w:r>
        <w:tab/>
      </w:r>
      <w:r>
        <w:fldChar w:fldCharType="begin"/>
      </w:r>
      <w:r>
        <w:instrText xml:space="preserve"> PAGEREF _Toc11041 \h </w:instrText>
      </w:r>
      <w:r>
        <w:fldChar w:fldCharType="separate"/>
      </w:r>
      <w:r>
        <w:t>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_Toc1804 </w:instrText>
      </w:r>
      <w:r>
        <w:rPr>
          <w:rFonts w:hint="eastAsia" w:ascii="宋体" w:hAnsi="宋体" w:cs="仿宋"/>
          <w:szCs w:val="21"/>
        </w:rPr>
        <w:fldChar w:fldCharType="separate"/>
      </w:r>
      <w:r>
        <w:rPr>
          <w:rFonts w:hint="eastAsia" w:ascii="宋体" w:hAnsi="宋体" w:cs="宋体"/>
          <w:bCs w:val="0"/>
          <w:szCs w:val="24"/>
          <w:lang w:eastAsia="zh-CN"/>
        </w:rPr>
        <w:t xml:space="preserve">五、 </w:t>
      </w:r>
      <w:r>
        <w:rPr>
          <w:rFonts w:hint="eastAsia" w:ascii="宋体" w:hAnsi="宋体"/>
          <w:szCs w:val="21"/>
        </w:rPr>
        <w:t>其他项目说明资料</w:t>
      </w:r>
      <w:r>
        <w:tab/>
      </w:r>
      <w:r>
        <w:fldChar w:fldCharType="begin"/>
      </w:r>
      <w:r>
        <w:instrText xml:space="preserve"> PAGEREF _Toc1804 \h </w:instrText>
      </w:r>
      <w:r>
        <w:fldChar w:fldCharType="separate"/>
      </w:r>
      <w:r>
        <w:t>8</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_Toc31019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_Toc31019 \h </w:instrText>
      </w:r>
      <w:r>
        <w:fldChar w:fldCharType="separate"/>
      </w:r>
      <w:r>
        <w:t>10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_Toc6425 </w:instrText>
      </w:r>
      <w:r>
        <w:rPr>
          <w:rFonts w:hint="eastAsia" w:ascii="宋体" w:hAnsi="宋体" w:cs="仿宋"/>
          <w:szCs w:val="21"/>
        </w:rPr>
        <w:fldChar w:fldCharType="separate"/>
      </w:r>
      <w:r>
        <w:rPr>
          <w:rFonts w:hint="eastAsia"/>
          <w:lang w:eastAsia="zh-CN"/>
        </w:rPr>
        <w:t>六、</w:t>
      </w:r>
      <w:r>
        <w:rPr>
          <w:rFonts w:hint="eastAsia"/>
        </w:rPr>
        <w:t>开标阶段</w:t>
      </w:r>
      <w:r>
        <w:tab/>
      </w:r>
      <w:r>
        <w:fldChar w:fldCharType="begin"/>
      </w:r>
      <w:r>
        <w:instrText xml:space="preserve"> PAGEREF _Toc6425 \h </w:instrText>
      </w:r>
      <w:r>
        <w:fldChar w:fldCharType="separate"/>
      </w:r>
      <w:r>
        <w:t>10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_Toc32412 </w:instrText>
      </w:r>
      <w:r>
        <w:rPr>
          <w:rFonts w:hint="eastAsia" w:ascii="宋体" w:hAnsi="宋体" w:cs="仿宋"/>
          <w:szCs w:val="21"/>
        </w:rPr>
        <w:fldChar w:fldCharType="separate"/>
      </w:r>
      <w:r>
        <w:rPr>
          <w:rFonts w:hint="eastAsia"/>
          <w:lang w:eastAsia="zh-CN"/>
        </w:rPr>
        <w:t>七、</w:t>
      </w:r>
      <w:r>
        <w:rPr>
          <w:rFonts w:hint="eastAsia"/>
        </w:rPr>
        <w:t>评标阶段</w:t>
      </w:r>
      <w:r>
        <w:tab/>
      </w:r>
      <w:r>
        <w:fldChar w:fldCharType="begin"/>
      </w:r>
      <w:r>
        <w:instrText xml:space="preserve"> PAGEREF _Toc32412 \h </w:instrText>
      </w:r>
      <w:r>
        <w:fldChar w:fldCharType="separate"/>
      </w:r>
      <w:r>
        <w:t>10</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_Toc17825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_Toc17825 \h </w:instrText>
      </w:r>
      <w:r>
        <w:fldChar w:fldCharType="separate"/>
      </w:r>
      <w:r>
        <w:t>11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_Toc29591 </w:instrText>
      </w:r>
      <w:r>
        <w:rPr>
          <w:rFonts w:hint="eastAsia" w:ascii="宋体" w:hAnsi="宋体" w:cs="仿宋"/>
          <w:szCs w:val="21"/>
        </w:rPr>
        <w:fldChar w:fldCharType="separate"/>
      </w:r>
      <w:r>
        <w:rPr>
          <w:rFonts w:hint="eastAsia" w:ascii="宋体" w:hAnsi="宋体"/>
          <w:bCs/>
          <w:szCs w:val="21"/>
          <w:lang w:eastAsia="zh-CN"/>
        </w:rPr>
        <w:t>八、</w:t>
      </w:r>
      <w:r>
        <w:rPr>
          <w:rFonts w:hint="eastAsia" w:ascii="宋体" w:hAnsi="宋体"/>
          <w:bCs/>
          <w:szCs w:val="21"/>
        </w:rPr>
        <w:t>评审办法</w:t>
      </w:r>
      <w:r>
        <w:tab/>
      </w:r>
      <w:r>
        <w:fldChar w:fldCharType="begin"/>
      </w:r>
      <w:r>
        <w:instrText xml:space="preserve"> PAGEREF _Toc29591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_Toc25496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_Toc25496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_Toc23832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_Toc23832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_Toc11902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_Toc11902 \h </w:instrText>
      </w:r>
      <w:r>
        <w:fldChar w:fldCharType="separate"/>
      </w:r>
      <w:r>
        <w:t>12</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_Toc29006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_Toc29006 \h </w:instrText>
      </w:r>
      <w:r>
        <w:fldChar w:fldCharType="separate"/>
      </w:r>
      <w:r>
        <w:t>15</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_Toc29124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_Toc29124 \h </w:instrText>
      </w:r>
      <w:r>
        <w:fldChar w:fldCharType="separate"/>
      </w:r>
      <w:r>
        <w:t>19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_Toc3035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_Toc3035 \h </w:instrText>
      </w:r>
      <w:r>
        <w:fldChar w:fldCharType="separate"/>
      </w:r>
      <w:r>
        <w:t>19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_Toc18589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_Toc18589 \h </w:instrText>
      </w:r>
      <w:r>
        <w:fldChar w:fldCharType="separate"/>
      </w:r>
      <w:r>
        <w:t>20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_Toc6389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_Toc6389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_Toc23812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_Toc23812 \h </w:instrText>
      </w:r>
      <w:r>
        <w:fldChar w:fldCharType="separate"/>
      </w:r>
      <w:r>
        <w:t>22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_Toc22210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_Toc22210 \h </w:instrText>
      </w:r>
      <w:r>
        <w:fldChar w:fldCharType="separate"/>
      </w:r>
      <w:r>
        <w:t>23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_Toc10299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_Toc10299 \h </w:instrText>
      </w:r>
      <w:r>
        <w:fldChar w:fldCharType="separate"/>
      </w:r>
      <w:r>
        <w:t>24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_Toc1637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_Toc1637 \h </w:instrText>
      </w:r>
      <w:r>
        <w:fldChar w:fldCharType="separate"/>
      </w:r>
      <w:r>
        <w:t>25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_Toc2074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_Toc2074 \h </w:instrText>
      </w:r>
      <w:r>
        <w:fldChar w:fldCharType="separate"/>
      </w:r>
      <w:r>
        <w:t>26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_Toc12944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_Toc12944 \h </w:instrText>
      </w:r>
      <w:r>
        <w:fldChar w:fldCharType="separate"/>
      </w:r>
      <w:r>
        <w:t>27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_Toc22492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_Toc22492 \h </w:instrText>
      </w:r>
      <w:r>
        <w:fldChar w:fldCharType="separate"/>
      </w:r>
      <w:r>
        <w:t>28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_Toc8096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_Toc8096 \h </w:instrText>
      </w:r>
      <w:r>
        <w:fldChar w:fldCharType="separate"/>
      </w:r>
      <w:r>
        <w:t>29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_Toc28749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_Toc28749 \h </w:instrText>
      </w:r>
      <w:r>
        <w:fldChar w:fldCharType="separate"/>
      </w:r>
      <w:r>
        <w:t>30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_Toc22918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_Toc22918 \h </w:instrText>
      </w:r>
      <w:r>
        <w:fldChar w:fldCharType="separate"/>
      </w:r>
      <w:r>
        <w:t>31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_Toc21135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_Toc21135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_Toc13834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_Toc13834 \h </w:instrText>
      </w:r>
      <w:r>
        <w:fldChar w:fldCharType="separate"/>
      </w:r>
      <w:r>
        <w:t>33</w:t>
      </w:r>
      <w:r>
        <w:fldChar w:fldCharType="end"/>
      </w:r>
      <w:r>
        <w:rPr>
          <w:rFonts w:hint="eastAsia" w:ascii="宋体" w:hAnsi="宋体" w:cs="仿宋"/>
          <w:szCs w:val="21"/>
        </w:rPr>
        <w:fldChar w:fldCharType="end"/>
      </w:r>
    </w:p>
    <w:p>
      <w:pPr>
        <w:spacing w:line="400" w:lineRule="exact"/>
        <w:rPr>
          <w:rFonts w:hint="eastAsia" w:ascii="宋体" w:hAnsi="宋体" w:cs="仿宋"/>
          <w:szCs w:val="21"/>
        </w:rPr>
      </w:pPr>
      <w:r>
        <w:rPr>
          <w:rFonts w:hint="eastAsia" w:ascii="宋体" w:hAnsi="宋体" w:cs="仿宋"/>
          <w:szCs w:val="21"/>
        </w:rPr>
        <w:fldChar w:fldCharType="end"/>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right" w:pos="8306"/>
        </w:tabs>
        <w:bidi w:val="0"/>
        <w:jc w:val="left"/>
        <w:rPr>
          <w:lang w:val="en-US" w:eastAsia="zh-CN"/>
        </w:rPr>
        <w:sectPr>
          <w:headerReference r:id="rId3" w:type="default"/>
          <w:footerReference r:id="rId4" w:type="default"/>
          <w:type w:val="continuous"/>
          <w:pgSz w:w="11906" w:h="16838"/>
          <w:pgMar w:top="1440" w:right="1800" w:bottom="1440" w:left="1800" w:header="851" w:footer="408" w:gutter="0"/>
          <w:pgNumType w:start="1"/>
          <w:cols w:space="0" w:num="1"/>
          <w:rtlGutter w:val="0"/>
          <w:docGrid w:type="lines" w:linePitch="312" w:charSpace="0"/>
        </w:sectPr>
      </w:pPr>
      <w:r>
        <w:rPr>
          <w:rFonts w:hint="eastAsia"/>
          <w:lang w:val="en-US" w:eastAsia="zh-CN"/>
        </w:rPr>
        <w:tab/>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201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32069"/>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p>
      <w:pPr>
        <w:pStyle w:val="2"/>
      </w:pPr>
    </w:p>
    <w:tbl>
      <w:tblPr>
        <w:tblStyle w:val="16"/>
        <w:tblpPr w:leftFromText="180" w:rightFromText="180" w:vertAnchor="text" w:horzAnchor="page" w:tblpX="1427" w:tblpY="538"/>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16"/>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0"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81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880"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816"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5880"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苏女士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yellow"/>
              </w:rPr>
              <w:t>@</w:t>
            </w:r>
            <w:r>
              <w:rPr>
                <w:rFonts w:hint="eastAsia" w:ascii="宋体" w:hAnsi="宋体" w:cs="宋体"/>
                <w:color w:val="000000"/>
                <w:szCs w:val="21"/>
                <w:highlight w:val="yellow"/>
                <w:lang w:val="en-US" w:eastAsia="zh-CN"/>
              </w:rPr>
              <w:t>szcec</w:t>
            </w:r>
            <w:r>
              <w:rPr>
                <w:rFonts w:hint="eastAsia" w:ascii="宋体" w:hAnsi="宋体" w:cs="宋体"/>
                <w:color w:val="000000"/>
                <w:szCs w:val="21"/>
                <w:highlight w:val="yellow"/>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04"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816"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5880"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eastAsia="宋体" w:cs="Times New Roman"/>
                <w:color w:val="FF0000"/>
                <w:szCs w:val="21"/>
                <w:highlight w:val="yellow"/>
              </w:rPr>
              <w:t>深圳会展中心2024-2027年除虫灭鼠服务项</w:t>
            </w:r>
            <w:r>
              <w:rPr>
                <w:rFonts w:hint="eastAsia" w:ascii="宋体" w:hAnsi="宋体"/>
                <w:color w:val="FF0000"/>
                <w:szCs w:val="21"/>
                <w:highlight w:val="yellow"/>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5880"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lang w:eastAsia="zh-CN"/>
              </w:rPr>
              <w:t>服务</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5880"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宋体"/>
                <w:color w:val="000000"/>
                <w:sz w:val="21"/>
                <w:szCs w:val="21"/>
                <w:lang w:val="en-US" w:eastAsia="zh-CN"/>
              </w:rPr>
              <w:t>招标人计划定期对指定区域内的建筑物及绿化带进行消杀，现公开</w:t>
            </w:r>
            <w:r>
              <w:rPr>
                <w:rFonts w:hint="eastAsia" w:ascii="宋体" w:hAnsi="宋体" w:eastAsia="宋体" w:cs="宋体"/>
                <w:color w:val="000000"/>
                <w:sz w:val="21"/>
                <w:szCs w:val="21"/>
                <w:lang w:val="en-US" w:eastAsia="zh-CN"/>
              </w:rPr>
              <w:t>招标除虫灭鼠服务项目。详</w:t>
            </w:r>
            <w:r>
              <w:rPr>
                <w:rFonts w:hint="eastAsia" w:ascii="宋体" w:hAnsi="宋体"/>
                <w:b w:val="0"/>
                <w:bCs/>
                <w:sz w:val="21"/>
                <w:szCs w:val="21"/>
                <w:lang w:eastAsia="zh-CN"/>
              </w:rPr>
              <w:t>见本招标书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5880"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olor w:val="FF0000"/>
                <w:szCs w:val="21"/>
                <w:highlight w:val="yellow"/>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5880"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lang w:val="en-US" w:eastAsia="zh-CN"/>
              </w:rPr>
              <w:t>1095</w:t>
            </w:r>
            <w:r>
              <w:rPr>
                <w:rFonts w:hint="eastAsia" w:ascii="宋体" w:hAnsi="宋体"/>
                <w:color w:val="FF0000"/>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04"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05</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5880"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https://cg.szcec.com/sharing/RxOUAMwdb，</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5880"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816"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5880"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816"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816"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816"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5880"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https://cg.szcec.com/sharing/PHfWARDJK，</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04"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816"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5880"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06</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09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551</w:t>
            </w:r>
            <w:r>
              <w:rPr>
                <w:rFonts w:hint="eastAsia" w:ascii="宋体" w:hAnsi="宋体"/>
                <w:szCs w:val="21"/>
                <w:highlight w:val="yellow"/>
              </w:rPr>
              <w:t>-</w:t>
            </w:r>
            <w:r>
              <w:rPr>
                <w:rFonts w:hint="eastAsia" w:ascii="宋体" w:hAnsi="宋体"/>
                <w:szCs w:val="21"/>
                <w:highlight w:val="yellow"/>
                <w:lang w:val="en-US" w:eastAsia="zh-CN"/>
              </w:rPr>
              <w:t>317</w:t>
            </w:r>
            <w:r>
              <w:rPr>
                <w:rFonts w:hint="eastAsia" w:ascii="宋体" w:hAnsi="宋体"/>
                <w:szCs w:val="21"/>
                <w:highlight w:val="yellow"/>
              </w:rPr>
              <w:t>-</w:t>
            </w:r>
            <w:r>
              <w:rPr>
                <w:rFonts w:hint="eastAsia" w:ascii="宋体" w:hAnsi="宋体"/>
                <w:szCs w:val="21"/>
                <w:highlight w:val="yellow"/>
                <w:lang w:val="en-US" w:eastAsia="zh-CN"/>
              </w:rPr>
              <w:t>237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pPr>
              <w:autoSpaceDE w:val="0"/>
              <w:autoSpaceDN w:val="0"/>
              <w:adjustRightInd w:val="0"/>
              <w:snapToGrid w:val="0"/>
              <w:jc w:val="center"/>
              <w:rPr>
                <w:rFonts w:ascii="宋体" w:hAnsi="宋体"/>
                <w:szCs w:val="21"/>
              </w:rPr>
            </w:pP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5880"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highlight w:val="yellow"/>
              </w:rPr>
              <w:t>https://cg.szcec.com/sharing/6JHVZoCBs</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816"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5880"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816"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5880"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bookmarkStart w:id="101" w:name="_GoBack"/>
            <w:bookmarkEnd w:id="101"/>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4</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06</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12</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09</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30</w:t>
            </w:r>
            <w:r>
              <w:rPr>
                <w:rFonts w:hint="eastAsia" w:ascii="宋体" w:hAnsi="宋体" w:eastAsia="宋体"/>
                <w:kern w:val="0"/>
                <w:szCs w:val="21"/>
              </w:rPr>
              <w:t>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highlight w:val="yellow"/>
              </w:rPr>
            </w:pPr>
            <w:r>
              <w:rPr>
                <w:rFonts w:hint="eastAsia" w:ascii="宋体" w:hAnsi="宋体" w:eastAsia="宋体"/>
                <w:kern w:val="0"/>
                <w:szCs w:val="21"/>
                <w:highlight w:val="yellow"/>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highlight w:val="yellow"/>
              </w:rPr>
            </w:pPr>
            <w:r>
              <w:rPr>
                <w:rFonts w:hint="eastAsia" w:ascii="宋体" w:hAnsi="宋体" w:eastAsia="宋体"/>
                <w:kern w:val="0"/>
                <w:szCs w:val="21"/>
                <w:highlight w:val="yellow"/>
              </w:rPr>
              <w:t>踏勘联系人：</w:t>
            </w:r>
            <w:r>
              <w:rPr>
                <w:rFonts w:hint="eastAsia" w:ascii="宋体" w:hAnsi="宋体" w:eastAsia="宋体"/>
                <w:kern w:val="0"/>
                <w:szCs w:val="21"/>
                <w:highlight w:val="yellow"/>
                <w:lang w:eastAsia="zh-CN"/>
              </w:rPr>
              <w:t>李工</w:t>
            </w:r>
          </w:p>
          <w:p>
            <w:pPr>
              <w:pStyle w:val="24"/>
              <w:tabs>
                <w:tab w:val="left" w:pos="541"/>
              </w:tabs>
              <w:snapToGrid w:val="0"/>
              <w:ind w:left="805" w:firstLine="0" w:firstLineChars="0"/>
              <w:rPr>
                <w:rFonts w:hint="eastAsia" w:ascii="宋体" w:hAnsi="宋体" w:eastAsia="宋体"/>
                <w:kern w:val="0"/>
                <w:szCs w:val="21"/>
                <w:highlight w:val="yellow"/>
                <w:lang w:val="en-US" w:eastAsia="zh-CN"/>
              </w:rPr>
            </w:pPr>
            <w:r>
              <w:rPr>
                <w:rFonts w:hint="eastAsia" w:ascii="宋体" w:hAnsi="宋体" w:eastAsia="宋体"/>
                <w:kern w:val="0"/>
                <w:szCs w:val="21"/>
                <w:highlight w:val="yellow"/>
              </w:rPr>
              <w:t>电话：0755-8284</w:t>
            </w:r>
            <w:r>
              <w:rPr>
                <w:rFonts w:hint="eastAsia" w:ascii="宋体" w:hAnsi="宋体" w:eastAsia="宋体"/>
                <w:kern w:val="0"/>
                <w:szCs w:val="21"/>
                <w:highlight w:val="yellow"/>
                <w:lang w:val="en-US" w:eastAsia="zh-CN"/>
              </w:rPr>
              <w:t>8983</w:t>
            </w:r>
            <w:r>
              <w:rPr>
                <w:rFonts w:hint="eastAsia" w:ascii="宋体" w:hAnsi="宋体" w:eastAsia="宋体"/>
                <w:kern w:val="0"/>
                <w:szCs w:val="21"/>
                <w:highlight w:val="yellow"/>
              </w:rPr>
              <w:t>，手机：</w:t>
            </w:r>
            <w:r>
              <w:rPr>
                <w:rFonts w:hint="eastAsia" w:ascii="宋体" w:hAnsi="宋体" w:eastAsia="宋体"/>
                <w:kern w:val="0"/>
                <w:szCs w:val="21"/>
                <w:highlight w:val="yellow"/>
                <w:lang w:val="en-US" w:eastAsia="zh-CN"/>
              </w:rPr>
              <w:t>13620983121</w:t>
            </w:r>
          </w:p>
          <w:p>
            <w:pPr>
              <w:pStyle w:val="24"/>
              <w:tabs>
                <w:tab w:val="left" w:pos="541"/>
              </w:tabs>
              <w:snapToGrid w:val="0"/>
              <w:ind w:left="805" w:firstLine="0" w:firstLineChars="0"/>
              <w:rPr>
                <w:rFonts w:hint="eastAsia" w:ascii="宋体" w:hAnsi="宋体" w:eastAsia="宋体"/>
                <w:kern w:val="0"/>
                <w:szCs w:val="21"/>
                <w:highlight w:val="yellow"/>
              </w:rPr>
            </w:pPr>
            <w:r>
              <w:rPr>
                <w:rFonts w:hint="eastAsia" w:ascii="宋体" w:hAnsi="宋体" w:eastAsia="宋体"/>
                <w:kern w:val="0"/>
                <w:szCs w:val="21"/>
                <w:highlight w:val="yellow"/>
              </w:rPr>
              <w:t>集合地点：深圳会展中心9号馆5号门9103-A</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5880"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816"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5880"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81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5880"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816"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5880" w:type="dxa"/>
            <w:vAlign w:val="center"/>
          </w:tcPr>
          <w:p>
            <w:pPr>
              <w:autoSpaceDE w:val="0"/>
              <w:autoSpaceDN w:val="0"/>
              <w:adjustRightInd w:val="0"/>
              <w:snapToGrid w:val="0"/>
              <w:rPr>
                <w:rFonts w:ascii="宋体" w:hAnsi="宋体" w:cs="Segoe UI Symbol"/>
                <w:color w:val="FF0000"/>
                <w:kern w:val="0"/>
                <w:szCs w:val="21"/>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tc>
      </w:tr>
    </w:tbl>
    <w:p>
      <w:pPr>
        <w:numPr>
          <w:ilvl w:val="0"/>
          <w:numId w:val="9"/>
        </w:numPr>
        <w:spacing w:line="560" w:lineRule="exact"/>
        <w:ind w:left="0" w:leftChars="0" w:firstLine="0" w:firstLineChars="0"/>
        <w:outlineLvl w:val="1"/>
        <w:rPr>
          <w:rFonts w:ascii="宋体" w:hAnsi="宋体"/>
          <w:b/>
          <w:szCs w:val="21"/>
        </w:rPr>
      </w:pPr>
      <w:bookmarkStart w:id="7" w:name="_Toc82684706"/>
      <w:bookmarkEnd w:id="7"/>
      <w:bookmarkStart w:id="8" w:name="_Toc82684590"/>
      <w:bookmarkEnd w:id="8"/>
      <w:bookmarkStart w:id="9" w:name="_Toc82684589"/>
      <w:bookmarkEnd w:id="9"/>
      <w:bookmarkStart w:id="10" w:name="_Toc82591925"/>
      <w:bookmarkEnd w:id="10"/>
      <w:bookmarkStart w:id="11" w:name="_Toc82685542"/>
      <w:bookmarkEnd w:id="11"/>
      <w:bookmarkStart w:id="12" w:name="_Toc82591926"/>
      <w:bookmarkEnd w:id="12"/>
      <w:bookmarkStart w:id="13" w:name="_Toc82685543"/>
      <w:bookmarkEnd w:id="13"/>
      <w:bookmarkStart w:id="14" w:name="_Toc82591927"/>
      <w:bookmarkEnd w:id="14"/>
      <w:bookmarkStart w:id="15" w:name="_Toc82684591"/>
      <w:bookmarkEnd w:id="15"/>
      <w:bookmarkStart w:id="16" w:name="_Toc82684704"/>
      <w:bookmarkEnd w:id="16"/>
      <w:bookmarkStart w:id="17" w:name="_Toc82684588"/>
      <w:bookmarkEnd w:id="17"/>
      <w:bookmarkStart w:id="18" w:name="_Toc82685541"/>
      <w:bookmarkEnd w:id="18"/>
      <w:bookmarkStart w:id="19" w:name="_Toc82684705"/>
      <w:bookmarkEnd w:id="19"/>
      <w:bookmarkStart w:id="20" w:name="_Toc82684703"/>
      <w:bookmarkEnd w:id="20"/>
      <w:bookmarkStart w:id="21" w:name="_Toc82591928"/>
      <w:bookmarkEnd w:id="21"/>
      <w:bookmarkStart w:id="22" w:name="_Toc82685540"/>
      <w:bookmarkEnd w:id="22"/>
      <w:bookmarkStart w:id="23" w:name="_Toc13291"/>
      <w:r>
        <w:rPr>
          <w:rFonts w:hint="eastAsia" w:ascii="宋体" w:hAnsi="宋体"/>
          <w:b/>
          <w:szCs w:val="21"/>
        </w:rPr>
        <w:t>特别说明</w:t>
      </w:r>
      <w:bookmarkEnd w:id="23"/>
    </w:p>
    <w:p>
      <w:pPr>
        <w:pStyle w:val="24"/>
        <w:numPr>
          <w:ilvl w:val="0"/>
          <w:numId w:val="10"/>
        </w:numPr>
        <w:spacing w:after="48" w:afterLines="15" w:afterAutospacing="0"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10"/>
        </w:numPr>
        <w:spacing w:beforeAutospacing="0"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p>
      <w:pPr>
        <w:numPr>
          <w:ilvl w:val="0"/>
          <w:numId w:val="0"/>
        </w:numPr>
        <w:spacing w:before="156" w:beforeLines="50" w:line="360" w:lineRule="auto"/>
        <w:outlineLvl w:val="1"/>
        <w:rPr>
          <w:rFonts w:hint="eastAsia" w:ascii="宋体" w:hAnsi="宋体"/>
          <w:b/>
          <w:szCs w:val="21"/>
          <w:lang w:eastAsia="zh-CN"/>
        </w:rPr>
      </w:pPr>
      <w:bookmarkStart w:id="27" w:name="_Toc18520"/>
      <w:r>
        <w:rPr>
          <w:rFonts w:hint="eastAsia" w:ascii="宋体" w:hAnsi="宋体"/>
          <w:b/>
          <w:szCs w:val="21"/>
          <w:lang w:eastAsia="zh-CN"/>
        </w:rPr>
        <w:t>三、投标文件编制</w:t>
      </w:r>
      <w:bookmarkEnd w:id="27"/>
      <w:bookmarkStart w:id="28" w:name="老年人"/>
      <w:bookmarkEnd w:id="28"/>
      <w:bookmarkStart w:id="29" w:name="珠"/>
      <w:bookmarkEnd w:id="29"/>
      <w:bookmarkStart w:id="30" w:name="无语胡泰诺健"/>
      <w:bookmarkEnd w:id="30"/>
    </w:p>
    <w:tbl>
      <w:tblPr>
        <w:tblStyle w:val="16"/>
        <w:tblpPr w:leftFromText="180" w:rightFromText="180" w:vertAnchor="text" w:horzAnchor="page" w:tblpX="1667" w:tblpY="416"/>
        <w:tblOverlap w:val="neve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jc w:val="center"/>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jc w:val="center"/>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jc w:val="center"/>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jc w:val="center"/>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41" w:hRule="atLeast"/>
          <w:jc w:val="center"/>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729" w:hRule="atLeast"/>
          <w:jc w:val="center"/>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94" w:hRule="atLeast"/>
          <w:jc w:val="center"/>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24"/>
        <w:numPr>
          <w:ilvl w:val="-1"/>
          <w:numId w:val="0"/>
        </w:numPr>
        <w:spacing w:line="360" w:lineRule="auto"/>
        <w:ind w:left="420" w:firstLine="0" w:firstLineChars="0"/>
        <w:rPr>
          <w:rFonts w:ascii="宋体" w:hAnsi="宋体" w:eastAsia="宋体" w:cs="宋体"/>
          <w:szCs w:val="21"/>
        </w:rPr>
      </w:pPr>
    </w:p>
    <w:bookmarkEnd w:id="24"/>
    <w:bookmarkEnd w:id="25"/>
    <w:bookmarkEnd w:id="26"/>
    <w:p>
      <w:pPr>
        <w:numPr>
          <w:ilvl w:val="0"/>
          <w:numId w:val="11"/>
        </w:numPr>
        <w:spacing w:after="157" w:afterLines="50" w:line="560" w:lineRule="exact"/>
        <w:ind w:left="0" w:leftChars="0" w:firstLine="0" w:firstLineChars="0"/>
        <w:outlineLvl w:val="1"/>
        <w:rPr>
          <w:rFonts w:ascii="宋体" w:hAnsi="宋体"/>
          <w:b/>
          <w:szCs w:val="21"/>
        </w:rPr>
      </w:pPr>
      <w:bookmarkStart w:id="31" w:name="_Toc82684708"/>
      <w:bookmarkEnd w:id="31"/>
      <w:bookmarkStart w:id="32" w:name="_Toc82591985"/>
      <w:bookmarkEnd w:id="32"/>
      <w:bookmarkStart w:id="33" w:name="_Toc82591930"/>
      <w:bookmarkEnd w:id="33"/>
      <w:bookmarkStart w:id="34" w:name="_Toc82685545"/>
      <w:bookmarkEnd w:id="34"/>
      <w:bookmarkStart w:id="35" w:name="_Toc82591987"/>
      <w:bookmarkEnd w:id="35"/>
      <w:bookmarkStart w:id="36" w:name="_Toc82591989"/>
      <w:bookmarkEnd w:id="36"/>
      <w:bookmarkStart w:id="37" w:name="_Toc82591986"/>
      <w:bookmarkEnd w:id="37"/>
      <w:bookmarkStart w:id="38" w:name="_Toc82684593"/>
      <w:bookmarkEnd w:id="38"/>
      <w:bookmarkStart w:id="39" w:name="_Toc82591988"/>
      <w:bookmarkEnd w:id="39"/>
      <w:bookmarkStart w:id="40" w:name="_Toc11041"/>
      <w:r>
        <w:rPr>
          <w:rFonts w:hint="eastAsia" w:ascii="宋体" w:hAnsi="宋体"/>
          <w:b/>
          <w:szCs w:val="21"/>
          <w:lang w:eastAsia="zh-CN"/>
        </w:rPr>
        <w:t>项目要求</w:t>
      </w:r>
      <w:bookmarkEnd w:id="40"/>
    </w:p>
    <w:tbl>
      <w:tblPr>
        <w:tblStyle w:val="1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60"/>
        <w:gridCol w:w="62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259"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6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320" w:lineRule="exact"/>
              <w:ind w:left="0" w:leftChars="0" w:firstLine="0" w:firstLineChars="0"/>
              <w:textAlignment w:val="auto"/>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320" w:lineRule="exact"/>
              <w:ind w:left="1" w:leftChars="0" w:firstLine="0" w:firstLineChars="0"/>
              <w:textAlignment w:val="auto"/>
              <w:rPr>
                <w:highlight w:val="none"/>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w:t>
            </w:r>
            <w:r>
              <w:rPr>
                <w:rFonts w:hint="eastAsia"/>
                <w:highlight w:val="none"/>
              </w:rPr>
              <w:t>备查）。</w:t>
            </w:r>
          </w:p>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320" w:lineRule="exact"/>
              <w:ind w:left="0" w:leftChars="0" w:firstLine="0" w:firstLineChars="0"/>
              <w:textAlignment w:val="auto"/>
              <w:rPr>
                <w:color w:val="auto"/>
                <w:highlight w:val="none"/>
              </w:rPr>
            </w:pPr>
            <w:r>
              <w:rPr>
                <w:rFonts w:hint="eastAsia" w:ascii="宋体" w:hAnsi="宋体" w:cs="宋体"/>
                <w:color w:val="auto"/>
                <w:highlight w:val="none"/>
                <w:lang w:val="en-US" w:eastAsia="zh-CN"/>
              </w:rPr>
              <w:t>投标人须</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月1日至</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公告发布</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止</w:t>
            </w:r>
            <w:r>
              <w:rPr>
                <w:rFonts w:hint="eastAsia" w:ascii="宋体" w:hAnsi="宋体" w:cs="宋体"/>
                <w:color w:val="auto"/>
                <w:sz w:val="21"/>
                <w:szCs w:val="21"/>
                <w:highlight w:val="none"/>
                <w:lang w:val="en-US" w:eastAsia="zh-CN"/>
              </w:rPr>
              <w:t>至少1份金额20万元以上的消杀（或含消杀服务内容）</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提供合同</w:t>
            </w:r>
            <w:r>
              <w:rPr>
                <w:rFonts w:hint="eastAsia" w:ascii="宋体" w:hAnsi="宋体" w:eastAsia="宋体" w:cs="宋体"/>
                <w:color w:val="auto"/>
                <w:sz w:val="21"/>
                <w:szCs w:val="21"/>
                <w:highlight w:val="none"/>
              </w:rPr>
              <w:t>关键页复印件并加盖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公章（合同关键页包含但不限于项目名称、业主方名称、合同主要内容、签订时间、履约地点、甲乙双方盖章等信息）。</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rFonts w:ascii="宋体" w:hAnsi="宋体" w:cs="宋体"/>
                <w:color w:val="FF0000"/>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本项目不接受联合体投标，严禁转包或非法分包。</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color w:val="FF0000"/>
                <w:highlight w:val="yellow"/>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rPr>
              <w:t>报价以人民币</w:t>
            </w:r>
            <w:r>
              <w:rPr>
                <w:rFonts w:hint="eastAsia" w:ascii="宋体" w:hAnsi="宋体" w:cs="仿宋_GB2312"/>
                <w:color w:val="auto"/>
                <w:szCs w:val="21"/>
                <w:highlight w:val="none"/>
              </w:rPr>
              <w:t>为结算币种，《投标一览表》</w:t>
            </w:r>
            <w:r>
              <w:rPr>
                <w:rFonts w:hint="eastAsia" w:ascii="宋体" w:hAnsi="宋体"/>
                <w:color w:val="auto"/>
                <w:szCs w:val="21"/>
                <w:highlight w:val="none"/>
              </w:rPr>
              <w:t>应包含税率、税额、</w:t>
            </w:r>
            <w:r>
              <w:rPr>
                <w:rFonts w:hint="eastAsia" w:ascii="宋体" w:hAnsi="宋体"/>
                <w:color w:val="auto"/>
                <w:szCs w:val="21"/>
                <w:highlight w:val="none"/>
                <w:lang w:val="en-US" w:eastAsia="zh-CN"/>
              </w:rPr>
              <w:t>未</w:t>
            </w:r>
            <w:r>
              <w:rPr>
                <w:rFonts w:hint="eastAsia" w:ascii="宋体" w:hAnsi="宋体"/>
                <w:color w:val="auto"/>
                <w:szCs w:val="21"/>
                <w:highlight w:val="none"/>
              </w:rPr>
              <w:t>税及税后总金额。</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color w:val="FF0000"/>
                <w:highlight w:val="yellow"/>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rPr>
              <w:t>投标报价不得出现可选择性的报价,含有备选方案的报价将导致废标。</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color w:val="FF0000"/>
                <w:highlight w:val="yellow"/>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投标报价</w:t>
            </w:r>
            <w:r>
              <w:rPr>
                <w:rFonts w:hint="eastAsia" w:ascii="宋体" w:hAnsi="宋体" w:eastAsia="宋体" w:cs="仿宋_GB2312"/>
                <w:szCs w:val="21"/>
              </w:rPr>
              <w:t>包含</w:t>
            </w:r>
            <w:r>
              <w:rPr>
                <w:rFonts w:hint="eastAsia" w:ascii="宋体" w:hAnsi="宋体" w:eastAsia="宋体" w:cs="仿宋_GB2312"/>
                <w:szCs w:val="21"/>
                <w:lang w:eastAsia="zh-CN"/>
              </w:rPr>
              <w:t>设备</w:t>
            </w:r>
            <w:r>
              <w:rPr>
                <w:rFonts w:hint="eastAsia" w:ascii="宋体" w:hAnsi="宋体" w:eastAsia="宋体" w:cs="宋体"/>
                <w:color w:val="000000" w:themeColor="text1"/>
                <w:sz w:val="21"/>
                <w:szCs w:val="21"/>
                <w:lang w:eastAsia="zh-CN"/>
                <w14:textFill>
                  <w14:solidFill>
                    <w14:schemeClr w14:val="tx1"/>
                  </w14:solidFill>
                </w14:textFill>
              </w:rPr>
              <w:t>设施</w:t>
            </w:r>
            <w:r>
              <w:rPr>
                <w:rFonts w:hint="eastAsia" w:ascii="宋体" w:hAnsi="宋体" w:eastAsia="宋体" w:cs="宋体"/>
                <w:color w:val="000000" w:themeColor="text1"/>
                <w:sz w:val="21"/>
                <w:szCs w:val="21"/>
                <w14:textFill>
                  <w14:solidFill>
                    <w14:schemeClr w14:val="tx1"/>
                  </w14:solidFill>
                </w14:textFill>
              </w:rPr>
              <w:t>费、人工费、</w:t>
            </w:r>
            <w:r>
              <w:rPr>
                <w:rFonts w:hint="eastAsia" w:ascii="宋体" w:hAnsi="宋体" w:eastAsia="宋体" w:cs="宋体"/>
                <w:color w:val="000000" w:themeColor="text1"/>
                <w:sz w:val="21"/>
                <w:szCs w:val="21"/>
                <w:lang w:eastAsia="zh-CN"/>
                <w14:textFill>
                  <w14:solidFill>
                    <w14:schemeClr w14:val="tx1"/>
                  </w14:solidFill>
                </w14:textFill>
              </w:rPr>
              <w:t>材</w:t>
            </w:r>
            <w:r>
              <w:rPr>
                <w:rFonts w:hint="eastAsia" w:ascii="宋体" w:hAnsi="宋体" w:cs="宋体"/>
                <w:lang w:eastAsia="zh-CN"/>
              </w:rPr>
              <w:t>料费、</w:t>
            </w:r>
            <w:r>
              <w:rPr>
                <w:rFonts w:hint="eastAsia" w:ascii="宋体" w:hAnsi="宋体" w:eastAsia="宋体" w:cs="宋体"/>
              </w:rPr>
              <w:t>交通费、增值税等</w:t>
            </w:r>
            <w:r>
              <w:rPr>
                <w:rFonts w:hint="eastAsia" w:ascii="宋体" w:hAnsi="宋体" w:eastAsia="宋体" w:cs="宋体"/>
                <w:lang w:val="en-US" w:eastAsia="zh-CN"/>
              </w:rPr>
              <w:t>完成本项目服务的一切</w:t>
            </w:r>
            <w:r>
              <w:rPr>
                <w:rFonts w:hint="eastAsia" w:ascii="宋体" w:hAnsi="宋体" w:eastAsia="宋体" w:cs="宋体"/>
              </w:rPr>
              <w:t>费用。</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259"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本项目控制金额为人民币</w:t>
            </w:r>
            <w:r>
              <w:rPr>
                <w:rFonts w:hint="eastAsia" w:ascii="宋体" w:hAnsi="宋体"/>
                <w:color w:val="auto"/>
                <w:szCs w:val="21"/>
                <w:highlight w:val="yellow"/>
                <w:lang w:val="en-US" w:eastAsia="zh-CN"/>
              </w:rPr>
              <w:t>60</w:t>
            </w:r>
            <w:r>
              <w:rPr>
                <w:rFonts w:ascii="宋体" w:hAnsi="宋体" w:cs="宋体"/>
                <w:color w:val="auto"/>
                <w:szCs w:val="21"/>
                <w:highlight w:val="yellow"/>
              </w:rPr>
              <w:t>万元</w:t>
            </w:r>
            <w:r>
              <w:rPr>
                <w:rFonts w:ascii="宋体" w:hAnsi="宋体" w:cs="宋体"/>
                <w:color w:val="auto"/>
                <w:szCs w:val="21"/>
                <w:highlight w:val="none"/>
              </w:rPr>
              <w:t>（含税）</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每年不超过</w:t>
            </w:r>
            <w:r>
              <w:rPr>
                <w:rFonts w:hint="eastAsia" w:ascii="宋体" w:hAnsi="宋体" w:eastAsia="宋体" w:cs="宋体"/>
                <w:color w:val="auto"/>
                <w:sz w:val="21"/>
                <w:szCs w:val="21"/>
                <w:highlight w:val="yellow"/>
                <w:lang w:val="en-US" w:eastAsia="zh-CN"/>
              </w:rPr>
              <w:t>20</w:t>
            </w:r>
            <w:r>
              <w:rPr>
                <w:rFonts w:hint="eastAsia" w:ascii="宋体" w:hAnsi="宋体" w:eastAsia="宋体" w:cs="宋体"/>
                <w:color w:val="auto"/>
                <w:sz w:val="21"/>
                <w:szCs w:val="21"/>
                <w:highlight w:val="yellow"/>
              </w:rPr>
              <w:t>万</w:t>
            </w:r>
            <w:r>
              <w:rPr>
                <w:rFonts w:hint="eastAsia" w:ascii="宋体" w:hAnsi="宋体" w:eastAsia="宋体" w:cs="宋体"/>
                <w:color w:val="auto"/>
                <w:sz w:val="21"/>
                <w:szCs w:val="21"/>
                <w:highlight w:val="none"/>
              </w:rPr>
              <w:t>元(含税)</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报价超过上述控制金额的投标文件作废标处理。</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val="0"/>
              <w:spacing w:line="320" w:lineRule="exact"/>
              <w:ind w:leftChars="0"/>
              <w:textAlignment w:val="auto"/>
              <w:rPr>
                <w:rFonts w:hint="eastAsia" w:ascii="宋体" w:hAnsi="宋体" w:eastAsia="宋体" w:cs="仿宋_GB2312"/>
                <w:sz w:val="21"/>
                <w:szCs w:val="21"/>
              </w:rPr>
            </w:pPr>
            <w:r>
              <w:rPr>
                <w:rFonts w:hint="eastAsia" w:ascii="宋体" w:hAnsi="宋体" w:cs="仿宋_GB2312"/>
                <w:sz w:val="21"/>
                <w:szCs w:val="21"/>
                <w:lang w:val="en-US" w:eastAsia="zh-CN"/>
              </w:rPr>
              <w:t>服务款项每三个月支付一次，</w:t>
            </w:r>
            <w:r>
              <w:rPr>
                <w:rFonts w:hint="eastAsia" w:ascii="宋体" w:hAnsi="宋体" w:eastAsia="宋体" w:cs="仿宋_GB2312"/>
                <w:sz w:val="21"/>
                <w:szCs w:val="21"/>
              </w:rPr>
              <w:t>申请款项支付时</w:t>
            </w:r>
            <w:r>
              <w:rPr>
                <w:rFonts w:hint="eastAsia" w:ascii="宋体" w:hAnsi="宋体" w:cs="仿宋_GB2312"/>
                <w:sz w:val="21"/>
                <w:szCs w:val="21"/>
                <w:lang w:val="en-US" w:eastAsia="zh-CN"/>
              </w:rPr>
              <w:t>,</w:t>
            </w:r>
            <w:r>
              <w:rPr>
                <w:rFonts w:hint="eastAsia" w:ascii="宋体" w:hAnsi="宋体" w:eastAsia="宋体" w:cs="仿宋_GB2312"/>
                <w:sz w:val="21"/>
                <w:szCs w:val="21"/>
              </w:rPr>
              <w:t>需提</w:t>
            </w:r>
            <w:r>
              <w:rPr>
                <w:rFonts w:hint="eastAsia" w:ascii="宋体" w:hAnsi="宋体" w:cs="仿宋_GB2312"/>
                <w:sz w:val="21"/>
                <w:szCs w:val="21"/>
                <w:lang w:eastAsia="zh-CN"/>
              </w:rPr>
              <w:t>交招标</w:t>
            </w:r>
            <w:r>
              <w:rPr>
                <w:rFonts w:hint="eastAsia" w:ascii="宋体" w:hAnsi="宋体" w:eastAsia="宋体" w:cs="仿宋_GB2312"/>
                <w:sz w:val="21"/>
                <w:szCs w:val="21"/>
              </w:rPr>
              <w:t>人确认的消杀登记表。</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rFonts w:hint="eastAsia" w:ascii="宋体" w:hAnsi="宋体" w:eastAsia="宋体" w:cs="仿宋_GB2312"/>
                <w:szCs w:val="21"/>
              </w:rPr>
            </w:pPr>
            <w:r>
              <w:rPr>
                <w:rFonts w:hint="eastAsia" w:ascii="宋体" w:hAnsi="宋体" w:cs="仿宋_GB2312"/>
                <w:sz w:val="21"/>
                <w:szCs w:val="21"/>
                <w:lang w:eastAsia="zh-CN"/>
              </w:rPr>
              <w:t>（</w:t>
            </w:r>
            <w:r>
              <w:rPr>
                <w:rFonts w:hint="eastAsia" w:ascii="宋体" w:hAnsi="宋体" w:cs="仿宋_GB2312"/>
                <w:sz w:val="21"/>
                <w:szCs w:val="21"/>
                <w:lang w:val="en-US" w:eastAsia="zh-CN"/>
              </w:rPr>
              <w:t>3</w:t>
            </w:r>
            <w:r>
              <w:rPr>
                <w:rFonts w:hint="eastAsia" w:ascii="宋体" w:hAnsi="宋体" w:cs="仿宋_GB2312"/>
                <w:sz w:val="21"/>
                <w:szCs w:val="21"/>
                <w:lang w:eastAsia="zh-CN"/>
              </w:rPr>
              <w:t>）</w:t>
            </w:r>
            <w:r>
              <w:rPr>
                <w:rFonts w:hint="eastAsia" w:ascii="宋体" w:hAnsi="宋体" w:cs="仿宋_GB2312"/>
                <w:sz w:val="21"/>
                <w:szCs w:val="21"/>
                <w:lang w:val="en-US" w:eastAsia="zh-CN"/>
              </w:rPr>
              <w:t>招标人</w:t>
            </w:r>
            <w:r>
              <w:rPr>
                <w:rFonts w:hint="eastAsia" w:ascii="宋体" w:hAnsi="宋体" w:eastAsia="宋体" w:cs="仿宋_GB2312"/>
                <w:sz w:val="21"/>
                <w:szCs w:val="21"/>
              </w:rPr>
              <w:t>办理合同款项支付前，</w:t>
            </w:r>
            <w:r>
              <w:rPr>
                <w:rFonts w:hint="eastAsia" w:ascii="宋体" w:hAnsi="宋体" w:cs="仿宋_GB2312"/>
                <w:sz w:val="21"/>
                <w:szCs w:val="21"/>
                <w:lang w:val="en-US" w:eastAsia="zh-CN"/>
              </w:rPr>
              <w:t>投标人</w:t>
            </w:r>
            <w:r>
              <w:rPr>
                <w:rFonts w:hint="eastAsia" w:ascii="宋体" w:hAnsi="宋体" w:eastAsia="宋体" w:cs="仿宋_GB2312"/>
                <w:sz w:val="21"/>
                <w:szCs w:val="21"/>
              </w:rPr>
              <w:t>需</w:t>
            </w:r>
            <w:r>
              <w:rPr>
                <w:rFonts w:hint="eastAsia" w:ascii="宋体" w:hAnsi="宋体" w:eastAsia="宋体" w:cs="仿宋_GB2312"/>
                <w:sz w:val="21"/>
                <w:szCs w:val="21"/>
                <w:lang w:val="en-US" w:eastAsia="zh-CN"/>
              </w:rPr>
              <w:t>先向</w:t>
            </w:r>
            <w:r>
              <w:rPr>
                <w:rFonts w:hint="eastAsia" w:ascii="宋体" w:hAnsi="宋体" w:cs="仿宋_GB2312"/>
                <w:sz w:val="21"/>
                <w:szCs w:val="21"/>
                <w:lang w:val="en-US" w:eastAsia="zh-CN"/>
              </w:rPr>
              <w:t>招标人</w:t>
            </w:r>
            <w:r>
              <w:rPr>
                <w:rFonts w:hint="eastAsia" w:ascii="宋体" w:hAnsi="宋体" w:eastAsia="宋体" w:cs="仿宋_GB2312"/>
                <w:sz w:val="21"/>
                <w:szCs w:val="21"/>
              </w:rPr>
              <w:t>提供全额</w:t>
            </w:r>
            <w:r>
              <w:rPr>
                <w:rFonts w:hint="eastAsia" w:ascii="宋体" w:hAnsi="宋体" w:eastAsia="宋体" w:cs="仿宋_GB2312"/>
                <w:sz w:val="21"/>
                <w:szCs w:val="21"/>
                <w:lang w:eastAsia="zh-CN"/>
              </w:rPr>
              <w:t>（</w:t>
            </w:r>
            <w:r>
              <w:rPr>
                <w:rFonts w:hint="eastAsia" w:ascii="宋体" w:hAnsi="宋体" w:eastAsia="宋体" w:cs="仿宋_GB2312"/>
                <w:sz w:val="21"/>
                <w:szCs w:val="21"/>
                <w:lang w:val="en-US" w:eastAsia="zh-CN"/>
              </w:rPr>
              <w:t>等额</w:t>
            </w:r>
            <w:r>
              <w:rPr>
                <w:rFonts w:hint="eastAsia" w:ascii="宋体" w:hAnsi="宋体" w:eastAsia="宋体" w:cs="仿宋_GB2312"/>
                <w:sz w:val="21"/>
                <w:szCs w:val="21"/>
                <w:lang w:eastAsia="zh-CN"/>
              </w:rPr>
              <w:t>）</w:t>
            </w:r>
            <w:r>
              <w:rPr>
                <w:rFonts w:hint="eastAsia" w:ascii="宋体" w:hAnsi="宋体" w:eastAsia="宋体" w:cs="仿宋_GB2312"/>
                <w:sz w:val="21"/>
                <w:szCs w:val="21"/>
              </w:rPr>
              <w:t>真实</w:t>
            </w:r>
            <w:r>
              <w:rPr>
                <w:rFonts w:hint="eastAsia" w:ascii="宋体" w:hAnsi="宋体" w:eastAsia="宋体" w:cs="仿宋_GB2312"/>
                <w:sz w:val="21"/>
                <w:szCs w:val="21"/>
                <w:lang w:eastAsia="zh-CN"/>
              </w:rPr>
              <w:t>、</w:t>
            </w:r>
            <w:r>
              <w:rPr>
                <w:rFonts w:hint="eastAsia" w:ascii="宋体" w:hAnsi="宋体" w:eastAsia="宋体" w:cs="仿宋_GB2312"/>
                <w:sz w:val="21"/>
                <w:szCs w:val="21"/>
              </w:rPr>
              <w:t>合法有效的增值税专用发票。</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20" w:lineRule="exact"/>
              <w:ind w:leftChars="0"/>
              <w:textAlignment w:val="auto"/>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eastAsia="宋体" w:cs="仿宋_GB2312"/>
                <w:szCs w:val="21"/>
                <w:lang w:val="en-US" w:eastAsia="zh-CN"/>
              </w:rPr>
              <w:t>详细付款事宜以最终合同条款为准。</w:t>
            </w:r>
          </w:p>
        </w:tc>
        <w:tc>
          <w:tcPr>
            <w:tcW w:w="76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eastAsia="宋体" w:cs="宋体"/>
                <w:kern w:val="2"/>
                <w:sz w:val="21"/>
                <w:szCs w:val="21"/>
                <w:lang w:val="en-US" w:eastAsia="zh-CN" w:bidi="ar-SA"/>
              </w:rPr>
              <w:t>服务期</w:t>
            </w:r>
          </w:p>
        </w:tc>
        <w:tc>
          <w:tcPr>
            <w:tcW w:w="625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ascii="宋体" w:eastAsia="宋体" w:cs="宋体"/>
                <w:color w:val="FF0000"/>
                <w:highlight w:val="yellow"/>
              </w:rPr>
            </w:pPr>
            <w:r>
              <w:rPr>
                <w:rFonts w:hint="eastAsia" w:ascii="宋体" w:hAnsi="宋体" w:eastAsia="宋体" w:cs="宋体"/>
                <w:kern w:val="2"/>
                <w:sz w:val="21"/>
                <w:szCs w:val="21"/>
                <w:lang w:val="en-US" w:eastAsia="zh-CN" w:bidi="ar-SA"/>
              </w:rPr>
              <w:t>合同服务期限：3年（合同采用1+1+1模式），每年度服务期满前两个月，投标人应主动向招标人申请对其当年度服务情况进行履约评价，招标人将根据合同要求对投标人本年度</w:t>
            </w:r>
            <w:r>
              <w:rPr>
                <w:rFonts w:hint="eastAsia" w:ascii="宋体" w:hAnsi="宋体" w:cs="宋体"/>
                <w:kern w:val="2"/>
                <w:sz w:val="21"/>
                <w:szCs w:val="21"/>
                <w:lang w:val="en-US" w:eastAsia="zh-CN" w:bidi="ar-SA"/>
              </w:rPr>
              <w:t>消杀</w:t>
            </w:r>
            <w:r>
              <w:rPr>
                <w:rFonts w:hint="eastAsia" w:ascii="宋体" w:hAnsi="宋体" w:eastAsia="宋体" w:cs="宋体"/>
                <w:kern w:val="2"/>
                <w:sz w:val="21"/>
                <w:szCs w:val="21"/>
                <w:lang w:val="en-US" w:eastAsia="zh-CN" w:bidi="ar-SA"/>
              </w:rPr>
              <w:t>服务质量、服务承诺等工作进行全面考核评审，如考核评审达标（综合评分≥80分），则继续执行下一年度合同，如不达标则终止服务合同。如投标人未按时主动向招标人申请对其当年度服务情况进行履约评价的，招标人有权直接终止合同。具体考核评审办法详见：《深圳会展中心除虫灭鼠服务考核评分表》。</w:t>
            </w:r>
          </w:p>
        </w:tc>
        <w:tc>
          <w:tcPr>
            <w:tcW w:w="76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259"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color w:val="FF0000"/>
                <w:szCs w:val="21"/>
              </w:rPr>
            </w:pPr>
            <w:r>
              <w:rPr>
                <w:rFonts w:hint="eastAsia" w:ascii="宋体" w:hAnsi="宋体" w:cs="宋体"/>
                <w:sz w:val="21"/>
                <w:szCs w:val="21"/>
                <w:lang w:eastAsia="zh-CN"/>
              </w:rPr>
              <w:t>服务范围</w:t>
            </w:r>
          </w:p>
        </w:tc>
        <w:tc>
          <w:tcPr>
            <w:tcW w:w="62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深圳会展中心红线范围内所有地方（不含</w:t>
            </w:r>
            <w:r>
              <w:rPr>
                <w:rFonts w:hint="eastAsia" w:ascii="宋体" w:hAnsi="宋体" w:cs="宋体"/>
                <w:kern w:val="0"/>
                <w:sz w:val="21"/>
                <w:szCs w:val="21"/>
                <w:lang w:val="en-US" w:eastAsia="zh-CN"/>
              </w:rPr>
              <w:t>5号馆厨房</w:t>
            </w:r>
            <w:r>
              <w:rPr>
                <w:rFonts w:hint="eastAsia" w:ascii="宋体" w:hAnsi="宋体" w:cs="宋体"/>
                <w:kern w:val="0"/>
                <w:sz w:val="21"/>
                <w:szCs w:val="21"/>
                <w:lang w:eastAsia="zh-CN"/>
              </w:rPr>
              <w:t>），</w:t>
            </w:r>
            <w:r>
              <w:rPr>
                <w:rFonts w:hint="eastAsia" w:ascii="宋体" w:hAnsi="宋体" w:eastAsia="宋体" w:cs="宋体"/>
                <w:kern w:val="0"/>
                <w:sz w:val="21"/>
                <w:szCs w:val="21"/>
              </w:rPr>
              <w:t>展馆总建筑面积约28万平米，其中包括</w:t>
            </w:r>
            <w:r>
              <w:rPr>
                <w:rFonts w:hint="eastAsia" w:ascii="宋体" w:hAnsi="宋体" w:cs="宋体"/>
                <w:kern w:val="0"/>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jc w:val="left"/>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展览面积（水泥空地）10.5万平方米</w:t>
            </w:r>
            <w:r>
              <w:rPr>
                <w:rFonts w:hint="eastAsia" w:ascii="宋体" w:hAnsi="宋体" w:cs="宋体"/>
                <w:kern w:val="0"/>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0" w:leftChars="0" w:firstLine="0" w:firstLineChars="0"/>
              <w:jc w:val="left"/>
              <w:textAlignment w:val="auto"/>
              <w:rPr>
                <w:rFonts w:hint="eastAsia" w:ascii="宋体" w:hAnsi="宋体" w:eastAsia="宋体"/>
                <w:color w:val="FF0000"/>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rPr>
              <w:t>办公区、会议</w:t>
            </w:r>
            <w:r>
              <w:rPr>
                <w:rFonts w:hint="eastAsia" w:ascii="宋体" w:hAnsi="宋体" w:eastAsia="宋体" w:cs="宋体"/>
                <w:kern w:val="0"/>
                <w:sz w:val="21"/>
                <w:szCs w:val="21"/>
                <w:lang w:eastAsia="zh-CN"/>
              </w:rPr>
              <w:t>室</w:t>
            </w:r>
            <w:r>
              <w:rPr>
                <w:rFonts w:hint="eastAsia" w:ascii="宋体" w:hAnsi="宋体" w:eastAsia="宋体" w:cs="宋体"/>
                <w:kern w:val="0"/>
                <w:sz w:val="21"/>
                <w:szCs w:val="21"/>
              </w:rPr>
              <w:t>、餐饮区、员工餐厅、消防和安防控制中心、配电机房、空调机房、网络机房、电信机房、仓库</w:t>
            </w:r>
            <w:r>
              <w:rPr>
                <w:rFonts w:hint="eastAsia" w:ascii="宋体" w:hAnsi="宋体" w:eastAsia="宋体" w:cs="宋体"/>
                <w:kern w:val="0"/>
                <w:sz w:val="21"/>
                <w:szCs w:val="21"/>
                <w:lang w:eastAsia="zh-CN"/>
              </w:rPr>
              <w:t>、停车场、绿化带、岗亭、垃圾房</w:t>
            </w:r>
            <w:r>
              <w:rPr>
                <w:rFonts w:hint="eastAsia" w:ascii="宋体" w:hAnsi="宋体" w:eastAsia="宋体" w:cs="宋体"/>
                <w:kern w:val="0"/>
                <w:sz w:val="21"/>
                <w:szCs w:val="21"/>
              </w:rPr>
              <w:t>等场所17.5万平方米</w:t>
            </w:r>
            <w:r>
              <w:rPr>
                <w:rFonts w:hint="eastAsia" w:ascii="宋体" w:hAnsi="宋体" w:cs="宋体"/>
                <w:kern w:val="0"/>
                <w:sz w:val="21"/>
                <w:szCs w:val="21"/>
                <w:lang w:eastAsia="zh-CN"/>
              </w:rPr>
              <w:t>。</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ind w:left="46" w:leftChars="0"/>
              <w:rPr>
                <w:rFonts w:ascii="宋体" w:hAnsi="宋体" w:cs="宋体"/>
                <w:color w:val="FF0000"/>
                <w:szCs w:val="21"/>
              </w:rPr>
            </w:pPr>
            <w:r>
              <w:rPr>
                <w:rFonts w:hint="eastAsia" w:ascii="宋体" w:hAnsi="宋体" w:eastAsia="宋体" w:cs="宋体"/>
                <w:color w:val="000000"/>
                <w:sz w:val="21"/>
                <w:szCs w:val="21"/>
                <w:highlight w:val="none"/>
                <w:lang w:eastAsia="zh-CN"/>
              </w:rPr>
              <w:t>服务</w:t>
            </w:r>
            <w:r>
              <w:rPr>
                <w:rFonts w:hint="eastAsia" w:ascii="宋体" w:hAnsi="宋体" w:eastAsia="宋体" w:cs="宋体"/>
                <w:color w:val="000000"/>
                <w:sz w:val="21"/>
                <w:szCs w:val="21"/>
                <w:highlight w:val="none"/>
              </w:rPr>
              <w:t>要求</w:t>
            </w:r>
          </w:p>
        </w:tc>
        <w:tc>
          <w:tcPr>
            <w:tcW w:w="625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根据招标人现场情况制定服务方案,包括但不限于实施细则、安全操作规程、投入设备、消杀用品、人员配备、特殊情况处理、重要展会消杀措施等内容。</w:t>
            </w:r>
          </w:p>
          <w:p>
            <w:pPr>
              <w:pStyle w:val="24"/>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根据招标人现场情况</w:t>
            </w:r>
            <w:r>
              <w:rPr>
                <w:rFonts w:hint="eastAsia" w:ascii="宋体" w:hAnsi="宋体" w:eastAsia="宋体" w:cs="宋体"/>
                <w:color w:val="auto"/>
                <w:kern w:val="2"/>
                <w:sz w:val="21"/>
                <w:szCs w:val="21"/>
                <w:highlight w:val="none"/>
                <w:lang w:val="en-US" w:eastAsia="zh-CN" w:bidi="ar-SA"/>
              </w:rPr>
              <w:t>制定应急处理预案，如登革热、鼠疫、疫情等突发时的处理方案。</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（3）本项目包工包料，投标单位自备消杀所需的所有设备及药品。</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（4）每三个月提供一次“四害”密度检测报告。</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（5）展馆红线范围内所有区域（不含5号馆厨房）每周消杀不少于1次，消杀内容主要包含但不仅限于灭鼠、蚊、苍蝇、蟑螂、蚂蚁等。</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展馆内的办公区、会议区、餐饮区、员工餐厅、五号馆等区域，实际喷洒面积约1万平方米（覆盖面积约6万平方米），使用除敌、拜耳、卫豹、特姆得、普盾等品牌药物。循环使用上述品牌药物，每月更换不同品牌药物。</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（7）展馆红线范围内除（6）中提到的展馆区域外，其余区域实际喷洒面积约4万平方米（覆盖面积约22万平方米）使用</w:t>
            </w:r>
            <w:r>
              <w:rPr>
                <w:rFonts w:ascii="宋体" w:hAnsi="宋体" w:eastAsia="宋体" w:cs="宋体"/>
                <w:sz w:val="21"/>
                <w:szCs w:val="21"/>
              </w:rPr>
              <w:t>高效氯氰菊酯、溴氰菊酯、吡虫啉、氯菊酯</w:t>
            </w:r>
            <w:r>
              <w:rPr>
                <w:rFonts w:hint="eastAsia" w:ascii="宋体" w:hAnsi="宋体" w:eastAsia="宋体" w:cs="宋体"/>
                <w:kern w:val="2"/>
                <w:sz w:val="21"/>
                <w:szCs w:val="21"/>
                <w:lang w:val="en-US" w:eastAsia="zh-CN" w:bidi="ar-SA"/>
              </w:rPr>
              <w:t>等药物。药物循环使用，每周更换不同成分药物。</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展馆负一楼至六楼区域及展馆外围绿化带、垃圾房、负二楼停车场、餐饮区、北广场6个花坛等区域隐蔽的位置放置灭鼠盒、粘鼠板，并定期检查，如有缺少需及时补充。灭鼠盒处需设置危险及防误食、误触警示标识。</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（9）全年配置安装灭蚊灯不少于60台，电蚊香不少于60套，除虫喷雾剂每月不少于30瓶，用于部分办公室及需要区域，除虫灭蚊产品需符合国家相关的安全标准，对人体无害、无辐射等。</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（10）展馆外围污水井、下水道、沙井、绿化带、垃圾房等“四害”孳生地（面积约1万平方米）采取每月一次的烟雾消杀，重要展会按照招标人的需求增加烟雾消杀次数，不额外增加费用。</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（11）消杀服务过程中，须在药物、药具及仪器设备投放现场显眼位置设置清晰的危险警示标志及说明，防止因误取、误食及误操作等不当行为引发事故。</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（12）在招标人指定区域常备常规消杀药物和工具，并按招标人的要求投入使用。</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（13）消杀服务按照市政府相关部门提出的要求和规定完成，整体效果须达到市爱卫办要求。</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（14）发生登革热、鼠疫等紧急疫情时，投标人能迅速制定应急方案，增加人力物力（不额外收取费用），并按招标人确定后的方案快速开展消杀工作。</w:t>
            </w:r>
          </w:p>
          <w:p>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（15）因爆发疫情或重大自然灾害等不可抗力因素导致会议展览停办期间，招标人和中标方应根据消杀服务实际发生情况协商消杀费用。</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pPr>
              <w:ind w:left="46" w:leftChars="0"/>
              <w:rPr>
                <w:color w:val="FF0000"/>
                <w:highlight w:val="yellow"/>
              </w:rPr>
            </w:pPr>
            <w:r>
              <w:rPr>
                <w:rFonts w:hint="eastAsia" w:ascii="宋体" w:hAnsi="宋体" w:eastAsia="宋体" w:cs="宋体"/>
                <w:color w:val="000000"/>
                <w:sz w:val="21"/>
                <w:szCs w:val="21"/>
              </w:rPr>
              <w:t>人员要求</w:t>
            </w:r>
          </w:p>
        </w:tc>
        <w:tc>
          <w:tcPr>
            <w:tcW w:w="6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5"/>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投标人须指定项目负责人，并提供该负责人姓名、电话、职务及身份证复印件（加盖投标人公章，原件备查）等信息，负责联络协调及跟进该项目具体实施。</w:t>
            </w:r>
          </w:p>
          <w:p>
            <w:pPr>
              <w:pStyle w:val="24"/>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（2）投标人拟派不少于5人的服务队伍，消杀员须穿着统一的工作服、佩戴工作证及相应的劳保用品及护具。</w:t>
            </w:r>
          </w:p>
          <w:p>
            <w:pPr>
              <w:pStyle w:val="24"/>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（3）投标人拟派至现场的所有消杀人员须具备</w:t>
            </w:r>
            <w:r>
              <w:rPr>
                <w:rFonts w:hint="eastAsia" w:ascii="宋体" w:hAnsi="宋体" w:eastAsia="宋体" w:cs="宋体"/>
                <w:bCs/>
                <w:sz w:val="21"/>
                <w:szCs w:val="21"/>
              </w:rPr>
              <w:t>有害生物防</w:t>
            </w:r>
            <w:r>
              <w:rPr>
                <w:rFonts w:hint="eastAsia" w:ascii="宋体" w:hAnsi="宋体" w:eastAsia="宋体" w:cs="宋体"/>
                <w:bCs/>
                <w:sz w:val="21"/>
                <w:szCs w:val="21"/>
                <w:lang w:eastAsia="zh-CN"/>
              </w:rPr>
              <w:t>治（</w:t>
            </w:r>
            <w:r>
              <w:rPr>
                <w:rFonts w:hint="eastAsia" w:ascii="宋体" w:hAnsi="宋体" w:eastAsia="宋体" w:cs="宋体"/>
                <w:bCs/>
                <w:sz w:val="21"/>
                <w:szCs w:val="21"/>
              </w:rPr>
              <w:t>制</w:t>
            </w:r>
            <w:r>
              <w:rPr>
                <w:rFonts w:hint="eastAsia" w:ascii="宋体" w:hAnsi="宋体" w:eastAsia="宋体" w:cs="宋体"/>
                <w:bCs/>
                <w:sz w:val="21"/>
                <w:szCs w:val="21"/>
                <w:lang w:eastAsia="zh-CN"/>
              </w:rPr>
              <w:t>）工（</w:t>
            </w:r>
            <w:r>
              <w:rPr>
                <w:rFonts w:hint="eastAsia" w:ascii="宋体" w:hAnsi="宋体" w:eastAsia="宋体" w:cs="宋体"/>
                <w:bCs/>
                <w:sz w:val="21"/>
                <w:szCs w:val="21"/>
              </w:rPr>
              <w:t>员</w:t>
            </w:r>
            <w:r>
              <w:rPr>
                <w:rFonts w:hint="eastAsia" w:ascii="宋体" w:hAnsi="宋体" w:eastAsia="宋体" w:cs="宋体"/>
                <w:bCs/>
                <w:sz w:val="21"/>
                <w:szCs w:val="21"/>
                <w:lang w:eastAsia="zh-CN"/>
              </w:rPr>
              <w:t>）</w:t>
            </w:r>
            <w:r>
              <w:rPr>
                <w:rFonts w:hint="eastAsia" w:ascii="宋体" w:hAnsi="宋体" w:eastAsia="宋体" w:cs="宋体"/>
                <w:kern w:val="2"/>
                <w:sz w:val="21"/>
                <w:szCs w:val="21"/>
                <w:lang w:val="en-US" w:eastAsia="zh-CN" w:bidi="ar-SA"/>
              </w:rPr>
              <w:t>证，提供拟派人员以上证书复印件并加盖投标人公章。合同期间无特殊情况不得随意更换项目人员</w:t>
            </w:r>
            <w:r>
              <w:rPr>
                <w:rFonts w:hint="eastAsia" w:ascii="宋体" w:hAnsi="宋体" w:eastAsia="宋体" w:cs="宋体"/>
                <w:b w:val="0"/>
                <w:color w:val="auto"/>
                <w:kern w:val="2"/>
                <w:sz w:val="21"/>
                <w:szCs w:val="21"/>
                <w:highlight w:val="none"/>
              </w:rPr>
              <w:t>。如需更换</w:t>
            </w:r>
            <w:r>
              <w:rPr>
                <w:rFonts w:hint="eastAsia" w:ascii="宋体" w:hAnsi="宋体" w:eastAsia="宋体" w:cs="宋体"/>
                <w:b w:val="0"/>
                <w:color w:val="auto"/>
                <w:kern w:val="2"/>
                <w:sz w:val="21"/>
                <w:szCs w:val="21"/>
                <w:highlight w:val="none"/>
                <w:lang w:eastAsia="zh-CN"/>
              </w:rPr>
              <w:t>，应</w:t>
            </w:r>
            <w:r>
              <w:rPr>
                <w:rFonts w:hint="eastAsia" w:ascii="宋体" w:hAnsi="宋体" w:eastAsia="宋体" w:cs="宋体"/>
                <w:b w:val="0"/>
                <w:color w:val="auto"/>
                <w:kern w:val="2"/>
                <w:sz w:val="21"/>
                <w:szCs w:val="21"/>
                <w:highlight w:val="none"/>
              </w:rPr>
              <w:t>征</w:t>
            </w:r>
            <w:r>
              <w:rPr>
                <w:rFonts w:hint="eastAsia" w:ascii="宋体" w:hAnsi="宋体" w:eastAsia="宋体" w:cs="宋体"/>
                <w:b w:val="0"/>
                <w:color w:val="auto"/>
                <w:kern w:val="2"/>
                <w:sz w:val="21"/>
                <w:szCs w:val="21"/>
                <w:highlight w:val="none"/>
                <w:lang w:eastAsia="zh-CN"/>
              </w:rPr>
              <w:t>得招标</w:t>
            </w:r>
            <w:r>
              <w:rPr>
                <w:rFonts w:hint="eastAsia" w:ascii="宋体" w:hAnsi="宋体" w:eastAsia="宋体" w:cs="宋体"/>
                <w:b w:val="0"/>
                <w:color w:val="auto"/>
                <w:kern w:val="2"/>
                <w:sz w:val="21"/>
                <w:szCs w:val="21"/>
                <w:highlight w:val="none"/>
              </w:rPr>
              <w:t>人同意。</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（4）投标人须派驻一名专职消杀员，开展全馆红线范围内日常消杀服务。消杀员每周工作5.5天，每天上下班按时打卡。此外，在项目执行过程中，</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需根据招标人展会服务的需要随时增加消杀员人数及消杀频次。</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lang w:val="en-US" w:eastAsia="zh-CN"/>
              </w:rPr>
              <w:t>5</w:t>
            </w:r>
            <w:r>
              <w:rPr>
                <w:rFonts w:hint="eastAsia" w:ascii="宋体" w:hAnsi="宋体" w:eastAsia="宋体" w:cs="宋体"/>
                <w:color w:val="000000"/>
                <w:kern w:val="2"/>
                <w:sz w:val="21"/>
                <w:szCs w:val="21"/>
                <w:lang w:eastAsia="zh-CN"/>
              </w:rPr>
              <w:t>）投标人</w:t>
            </w:r>
            <w:r>
              <w:rPr>
                <w:rFonts w:hint="eastAsia" w:ascii="宋体" w:hAnsi="宋体" w:eastAsia="宋体" w:cs="宋体"/>
                <w:color w:val="000000"/>
                <w:kern w:val="2"/>
                <w:sz w:val="21"/>
                <w:szCs w:val="21"/>
              </w:rPr>
              <w:t>须提供所属社保机构出具的以上人员在采购公告发布</w:t>
            </w:r>
            <w:r>
              <w:rPr>
                <w:rFonts w:hint="eastAsia" w:ascii="宋体" w:hAnsi="宋体" w:eastAsia="宋体" w:cs="宋体"/>
                <w:color w:val="000000"/>
                <w:kern w:val="2"/>
                <w:sz w:val="21"/>
                <w:szCs w:val="21"/>
                <w:lang w:eastAsia="zh-CN"/>
              </w:rPr>
              <w:t>之日止</w:t>
            </w:r>
            <w:r>
              <w:rPr>
                <w:rFonts w:hint="eastAsia" w:ascii="宋体" w:hAnsi="宋体" w:eastAsia="宋体" w:cs="宋体"/>
                <w:color w:val="000000"/>
                <w:kern w:val="2"/>
                <w:sz w:val="21"/>
                <w:szCs w:val="21"/>
              </w:rPr>
              <w:t>连续3个月</w:t>
            </w:r>
            <w:r>
              <w:rPr>
                <w:rFonts w:hint="eastAsia" w:ascii="宋体" w:hAnsi="宋体" w:eastAsia="宋体" w:cs="宋体"/>
                <w:color w:val="000000"/>
                <w:kern w:val="2"/>
                <w:sz w:val="21"/>
                <w:szCs w:val="21"/>
                <w:lang w:val="en-US" w:eastAsia="zh-CN"/>
              </w:rPr>
              <w:t>投标人为其</w:t>
            </w:r>
            <w:r>
              <w:rPr>
                <w:rFonts w:hint="eastAsia" w:ascii="宋体" w:hAnsi="宋体" w:eastAsia="宋体" w:cs="宋体"/>
                <w:color w:val="000000"/>
                <w:kern w:val="2"/>
                <w:sz w:val="21"/>
                <w:szCs w:val="21"/>
              </w:rPr>
              <w:t>缴纳</w:t>
            </w:r>
            <w:r>
              <w:rPr>
                <w:rFonts w:hint="eastAsia" w:ascii="宋体" w:hAnsi="宋体" w:eastAsia="宋体" w:cs="宋体"/>
                <w:color w:val="000000"/>
                <w:kern w:val="2"/>
                <w:sz w:val="21"/>
                <w:szCs w:val="21"/>
                <w:lang w:val="en-US" w:eastAsia="zh-CN"/>
              </w:rPr>
              <w:t>社保</w:t>
            </w:r>
            <w:r>
              <w:rPr>
                <w:rFonts w:hint="eastAsia" w:ascii="宋体" w:hAnsi="宋体" w:eastAsia="宋体" w:cs="宋体"/>
                <w:color w:val="000000"/>
                <w:kern w:val="2"/>
                <w:sz w:val="21"/>
                <w:szCs w:val="21"/>
              </w:rPr>
              <w:t>的有效证明材料，并加盖社保机构单位章，未按要求提供或提供不清晰导致专家无法判断的，证明材料作无效处理(如公告日上一个月的社保材料因社保部门原因暂时无法取得，则可以往前顺延一个月)。</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（5）消杀员年龄55周岁以下，身体健康，无不良嗜好；无犯罪记录，仪容端正、良好的素质，普通话较标准，</w:t>
            </w:r>
            <w:r>
              <w:rPr>
                <w:rFonts w:hint="eastAsia" w:ascii="宋体" w:hAnsi="宋体" w:cs="宋体"/>
                <w:kern w:val="2"/>
                <w:sz w:val="21"/>
                <w:szCs w:val="21"/>
                <w:lang w:val="en-US" w:eastAsia="zh-CN" w:bidi="ar-SA"/>
              </w:rPr>
              <w:t>能快速熟悉</w:t>
            </w:r>
            <w:r>
              <w:rPr>
                <w:rFonts w:hint="eastAsia" w:ascii="宋体" w:hAnsi="宋体" w:eastAsia="宋体" w:cs="宋体"/>
                <w:kern w:val="2"/>
                <w:sz w:val="21"/>
                <w:szCs w:val="21"/>
                <w:lang w:val="en-US" w:eastAsia="zh-CN" w:bidi="ar-SA"/>
              </w:rPr>
              <w:t>会展中心各区域的环境熟悉、反应敏捷。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（6）消杀员严禁在仓库存放食物、饮料，危化物品等，严禁在仓库睡觉、做饭、抽烟、为电动车充电。</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260" w:type="dxa"/>
            <w:tcBorders>
              <w:top w:val="single" w:color="auto" w:sz="4" w:space="0"/>
              <w:left w:val="single" w:color="auto" w:sz="4" w:space="0"/>
              <w:bottom w:val="single" w:color="auto" w:sz="4" w:space="0"/>
              <w:right w:val="single" w:color="auto" w:sz="4" w:space="0"/>
            </w:tcBorders>
            <w:vAlign w:val="center"/>
          </w:tcPr>
          <w:p>
            <w:pPr>
              <w:ind w:left="46"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工具</w:t>
            </w:r>
            <w:r>
              <w:rPr>
                <w:rFonts w:hint="eastAsia" w:ascii="宋体" w:hAnsi="宋体" w:eastAsia="宋体" w:cs="宋体"/>
                <w:sz w:val="21"/>
                <w:szCs w:val="21"/>
              </w:rPr>
              <w:t>设备</w:t>
            </w:r>
            <w:r>
              <w:rPr>
                <w:rFonts w:hint="eastAsia" w:ascii="宋体" w:hAnsi="宋体" w:eastAsia="宋体" w:cs="宋体"/>
                <w:sz w:val="21"/>
                <w:szCs w:val="21"/>
                <w:lang w:eastAsia="zh-CN"/>
              </w:rPr>
              <w:t>及</w:t>
            </w:r>
            <w:r>
              <w:rPr>
                <w:rFonts w:hint="eastAsia" w:ascii="宋体" w:hAnsi="宋体" w:eastAsia="宋体" w:cs="宋体"/>
                <w:sz w:val="21"/>
                <w:szCs w:val="21"/>
              </w:rPr>
              <w:t>药</w:t>
            </w:r>
            <w:r>
              <w:rPr>
                <w:rFonts w:hint="eastAsia" w:ascii="宋体" w:hAnsi="宋体" w:eastAsia="宋体" w:cs="宋体"/>
                <w:sz w:val="21"/>
                <w:szCs w:val="21"/>
                <w:lang w:eastAsia="zh-CN"/>
              </w:rPr>
              <w:t>物</w:t>
            </w:r>
          </w:p>
          <w:p>
            <w:pPr>
              <w:ind w:left="46" w:leftChars="0"/>
              <w:jc w:val="center"/>
              <w:rPr>
                <w:color w:val="FF0000"/>
                <w:highlight w:val="yellow"/>
              </w:rPr>
            </w:pPr>
            <w:r>
              <w:rPr>
                <w:rFonts w:hint="eastAsia" w:ascii="宋体" w:hAnsi="宋体" w:eastAsia="宋体" w:cs="宋体"/>
                <w:sz w:val="21"/>
                <w:szCs w:val="21"/>
              </w:rPr>
              <w:t>要求</w:t>
            </w:r>
          </w:p>
        </w:tc>
        <w:tc>
          <w:tcPr>
            <w:tcW w:w="6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投标人使用的消杀药物必须遵守《中华人民共和国农药治理条例》，药品是具有生产许可证、农药登记证、产品标准证的合格药物，严禁使用毒鼠强等急性剧毒药品。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（2）需自备消杀设备和相关工具、药品，并自行做好各类有毒有害物品的安全管制和存储管理工作。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（3）使用完的消杀用品外包装不随意丢弃，</w:t>
            </w:r>
            <w:r>
              <w:rPr>
                <w:rFonts w:hint="eastAsia" w:ascii="宋体" w:hAnsi="宋体" w:cs="宋体"/>
                <w:kern w:val="2"/>
                <w:sz w:val="21"/>
                <w:szCs w:val="21"/>
                <w:lang w:val="en-US" w:eastAsia="zh-CN" w:bidi="ar-SA"/>
              </w:rPr>
              <w:t>须</w:t>
            </w:r>
            <w:r>
              <w:rPr>
                <w:rFonts w:hint="eastAsia" w:ascii="宋体" w:hAnsi="宋体" w:eastAsia="宋体" w:cs="宋体"/>
                <w:kern w:val="2"/>
                <w:sz w:val="21"/>
                <w:szCs w:val="21"/>
                <w:lang w:val="en-US" w:eastAsia="zh-CN" w:bidi="ar-SA"/>
              </w:rPr>
              <w:t>放到指定的安全位置。</w:t>
            </w:r>
          </w:p>
          <w:p>
            <w:pPr>
              <w:keepNext w:val="0"/>
              <w:keepLines w:val="0"/>
              <w:pageBreakBefore w:val="0"/>
              <w:kinsoku/>
              <w:wordWrap/>
              <w:overflowPunct/>
              <w:topLinePunct w:val="0"/>
              <w:autoSpaceDE/>
              <w:autoSpaceDN/>
              <w:bidi w:val="0"/>
              <w:adjustRightInd/>
              <w:snapToGrid/>
              <w:spacing w:line="320" w:lineRule="exact"/>
              <w:textAlignment w:val="auto"/>
              <w:rPr>
                <w:color w:val="FF0000"/>
                <w:highlight w:val="yellow"/>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pStyle w:val="2"/>
        <w:ind w:left="0"/>
      </w:pPr>
    </w:p>
    <w:p>
      <w:pPr>
        <w:numPr>
          <w:ilvl w:val="-1"/>
          <w:numId w:val="0"/>
        </w:numPr>
        <w:spacing w:line="560" w:lineRule="exact"/>
        <w:outlineLvl w:val="1"/>
        <w:rPr>
          <w:rFonts w:ascii="宋体" w:hAnsi="宋体"/>
          <w:b/>
          <w:szCs w:val="21"/>
        </w:rPr>
      </w:pPr>
    </w:p>
    <w:p>
      <w:pPr>
        <w:numPr>
          <w:ilvl w:val="0"/>
          <w:numId w:val="16"/>
        </w:numPr>
        <w:jc w:val="left"/>
        <w:outlineLvl w:val="1"/>
        <w:rPr>
          <w:rFonts w:hint="eastAsia" w:ascii="宋体" w:hAnsi="宋体" w:cs="宋体"/>
          <w:b/>
          <w:bCs w:val="0"/>
          <w:sz w:val="24"/>
          <w:szCs w:val="24"/>
          <w:highlight w:val="none"/>
          <w:lang w:eastAsia="zh-CN"/>
        </w:rPr>
      </w:pPr>
      <w:bookmarkStart w:id="41" w:name="_Toc82685552"/>
      <w:bookmarkEnd w:id="41"/>
      <w:bookmarkStart w:id="42" w:name="_Toc82684600"/>
      <w:bookmarkEnd w:id="42"/>
      <w:bookmarkStart w:id="43" w:name="_Toc82684715"/>
      <w:bookmarkEnd w:id="43"/>
      <w:bookmarkStart w:id="44" w:name="_Toc82591996"/>
      <w:bookmarkEnd w:id="44"/>
      <w:bookmarkStart w:id="45" w:name="_Toc1804"/>
      <w:r>
        <w:rPr>
          <w:rFonts w:hint="eastAsia" w:ascii="宋体" w:hAnsi="宋体"/>
          <w:b/>
          <w:szCs w:val="21"/>
        </w:rPr>
        <w:t>其他项目说明资料</w:t>
      </w:r>
      <w:bookmarkEnd w:id="45"/>
    </w:p>
    <w:p>
      <w:pPr>
        <w:widowControl/>
        <w:spacing w:line="560" w:lineRule="exact"/>
        <w:jc w:val="both"/>
        <w:rPr>
          <w:rFonts w:hint="eastAsia" w:ascii="黑体" w:hAnsi="黑体" w:eastAsia="黑体" w:cs="黑体"/>
          <w:bCs/>
          <w:kern w:val="2"/>
          <w:sz w:val="32"/>
          <w:szCs w:val="32"/>
          <w:highlight w:val="none"/>
          <w:lang w:val="en-US" w:eastAsia="zh-CN" w:bidi="ar-SA"/>
        </w:rPr>
      </w:pPr>
    </w:p>
    <w:p>
      <w:pPr>
        <w:widowControl/>
        <w:spacing w:line="560" w:lineRule="exact"/>
        <w:jc w:val="center"/>
        <w:rPr>
          <w:rFonts w:hint="eastAsia" w:ascii="黑体" w:hAnsi="黑体" w:eastAsia="黑体" w:cs="黑体"/>
          <w:bCs/>
          <w:kern w:val="2"/>
          <w:sz w:val="32"/>
          <w:szCs w:val="32"/>
          <w:highlight w:val="none"/>
          <w:lang w:val="en-US" w:eastAsia="zh-CN" w:bidi="ar-SA"/>
        </w:rPr>
      </w:pPr>
      <w:r>
        <w:rPr>
          <w:rFonts w:hint="eastAsia" w:ascii="黑体" w:hAnsi="黑体" w:eastAsia="黑体" w:cs="黑体"/>
          <w:bCs/>
          <w:kern w:val="2"/>
          <w:sz w:val="32"/>
          <w:szCs w:val="32"/>
          <w:highlight w:val="none"/>
          <w:lang w:val="en-US" w:eastAsia="zh-CN" w:bidi="ar-SA"/>
        </w:rPr>
        <w:t>深圳会展中心除虫灭鼠服务考核评分表</w:t>
      </w:r>
    </w:p>
    <w:tbl>
      <w:tblPr>
        <w:tblStyle w:val="16"/>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827"/>
        <w:gridCol w:w="2010"/>
        <w:gridCol w:w="1050"/>
        <w:gridCol w:w="5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985" w:type="dxa"/>
            <w:gridSpan w:val="9"/>
            <w:tcBorders>
              <w:top w:val="single" w:color="auto" w:sz="4" w:space="0"/>
            </w:tcBorders>
            <w:shd w:val="clear" w:color="auto" w:fill="D9D9D9"/>
            <w:noWrap w:val="0"/>
            <w:vAlign w:val="center"/>
          </w:tcPr>
          <w:p>
            <w:pPr>
              <w:spacing w:line="240" w:lineRule="atLeast"/>
              <w:jc w:val="center"/>
              <w:rPr>
                <w:rFonts w:hint="eastAsia" w:ascii="宋体" w:hAnsi="宋体" w:eastAsia="宋体" w:cs="宋体"/>
                <w:b/>
                <w:bCs/>
                <w:szCs w:val="21"/>
              </w:rPr>
            </w:pPr>
            <w:r>
              <w:rPr>
                <w:rFonts w:hint="eastAsia" w:ascii="宋体" w:hAnsi="宋体" w:eastAsia="宋体" w:cs="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合同名称</w:t>
            </w:r>
          </w:p>
        </w:tc>
        <w:tc>
          <w:tcPr>
            <w:tcW w:w="3677" w:type="dxa"/>
            <w:gridSpan w:val="3"/>
            <w:noWrap w:val="0"/>
            <w:vAlign w:val="center"/>
          </w:tcPr>
          <w:p>
            <w:pPr>
              <w:rPr>
                <w:rFonts w:hint="eastAsia" w:ascii="宋体" w:hAnsi="宋体" w:eastAsia="宋体" w:cs="宋体"/>
                <w:sz w:val="24"/>
              </w:rPr>
            </w:pPr>
            <w:r>
              <w:rPr>
                <w:rFonts w:hint="eastAsia" w:ascii="宋体" w:hAnsi="宋体" w:eastAsia="宋体" w:cs="宋体"/>
                <w:szCs w:val="21"/>
              </w:rPr>
              <w:t>深圳会展中心除虫灭鼠有偿服务合同</w:t>
            </w:r>
          </w:p>
        </w:tc>
        <w:tc>
          <w:tcPr>
            <w:tcW w:w="2010" w:type="dxa"/>
            <w:noWrap w:val="0"/>
            <w:vAlign w:val="center"/>
          </w:tcPr>
          <w:p>
            <w:pPr>
              <w:jc w:val="center"/>
              <w:rPr>
                <w:rFonts w:hint="eastAsia" w:ascii="宋体" w:hAnsi="宋体" w:eastAsia="宋体" w:cs="宋体"/>
                <w:szCs w:val="21"/>
              </w:rPr>
            </w:pPr>
            <w:r>
              <w:rPr>
                <w:rFonts w:hint="eastAsia" w:ascii="宋体" w:hAnsi="宋体" w:eastAsia="宋体" w:cs="宋体"/>
                <w:szCs w:val="21"/>
              </w:rPr>
              <w:t>合同签订时间</w:t>
            </w:r>
          </w:p>
        </w:tc>
        <w:tc>
          <w:tcPr>
            <w:tcW w:w="2743" w:type="dxa"/>
            <w:gridSpan w:val="3"/>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合同金额</w:t>
            </w:r>
          </w:p>
        </w:tc>
        <w:tc>
          <w:tcPr>
            <w:tcW w:w="3677" w:type="dxa"/>
            <w:gridSpan w:val="3"/>
            <w:noWrap w:val="0"/>
            <w:vAlign w:val="center"/>
          </w:tcPr>
          <w:p>
            <w:pPr>
              <w:rPr>
                <w:rFonts w:hint="eastAsia" w:ascii="宋体" w:hAnsi="宋体" w:eastAsia="宋体" w:cs="宋体"/>
                <w:sz w:val="24"/>
              </w:rPr>
            </w:pPr>
            <w:r>
              <w:rPr>
                <w:rFonts w:hint="eastAsia" w:ascii="宋体" w:hAnsi="宋体" w:eastAsia="宋体" w:cs="宋体"/>
                <w:szCs w:val="21"/>
              </w:rPr>
              <w:t>人民币</w:t>
            </w:r>
            <w:r>
              <w:rPr>
                <w:rFonts w:hint="eastAsia" w:ascii="宋体" w:hAnsi="宋体" w:eastAsia="宋体" w:cs="宋体"/>
                <w:szCs w:val="21"/>
                <w:u w:val="single"/>
              </w:rPr>
              <w:t xml:space="preserve">      </w:t>
            </w:r>
            <w:r>
              <w:rPr>
                <w:rFonts w:hint="eastAsia" w:ascii="宋体" w:hAnsi="宋体" w:eastAsia="宋体" w:cs="宋体"/>
                <w:szCs w:val="21"/>
              </w:rPr>
              <w:t>万元</w:t>
            </w:r>
          </w:p>
        </w:tc>
        <w:tc>
          <w:tcPr>
            <w:tcW w:w="2010" w:type="dxa"/>
            <w:noWrap w:val="0"/>
            <w:vAlign w:val="center"/>
          </w:tcPr>
          <w:p>
            <w:pPr>
              <w:jc w:val="center"/>
              <w:rPr>
                <w:rFonts w:hint="eastAsia" w:ascii="宋体" w:hAnsi="宋体" w:eastAsia="宋体" w:cs="宋体"/>
                <w:szCs w:val="21"/>
              </w:rPr>
            </w:pPr>
            <w:r>
              <w:rPr>
                <w:rFonts w:hint="eastAsia" w:ascii="宋体" w:hAnsi="宋体" w:eastAsia="宋体" w:cs="宋体"/>
                <w:szCs w:val="21"/>
              </w:rPr>
              <w:t>结算金额</w:t>
            </w:r>
          </w:p>
        </w:tc>
        <w:tc>
          <w:tcPr>
            <w:tcW w:w="2743" w:type="dxa"/>
            <w:gridSpan w:val="3"/>
            <w:noWrap w:val="0"/>
            <w:vAlign w:val="center"/>
          </w:tcPr>
          <w:p>
            <w:pPr>
              <w:rPr>
                <w:rFonts w:hint="eastAsia" w:ascii="宋体" w:hAnsi="宋体" w:eastAsia="宋体" w:cs="宋体"/>
                <w:sz w:val="24"/>
              </w:rPr>
            </w:pPr>
            <w:r>
              <w:rPr>
                <w:rFonts w:hint="eastAsia" w:ascii="宋体" w:hAnsi="宋体" w:eastAsia="宋体" w:cs="宋体"/>
                <w:szCs w:val="21"/>
              </w:rPr>
              <w:t>人民币</w:t>
            </w:r>
            <w:r>
              <w:rPr>
                <w:rFonts w:hint="eastAsia" w:ascii="宋体" w:hAnsi="宋体" w:eastAsia="宋体" w:cs="宋体"/>
                <w:szCs w:val="21"/>
                <w:u w:val="single"/>
              </w:rPr>
              <w:t xml:space="preserve">      </w:t>
            </w:r>
            <w:r>
              <w:rPr>
                <w:rFonts w:hint="eastAsia" w:ascii="宋体" w:hAnsi="宋体" w:eastAsia="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合同服务期</w:t>
            </w:r>
          </w:p>
        </w:tc>
        <w:tc>
          <w:tcPr>
            <w:tcW w:w="3677" w:type="dxa"/>
            <w:gridSpan w:val="3"/>
            <w:noWrap w:val="0"/>
            <w:vAlign w:val="center"/>
          </w:tcPr>
          <w:p>
            <w:pPr>
              <w:rPr>
                <w:rFonts w:hint="eastAsia" w:ascii="宋体" w:hAnsi="宋体" w:eastAsia="宋体" w:cs="宋体"/>
                <w:sz w:val="24"/>
              </w:rPr>
            </w:pPr>
            <w:r>
              <w:rPr>
                <w:rFonts w:hint="eastAsia" w:ascii="宋体" w:hAnsi="宋体" w:eastAsia="宋体" w:cs="宋体"/>
                <w:szCs w:val="21"/>
                <w:u w:val="single"/>
              </w:rPr>
              <w:t xml:space="preserve">          </w:t>
            </w:r>
            <w:r>
              <w:rPr>
                <w:rFonts w:hint="eastAsia" w:ascii="宋体" w:hAnsi="宋体" w:eastAsia="宋体" w:cs="宋体"/>
                <w:szCs w:val="21"/>
              </w:rPr>
              <w:t>日历日</w:t>
            </w:r>
          </w:p>
        </w:tc>
        <w:tc>
          <w:tcPr>
            <w:tcW w:w="2010" w:type="dxa"/>
            <w:noWrap w:val="0"/>
            <w:vAlign w:val="center"/>
          </w:tcPr>
          <w:p>
            <w:pPr>
              <w:jc w:val="center"/>
              <w:rPr>
                <w:rFonts w:hint="eastAsia" w:ascii="宋体" w:hAnsi="宋体" w:eastAsia="宋体" w:cs="宋体"/>
                <w:szCs w:val="21"/>
              </w:rPr>
            </w:pPr>
            <w:r>
              <w:rPr>
                <w:rFonts w:hint="eastAsia" w:ascii="宋体" w:hAnsi="宋体" w:eastAsia="宋体" w:cs="宋体"/>
                <w:szCs w:val="21"/>
              </w:rPr>
              <w:t>验收时间</w:t>
            </w:r>
          </w:p>
        </w:tc>
        <w:tc>
          <w:tcPr>
            <w:tcW w:w="2743" w:type="dxa"/>
            <w:gridSpan w:val="3"/>
            <w:noWrap w:val="0"/>
            <w:vAlign w:val="center"/>
          </w:tcPr>
          <w:p>
            <w:pPr>
              <w:rPr>
                <w:rFonts w:hint="eastAsia" w:ascii="宋体" w:hAnsi="宋体" w:eastAsia="宋体" w:cs="宋体"/>
                <w:sz w:val="24"/>
              </w:rPr>
            </w:pPr>
            <w:r>
              <w:rPr>
                <w:rFonts w:hint="eastAsia" w:ascii="宋体" w:hAnsi="宋体" w:eastAsia="宋体" w:cs="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55" w:type="dxa"/>
            <w:gridSpan w:val="2"/>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合同范围</w:t>
            </w:r>
          </w:p>
          <w:p>
            <w:pPr>
              <w:spacing w:line="240" w:lineRule="atLeast"/>
              <w:jc w:val="center"/>
              <w:rPr>
                <w:rFonts w:hint="eastAsia" w:ascii="宋体" w:hAnsi="宋体" w:eastAsia="宋体" w:cs="宋体"/>
                <w:sz w:val="24"/>
              </w:rPr>
            </w:pPr>
            <w:r>
              <w:rPr>
                <w:rFonts w:hint="eastAsia" w:ascii="宋体" w:hAnsi="宋体" w:eastAsia="宋体" w:cs="宋体"/>
                <w:szCs w:val="21"/>
              </w:rPr>
              <w:t>及内容概要</w:t>
            </w:r>
          </w:p>
        </w:tc>
        <w:tc>
          <w:tcPr>
            <w:tcW w:w="8430" w:type="dxa"/>
            <w:gridSpan w:val="7"/>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供应商名称</w:t>
            </w:r>
          </w:p>
        </w:tc>
        <w:tc>
          <w:tcPr>
            <w:tcW w:w="3677" w:type="dxa"/>
            <w:gridSpan w:val="3"/>
            <w:noWrap w:val="0"/>
            <w:vAlign w:val="center"/>
          </w:tcPr>
          <w:p>
            <w:pPr>
              <w:rPr>
                <w:rFonts w:hint="eastAsia" w:ascii="宋体" w:hAnsi="宋体" w:eastAsia="宋体" w:cs="宋体"/>
                <w:sz w:val="24"/>
              </w:rPr>
            </w:pPr>
          </w:p>
        </w:tc>
        <w:tc>
          <w:tcPr>
            <w:tcW w:w="2010" w:type="dxa"/>
            <w:noWrap w:val="0"/>
            <w:vAlign w:val="center"/>
          </w:tcPr>
          <w:p>
            <w:pPr>
              <w:jc w:val="center"/>
              <w:rPr>
                <w:rFonts w:hint="eastAsia" w:ascii="宋体" w:hAnsi="宋体" w:eastAsia="宋体" w:cs="宋体"/>
                <w:sz w:val="24"/>
              </w:rPr>
            </w:pPr>
            <w:r>
              <w:rPr>
                <w:rFonts w:hint="eastAsia" w:ascii="宋体" w:hAnsi="宋体" w:eastAsia="宋体" w:cs="宋体"/>
                <w:szCs w:val="21"/>
              </w:rPr>
              <w:t>供应商项目组成员</w:t>
            </w:r>
          </w:p>
        </w:tc>
        <w:tc>
          <w:tcPr>
            <w:tcW w:w="2743" w:type="dxa"/>
            <w:gridSpan w:val="3"/>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履约评价单位</w:t>
            </w:r>
          </w:p>
        </w:tc>
        <w:tc>
          <w:tcPr>
            <w:tcW w:w="3677" w:type="dxa"/>
            <w:gridSpan w:val="3"/>
            <w:noWrap w:val="0"/>
            <w:vAlign w:val="center"/>
          </w:tcPr>
          <w:p>
            <w:pPr>
              <w:rPr>
                <w:rFonts w:hint="eastAsia" w:ascii="宋体" w:hAnsi="宋体" w:eastAsia="宋体" w:cs="宋体"/>
                <w:szCs w:val="21"/>
              </w:rPr>
            </w:pPr>
            <w:r>
              <w:rPr>
                <w:rFonts w:hint="eastAsia" w:ascii="宋体" w:hAnsi="宋体" w:eastAsia="宋体" w:cs="宋体"/>
                <w:szCs w:val="21"/>
              </w:rPr>
              <w:t>深圳会展中心管理有限责任公司</w:t>
            </w:r>
          </w:p>
        </w:tc>
        <w:tc>
          <w:tcPr>
            <w:tcW w:w="2010" w:type="dxa"/>
            <w:noWrap w:val="0"/>
            <w:vAlign w:val="center"/>
          </w:tcPr>
          <w:p>
            <w:pPr>
              <w:jc w:val="center"/>
              <w:rPr>
                <w:rFonts w:hint="eastAsia" w:ascii="宋体" w:hAnsi="宋体" w:eastAsia="宋体" w:cs="宋体"/>
                <w:szCs w:val="21"/>
              </w:rPr>
            </w:pPr>
            <w:r>
              <w:rPr>
                <w:rFonts w:hint="eastAsia" w:ascii="宋体" w:hAnsi="宋体" w:eastAsia="宋体" w:cs="宋体"/>
                <w:szCs w:val="21"/>
              </w:rPr>
              <w:t>评价小组成员</w:t>
            </w:r>
          </w:p>
        </w:tc>
        <w:tc>
          <w:tcPr>
            <w:tcW w:w="2743" w:type="dxa"/>
            <w:gridSpan w:val="3"/>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985" w:type="dxa"/>
            <w:gridSpan w:val="9"/>
            <w:shd w:val="clear" w:color="auto" w:fill="D9D9D9"/>
            <w:noWrap w:val="0"/>
            <w:vAlign w:val="center"/>
          </w:tcPr>
          <w:p>
            <w:pPr>
              <w:spacing w:line="240" w:lineRule="atLeast"/>
              <w:jc w:val="center"/>
              <w:rPr>
                <w:rFonts w:hint="eastAsia" w:ascii="宋体" w:hAnsi="宋体" w:eastAsia="宋体" w:cs="宋体"/>
                <w:b/>
                <w:bCs/>
                <w:szCs w:val="21"/>
              </w:rPr>
            </w:pPr>
            <w:r>
              <w:rPr>
                <w:rFonts w:hint="eastAsia" w:ascii="宋体" w:hAnsi="宋体" w:eastAsia="宋体" w:cs="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评 价 指 标</w:t>
            </w:r>
          </w:p>
        </w:tc>
        <w:tc>
          <w:tcPr>
            <w:tcW w:w="6029" w:type="dxa"/>
            <w:gridSpan w:val="4"/>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评  分  内  容</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分值</w:t>
            </w:r>
          </w:p>
        </w:tc>
        <w:tc>
          <w:tcPr>
            <w:tcW w:w="1168"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得分</w:t>
            </w:r>
          </w:p>
          <w:p>
            <w:pPr>
              <w:spacing w:line="200" w:lineRule="exact"/>
              <w:jc w:val="center"/>
              <w:rPr>
                <w:rFonts w:hint="eastAsia" w:ascii="宋体" w:hAnsi="宋体" w:eastAsia="宋体" w:cs="宋体"/>
                <w:szCs w:val="21"/>
              </w:rPr>
            </w:pPr>
            <w:r>
              <w:rPr>
                <w:rFonts w:hint="eastAsia" w:ascii="宋体" w:hAnsi="宋体" w:eastAsia="宋体" w:cs="宋体"/>
                <w:sz w:val="16"/>
                <w:szCs w:val="16"/>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2" w:type="dxa"/>
            <w:vMerge w:val="restart"/>
            <w:noWrap w:val="0"/>
            <w:textDirection w:val="tbRlV"/>
            <w:vAlign w:val="center"/>
          </w:tcPr>
          <w:p>
            <w:pPr>
              <w:spacing w:line="300" w:lineRule="exact"/>
              <w:ind w:firstLine="360"/>
              <w:jc w:val="center"/>
              <w:rPr>
                <w:rFonts w:hint="eastAsia" w:ascii="宋体" w:hAnsi="宋体" w:eastAsia="宋体" w:cs="宋体"/>
                <w:sz w:val="24"/>
              </w:rPr>
            </w:pPr>
            <w:r>
              <w:rPr>
                <w:rFonts w:hint="eastAsia" w:ascii="宋体" w:hAnsi="宋体" w:eastAsia="宋体" w:cs="宋体"/>
                <w:sz w:val="24"/>
              </w:rPr>
              <w:t>服务过程（82分）</w:t>
            </w:r>
          </w:p>
        </w:tc>
        <w:tc>
          <w:tcPr>
            <w:tcW w:w="993" w:type="dxa"/>
            <w:vMerge w:val="restart"/>
            <w:noWrap w:val="0"/>
            <w:vAlign w:val="center"/>
          </w:tcPr>
          <w:p>
            <w:pPr>
              <w:spacing w:line="300" w:lineRule="exact"/>
              <w:jc w:val="center"/>
              <w:rPr>
                <w:rFonts w:hint="eastAsia" w:ascii="宋体" w:hAnsi="宋体" w:eastAsia="宋体" w:cs="宋体"/>
                <w:sz w:val="20"/>
              </w:rPr>
            </w:pPr>
            <w:r>
              <w:rPr>
                <w:rFonts w:hint="eastAsia" w:ascii="宋体" w:hAnsi="宋体" w:eastAsia="宋体" w:cs="宋体"/>
                <w:szCs w:val="21"/>
              </w:rPr>
              <w:t>工作能力</w:t>
            </w:r>
          </w:p>
        </w:tc>
        <w:tc>
          <w:tcPr>
            <w:tcW w:w="708" w:type="dxa"/>
            <w:vMerge w:val="restart"/>
            <w:noWrap w:val="0"/>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工作效率</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是否按时完成每天的消杀各项工作任务</w:t>
            </w:r>
          </w:p>
        </w:tc>
        <w:tc>
          <w:tcPr>
            <w:tcW w:w="525" w:type="dxa"/>
            <w:noWrap w:val="0"/>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4</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能否按照每周消杀计划进度开展工作</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胜任能力</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napToGrid w:val="0"/>
                <w:color w:val="000000"/>
                <w:szCs w:val="21"/>
              </w:rPr>
              <w:t>驻会展中心专职消杀人员是否</w:t>
            </w:r>
            <w:r>
              <w:rPr>
                <w:rFonts w:hint="eastAsia" w:ascii="宋体" w:hAnsi="宋体" w:eastAsia="宋体" w:cs="宋体"/>
                <w:color w:val="000000"/>
                <w:szCs w:val="21"/>
              </w:rPr>
              <w:t>持人</w:t>
            </w:r>
            <w:r>
              <w:rPr>
                <w:rFonts w:hint="eastAsia" w:ascii="宋体" w:hAnsi="宋体" w:eastAsia="宋体" w:cs="宋体"/>
                <w:color w:val="000000"/>
                <w:kern w:val="0"/>
                <w:szCs w:val="21"/>
              </w:rPr>
              <w:t>力资源和社会保障部门（或劳动和社会保障部门）颁发的《职业资格证书》（工种：有害生物防制员)</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continue"/>
            <w:noWrap w:val="0"/>
            <w:vAlign w:val="center"/>
          </w:tcPr>
          <w:p>
            <w:pPr>
              <w:widowControl/>
              <w:jc w:val="left"/>
              <w:rPr>
                <w:rFonts w:hint="eastAsia" w:ascii="宋体" w:hAnsi="宋体" w:eastAsia="宋体" w:cs="宋体"/>
                <w:sz w:val="20"/>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napToGrid w:val="0"/>
                <w:color w:val="000000"/>
                <w:szCs w:val="21"/>
              </w:rPr>
              <w:t>是否对员工专业技能有培训计划和培训记录</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continue"/>
            <w:noWrap w:val="0"/>
            <w:vAlign w:val="center"/>
          </w:tcPr>
          <w:p>
            <w:pPr>
              <w:widowControl/>
              <w:jc w:val="left"/>
              <w:rPr>
                <w:rFonts w:hint="eastAsia" w:ascii="宋体" w:hAnsi="宋体" w:eastAsia="宋体" w:cs="宋体"/>
                <w:sz w:val="20"/>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napToGrid w:val="0"/>
                <w:color w:val="000000"/>
                <w:szCs w:val="21"/>
              </w:rPr>
              <w:t>对展馆环境熟悉，展会特点、工作流程、四害的特点和习性</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配合程度</w:t>
            </w:r>
          </w:p>
        </w:tc>
        <w:tc>
          <w:tcPr>
            <w:tcW w:w="708"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沟通主动性</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是否及时就服务进度、服务情况进行沟通</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对甲方提出消杀的意见、问题等是否及时回馈，并主动提供有关解决方案等</w:t>
            </w:r>
          </w:p>
        </w:tc>
        <w:tc>
          <w:tcPr>
            <w:tcW w:w="525"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color w:val="000000"/>
                <w:szCs w:val="21"/>
              </w:rPr>
              <w:t>对展馆提出的服务要求能及时反应并实施到位，有实施记录表</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沟通能力</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乙方工作人员能否准确理解甲方的意图</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continue"/>
            <w:noWrap w:val="0"/>
            <w:vAlign w:val="center"/>
          </w:tcPr>
          <w:p>
            <w:pPr>
              <w:widowControl/>
              <w:jc w:val="left"/>
              <w:rPr>
                <w:rFonts w:hint="eastAsia" w:ascii="宋体" w:hAnsi="宋体" w:eastAsia="宋体" w:cs="宋体"/>
                <w:sz w:val="20"/>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乙方工作人员表达或表述是否清晰无误，善于沟通</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职业操守</w:t>
            </w:r>
          </w:p>
        </w:tc>
        <w:tc>
          <w:tcPr>
            <w:tcW w:w="708"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工作态度</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color w:val="000000"/>
                <w:szCs w:val="21"/>
              </w:rPr>
              <w:t>员工能主动汇报工作进度和工作状况与展馆方人员主动沟通</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color w:val="000000"/>
                <w:szCs w:val="21"/>
              </w:rPr>
              <w:t>发现消杀异常状况能够及时反馈及时沟通处理。</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restart"/>
            <w:noWrap w:val="0"/>
            <w:vAlign w:val="center"/>
          </w:tcPr>
          <w:p>
            <w:pPr>
              <w:widowControl/>
              <w:jc w:val="left"/>
              <w:rPr>
                <w:rFonts w:hint="eastAsia" w:ascii="宋体" w:hAnsi="宋体" w:eastAsia="宋体" w:cs="宋体"/>
                <w:szCs w:val="21"/>
              </w:rPr>
            </w:pPr>
            <w:r>
              <w:rPr>
                <w:rFonts w:hint="eastAsia" w:ascii="宋体" w:hAnsi="宋体" w:eastAsia="宋体" w:cs="宋体"/>
                <w:szCs w:val="21"/>
              </w:rPr>
              <w:t>职业道德</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乙方工作人员能否对服务过程中获得的信息保密</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 w:val="20"/>
              </w:rPr>
            </w:pPr>
          </w:p>
        </w:tc>
        <w:tc>
          <w:tcPr>
            <w:tcW w:w="708" w:type="dxa"/>
            <w:vMerge w:val="continue"/>
            <w:noWrap w:val="0"/>
            <w:vAlign w:val="center"/>
          </w:tcPr>
          <w:p>
            <w:pPr>
              <w:widowControl/>
              <w:jc w:val="left"/>
              <w:rPr>
                <w:rFonts w:hint="eastAsia" w:ascii="宋体" w:hAnsi="宋体" w:eastAsia="宋体" w:cs="宋体"/>
                <w:sz w:val="20"/>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乙方工作人员能否坚持独立、客观、公正的立场</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 xml:space="preserve">6 </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jc w:val="center"/>
              <w:rPr>
                <w:rFonts w:hint="eastAsia" w:ascii="宋体" w:hAnsi="宋体" w:eastAsia="宋体" w:cs="宋体"/>
                <w:szCs w:val="21"/>
              </w:rPr>
            </w:pPr>
          </w:p>
        </w:tc>
        <w:tc>
          <w:tcPr>
            <w:tcW w:w="708" w:type="dxa"/>
            <w:vMerge w:val="continue"/>
            <w:noWrap w:val="0"/>
            <w:vAlign w:val="center"/>
          </w:tcPr>
          <w:p>
            <w:pPr>
              <w:jc w:val="center"/>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是否完成合同规定的具体服务内容</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color w:val="000000"/>
                <w:szCs w:val="21"/>
              </w:rPr>
              <w:t>是否按要求提交相关的工作成果或服务总结报告</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noWrap w:val="0"/>
            <w:textDirection w:val="tbRlV"/>
            <w:vAlign w:val="center"/>
          </w:tcPr>
          <w:p>
            <w:pPr>
              <w:spacing w:line="300" w:lineRule="exact"/>
              <w:rPr>
                <w:rFonts w:hint="eastAsia" w:ascii="宋体" w:hAnsi="宋体" w:eastAsia="宋体" w:cs="宋体"/>
                <w:sz w:val="24"/>
              </w:rPr>
            </w:pPr>
            <w:r>
              <w:rPr>
                <w:rFonts w:hint="eastAsia" w:ascii="宋体" w:hAnsi="宋体" w:eastAsia="宋体" w:cs="宋体"/>
                <w:sz w:val="24"/>
              </w:rPr>
              <w:t>服务细则（18分）</w:t>
            </w:r>
          </w:p>
        </w:tc>
        <w:tc>
          <w:tcPr>
            <w:tcW w:w="993"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专用条款</w:t>
            </w:r>
          </w:p>
        </w:tc>
        <w:tc>
          <w:tcPr>
            <w:tcW w:w="708" w:type="dxa"/>
            <w:vMerge w:val="restart"/>
            <w:noWrap w:val="0"/>
            <w:vAlign w:val="center"/>
          </w:tcPr>
          <w:p>
            <w:pPr>
              <w:jc w:val="center"/>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color w:val="000000"/>
                <w:szCs w:val="21"/>
              </w:rPr>
              <w:t>自备消杀设备和相关工具、药品，乙方自行做好各类有毒有害的物品安全管制和存储管理工作。严禁仓库存放食物、饮料、电动车充电、存储危化物品等，严禁在仓库做饭、抽烟情况。</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5</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是否违规使用药物污染环境，造成他人人身或财产的伤害或损失</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7</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noWrap w:val="0"/>
            <w:vAlign w:val="center"/>
          </w:tcPr>
          <w:p>
            <w:pPr>
              <w:widowControl/>
              <w:jc w:val="left"/>
              <w:rPr>
                <w:rFonts w:hint="eastAsia" w:ascii="宋体" w:hAnsi="宋体" w:eastAsia="宋体" w:cs="宋体"/>
                <w:sz w:val="24"/>
              </w:rPr>
            </w:pPr>
          </w:p>
        </w:tc>
        <w:tc>
          <w:tcPr>
            <w:tcW w:w="993" w:type="dxa"/>
            <w:vMerge w:val="continue"/>
            <w:noWrap w:val="0"/>
            <w:vAlign w:val="center"/>
          </w:tcPr>
          <w:p>
            <w:pPr>
              <w:widowControl/>
              <w:jc w:val="left"/>
              <w:rPr>
                <w:rFonts w:hint="eastAsia" w:ascii="宋体" w:hAnsi="宋体" w:eastAsia="宋体" w:cs="宋体"/>
                <w:szCs w:val="21"/>
              </w:rPr>
            </w:pPr>
          </w:p>
        </w:tc>
        <w:tc>
          <w:tcPr>
            <w:tcW w:w="708" w:type="dxa"/>
            <w:vMerge w:val="continue"/>
            <w:noWrap w:val="0"/>
            <w:vAlign w:val="center"/>
          </w:tcPr>
          <w:p>
            <w:pPr>
              <w:widowControl/>
              <w:jc w:val="left"/>
              <w:rPr>
                <w:rFonts w:hint="eastAsia" w:ascii="宋体" w:hAnsi="宋体" w:eastAsia="宋体" w:cs="宋体"/>
                <w:szCs w:val="21"/>
              </w:rPr>
            </w:pP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甲方反映有蚊子、蟑螂、苍蝇、老鼠能及时到现场进行处理</w:t>
            </w:r>
          </w:p>
        </w:tc>
        <w:tc>
          <w:tcPr>
            <w:tcW w:w="525" w:type="dxa"/>
            <w:noWrap w:val="0"/>
            <w:vAlign w:val="center"/>
          </w:tcPr>
          <w:p>
            <w:pPr>
              <w:spacing w:line="260" w:lineRule="exact"/>
              <w:jc w:val="center"/>
              <w:rPr>
                <w:rFonts w:hint="eastAsia" w:ascii="宋体" w:hAnsi="宋体" w:eastAsia="宋体" w:cs="宋体"/>
                <w:szCs w:val="21"/>
              </w:rPr>
            </w:pPr>
            <w:r>
              <w:rPr>
                <w:rFonts w:hint="eastAsia" w:ascii="宋体" w:hAnsi="宋体" w:eastAsia="宋体" w:cs="宋体"/>
                <w:szCs w:val="21"/>
              </w:rPr>
              <w:t>6</w:t>
            </w:r>
          </w:p>
        </w:tc>
        <w:tc>
          <w:tcPr>
            <w:tcW w:w="1168" w:type="dxa"/>
            <w:noWrap w:val="0"/>
            <w:vAlign w:val="center"/>
          </w:tcPr>
          <w:p>
            <w:pPr>
              <w:spacing w:line="300" w:lineRule="exact"/>
              <w:jc w:val="center"/>
              <w:rPr>
                <w:rFonts w:hint="eastAsia"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noWrap w:val="0"/>
            <w:vAlign w:val="center"/>
          </w:tcPr>
          <w:p>
            <w:pPr>
              <w:widowControl/>
              <w:jc w:val="center"/>
              <w:rPr>
                <w:rFonts w:hint="eastAsia" w:ascii="宋体" w:hAnsi="宋体" w:eastAsia="宋体" w:cs="宋体"/>
                <w:szCs w:val="21"/>
              </w:rPr>
            </w:pPr>
            <w:r>
              <w:rPr>
                <w:rFonts w:hint="eastAsia" w:ascii="宋体" w:hAnsi="宋体" w:eastAsia="宋体" w:cs="宋体"/>
                <w:b/>
                <w:bCs/>
                <w:szCs w:val="21"/>
              </w:rPr>
              <w:t>一票否决项</w:t>
            </w:r>
          </w:p>
        </w:tc>
        <w:tc>
          <w:tcPr>
            <w:tcW w:w="6029" w:type="dxa"/>
            <w:gridSpan w:val="4"/>
            <w:noWrap w:val="0"/>
            <w:vAlign w:val="center"/>
          </w:tcPr>
          <w:p>
            <w:pPr>
              <w:pStyle w:val="24"/>
              <w:numPr>
                <w:ilvl w:val="0"/>
                <w:numId w:val="17"/>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乙方工作人员存在违反采购管理办法中明确禁止事项的行为（如有则直接评定为差）</w:t>
            </w:r>
          </w:p>
        </w:tc>
        <w:tc>
          <w:tcPr>
            <w:tcW w:w="52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是</w:t>
            </w:r>
          </w:p>
        </w:tc>
        <w:tc>
          <w:tcPr>
            <w:tcW w:w="1168" w:type="dxa"/>
            <w:noWrap w:val="0"/>
            <w:vAlign w:val="center"/>
          </w:tcPr>
          <w:p>
            <w:pPr>
              <w:spacing w:line="300" w:lineRule="exact"/>
              <w:jc w:val="center"/>
              <w:rPr>
                <w:rFonts w:hint="eastAsia" w:ascii="宋体" w:hAnsi="宋体" w:eastAsia="宋体" w:cs="宋体"/>
                <w:sz w:val="20"/>
              </w:rPr>
            </w:pPr>
            <w:r>
              <w:rPr>
                <w:rFonts w:hint="eastAsia" w:ascii="宋体" w:hAnsi="宋体" w:eastAsia="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92" w:type="dxa"/>
            <w:gridSpan w:val="7"/>
            <w:noWrap w:val="0"/>
            <w:vAlign w:val="center"/>
          </w:tcPr>
          <w:p>
            <w:pPr>
              <w:wordWrap w:val="0"/>
              <w:spacing w:line="260" w:lineRule="exact"/>
              <w:ind w:firstLine="360"/>
              <w:jc w:val="right"/>
              <w:rPr>
                <w:rFonts w:hint="eastAsia" w:ascii="宋体" w:hAnsi="宋体" w:eastAsia="宋体" w:cs="宋体"/>
                <w:sz w:val="24"/>
              </w:rPr>
            </w:pPr>
            <w:r>
              <w:rPr>
                <w:rFonts w:hint="eastAsia" w:ascii="宋体" w:hAnsi="宋体" w:eastAsia="宋体" w:cs="宋体"/>
                <w:sz w:val="24"/>
              </w:rPr>
              <w:t xml:space="preserve">合计得分： </w:t>
            </w:r>
          </w:p>
        </w:tc>
        <w:tc>
          <w:tcPr>
            <w:tcW w:w="1693" w:type="dxa"/>
            <w:gridSpan w:val="2"/>
            <w:noWrap w:val="0"/>
            <w:vAlign w:val="center"/>
          </w:tcPr>
          <w:p>
            <w:pPr>
              <w:spacing w:line="2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评价档次</w:t>
            </w:r>
          </w:p>
        </w:tc>
        <w:tc>
          <w:tcPr>
            <w:tcW w:w="185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优秀（≥90分）</w:t>
            </w:r>
          </w:p>
        </w:tc>
        <w:tc>
          <w:tcPr>
            <w:tcW w:w="1827" w:type="dxa"/>
            <w:noWrap w:val="0"/>
            <w:vAlign w:val="center"/>
          </w:tcPr>
          <w:p>
            <w:pPr>
              <w:jc w:val="center"/>
              <w:rPr>
                <w:rFonts w:hint="eastAsia" w:ascii="宋体" w:hAnsi="宋体" w:eastAsia="宋体" w:cs="宋体"/>
                <w:szCs w:val="21"/>
              </w:rPr>
            </w:pPr>
            <w:r>
              <w:rPr>
                <w:rFonts w:hint="eastAsia" w:ascii="宋体" w:hAnsi="宋体" w:eastAsia="宋体" w:cs="宋体"/>
                <w:szCs w:val="21"/>
              </w:rPr>
              <w:t>良好（90&gt;X≥80）</w:t>
            </w:r>
          </w:p>
        </w:tc>
        <w:tc>
          <w:tcPr>
            <w:tcW w:w="306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合格（80&gt;X≥60）</w:t>
            </w:r>
          </w:p>
        </w:tc>
        <w:tc>
          <w:tcPr>
            <w:tcW w:w="1693" w:type="dxa"/>
            <w:gridSpan w:val="2"/>
            <w:noWrap w:val="0"/>
            <w:vAlign w:val="center"/>
          </w:tcPr>
          <w:p>
            <w:pPr>
              <w:rPr>
                <w:rFonts w:hint="eastAsia" w:ascii="宋体" w:hAnsi="宋体" w:eastAsia="宋体" w:cs="宋体"/>
                <w:szCs w:val="21"/>
              </w:rPr>
            </w:pPr>
            <w:r>
              <w:rPr>
                <w:rFonts w:hint="eastAsia" w:ascii="宋体" w:hAnsi="宋体" w:eastAsia="宋体" w:cs="宋体"/>
                <w:szCs w:val="21"/>
              </w:rPr>
              <w:t>不合格（＜60分）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noWrap w:val="0"/>
            <w:vAlign w:val="center"/>
          </w:tcPr>
          <w:p>
            <w:pPr>
              <w:widowControl/>
              <w:jc w:val="left"/>
              <w:rPr>
                <w:rFonts w:hint="eastAsia" w:ascii="宋体" w:hAnsi="宋体" w:eastAsia="宋体" w:cs="宋体"/>
                <w:sz w:val="24"/>
              </w:rPr>
            </w:pPr>
          </w:p>
        </w:tc>
        <w:tc>
          <w:tcPr>
            <w:tcW w:w="1850" w:type="dxa"/>
            <w:gridSpan w:val="2"/>
            <w:noWrap w:val="0"/>
            <w:vAlign w:val="center"/>
          </w:tcPr>
          <w:p>
            <w:pPr>
              <w:ind w:firstLine="360"/>
              <w:jc w:val="center"/>
              <w:rPr>
                <w:rFonts w:hint="eastAsia" w:ascii="宋体" w:hAnsi="宋体" w:eastAsia="宋体" w:cs="宋体"/>
                <w:sz w:val="24"/>
              </w:rPr>
            </w:pPr>
            <w:r>
              <w:rPr>
                <w:rFonts w:hint="eastAsia" w:ascii="宋体" w:hAnsi="宋体" w:eastAsia="宋体" w:cs="宋体"/>
                <w:sz w:val="24"/>
              </w:rPr>
              <w:t>　</w:t>
            </w:r>
          </w:p>
        </w:tc>
        <w:tc>
          <w:tcPr>
            <w:tcW w:w="1827" w:type="dxa"/>
            <w:noWrap w:val="0"/>
            <w:vAlign w:val="center"/>
          </w:tcPr>
          <w:p>
            <w:pPr>
              <w:ind w:firstLine="360"/>
              <w:jc w:val="center"/>
              <w:rPr>
                <w:rFonts w:hint="eastAsia" w:ascii="宋体" w:hAnsi="宋体" w:eastAsia="宋体" w:cs="宋体"/>
                <w:szCs w:val="21"/>
              </w:rPr>
            </w:pPr>
          </w:p>
        </w:tc>
        <w:tc>
          <w:tcPr>
            <w:tcW w:w="3060" w:type="dxa"/>
            <w:gridSpan w:val="2"/>
            <w:noWrap w:val="0"/>
            <w:vAlign w:val="center"/>
          </w:tcPr>
          <w:p>
            <w:pPr>
              <w:ind w:firstLine="360"/>
              <w:jc w:val="center"/>
              <w:rPr>
                <w:rFonts w:hint="eastAsia" w:ascii="宋体" w:hAnsi="宋体" w:eastAsia="宋体" w:cs="宋体"/>
                <w:szCs w:val="21"/>
              </w:rPr>
            </w:pPr>
            <w:r>
              <w:rPr>
                <w:rFonts w:hint="eastAsia" w:ascii="宋体" w:hAnsi="宋体" w:eastAsia="宋体" w:cs="宋体"/>
                <w:szCs w:val="21"/>
              </w:rPr>
              <w:t>　</w:t>
            </w:r>
          </w:p>
        </w:tc>
        <w:tc>
          <w:tcPr>
            <w:tcW w:w="1693" w:type="dxa"/>
            <w:gridSpan w:val="2"/>
            <w:noWrap w:val="0"/>
            <w:vAlign w:val="center"/>
          </w:tcPr>
          <w:p>
            <w:pPr>
              <w:ind w:firstLine="360"/>
              <w:jc w:val="center"/>
              <w:rPr>
                <w:rFonts w:hint="eastAsia" w:ascii="宋体" w:hAnsi="宋体" w:eastAsia="宋体" w:cs="宋体"/>
                <w:szCs w:val="21"/>
              </w:rPr>
            </w:pPr>
            <w:r>
              <w:rPr>
                <w:rFonts w:hint="eastAsia" w:ascii="宋体" w:hAnsi="宋体" w:eastAsia="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985" w:type="dxa"/>
            <w:gridSpan w:val="9"/>
            <w:shd w:val="clear" w:color="auto" w:fill="D9D9D9"/>
            <w:noWrap w:val="0"/>
            <w:vAlign w:val="center"/>
          </w:tcPr>
          <w:p>
            <w:pPr>
              <w:spacing w:line="240" w:lineRule="atLeast"/>
              <w:jc w:val="center"/>
              <w:rPr>
                <w:rFonts w:hint="eastAsia" w:ascii="宋体" w:hAnsi="宋体" w:eastAsia="宋体" w:cs="宋体"/>
                <w:b/>
                <w:bCs/>
                <w:szCs w:val="21"/>
              </w:rPr>
            </w:pPr>
            <w:r>
              <w:rPr>
                <w:rFonts w:hint="eastAsia" w:ascii="宋体" w:hAnsi="宋体" w:eastAsia="宋体" w:cs="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985" w:type="dxa"/>
            <w:gridSpan w:val="9"/>
            <w:noWrap w:val="0"/>
            <w:vAlign w:val="center"/>
          </w:tcPr>
          <w:p>
            <w:pPr>
              <w:tabs>
                <w:tab w:val="left" w:pos="1695"/>
              </w:tabs>
              <w:spacing w:line="240" w:lineRule="atLeast"/>
              <w:jc w:val="center"/>
              <w:rPr>
                <w:rFonts w:hint="eastAsia" w:ascii="宋体" w:hAnsi="宋体" w:eastAsia="宋体" w:cs="宋体"/>
                <w:bCs/>
                <w:szCs w:val="21"/>
              </w:rPr>
            </w:pPr>
            <w:r>
              <w:rPr>
                <w:rFonts w:hint="eastAsia" w:ascii="宋体" w:hAnsi="宋体" w:eastAsia="宋体" w:cs="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5" w:type="dxa"/>
            <w:gridSpan w:val="9"/>
            <w:shd w:val="clear" w:color="auto" w:fill="D9D9D9"/>
            <w:noWrap w:val="0"/>
            <w:vAlign w:val="center"/>
          </w:tcPr>
          <w:p>
            <w:pPr>
              <w:spacing w:line="240" w:lineRule="atLeast"/>
              <w:jc w:val="center"/>
              <w:rPr>
                <w:rFonts w:hint="eastAsia" w:ascii="宋体" w:hAnsi="宋体" w:eastAsia="宋体" w:cs="宋体"/>
                <w:b/>
                <w:bCs/>
                <w:szCs w:val="21"/>
              </w:rPr>
            </w:pPr>
            <w:r>
              <w:rPr>
                <w:rFonts w:hint="eastAsia" w:ascii="宋体" w:hAnsi="宋体" w:eastAsia="宋体" w:cs="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noWrap w:val="0"/>
            <w:vAlign w:val="center"/>
          </w:tcPr>
          <w:p>
            <w:pPr>
              <w:spacing w:line="240" w:lineRule="atLeast"/>
              <w:rPr>
                <w:rFonts w:hint="eastAsia" w:ascii="宋体" w:hAnsi="宋体" w:eastAsia="宋体" w:cs="宋体"/>
                <w:szCs w:val="21"/>
              </w:rPr>
            </w:pPr>
            <w:r>
              <w:rPr>
                <w:rFonts w:hint="eastAsia" w:ascii="宋体" w:hAnsi="宋体" w:eastAsia="宋体" w:cs="宋体"/>
                <w:szCs w:val="21"/>
              </w:rPr>
              <w:t>评价结论</w:t>
            </w:r>
          </w:p>
        </w:tc>
        <w:tc>
          <w:tcPr>
            <w:tcW w:w="8430" w:type="dxa"/>
            <w:gridSpan w:val="7"/>
            <w:noWrap w:val="0"/>
            <w:vAlign w:val="center"/>
          </w:tcPr>
          <w:p>
            <w:pPr>
              <w:spacing w:line="240" w:lineRule="atLeast"/>
              <w:jc w:val="left"/>
              <w:rPr>
                <w:rFonts w:hint="eastAsia" w:ascii="宋体" w:hAnsi="宋体" w:eastAsia="宋体" w:cs="宋体"/>
                <w:bCs/>
                <w:szCs w:val="21"/>
              </w:rPr>
            </w:pPr>
            <w:r>
              <w:rPr>
                <w:rFonts w:hint="eastAsia" w:ascii="宋体" w:hAnsi="宋体" w:eastAsia="宋体" w:cs="宋体"/>
                <w:bCs/>
                <w:szCs w:val="21"/>
              </w:rPr>
              <w:t>总体评价意见：</w:t>
            </w:r>
            <w:r>
              <w:rPr>
                <w:rFonts w:hint="eastAsia" w:ascii="宋体" w:hAnsi="宋体" w:eastAsia="宋体" w:cs="宋体"/>
                <w:szCs w:val="21"/>
                <w:u w:val="single"/>
              </w:rPr>
              <w:t xml:space="preserve">                                                         </w:t>
            </w:r>
          </w:p>
          <w:p>
            <w:pPr>
              <w:spacing w:line="240" w:lineRule="atLeast"/>
              <w:jc w:val="left"/>
              <w:rPr>
                <w:rFonts w:hint="eastAsia" w:ascii="宋体" w:hAnsi="宋体" w:eastAsia="宋体" w:cs="宋体"/>
                <w:bCs/>
                <w:szCs w:val="21"/>
              </w:rPr>
            </w:pPr>
          </w:p>
          <w:p>
            <w:pPr>
              <w:spacing w:line="240" w:lineRule="atLeast"/>
              <w:jc w:val="left"/>
              <w:rPr>
                <w:rFonts w:hint="eastAsia" w:ascii="宋体" w:hAnsi="宋体" w:eastAsia="宋体" w:cs="宋体"/>
                <w:szCs w:val="21"/>
                <w:u w:val="single"/>
              </w:rPr>
            </w:pPr>
            <w:r>
              <w:rPr>
                <w:rFonts w:hint="eastAsia" w:ascii="宋体" w:hAnsi="宋体" w:eastAsia="宋体" w:cs="宋体"/>
                <w:szCs w:val="21"/>
              </w:rPr>
              <w:t>履约评价小组成员</w:t>
            </w:r>
            <w:r>
              <w:rPr>
                <w:rFonts w:hint="eastAsia" w:ascii="宋体" w:hAnsi="宋体" w:eastAsia="宋体" w:cs="宋体"/>
                <w:bCs/>
                <w:szCs w:val="21"/>
              </w:rPr>
              <w:t>签字：</w:t>
            </w:r>
            <w:r>
              <w:rPr>
                <w:rFonts w:hint="eastAsia" w:ascii="宋体" w:hAnsi="宋体" w:eastAsia="宋体" w:cs="宋体"/>
                <w:szCs w:val="21"/>
                <w:u w:val="single"/>
              </w:rPr>
              <w:t xml:space="preserve">                    </w:t>
            </w:r>
          </w:p>
          <w:p>
            <w:pPr>
              <w:pStyle w:val="15"/>
              <w:rPr>
                <w:rFonts w:hint="eastAsia" w:ascii="宋体" w:hAnsi="宋体" w:eastAsia="宋体" w:cs="宋体"/>
              </w:rPr>
            </w:pPr>
          </w:p>
          <w:p>
            <w:pPr>
              <w:tabs>
                <w:tab w:val="center" w:pos="3817"/>
              </w:tabs>
              <w:spacing w:line="240" w:lineRule="atLeast"/>
              <w:jc w:val="left"/>
              <w:rPr>
                <w:rFonts w:hint="eastAsia" w:ascii="宋体" w:hAnsi="宋体" w:eastAsia="宋体" w:cs="宋体"/>
                <w:bCs/>
                <w:szCs w:val="21"/>
              </w:rPr>
            </w:pPr>
            <w:r>
              <w:rPr>
                <w:rFonts w:hint="eastAsia" w:ascii="宋体" w:hAnsi="宋体" w:eastAsia="宋体" w:cs="宋体"/>
                <w:szCs w:val="21"/>
              </w:rPr>
              <w:t>日期：        年    月     日</w:t>
            </w:r>
          </w:p>
        </w:tc>
      </w:tr>
    </w:tbl>
    <w:p>
      <w:pPr>
        <w:pStyle w:val="2"/>
        <w:rPr>
          <w:rFonts w:hint="eastAsia"/>
          <w:lang w:val="en-US" w:eastAsia="zh-CN"/>
        </w:rPr>
      </w:pPr>
    </w:p>
    <w:p>
      <w:pPr>
        <w:pStyle w:val="2"/>
        <w:rPr>
          <w:rFonts w:hint="eastAsia"/>
          <w:lang w:val="en-US" w:eastAsia="zh-CN"/>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6" w:name="_Toc31019"/>
      <w:r>
        <w:rPr>
          <w:rFonts w:hint="eastAsia" w:ascii="宋体" w:hAnsi="宋体"/>
          <w:b/>
          <w:sz w:val="32"/>
          <w:szCs w:val="32"/>
        </w:rPr>
        <w:t>第二部分：开标评标流程</w:t>
      </w:r>
      <w:bookmarkEnd w:id="46"/>
    </w:p>
    <w:p>
      <w:pPr>
        <w:numPr>
          <w:ilvl w:val="-1"/>
          <w:numId w:val="0"/>
        </w:numPr>
        <w:spacing w:line="360" w:lineRule="auto"/>
        <w:outlineLvl w:val="1"/>
        <w:rPr>
          <w:b/>
        </w:rPr>
      </w:pPr>
      <w:bookmarkStart w:id="47" w:name="_Toc104994641"/>
      <w:bookmarkStart w:id="48" w:name="_Toc6425"/>
      <w:bookmarkStart w:id="49" w:name="_Hlk104908581"/>
      <w:bookmarkStart w:id="50" w:name="_Hlk104908397"/>
      <w:r>
        <w:rPr>
          <w:rFonts w:hint="eastAsia"/>
          <w:b/>
          <w:lang w:eastAsia="zh-CN"/>
        </w:rPr>
        <w:t>六、</w:t>
      </w:r>
      <w:r>
        <w:rPr>
          <w:rFonts w:hint="eastAsia"/>
          <w:b/>
        </w:rPr>
        <w:t>开标阶段</w:t>
      </w:r>
      <w:bookmarkEnd w:id="47"/>
      <w:bookmarkEnd w:id="48"/>
    </w:p>
    <w:bookmarkEnd w:id="49"/>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1"/>
          <w:numId w:val="0"/>
        </w:numPr>
        <w:spacing w:line="360" w:lineRule="auto"/>
        <w:outlineLvl w:val="1"/>
        <w:rPr>
          <w:b/>
        </w:rPr>
      </w:pPr>
      <w:bookmarkStart w:id="51" w:name="_Toc32412"/>
      <w:bookmarkStart w:id="52" w:name="_Toc104994642"/>
      <w:r>
        <w:rPr>
          <w:rFonts w:hint="eastAsia"/>
          <w:b/>
          <w:lang w:eastAsia="zh-CN"/>
        </w:rPr>
        <w:t>七、</w:t>
      </w:r>
      <w:r>
        <w:rPr>
          <w:rFonts w:hint="eastAsia"/>
          <w:b/>
        </w:rPr>
        <w:t>评标阶段</w:t>
      </w:r>
      <w:bookmarkEnd w:id="51"/>
      <w:bookmarkEnd w:id="52"/>
    </w:p>
    <w:p>
      <w:pPr>
        <w:pStyle w:val="24"/>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50"/>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3" w:name="_Toc17825"/>
      <w:r>
        <w:rPr>
          <w:rFonts w:hint="eastAsia" w:ascii="宋体" w:hAnsi="宋体"/>
          <w:b/>
          <w:sz w:val="32"/>
          <w:szCs w:val="32"/>
        </w:rPr>
        <w:t>第三部分：评审办法</w:t>
      </w:r>
      <w:bookmarkEnd w:id="53"/>
    </w:p>
    <w:p>
      <w:pPr>
        <w:numPr>
          <w:ilvl w:val="-1"/>
          <w:numId w:val="0"/>
        </w:numPr>
        <w:spacing w:line="360" w:lineRule="auto"/>
        <w:outlineLvl w:val="1"/>
        <w:rPr>
          <w:rFonts w:ascii="宋体" w:hAnsi="宋体"/>
          <w:szCs w:val="21"/>
        </w:rPr>
      </w:pPr>
      <w:bookmarkStart w:id="54" w:name="_Toc29591"/>
      <w:r>
        <w:rPr>
          <w:rFonts w:hint="eastAsia" w:ascii="宋体" w:hAnsi="宋体"/>
          <w:b/>
          <w:bCs/>
          <w:szCs w:val="21"/>
          <w:lang w:eastAsia="zh-CN"/>
        </w:rPr>
        <w:t>八、</w:t>
      </w:r>
      <w:r>
        <w:rPr>
          <w:rFonts w:hint="eastAsia" w:ascii="宋体" w:hAnsi="宋体"/>
          <w:b/>
          <w:bCs/>
          <w:szCs w:val="21"/>
        </w:rPr>
        <w:t>评审办法</w:t>
      </w:r>
      <w:bookmarkEnd w:id="5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345"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44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35</w:t>
            </w:r>
            <w:r>
              <w:rPr>
                <w:rFonts w:hint="eastAsia" w:ascii="宋体" w:hAnsi="宋体"/>
                <w:szCs w:val="21"/>
              </w:rPr>
              <w:t>%</w:t>
            </w:r>
          </w:p>
        </w:tc>
        <w:tc>
          <w:tcPr>
            <w:tcW w:w="244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701"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0"/>
        </w:numPr>
        <w:spacing w:before="156" w:beforeLines="50"/>
        <w:jc w:val="left"/>
        <w:outlineLvl w:val="2"/>
        <w:rPr>
          <w:rStyle w:val="31"/>
          <w:rFonts w:ascii="宋体" w:hAnsi="宋体"/>
          <w:b/>
          <w:szCs w:val="21"/>
        </w:rPr>
      </w:pPr>
      <w:bookmarkStart w:id="55" w:name="_Toc25496"/>
      <w:r>
        <w:rPr>
          <w:rStyle w:val="31"/>
          <w:rFonts w:hint="eastAsia" w:ascii="宋体" w:hAnsi="宋体"/>
          <w:b/>
          <w:bCs/>
          <w:szCs w:val="21"/>
        </w:rPr>
        <w:t>符合性检查</w:t>
      </w:r>
      <w:bookmarkEnd w:id="55"/>
    </w:p>
    <w:tbl>
      <w:tblPr>
        <w:tblStyle w:val="16"/>
        <w:tblpPr w:leftFromText="180" w:rightFromText="180" w:vertAnchor="text" w:horzAnchor="page" w:tblpX="1066" w:tblpY="504"/>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95"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7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tabs>
                <w:tab w:val="left" w:pos="531"/>
              </w:tabs>
              <w:snapToGrid w:val="0"/>
              <w:spacing w:line="240" w:lineRule="auto"/>
              <w:rPr>
                <w:rFonts w:ascii="宋体" w:hAnsi="宋体" w:cs="仿宋"/>
                <w:b/>
                <w:bCs/>
                <w:szCs w:val="21"/>
              </w:rPr>
            </w:pPr>
            <w:r>
              <w:rPr>
                <w:rFonts w:hint="eastAsia" w:ascii="宋体" w:hAnsi="宋体" w:cs="仿宋"/>
                <w:b/>
                <w:bCs/>
                <w:szCs w:val="21"/>
              </w:rPr>
              <w:t>投标人是否提供以下证明文件：</w:t>
            </w:r>
          </w:p>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320" w:lineRule="exact"/>
              <w:ind w:left="0" w:leftChars="0" w:firstLine="420" w:firstLineChars="200"/>
              <w:textAlignment w:val="auto"/>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320" w:lineRule="exact"/>
              <w:ind w:left="0" w:leftChars="0" w:firstLine="420" w:firstLineChars="200"/>
              <w:textAlignment w:val="auto"/>
              <w:rPr>
                <w:color w:val="auto"/>
                <w:highlight w:val="none"/>
              </w:rPr>
            </w:pPr>
            <w:r>
              <w:rPr>
                <w:rFonts w:hint="eastAsia" w:ascii="宋体" w:hAnsi="宋体" w:cs="宋体"/>
                <w:color w:val="auto"/>
                <w:highlight w:val="none"/>
                <w:lang w:val="en-US" w:eastAsia="zh-CN"/>
              </w:rPr>
              <w:t>（2）投标人须</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月1日至</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公告发布</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止</w:t>
            </w:r>
            <w:r>
              <w:rPr>
                <w:rFonts w:hint="eastAsia" w:ascii="宋体" w:hAnsi="宋体" w:cs="宋体"/>
                <w:color w:val="auto"/>
                <w:sz w:val="21"/>
                <w:szCs w:val="21"/>
                <w:highlight w:val="none"/>
                <w:lang w:val="en-US" w:eastAsia="zh-CN"/>
              </w:rPr>
              <w:t>至少1份金额20万元以上的消杀（或含消杀服务内容）</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提供合同</w:t>
            </w:r>
            <w:r>
              <w:rPr>
                <w:rFonts w:hint="eastAsia" w:ascii="宋体" w:hAnsi="宋体" w:eastAsia="宋体" w:cs="宋体"/>
                <w:color w:val="auto"/>
                <w:sz w:val="21"/>
                <w:szCs w:val="21"/>
                <w:highlight w:val="none"/>
              </w:rPr>
              <w:t>关键页复印件并加盖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公章（合同关键页包含但不限于项目名称、业主方名称、合同主要内容、签订时间、履约地点、甲乙双方盖章等信息）。</w:t>
            </w:r>
          </w:p>
          <w:p>
            <w:pPr>
              <w:numPr>
                <w:ilvl w:val="-1"/>
                <w:numId w:val="0"/>
              </w:numPr>
              <w:tabs>
                <w:tab w:val="left" w:pos="531"/>
              </w:tabs>
              <w:snapToGrid w:val="0"/>
              <w:ind w:left="0" w:firstLine="420" w:firstLineChars="200"/>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60</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pStyle w:val="2"/>
      </w:pPr>
    </w:p>
    <w:p>
      <w:pPr>
        <w:numPr>
          <w:ilvl w:val="0"/>
          <w:numId w:val="20"/>
        </w:numPr>
        <w:spacing w:before="156" w:beforeLines="50"/>
        <w:jc w:val="left"/>
        <w:outlineLvl w:val="2"/>
        <w:rPr>
          <w:rStyle w:val="31"/>
          <w:rFonts w:ascii="宋体" w:hAnsi="宋体"/>
          <w:b/>
          <w:bCs/>
          <w:szCs w:val="21"/>
        </w:rPr>
      </w:pPr>
      <w:bookmarkStart w:id="56" w:name="_Toc23832"/>
      <w:bookmarkStart w:id="57" w:name="_Toc114675512"/>
      <w:r>
        <w:rPr>
          <w:rStyle w:val="31"/>
          <w:rFonts w:hint="eastAsia" w:ascii="宋体" w:hAnsi="宋体"/>
          <w:b/>
          <w:bCs/>
          <w:szCs w:val="21"/>
        </w:rPr>
        <w:t>不可偏离项检查</w:t>
      </w:r>
      <w:bookmarkEnd w:id="56"/>
      <w:bookmarkEnd w:id="5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0"/>
        </w:numPr>
        <w:spacing w:before="156" w:beforeLines="50"/>
        <w:jc w:val="left"/>
        <w:outlineLvl w:val="2"/>
        <w:rPr>
          <w:rFonts w:ascii="宋体" w:hAnsi="宋体"/>
          <w:b/>
          <w:bCs/>
          <w:szCs w:val="21"/>
        </w:rPr>
      </w:pPr>
      <w:bookmarkStart w:id="58" w:name="_Toc11902"/>
      <w:bookmarkStart w:id="59" w:name="_Toc114675513"/>
      <w:r>
        <w:rPr>
          <w:rStyle w:val="31"/>
          <w:rFonts w:hint="eastAsia" w:ascii="宋体" w:hAnsi="宋体"/>
          <w:b/>
          <w:bCs/>
          <w:szCs w:val="21"/>
        </w:rPr>
        <w:t>综合评议指标表</w:t>
      </w:r>
      <w:bookmarkEnd w:id="58"/>
      <w:bookmarkEnd w:id="59"/>
    </w:p>
    <w:tbl>
      <w:tblPr>
        <w:tblStyle w:val="16"/>
        <w:tblpPr w:leftFromText="180" w:rightFromText="180" w:vertAnchor="text" w:horzAnchor="page" w:tblpX="1346" w:tblpY="661"/>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25</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80"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color w:val="FF0000"/>
                <w:sz w:val="21"/>
                <w:szCs w:val="21"/>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企业资质</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color w:val="FF0000"/>
                <w:sz w:val="21"/>
                <w:szCs w:val="21"/>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p>
        </w:tc>
        <w:tc>
          <w:tcPr>
            <w:tcW w:w="6804" w:type="dxa"/>
            <w:gridSpan w:val="2"/>
            <w:tcBorders>
              <w:tl2br w:val="nil"/>
              <w:tr2bl w:val="nil"/>
            </w:tcBorders>
            <w:tcMar>
              <w:top w:w="15" w:type="dxa"/>
              <w:left w:w="15" w:type="dxa"/>
              <w:bottom w:w="15" w:type="dxa"/>
              <w:right w:w="15" w:type="dxa"/>
            </w:tcMar>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b/>
                <w:bCs/>
                <w:szCs w:val="21"/>
              </w:rPr>
            </w:pPr>
            <w:r>
              <w:rPr>
                <w:rFonts w:hint="eastAsia" w:ascii="宋体" w:hAnsi="宋体" w:cs="宋体"/>
                <w:b/>
                <w:bCs/>
                <w:szCs w:val="21"/>
              </w:rPr>
              <w:t>评议内容：</w:t>
            </w:r>
          </w:p>
          <w:p>
            <w:pPr>
              <w:keepNext w:val="0"/>
              <w:keepLines w:val="0"/>
              <w:pageBreakBefore w:val="0"/>
              <w:numPr>
                <w:ilvl w:val="-1"/>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根据投标人</w:t>
            </w:r>
            <w:r>
              <w:rPr>
                <w:rFonts w:hint="eastAsia" w:ascii="宋体" w:hAnsi="宋体" w:cs="宋体"/>
                <w:color w:val="auto"/>
                <w:kern w:val="2"/>
                <w:sz w:val="21"/>
                <w:szCs w:val="21"/>
                <w:highlight w:val="none"/>
                <w:lang w:val="en-US" w:eastAsia="zh-CN" w:bidi="ar-SA"/>
              </w:rPr>
              <w:t>提供有效的甲级《除虫灭鼠资格登记证书》得3分；</w:t>
            </w:r>
          </w:p>
          <w:p>
            <w:pPr>
              <w:keepNext w:val="0"/>
              <w:keepLines w:val="0"/>
              <w:pageBreakBefore w:val="0"/>
              <w:numPr>
                <w:ilvl w:val="-1"/>
                <w:numId w:val="0"/>
              </w:numPr>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(2)提供有效的B级及以上《</w:t>
            </w:r>
            <w:r>
              <w:rPr>
                <w:rFonts w:hint="eastAsia" w:ascii="宋体" w:hAnsi="宋体" w:eastAsia="宋体" w:cs="宋体"/>
                <w:color w:val="auto"/>
                <w:kern w:val="2"/>
                <w:sz w:val="21"/>
                <w:szCs w:val="21"/>
                <w:highlight w:val="none"/>
                <w:lang w:val="en-US" w:eastAsia="zh-CN" w:bidi="ar-SA"/>
              </w:rPr>
              <w:t>有害生物防治服务机构服务能力证书</w:t>
            </w:r>
            <w:r>
              <w:rPr>
                <w:rFonts w:hint="eastAsia" w:ascii="宋体" w:hAnsi="宋体" w:cs="宋体"/>
                <w:color w:val="auto"/>
                <w:kern w:val="2"/>
                <w:sz w:val="21"/>
                <w:szCs w:val="21"/>
                <w:highlight w:val="none"/>
                <w:lang w:val="en-US" w:eastAsia="zh-CN" w:bidi="ar-SA"/>
              </w:rPr>
              <w:t>》得2分。</w:t>
            </w:r>
          </w:p>
          <w:p>
            <w:pPr>
              <w:keepNext w:val="0"/>
              <w:keepLines w:val="0"/>
              <w:pageBreakBefore w:val="0"/>
              <w:numPr>
                <w:ilvl w:val="-1"/>
                <w:numId w:val="0"/>
              </w:numPr>
              <w:kinsoku/>
              <w:wordWrap/>
              <w:overflowPunct/>
              <w:topLinePunct w:val="0"/>
              <w:autoSpaceDE/>
              <w:autoSpaceDN/>
              <w:bidi w:val="0"/>
              <w:adjustRightInd/>
              <w:snapToGrid/>
              <w:spacing w:line="320" w:lineRule="exact"/>
              <w:ind w:left="0"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(3)提供有效的C级《</w:t>
            </w:r>
            <w:r>
              <w:rPr>
                <w:rFonts w:hint="eastAsia" w:ascii="宋体" w:hAnsi="宋体" w:eastAsia="宋体" w:cs="宋体"/>
                <w:color w:val="auto"/>
                <w:kern w:val="2"/>
                <w:sz w:val="21"/>
                <w:szCs w:val="21"/>
                <w:highlight w:val="none"/>
                <w:lang w:val="en-US" w:eastAsia="zh-CN" w:bidi="ar-SA"/>
              </w:rPr>
              <w:t>有害生物防治服务机构服务能力证书</w:t>
            </w:r>
            <w:r>
              <w:rPr>
                <w:rFonts w:hint="eastAsia" w:ascii="宋体" w:hAnsi="宋体" w:cs="宋体"/>
                <w:color w:val="auto"/>
                <w:kern w:val="2"/>
                <w:sz w:val="21"/>
                <w:szCs w:val="21"/>
                <w:highlight w:val="none"/>
                <w:lang w:val="en-US" w:eastAsia="zh-CN" w:bidi="ar-SA"/>
              </w:rPr>
              <w:t>》得1分；</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right="3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right="30" w:firstLine="420" w:firstLineChars="200"/>
              <w:jc w:val="left"/>
              <w:textAlignment w:val="auto"/>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投标人须提供有效期内的资质证书扫描件并加盖投标人公章（原件备查）。未提供或提供的相关证明文件不清晰、不完整或不符合要求的，不得分。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5"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color w:val="FF0000"/>
                <w:sz w:val="21"/>
                <w:szCs w:val="21"/>
                <w:highlight w:val="none"/>
                <w:lang w:eastAsia="zh-CN"/>
              </w:rPr>
            </w:pPr>
            <w:r>
              <w:rPr>
                <w:rFonts w:hint="eastAsia" w:ascii="宋体" w:hAnsi="宋体" w:cs="宋体"/>
                <w:b w:val="0"/>
                <w:bCs w:val="0"/>
                <w:sz w:val="21"/>
                <w:szCs w:val="21"/>
                <w:highlight w:val="none"/>
                <w:lang w:eastAsia="zh-CN"/>
              </w:rPr>
              <w:t>服务</w:t>
            </w:r>
            <w:r>
              <w:rPr>
                <w:rFonts w:hint="eastAsia" w:ascii="宋体" w:hAnsi="宋体" w:eastAsia="宋体" w:cs="宋体"/>
                <w:b w:val="0"/>
                <w:bCs w:val="0"/>
                <w:sz w:val="21"/>
                <w:szCs w:val="21"/>
                <w:highlight w:val="none"/>
                <w:lang w:eastAsia="zh-CN"/>
              </w:rPr>
              <w:t>经验</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color w:val="FF0000"/>
                <w:sz w:val="21"/>
                <w:szCs w:val="21"/>
                <w:highlight w:val="none"/>
              </w:rPr>
            </w:pPr>
            <w:r>
              <w:rPr>
                <w:rFonts w:hint="eastAsia" w:ascii="宋体" w:hAnsi="宋体" w:cs="宋体"/>
                <w:b w:val="0"/>
                <w:bCs w:val="0"/>
                <w:sz w:val="21"/>
                <w:szCs w:val="21"/>
                <w:highlight w:val="none"/>
                <w:lang w:val="en-US" w:eastAsia="zh-CN"/>
              </w:rPr>
              <w:t>11</w:t>
            </w:r>
            <w:r>
              <w:rPr>
                <w:rFonts w:hint="eastAsia" w:ascii="宋体" w:hAnsi="宋体" w:eastAsia="宋体" w:cs="宋体"/>
                <w:b w:val="0"/>
                <w:bCs w:val="0"/>
                <w:sz w:val="21"/>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numPr>
                <w:ilvl w:val="0"/>
                <w:numId w:val="0"/>
              </w:numPr>
              <w:tabs>
                <w:tab w:val="left" w:pos="531"/>
              </w:tabs>
              <w:kinsoku/>
              <w:wordWrap/>
              <w:overflowPunct/>
              <w:topLinePunct w:val="0"/>
              <w:autoSpaceDE/>
              <w:autoSpaceDN/>
              <w:bidi w:val="0"/>
              <w:adjustRightInd/>
              <w:snapToGrid w:val="0"/>
              <w:spacing w:line="240" w:lineRule="auto"/>
              <w:textAlignment w:val="auto"/>
              <w:rPr>
                <w:rFonts w:ascii="宋体" w:hAnsi="宋体" w:cs="宋体"/>
                <w:b/>
                <w:bCs/>
                <w:szCs w:val="21"/>
                <w:highlight w:val="none"/>
              </w:rPr>
            </w:pPr>
            <w:r>
              <w:rPr>
                <w:rFonts w:hint="eastAsia" w:ascii="宋体" w:hAnsi="宋体" w:cs="宋体"/>
                <w:b/>
                <w:bCs/>
                <w:szCs w:val="21"/>
                <w:highlight w:val="none"/>
              </w:rPr>
              <w:t>评议内容：</w:t>
            </w:r>
          </w:p>
          <w:p>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right="30"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2021年1月1日</w:t>
            </w:r>
            <w:r>
              <w:rPr>
                <w:rFonts w:hint="eastAsia" w:ascii="宋体" w:hAnsi="宋体" w:cs="宋体"/>
                <w:color w:val="000000" w:themeColor="text1"/>
                <w:sz w:val="21"/>
                <w:szCs w:val="21"/>
                <w:highlight w:val="none"/>
                <w:lang w:val="en-US" w:eastAsia="zh-CN"/>
                <w14:textFill>
                  <w14:solidFill>
                    <w14:schemeClr w14:val="tx1"/>
                  </w14:solidFill>
                </w14:textFill>
              </w:rPr>
              <w:t>起</w:t>
            </w:r>
            <w:r>
              <w:rPr>
                <w:rFonts w:hint="eastAsia" w:ascii="宋体" w:hAnsi="宋体" w:eastAsia="宋体" w:cs="宋体"/>
                <w:color w:val="000000" w:themeColor="text1"/>
                <w:sz w:val="21"/>
                <w:szCs w:val="21"/>
                <w:highlight w:val="none"/>
                <w:lang w:val="en-US" w:eastAsia="zh-CN"/>
                <w14:textFill>
                  <w14:solidFill>
                    <w14:schemeClr w14:val="tx1"/>
                  </w14:solidFill>
                </w14:textFill>
              </w:rPr>
              <w:t>至本项目</w:t>
            </w:r>
            <w:r>
              <w:rPr>
                <w:rFonts w:hint="eastAsia" w:ascii="宋体" w:hAnsi="宋体" w:cs="宋体"/>
                <w:color w:val="000000" w:themeColor="text1"/>
                <w:sz w:val="21"/>
                <w:szCs w:val="21"/>
                <w:highlight w:val="none"/>
                <w:lang w:val="en-US" w:eastAsia="zh-CN"/>
                <w14:textFill>
                  <w14:solidFill>
                    <w14:schemeClr w14:val="tx1"/>
                  </w14:solidFill>
                </w14:textFill>
              </w:rPr>
              <w:t>发布</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公告之日止</w:t>
            </w:r>
            <w:r>
              <w:rPr>
                <w:rFonts w:hint="eastAsia" w:ascii="宋体" w:hAnsi="宋体" w:cs="宋体"/>
                <w:color w:val="000000" w:themeColor="text1"/>
                <w:sz w:val="21"/>
                <w:szCs w:val="21"/>
                <w:highlight w:val="none"/>
                <w:lang w:val="en-US" w:eastAsia="zh-CN"/>
                <w14:textFill>
                  <w14:solidFill>
                    <w14:schemeClr w14:val="tx1"/>
                  </w14:solidFill>
                </w14:textFill>
              </w:rPr>
              <w:t>消杀服务合同情况进行评议：</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240" w:lineRule="auto"/>
              <w:ind w:left="0" w:right="0" w:firstLine="420" w:firstLineChars="200"/>
              <w:jc w:val="left"/>
              <w:textAlignment w:val="auto"/>
              <w:rPr>
                <w:rFonts w:hint="default" w:ascii="Arial" w:hAnsi="Arial" w:cs="Times New Roman"/>
                <w:kern w:val="0"/>
                <w:sz w:val="20"/>
                <w:szCs w:val="24"/>
                <w:lang w:val="en-US" w:eastAsia="zh-CN" w:bidi="ar-SA"/>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承担过展馆或大型综合体（</w:t>
            </w:r>
            <w:r>
              <w:rPr>
                <w:rFonts w:hint="eastAsia" w:ascii="宋体" w:hAnsi="宋体" w:eastAsia="宋体" w:cs="宋体"/>
                <w:color w:val="000000" w:themeColor="text1"/>
                <w:sz w:val="21"/>
                <w:szCs w:val="21"/>
                <w:highlight w:val="none"/>
                <w14:textFill>
                  <w14:solidFill>
                    <w14:schemeClr w14:val="tx1"/>
                  </w14:solidFill>
                </w14:textFill>
              </w:rPr>
              <w:t>展馆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大型综合体</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写字楼</w:t>
            </w:r>
            <w:r>
              <w:rPr>
                <w:rFonts w:hint="eastAsia" w:ascii="宋体" w:hAnsi="宋体" w:eastAsia="宋体" w:cs="宋体"/>
                <w:color w:val="000000" w:themeColor="text1"/>
                <w:sz w:val="21"/>
                <w:szCs w:val="21"/>
                <w:highlight w:val="none"/>
                <w14:textFill>
                  <w14:solidFill>
                    <w14:schemeClr w14:val="tx1"/>
                  </w14:solidFill>
                </w14:textFill>
              </w:rPr>
              <w:t>面积</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万㎡</w:t>
            </w:r>
            <w:r>
              <w:rPr>
                <w:rFonts w:hint="eastAsia" w:ascii="宋体" w:hAnsi="宋体" w:cs="宋体"/>
                <w:color w:val="000000" w:themeColor="text1"/>
                <w:sz w:val="21"/>
                <w:szCs w:val="21"/>
                <w:highlight w:val="none"/>
                <w:lang w:val="en-US" w:eastAsia="zh-CN"/>
                <w14:textFill>
                  <w14:solidFill>
                    <w14:schemeClr w14:val="tx1"/>
                  </w14:solidFill>
                </w14:textFill>
              </w:rPr>
              <w:t>或以上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）的消杀服务项目经验的，每提供一份合同，得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240" w:lineRule="auto"/>
              <w:ind w:left="0" w:right="0" w:firstLine="420" w:firstLineChars="200"/>
              <w:jc w:val="left"/>
              <w:textAlignment w:val="auto"/>
              <w:rPr>
                <w:rFonts w:hint="default" w:ascii="Arial" w:hAnsi="Arial" w:cs="Times New Roman"/>
                <w:kern w:val="0"/>
                <w:sz w:val="20"/>
                <w:szCs w:val="24"/>
                <w:lang w:val="en-US" w:eastAsia="zh-CN" w:bidi="ar-SA"/>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承担过展馆或大型综合体（</w:t>
            </w:r>
            <w:r>
              <w:rPr>
                <w:rFonts w:hint="eastAsia" w:ascii="宋体" w:hAnsi="宋体" w:eastAsia="宋体" w:cs="宋体"/>
                <w:color w:val="000000" w:themeColor="text1"/>
                <w:sz w:val="21"/>
                <w:szCs w:val="21"/>
                <w:highlight w:val="none"/>
                <w14:textFill>
                  <w14:solidFill>
                    <w14:schemeClr w14:val="tx1"/>
                  </w14:solidFill>
                </w14:textFill>
              </w:rPr>
              <w:t>展馆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大型综合体</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写字楼</w:t>
            </w:r>
            <w:r>
              <w:rPr>
                <w:rFonts w:hint="eastAsia" w:ascii="宋体" w:hAnsi="宋体" w:eastAsia="宋体" w:cs="宋体"/>
                <w:color w:val="000000" w:themeColor="text1"/>
                <w:sz w:val="21"/>
                <w:szCs w:val="21"/>
                <w:highlight w:val="none"/>
                <w14:textFill>
                  <w14:solidFill>
                    <w14:schemeClr w14:val="tx1"/>
                  </w14:solidFill>
                </w14:textFill>
              </w:rPr>
              <w:t>面积</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万㎡</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）的消杀服务项目经验的，每提供一份合同，得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240" w:lineRule="auto"/>
              <w:ind w:left="0" w:right="0" w:firstLine="420" w:firstLineChars="200"/>
              <w:jc w:val="left"/>
              <w:textAlignment w:val="auto"/>
              <w:rPr>
                <w:rFonts w:hint="default" w:ascii="Arial" w:hAnsi="Arial" w:cs="Times New Roman"/>
                <w:kern w:val="0"/>
                <w:sz w:val="20"/>
                <w:szCs w:val="24"/>
                <w:lang w:val="en-US" w:eastAsia="zh-CN" w:bidi="ar-SA"/>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承担过展馆或大型综合体（</w:t>
            </w:r>
            <w:r>
              <w:rPr>
                <w:rFonts w:hint="eastAsia" w:ascii="宋体" w:hAnsi="宋体" w:eastAsia="宋体" w:cs="宋体"/>
                <w:color w:val="000000" w:themeColor="text1"/>
                <w:sz w:val="21"/>
                <w:szCs w:val="21"/>
                <w:highlight w:val="none"/>
                <w14:textFill>
                  <w14:solidFill>
                    <w14:schemeClr w14:val="tx1"/>
                  </w14:solidFill>
                </w14:textFill>
              </w:rPr>
              <w:t>展馆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大型综合体</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写字楼</w:t>
            </w:r>
            <w:r>
              <w:rPr>
                <w:rFonts w:hint="eastAsia" w:ascii="宋体" w:hAnsi="宋体" w:eastAsia="宋体" w:cs="宋体"/>
                <w:color w:val="000000" w:themeColor="text1"/>
                <w:sz w:val="21"/>
                <w:szCs w:val="21"/>
                <w:highlight w:val="none"/>
                <w14:textFill>
                  <w14:solidFill>
                    <w14:schemeClr w14:val="tx1"/>
                  </w14:solidFill>
                </w14:textFill>
              </w:rPr>
              <w:t>面积</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万㎡</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）的消杀服务项目经验的，每提供一份合同，得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20" w:lineRule="exact"/>
              <w:ind w:left="0" w:right="0" w:firstLine="420" w:firstLineChars="200"/>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同一项目只计算1份，最高得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right="3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keepNext w:val="0"/>
              <w:keepLines w:val="0"/>
              <w:pageBreakBefore w:val="0"/>
              <w:numPr>
                <w:ilvl w:val="0"/>
                <w:numId w:val="0"/>
              </w:numPr>
              <w:tabs>
                <w:tab w:val="left" w:pos="531"/>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000000" w:themeColor="text1"/>
                <w:sz w:val="21"/>
                <w:szCs w:val="21"/>
                <w:highlight w:val="none"/>
                <w14:textFill>
                  <w14:solidFill>
                    <w14:schemeClr w14:val="tx1"/>
                  </w14:solidFill>
                </w14:textFill>
              </w:rPr>
              <w:t>自行汇总</w:t>
            </w:r>
            <w:r>
              <w:rPr>
                <w:rFonts w:hint="eastAsia" w:ascii="宋体" w:hAnsi="宋体" w:cs="宋体"/>
                <w:color w:val="000000" w:themeColor="text1"/>
                <w:sz w:val="21"/>
                <w:szCs w:val="21"/>
                <w:highlight w:val="none"/>
                <w:lang w:val="en-US" w:eastAsia="zh-CN"/>
                <w14:textFill>
                  <w14:solidFill>
                    <w14:schemeClr w14:val="tx1"/>
                  </w14:solidFill>
                </w14:textFill>
              </w:rPr>
              <w:t>业绩清单</w:t>
            </w:r>
            <w:r>
              <w:rPr>
                <w:rFonts w:hint="eastAsia" w:ascii="宋体" w:hAnsi="宋体" w:eastAsia="宋体" w:cs="宋体"/>
                <w:color w:val="000000" w:themeColor="text1"/>
                <w:sz w:val="21"/>
                <w:szCs w:val="21"/>
                <w:highlight w:val="none"/>
                <w14:textFill>
                  <w14:solidFill>
                    <w14:schemeClr w14:val="tx1"/>
                  </w14:solidFill>
                </w14:textFill>
              </w:rPr>
              <w:t>，汇总内容包含但不仅限于合同签订双方信息、签订时间、合同金额、合同标的内容等评议所需的关键信息，并提供能体现上述关键信息的合同关键页扫描件且加盖投标人公章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kern w:val="2"/>
                <w:sz w:val="21"/>
                <w:szCs w:val="21"/>
                <w:highlight w:val="none"/>
                <w:lang w:val="en-US" w:eastAsia="zh-CN" w:bidi="ar-SA"/>
              </w:rPr>
              <w:t>未盖投标人公章的，不计分，原件备查。</w:t>
            </w:r>
          </w:p>
          <w:p>
            <w:pPr>
              <w:numPr>
                <w:ilvl w:val="0"/>
                <w:numId w:val="0"/>
              </w:numPr>
              <w:tabs>
                <w:tab w:val="left" w:pos="531"/>
              </w:tabs>
              <w:snapToGrid w:val="0"/>
              <w:ind w:firstLine="420" w:firstLineChars="20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（2）合同中如不体现消杀面积的，自行提供证明材料。</w:t>
            </w:r>
          </w:p>
          <w:p>
            <w:pPr>
              <w:numPr>
                <w:ilvl w:val="0"/>
                <w:numId w:val="0"/>
              </w:numPr>
              <w:tabs>
                <w:tab w:val="left" w:pos="531"/>
              </w:tabs>
              <w:snapToGrid w:val="0"/>
              <w:rPr>
                <w:rFonts w:hint="default"/>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0"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s="宋体"/>
                <w:b w:val="0"/>
                <w:bCs w:val="0"/>
                <w:sz w:val="21"/>
                <w:szCs w:val="21"/>
                <w:lang w:val="en-US" w:eastAsia="zh-CN"/>
              </w:rPr>
            </w:pPr>
          </w:p>
          <w:p>
            <w:pPr>
              <w:pStyle w:val="24"/>
              <w:numPr>
                <w:ilvl w:val="0"/>
                <w:numId w:val="0"/>
              </w:numPr>
              <w:spacing w:line="360" w:lineRule="auto"/>
              <w:ind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公司规模</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6804" w:type="dxa"/>
            <w:gridSpan w:val="2"/>
            <w:tcBorders>
              <w:tl2br w:val="nil"/>
              <w:tr2bl w:val="nil"/>
            </w:tcBorders>
            <w:tcMar>
              <w:top w:w="15" w:type="dxa"/>
              <w:left w:w="15" w:type="dxa"/>
              <w:bottom w:w="15" w:type="dxa"/>
              <w:right w:w="15" w:type="dxa"/>
            </w:tcMar>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b/>
                <w:bCs/>
                <w:szCs w:val="21"/>
                <w:highlight w:val="none"/>
              </w:rPr>
            </w:pPr>
            <w:r>
              <w:rPr>
                <w:rFonts w:hint="eastAsia" w:ascii="宋体" w:hAnsi="宋体" w:cs="宋体"/>
                <w:b/>
                <w:bCs/>
                <w:szCs w:val="21"/>
                <w:highlight w:val="none"/>
              </w:rPr>
              <w:t>评议内容：</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根据投标人持有《有害生物防治（制）员证》证书数量进行评议，10人（含）以上得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 （含）人得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分；5人（含）以下</w:t>
            </w:r>
            <w:r>
              <w:rPr>
                <w:rFonts w:hint="eastAsia" w:ascii="宋体" w:hAnsi="宋体" w:cs="宋体"/>
                <w:color w:val="auto"/>
                <w:kern w:val="2"/>
                <w:sz w:val="21"/>
                <w:szCs w:val="21"/>
                <w:highlight w:val="none"/>
                <w:lang w:val="en-US" w:eastAsia="zh-CN" w:bidi="ar-SA"/>
              </w:rPr>
              <w:t>不得</w:t>
            </w:r>
            <w:r>
              <w:rPr>
                <w:rFonts w:hint="eastAsia" w:ascii="宋体" w:hAnsi="宋体" w:eastAsia="宋体" w:cs="宋体"/>
                <w:color w:val="auto"/>
                <w:kern w:val="2"/>
                <w:sz w:val="21"/>
                <w:szCs w:val="21"/>
                <w:highlight w:val="none"/>
                <w:lang w:val="en-US" w:eastAsia="zh-CN" w:bidi="ar-SA"/>
              </w:rPr>
              <w:t>分。</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right="3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提供上述人员资格证明材料及近三个月由投标人为其缴纳的社保证明材料，如开标日上一个月的社保材料因社保部门原因暂时无法取得，则可以往前顺推</w:t>
            </w:r>
            <w:r>
              <w:rPr>
                <w:rFonts w:hint="eastAsia" w:ascii="宋体" w:hAnsi="宋体" w:eastAsia="宋体" w:cs="宋体"/>
                <w:color w:val="auto"/>
                <w:kern w:val="2"/>
                <w:sz w:val="21"/>
                <w:szCs w:val="21"/>
                <w:highlight w:val="none"/>
                <w:lang w:val="sq-AL" w:eastAsia="zh-CN" w:bidi="ar-SA"/>
              </w:rPr>
              <w:t>一个月</w:t>
            </w:r>
            <w:r>
              <w:rPr>
                <w:rFonts w:hint="eastAsia" w:ascii="宋体" w:hAnsi="宋体" w:cs="宋体"/>
                <w:color w:val="auto"/>
                <w:kern w:val="2"/>
                <w:sz w:val="21"/>
                <w:szCs w:val="21"/>
                <w:highlight w:val="none"/>
                <w:lang w:val="sq-AL" w:eastAsia="zh-CN" w:bidi="ar-SA"/>
              </w:rPr>
              <w:t>，</w:t>
            </w:r>
            <w:r>
              <w:rPr>
                <w:rFonts w:hint="eastAsia" w:ascii="宋体" w:hAnsi="宋体" w:eastAsia="宋体" w:cs="宋体"/>
                <w:color w:val="auto"/>
                <w:kern w:val="2"/>
                <w:sz w:val="21"/>
                <w:szCs w:val="21"/>
                <w:highlight w:val="none"/>
                <w:lang w:val="en-US" w:eastAsia="zh-CN" w:bidi="ar-SA"/>
              </w:rPr>
              <w:t>上述材料均须加盖</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公章，</w:t>
            </w:r>
            <w:r>
              <w:rPr>
                <w:rFonts w:hint="eastAsia" w:ascii="宋体" w:hAnsi="宋体" w:eastAsia="宋体" w:cs="宋体"/>
                <w:color w:val="auto"/>
                <w:kern w:val="2"/>
                <w:sz w:val="21"/>
                <w:szCs w:val="21"/>
                <w:highlight w:val="none"/>
                <w:lang w:val="sq-AL" w:eastAsia="zh-CN" w:bidi="ar-SA"/>
              </w:rPr>
              <w:t>原件备查</w:t>
            </w:r>
            <w:r>
              <w:rPr>
                <w:rFonts w:hint="eastAsia" w:ascii="宋体" w:hAnsi="宋体" w:cs="宋体"/>
                <w:color w:val="auto"/>
                <w:kern w:val="2"/>
                <w:sz w:val="21"/>
                <w:szCs w:val="21"/>
                <w:highlight w:val="none"/>
                <w:lang w:val="sq-AL"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0"/>
              </w:numPr>
              <w:spacing w:line="360" w:lineRule="auto"/>
              <w:ind w:lef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highlight w:val="yellow"/>
              </w:rPr>
            </w:pPr>
            <w:r>
              <w:rPr>
                <w:rFonts w:hint="eastAsia" w:ascii="宋体" w:hAnsi="宋体" w:eastAsia="宋体" w:cs="宋体"/>
                <w:bCs/>
                <w:sz w:val="21"/>
                <w:szCs w:val="21"/>
              </w:rPr>
              <w:t>认证情况</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highlight w:val="yellow"/>
              </w:rPr>
            </w:pP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6804" w:type="dxa"/>
            <w:gridSpan w:val="2"/>
            <w:tcBorders>
              <w:tl2br w:val="nil"/>
              <w:tr2bl w:val="nil"/>
            </w:tcBorders>
            <w:tcMar>
              <w:top w:w="15" w:type="dxa"/>
              <w:left w:w="15" w:type="dxa"/>
              <w:bottom w:w="15" w:type="dxa"/>
              <w:right w:w="15" w:type="dxa"/>
            </w:tcMar>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b/>
                <w:bCs/>
                <w:szCs w:val="21"/>
              </w:rPr>
            </w:pPr>
            <w:r>
              <w:rPr>
                <w:rFonts w:hint="eastAsia" w:ascii="宋体" w:hAnsi="宋体" w:cs="宋体"/>
                <w:b/>
                <w:bCs/>
                <w:szCs w:val="21"/>
              </w:rPr>
              <w:t>评议内容：</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left="0" w:leftChars="0" w:right="3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根据投标人是否具备有效的《质量管理体系认证证书》、《环境管理体系认证证书》、《职业健康安全管理体系认证证书》《诚信管理体系认证》进行评议：每提供一份得1分，满分4分。</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right="3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宋体" w:hAnsi="宋体"/>
                <w:color w:val="FF0000"/>
                <w:szCs w:val="21"/>
                <w:highlight w:val="yellow"/>
              </w:rPr>
            </w:pPr>
            <w:r>
              <w:rPr>
                <w:rFonts w:hint="eastAsia" w:ascii="宋体" w:hAnsi="宋体" w:eastAsia="宋体" w:cs="宋体"/>
                <w:color w:val="auto"/>
                <w:kern w:val="2"/>
                <w:sz w:val="21"/>
                <w:szCs w:val="21"/>
                <w:highlight w:val="none"/>
                <w:lang w:val="en-US" w:eastAsia="zh-CN" w:bidi="ar-SA"/>
              </w:rPr>
              <w:t>投标人须提供有效期内的认证证书扫描件并加盖投标人</w:t>
            </w:r>
            <w:r>
              <w:rPr>
                <w:rFonts w:hint="eastAsia" w:ascii="宋体" w:hAnsi="宋体" w:cs="宋体"/>
                <w:color w:val="auto"/>
                <w:kern w:val="2"/>
                <w:sz w:val="21"/>
                <w:szCs w:val="21"/>
                <w:highlight w:val="none"/>
                <w:lang w:val="en-US" w:eastAsia="zh-CN" w:bidi="ar-SA"/>
              </w:rPr>
              <w:t>公章</w:t>
            </w:r>
            <w:r>
              <w:rPr>
                <w:rFonts w:hint="eastAsia" w:ascii="宋体" w:hAnsi="宋体" w:eastAsia="宋体" w:cs="宋体"/>
                <w:color w:val="auto"/>
                <w:kern w:val="2"/>
                <w:sz w:val="21"/>
                <w:szCs w:val="21"/>
                <w:highlight w:val="none"/>
                <w:lang w:val="en-US" w:eastAsia="zh-CN" w:bidi="ar-SA"/>
              </w:rPr>
              <w:t>（原件备查）。未提供或提供的相关证明文件不清晰、不完整或不符合要求的，不得分。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highlight w:val="yellow"/>
                <w:lang w:val="en-US" w:eastAsia="zh-CN"/>
              </w:rPr>
              <w:t>35</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1"/>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highlight w:val="yellow"/>
              </w:rPr>
            </w:pPr>
            <w:r>
              <w:rPr>
                <w:rFonts w:hint="eastAsia" w:ascii="宋体" w:hAnsi="宋体" w:eastAsia="宋体" w:cs="宋体"/>
                <w:color w:val="000000"/>
                <w:sz w:val="21"/>
                <w:szCs w:val="21"/>
              </w:rPr>
              <w:t>服务方案</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rPr>
            </w:pP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b/>
                <w:bCs/>
                <w:szCs w:val="21"/>
              </w:rPr>
            </w:pPr>
            <w:r>
              <w:rPr>
                <w:rFonts w:hint="eastAsia" w:ascii="宋体" w:hAnsi="宋体" w:cs="宋体"/>
                <w:b/>
                <w:bCs/>
                <w:szCs w:val="21"/>
              </w:rPr>
              <w:t>评议内容：</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left="0" w:leftChars="0" w:right="3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根据投标人制定的会展中心除虫灭鼠服务方案进行评议，包括但不限于：服务方案、品质管理计划及措施、药剂及设备管理方法等。优得20-15分、良得14-9分、一般得8-1分，未提供不得分。</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left="0" w:leftChars="0" w:right="3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FF0000"/>
                <w:kern w:val="0"/>
                <w:szCs w:val="21"/>
                <w:lang w:eastAsia="zh-CN"/>
              </w:rPr>
            </w:pPr>
            <w:r>
              <w:rPr>
                <w:rFonts w:hint="eastAsia" w:ascii="宋体" w:hAnsi="宋体" w:cs="宋体"/>
                <w:szCs w:val="21"/>
                <w:lang w:eastAsia="zh-CN"/>
              </w:rPr>
              <w:t>投标人</w:t>
            </w:r>
            <w:r>
              <w:rPr>
                <w:rFonts w:hint="eastAsia" w:ascii="宋体" w:hAnsi="宋体" w:cs="宋体"/>
                <w:szCs w:val="21"/>
              </w:rPr>
              <w:t>按要求提供</w:t>
            </w:r>
            <w:r>
              <w:rPr>
                <w:rFonts w:hint="eastAsia" w:ascii="宋体" w:hAnsi="宋体" w:cs="宋体"/>
                <w:bCs/>
                <w:color w:val="000000"/>
                <w:szCs w:val="21"/>
              </w:rPr>
              <w:t>《</w:t>
            </w:r>
            <w:r>
              <w:rPr>
                <w:rFonts w:hint="eastAsia" w:ascii="宋体" w:hAnsi="宋体" w:cs="宋体"/>
                <w:bCs/>
                <w:color w:val="000000"/>
                <w:szCs w:val="21"/>
                <w:lang w:eastAsia="zh-CN"/>
              </w:rPr>
              <w:t>除虫灭鼠服务</w:t>
            </w:r>
            <w:r>
              <w:rPr>
                <w:rFonts w:hint="eastAsia" w:ascii="宋体" w:hAnsi="宋体" w:cs="宋体"/>
                <w:bCs/>
                <w:color w:val="000000"/>
                <w:szCs w:val="21"/>
              </w:rPr>
              <w:t>方案》，</w:t>
            </w:r>
            <w:r>
              <w:rPr>
                <w:rFonts w:hint="eastAsia" w:ascii="宋体" w:hAnsi="宋体" w:cs="宋体"/>
                <w:szCs w:val="21"/>
              </w:rPr>
              <w:t>加盖</w:t>
            </w:r>
            <w:r>
              <w:rPr>
                <w:rFonts w:hint="eastAsia" w:ascii="宋体" w:hAnsi="宋体" w:cs="宋体"/>
                <w:szCs w:val="21"/>
                <w:lang w:eastAsia="zh-CN"/>
              </w:rPr>
              <w:t>投标人</w:t>
            </w:r>
            <w:r>
              <w:rPr>
                <w:rFonts w:hint="eastAsia" w:ascii="宋体" w:hAnsi="宋体" w:cs="宋体"/>
                <w:szCs w:val="21"/>
              </w:rPr>
              <w:t>公章</w:t>
            </w:r>
            <w:r>
              <w:rPr>
                <w:rFonts w:hint="eastAsia" w:ascii="宋体" w:hAnsi="宋体" w:cs="宋体"/>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1"/>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应急方案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3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评议内容</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left="0" w:leftChars="0" w:right="3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根据投标人制定的会展中心应急处理方案（如登革热、鼠疫、疫情等）进行评议,优得8-5分，良得4-1分，一般或未提交不得分。</w:t>
            </w:r>
          </w:p>
          <w:p>
            <w:pPr>
              <w:keepNext w:val="0"/>
              <w:keepLines w:val="0"/>
              <w:pageBreakBefore w:val="0"/>
              <w:widowControl/>
              <w:kinsoku/>
              <w:wordWrap/>
              <w:overflowPunct/>
              <w:topLinePunct w:val="0"/>
              <w:autoSpaceDE/>
              <w:autoSpaceDN/>
              <w:bidi w:val="0"/>
              <w:adjustRightInd/>
              <w:snapToGrid/>
              <w:spacing w:line="320" w:lineRule="exact"/>
              <w:ind w:left="0" w:leftChars="0" w:right="3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证明文件：</w:t>
            </w:r>
          </w:p>
          <w:p>
            <w:pPr>
              <w:pStyle w:val="36"/>
              <w:keepNext w:val="0"/>
              <w:keepLines w:val="0"/>
              <w:pageBreakBefore w:val="0"/>
              <w:widowControl/>
              <w:tabs>
                <w:tab w:val="left" w:pos="606"/>
              </w:tabs>
              <w:kinsoku/>
              <w:wordWrap/>
              <w:overflowPunct/>
              <w:topLinePunct w:val="0"/>
              <w:autoSpaceDE/>
              <w:autoSpaceDN/>
              <w:bidi w:val="0"/>
              <w:adjustRightInd/>
              <w:snapToGrid/>
              <w:spacing w:line="320" w:lineRule="exact"/>
              <w:ind w:left="0" w:leftChars="0" w:right="3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eastAsia="zh-CN"/>
              </w:rPr>
              <w:t>投标人</w:t>
            </w:r>
            <w:r>
              <w:rPr>
                <w:rFonts w:hint="eastAsia" w:ascii="宋体" w:hAnsi="宋体" w:eastAsia="宋体" w:cs="宋体"/>
                <w:szCs w:val="21"/>
              </w:rPr>
              <w:t>按要求提供</w:t>
            </w:r>
            <w:r>
              <w:rPr>
                <w:rFonts w:hint="eastAsia" w:ascii="宋体" w:hAnsi="宋体" w:eastAsia="宋体" w:cs="宋体"/>
                <w:bCs/>
                <w:color w:val="000000"/>
                <w:szCs w:val="21"/>
                <w:lang w:eastAsia="zh-CN"/>
              </w:rPr>
              <w:t>《应急方案》</w:t>
            </w:r>
            <w:r>
              <w:rPr>
                <w:rFonts w:hint="eastAsia" w:ascii="宋体" w:hAnsi="宋体" w:eastAsia="宋体" w:cs="宋体"/>
                <w:bCs/>
                <w:color w:val="000000"/>
                <w:szCs w:val="21"/>
              </w:rPr>
              <w:t>，</w:t>
            </w:r>
            <w:r>
              <w:rPr>
                <w:rFonts w:hint="eastAsia" w:ascii="宋体" w:hAnsi="宋体" w:eastAsia="宋体" w:cs="宋体"/>
                <w:szCs w:val="21"/>
              </w:rPr>
              <w:t>加盖</w:t>
            </w:r>
            <w:r>
              <w:rPr>
                <w:rFonts w:hint="eastAsia" w:ascii="宋体" w:hAnsi="宋体" w:eastAsia="宋体" w:cs="宋体"/>
                <w:szCs w:val="21"/>
                <w:lang w:eastAsia="zh-CN"/>
              </w:rPr>
              <w:t>投标人</w:t>
            </w:r>
            <w:r>
              <w:rPr>
                <w:rFonts w:hint="eastAsia" w:ascii="宋体" w:hAnsi="宋体" w:eastAsia="宋体" w:cs="宋体"/>
                <w:szCs w:val="21"/>
              </w:rPr>
              <w:t>公章</w:t>
            </w:r>
            <w:r>
              <w:rPr>
                <w:rFonts w:hint="eastAsia" w:ascii="宋体" w:hAnsi="宋体" w:eastAsia="宋体" w:cs="宋体"/>
                <w:szCs w:val="21"/>
                <w:lang w:eastAsia="zh-CN"/>
              </w:rPr>
              <w:t>。</w:t>
            </w:r>
          </w:p>
          <w:p>
            <w:pPr>
              <w:ind w:firstLine="420" w:firstLineChars="200"/>
              <w:rPr>
                <w:rFonts w:hint="eastAsia" w:ascii="宋体" w:hAnsi="宋体" w:eastAsia="宋体" w:cs="宋体"/>
                <w:color w:val="auto"/>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1"/>
              </w:numPr>
              <w:spacing w:line="360" w:lineRule="auto"/>
              <w:ind w:firstLineChars="0"/>
              <w:jc w:val="center"/>
              <w:rPr>
                <w:rFonts w:hint="eastAsia" w:ascii="宋体" w:hAnsi="宋体" w:eastAsia="宋体" w:cs="宋体"/>
                <w:sz w:val="21"/>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highlight w:val="yellow"/>
                <w:lang w:eastAsia="zh-CN"/>
              </w:rPr>
            </w:pPr>
            <w:r>
              <w:rPr>
                <w:rFonts w:hint="eastAsia" w:ascii="宋体" w:hAnsi="宋体" w:eastAsia="宋体" w:cs="宋体"/>
                <w:color w:val="000000"/>
                <w:sz w:val="21"/>
                <w:szCs w:val="21"/>
              </w:rPr>
              <w:t>拟配备</w:t>
            </w:r>
            <w:r>
              <w:rPr>
                <w:rFonts w:hint="eastAsia" w:ascii="宋体" w:hAnsi="宋体" w:eastAsia="宋体" w:cs="宋体"/>
                <w:color w:val="000000"/>
                <w:sz w:val="21"/>
                <w:szCs w:val="21"/>
                <w:lang w:eastAsia="zh-CN"/>
              </w:rPr>
              <w:t>专职消杀员</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eastAsia="宋体" w:cs="宋体"/>
                <w:color w:val="FF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b/>
                <w:bCs/>
                <w:szCs w:val="21"/>
              </w:rPr>
            </w:pPr>
            <w:r>
              <w:rPr>
                <w:rFonts w:hint="eastAsia" w:ascii="宋体" w:hAnsi="宋体" w:cs="宋体"/>
                <w:b/>
                <w:bCs/>
                <w:szCs w:val="21"/>
              </w:rPr>
              <w:t>评议内容：</w:t>
            </w:r>
          </w:p>
          <w:p>
            <w:pPr>
              <w:ind w:firstLine="420" w:firstLineChars="200"/>
              <w:rPr>
                <w:rFonts w:hint="eastAsia" w:ascii="宋体" w:hAnsi="宋体" w:cs="宋体"/>
                <w:bCs/>
                <w:sz w:val="21"/>
                <w:szCs w:val="21"/>
                <w:lang w:eastAsia="zh-CN"/>
              </w:rPr>
            </w:pPr>
            <w:r>
              <w:rPr>
                <w:rFonts w:hint="eastAsia" w:ascii="宋体" w:hAnsi="宋体" w:cs="宋体"/>
                <w:bCs/>
                <w:sz w:val="21"/>
                <w:szCs w:val="21"/>
                <w:lang w:eastAsia="zh-CN"/>
              </w:rPr>
              <w:t>根据</w:t>
            </w:r>
            <w:r>
              <w:rPr>
                <w:rFonts w:hint="eastAsia" w:ascii="宋体" w:hAnsi="宋体" w:eastAsia="宋体" w:cs="宋体"/>
                <w:bCs/>
                <w:sz w:val="21"/>
                <w:szCs w:val="21"/>
              </w:rPr>
              <w:t>投标人为本项目配备的</w:t>
            </w:r>
            <w:r>
              <w:rPr>
                <w:rFonts w:hint="eastAsia" w:ascii="宋体" w:hAnsi="宋体" w:eastAsia="宋体" w:cs="宋体"/>
                <w:bCs/>
                <w:sz w:val="21"/>
                <w:szCs w:val="21"/>
                <w:lang w:eastAsia="zh-CN"/>
              </w:rPr>
              <w:t>专职</w:t>
            </w:r>
            <w:r>
              <w:rPr>
                <w:rFonts w:hint="eastAsia" w:ascii="宋体" w:hAnsi="宋体" w:eastAsia="宋体" w:cs="宋体"/>
                <w:bCs/>
                <w:sz w:val="21"/>
                <w:szCs w:val="21"/>
              </w:rPr>
              <w:t>消杀人员</w:t>
            </w:r>
            <w:r>
              <w:rPr>
                <w:rFonts w:hint="eastAsia" w:ascii="宋体" w:hAnsi="宋体" w:cs="宋体"/>
                <w:bCs/>
                <w:sz w:val="21"/>
                <w:szCs w:val="21"/>
                <w:lang w:eastAsia="zh-CN"/>
              </w:rPr>
              <w:t>（</w:t>
            </w:r>
            <w:r>
              <w:rPr>
                <w:rFonts w:hint="eastAsia" w:ascii="宋体" w:hAnsi="宋体" w:cs="宋体"/>
                <w:bCs/>
                <w:sz w:val="21"/>
                <w:szCs w:val="21"/>
                <w:lang w:val="en-US" w:eastAsia="zh-CN"/>
              </w:rPr>
              <w:t>含项目负责人）</w:t>
            </w:r>
            <w:r>
              <w:rPr>
                <w:rFonts w:hint="eastAsia" w:ascii="宋体" w:hAnsi="宋体" w:eastAsia="宋体" w:cs="宋体"/>
                <w:bCs/>
                <w:sz w:val="21"/>
                <w:szCs w:val="21"/>
              </w:rPr>
              <w:t>必须为投标人自有员工</w:t>
            </w:r>
            <w:r>
              <w:rPr>
                <w:rFonts w:hint="eastAsia" w:ascii="宋体" w:hAnsi="宋体" w:cs="宋体"/>
                <w:bCs/>
                <w:sz w:val="21"/>
                <w:szCs w:val="21"/>
                <w:lang w:val="en-US" w:eastAsia="zh-CN"/>
              </w:rPr>
              <w:t>进行评议</w:t>
            </w:r>
            <w:r>
              <w:rPr>
                <w:rFonts w:hint="eastAsia" w:ascii="宋体" w:hAnsi="宋体" w:cs="宋体"/>
                <w:bCs/>
                <w:sz w:val="21"/>
                <w:szCs w:val="21"/>
                <w:lang w:eastAsia="zh-CN"/>
              </w:rPr>
              <w:t>：</w:t>
            </w:r>
          </w:p>
          <w:p>
            <w:pPr>
              <w:numPr>
                <w:ilvl w:val="-1"/>
                <w:numId w:val="0"/>
              </w:numPr>
              <w:ind w:left="0" w:firstLine="420" w:firstLineChars="200"/>
              <w:rPr>
                <w:rFonts w:hint="default" w:ascii="宋体" w:hAnsi="宋体" w:cs="宋体"/>
                <w:bCs/>
                <w:sz w:val="21"/>
                <w:szCs w:val="21"/>
                <w:lang w:val="en-US"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1</w:t>
            </w:r>
            <w:r>
              <w:rPr>
                <w:rFonts w:hint="eastAsia" w:ascii="宋体" w:hAnsi="宋体" w:cs="宋体"/>
                <w:bCs/>
                <w:sz w:val="21"/>
                <w:szCs w:val="21"/>
                <w:lang w:eastAsia="zh-CN"/>
              </w:rPr>
              <w:t>）</w:t>
            </w:r>
            <w:r>
              <w:rPr>
                <w:rFonts w:hint="eastAsia" w:ascii="宋体" w:hAnsi="宋体" w:eastAsia="宋体" w:cs="宋体"/>
                <w:bCs/>
                <w:sz w:val="21"/>
                <w:szCs w:val="21"/>
              </w:rPr>
              <w:t>具有有害生物防制</w:t>
            </w:r>
            <w:r>
              <w:rPr>
                <w:rFonts w:hint="eastAsia" w:ascii="宋体" w:hAnsi="宋体" w:cs="宋体"/>
                <w:bCs/>
                <w:sz w:val="21"/>
                <w:szCs w:val="21"/>
                <w:lang w:eastAsia="zh-CN"/>
              </w:rPr>
              <w:t>（治）工（</w:t>
            </w:r>
            <w:r>
              <w:rPr>
                <w:rFonts w:hint="eastAsia" w:ascii="宋体" w:hAnsi="宋体" w:eastAsia="宋体" w:cs="宋体"/>
                <w:bCs/>
                <w:sz w:val="21"/>
                <w:szCs w:val="21"/>
              </w:rPr>
              <w:t>员</w:t>
            </w:r>
            <w:r>
              <w:rPr>
                <w:rFonts w:hint="eastAsia" w:ascii="宋体" w:hAnsi="宋体" w:cs="宋体"/>
                <w:bCs/>
                <w:sz w:val="21"/>
                <w:szCs w:val="21"/>
                <w:lang w:eastAsia="zh-CN"/>
              </w:rPr>
              <w:t>）</w:t>
            </w:r>
            <w:r>
              <w:rPr>
                <w:rFonts w:hint="eastAsia" w:ascii="宋体" w:hAnsi="宋体" w:eastAsia="宋体" w:cs="宋体"/>
                <w:bCs/>
                <w:sz w:val="21"/>
                <w:szCs w:val="21"/>
              </w:rPr>
              <w:t>高级</w:t>
            </w:r>
            <w:r>
              <w:rPr>
                <w:rFonts w:hint="eastAsia" w:ascii="宋体" w:hAnsi="宋体" w:eastAsia="宋体" w:cs="宋体"/>
                <w:bCs/>
                <w:sz w:val="21"/>
                <w:szCs w:val="21"/>
                <w:lang w:eastAsia="zh-CN"/>
              </w:rPr>
              <w:t>证书</w:t>
            </w:r>
            <w:r>
              <w:rPr>
                <w:rFonts w:hint="eastAsia" w:ascii="宋体" w:hAnsi="宋体" w:eastAsia="宋体" w:cs="宋体"/>
                <w:bCs/>
                <w:sz w:val="21"/>
                <w:szCs w:val="21"/>
              </w:rPr>
              <w:t>（国家职业资格</w:t>
            </w:r>
            <w:r>
              <w:rPr>
                <w:rFonts w:hint="eastAsia" w:ascii="宋体" w:hAnsi="宋体" w:eastAsia="宋体" w:cs="宋体"/>
                <w:sz w:val="21"/>
                <w:szCs w:val="21"/>
              </w:rPr>
              <w:t>三级</w:t>
            </w:r>
            <w:r>
              <w:rPr>
                <w:rFonts w:hint="eastAsia" w:ascii="宋体" w:hAnsi="宋体" w:eastAsia="宋体" w:cs="宋体"/>
                <w:bCs/>
                <w:sz w:val="21"/>
                <w:szCs w:val="21"/>
              </w:rPr>
              <w:t>）</w:t>
            </w:r>
            <w:r>
              <w:rPr>
                <w:rFonts w:hint="eastAsia" w:ascii="宋体" w:hAnsi="宋体" w:cs="宋体"/>
                <w:bCs/>
                <w:sz w:val="21"/>
                <w:szCs w:val="21"/>
                <w:lang w:val="en-US" w:eastAsia="zh-CN"/>
              </w:rPr>
              <w:t>每提供一人</w:t>
            </w:r>
            <w:r>
              <w:rPr>
                <w:rFonts w:hint="eastAsia" w:ascii="宋体" w:hAnsi="宋体" w:eastAsia="宋体" w:cs="宋体"/>
                <w:bCs/>
                <w:sz w:val="21"/>
                <w:szCs w:val="21"/>
              </w:rPr>
              <w:t>得</w:t>
            </w:r>
            <w:r>
              <w:rPr>
                <w:rFonts w:hint="eastAsia" w:ascii="宋体" w:hAnsi="宋体" w:cs="宋体"/>
                <w:bCs/>
                <w:sz w:val="21"/>
                <w:szCs w:val="21"/>
                <w:lang w:val="en-US" w:eastAsia="zh-CN"/>
              </w:rPr>
              <w:t>2</w:t>
            </w:r>
            <w:r>
              <w:rPr>
                <w:rFonts w:hint="eastAsia" w:ascii="宋体" w:hAnsi="宋体" w:eastAsia="宋体" w:cs="宋体"/>
                <w:bCs/>
                <w:sz w:val="21"/>
                <w:szCs w:val="21"/>
              </w:rPr>
              <w:t>分</w:t>
            </w:r>
            <w:r>
              <w:rPr>
                <w:rFonts w:hint="eastAsia" w:ascii="宋体" w:hAnsi="宋体" w:cs="宋体"/>
                <w:bCs/>
                <w:sz w:val="21"/>
                <w:szCs w:val="21"/>
                <w:lang w:eastAsia="zh-CN"/>
              </w:rPr>
              <w:t>，</w:t>
            </w:r>
            <w:r>
              <w:rPr>
                <w:rFonts w:hint="eastAsia" w:ascii="宋体" w:hAnsi="宋体" w:cs="宋体"/>
                <w:bCs/>
                <w:sz w:val="21"/>
                <w:szCs w:val="21"/>
                <w:lang w:val="en-US" w:eastAsia="zh-CN"/>
              </w:rPr>
              <w:t>最高得4分；</w:t>
            </w:r>
          </w:p>
          <w:p>
            <w:pPr>
              <w:numPr>
                <w:ilvl w:val="-1"/>
                <w:numId w:val="0"/>
              </w:numPr>
              <w:ind w:left="0" w:firstLine="420" w:firstLineChars="200"/>
              <w:rPr>
                <w:rFonts w:hint="eastAsia" w:ascii="宋体" w:hAnsi="宋体" w:cs="宋体"/>
                <w:bCs/>
                <w:sz w:val="21"/>
                <w:szCs w:val="21"/>
                <w:lang w:val="en-US"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2</w:t>
            </w:r>
            <w:r>
              <w:rPr>
                <w:rFonts w:hint="eastAsia" w:ascii="宋体" w:hAnsi="宋体" w:cs="宋体"/>
                <w:bCs/>
                <w:sz w:val="21"/>
                <w:szCs w:val="21"/>
                <w:lang w:eastAsia="zh-CN"/>
              </w:rPr>
              <w:t>）</w:t>
            </w:r>
            <w:r>
              <w:rPr>
                <w:rFonts w:hint="eastAsia" w:ascii="宋体" w:hAnsi="宋体" w:eastAsia="宋体" w:cs="宋体"/>
                <w:bCs/>
                <w:sz w:val="21"/>
                <w:szCs w:val="21"/>
              </w:rPr>
              <w:t>具有有害生物防制</w:t>
            </w:r>
            <w:r>
              <w:rPr>
                <w:rFonts w:hint="eastAsia" w:ascii="宋体" w:hAnsi="宋体" w:cs="宋体"/>
                <w:bCs/>
                <w:sz w:val="21"/>
                <w:szCs w:val="21"/>
                <w:lang w:eastAsia="zh-CN"/>
              </w:rPr>
              <w:t>（治）工（</w:t>
            </w:r>
            <w:r>
              <w:rPr>
                <w:rFonts w:hint="eastAsia" w:ascii="宋体" w:hAnsi="宋体" w:eastAsia="宋体" w:cs="宋体"/>
                <w:bCs/>
                <w:sz w:val="21"/>
                <w:szCs w:val="21"/>
              </w:rPr>
              <w:t>员</w:t>
            </w:r>
            <w:r>
              <w:rPr>
                <w:rFonts w:hint="eastAsia" w:ascii="宋体" w:hAnsi="宋体" w:cs="宋体"/>
                <w:bCs/>
                <w:sz w:val="21"/>
                <w:szCs w:val="21"/>
                <w:lang w:eastAsia="zh-CN"/>
              </w:rPr>
              <w:t>）</w:t>
            </w:r>
            <w:r>
              <w:rPr>
                <w:rFonts w:hint="eastAsia" w:ascii="宋体" w:hAnsi="宋体" w:eastAsia="宋体" w:cs="宋体"/>
                <w:bCs/>
                <w:sz w:val="21"/>
                <w:szCs w:val="21"/>
              </w:rPr>
              <w:t>中级</w:t>
            </w:r>
            <w:r>
              <w:rPr>
                <w:rFonts w:hint="eastAsia" w:ascii="宋体" w:hAnsi="宋体" w:cs="宋体"/>
                <w:bCs/>
                <w:sz w:val="21"/>
                <w:szCs w:val="21"/>
                <w:lang w:eastAsia="zh-CN"/>
              </w:rPr>
              <w:t>证书</w:t>
            </w:r>
            <w:r>
              <w:rPr>
                <w:rFonts w:hint="eastAsia" w:ascii="宋体" w:hAnsi="宋体" w:eastAsia="宋体" w:cs="宋体"/>
                <w:bCs/>
                <w:sz w:val="21"/>
                <w:szCs w:val="21"/>
              </w:rPr>
              <w:t>（四级）</w:t>
            </w:r>
            <w:r>
              <w:rPr>
                <w:rFonts w:hint="eastAsia" w:ascii="宋体" w:hAnsi="宋体" w:cs="宋体"/>
                <w:bCs/>
                <w:sz w:val="21"/>
                <w:szCs w:val="21"/>
                <w:lang w:val="en-US" w:eastAsia="zh-CN"/>
              </w:rPr>
              <w:t>每提供一人</w:t>
            </w:r>
            <w:r>
              <w:rPr>
                <w:rFonts w:hint="eastAsia" w:ascii="宋体" w:hAnsi="宋体" w:eastAsia="宋体" w:cs="宋体"/>
                <w:bCs/>
                <w:sz w:val="21"/>
                <w:szCs w:val="21"/>
              </w:rPr>
              <w:t>得</w:t>
            </w:r>
            <w:r>
              <w:rPr>
                <w:rFonts w:hint="eastAsia" w:ascii="宋体" w:hAnsi="宋体" w:cs="宋体"/>
                <w:bCs/>
                <w:sz w:val="21"/>
                <w:szCs w:val="21"/>
                <w:lang w:val="en-US" w:eastAsia="zh-CN"/>
              </w:rPr>
              <w:t>1</w:t>
            </w:r>
            <w:r>
              <w:rPr>
                <w:rFonts w:hint="eastAsia" w:ascii="宋体" w:hAnsi="宋体" w:eastAsia="宋体" w:cs="宋体"/>
                <w:bCs/>
                <w:sz w:val="21"/>
                <w:szCs w:val="21"/>
              </w:rPr>
              <w:t>分,</w:t>
            </w:r>
            <w:r>
              <w:rPr>
                <w:rFonts w:hint="eastAsia" w:ascii="宋体" w:hAnsi="宋体" w:cs="宋体"/>
                <w:bCs/>
                <w:sz w:val="21"/>
                <w:szCs w:val="21"/>
                <w:lang w:val="en-US" w:eastAsia="zh-CN"/>
              </w:rPr>
              <w:t>最高得3分；</w:t>
            </w:r>
          </w:p>
          <w:p>
            <w:pPr>
              <w:numPr>
                <w:ilvl w:val="-1"/>
                <w:numId w:val="0"/>
              </w:numPr>
              <w:ind w:left="0" w:firstLine="420" w:firstLineChars="200"/>
              <w:rPr>
                <w:rFonts w:hint="default" w:ascii="宋体" w:hAnsi="宋体" w:cs="宋体"/>
                <w:bCs/>
                <w:sz w:val="21"/>
                <w:szCs w:val="21"/>
                <w:lang w:val="en-US" w:eastAsia="zh-CN"/>
              </w:rPr>
            </w:pPr>
            <w:r>
              <w:rPr>
                <w:rFonts w:hint="eastAsia" w:ascii="宋体" w:hAnsi="宋体" w:cs="宋体"/>
                <w:bCs/>
                <w:sz w:val="21"/>
                <w:szCs w:val="21"/>
                <w:lang w:val="en-US" w:eastAsia="zh-CN"/>
              </w:rPr>
              <w:t>（3）其他证书人员不得分。</w:t>
            </w:r>
          </w:p>
          <w:p>
            <w:pPr>
              <w:rPr>
                <w:rFonts w:ascii="仿宋" w:hAnsi="仿宋" w:eastAsia="仿宋"/>
                <w:bCs/>
                <w:sz w:val="24"/>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ind w:firstLine="420" w:firstLineChars="200"/>
              <w:rPr>
                <w:rFonts w:hint="eastAsia" w:ascii="宋体" w:hAnsi="宋体" w:eastAsia="宋体" w:cs="宋体"/>
                <w:color w:val="FF0000"/>
                <w:kern w:val="0"/>
                <w:szCs w:val="21"/>
                <w:lang w:eastAsia="zh-CN"/>
              </w:rPr>
            </w:pP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拟配备专职消杀员</w:t>
            </w:r>
            <w:r>
              <w:rPr>
                <w:rFonts w:hint="eastAsia" w:ascii="宋体" w:hAnsi="宋体" w:eastAsia="宋体" w:cs="宋体"/>
                <w:color w:val="auto"/>
                <w:kern w:val="2"/>
                <w:sz w:val="21"/>
                <w:szCs w:val="21"/>
                <w:highlight w:val="none"/>
                <w:lang w:val="en-US" w:eastAsia="zh-CN" w:bidi="ar-SA"/>
              </w:rPr>
              <w:t>资格证明材料及近三个月由投标人为其缴纳的社保证明材料，如开标日上一个月的社保材料因社保部门原因暂时无法取得，则可以往前顺推</w:t>
            </w:r>
            <w:r>
              <w:rPr>
                <w:rFonts w:hint="eastAsia" w:ascii="宋体" w:hAnsi="宋体" w:eastAsia="宋体" w:cs="宋体"/>
                <w:color w:val="auto"/>
                <w:kern w:val="2"/>
                <w:sz w:val="21"/>
                <w:szCs w:val="21"/>
                <w:highlight w:val="none"/>
                <w:lang w:val="sq-AL" w:eastAsia="zh-CN" w:bidi="ar-SA"/>
              </w:rPr>
              <w:t>一个月（</w:t>
            </w:r>
            <w:r>
              <w:rPr>
                <w:rFonts w:hint="eastAsia" w:ascii="宋体" w:hAnsi="宋体" w:eastAsia="宋体" w:cs="宋体"/>
                <w:color w:val="auto"/>
                <w:kern w:val="2"/>
                <w:sz w:val="21"/>
                <w:szCs w:val="21"/>
                <w:highlight w:val="none"/>
                <w:lang w:val="en-US" w:eastAsia="zh-CN" w:bidi="ar-SA"/>
              </w:rPr>
              <w:t>上述材料均须加盖</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公章，</w:t>
            </w:r>
            <w:r>
              <w:rPr>
                <w:rFonts w:hint="eastAsia" w:ascii="宋体" w:hAnsi="宋体" w:eastAsia="宋体" w:cs="宋体"/>
                <w:color w:val="auto"/>
                <w:kern w:val="2"/>
                <w:sz w:val="21"/>
                <w:szCs w:val="21"/>
                <w:highlight w:val="none"/>
                <w:lang w:val="sq-AL" w:eastAsia="zh-CN" w:bidi="ar-SA"/>
              </w:rPr>
              <w:t>原件备查）</w:t>
            </w:r>
            <w:r>
              <w:rPr>
                <w:rFonts w:hint="eastAsia" w:ascii="宋体" w:hAnsi="宋体" w:cs="宋体"/>
                <w:color w:val="auto"/>
                <w:kern w:val="2"/>
                <w:sz w:val="21"/>
                <w:szCs w:val="21"/>
                <w:highlight w:val="none"/>
                <w:lang w:val="sq-AL"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w:t>
            </w:r>
            <w:r>
              <w:rPr>
                <w:rFonts w:hint="eastAsia"/>
                <w:b/>
                <w:bCs/>
                <w:color w:val="FF0000"/>
                <w:lang w:val="en-US" w:eastAsia="zh-CN"/>
              </w:rPr>
              <w:t>未</w:t>
            </w:r>
            <w:r>
              <w:rPr>
                <w:rFonts w:hint="eastAsia"/>
                <w:b/>
                <w:bCs/>
                <w:color w:val="FF0000"/>
              </w:rPr>
              <w:t>税总金额，即净价）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□各有效</w:t>
            </w:r>
            <w:r>
              <w:rPr>
                <w:rFonts w:ascii="宋体" w:hAnsi="宋体"/>
                <w:szCs w:val="21"/>
                <w:highlight w:val="yellow"/>
              </w:rPr>
              <w:t>投</w:t>
            </w:r>
            <w:r>
              <w:rPr>
                <w:rFonts w:hint="eastAsia" w:ascii="宋体" w:hAnsi="宋体"/>
                <w:szCs w:val="21"/>
                <w:highlight w:val="yellow"/>
              </w:rPr>
              <w:t>标报价大于n家时，去掉一个最高和最低报价后的算术平均值乘以</w:t>
            </w:r>
            <w:r>
              <w:rPr>
                <w:rFonts w:ascii="宋体" w:hAnsi="宋体"/>
                <w:szCs w:val="21"/>
                <w:highlight w:val="yellow"/>
                <w:u w:val="single"/>
              </w:rPr>
              <w:t xml:space="preserve">    </w:t>
            </w:r>
            <w:r>
              <w:rPr>
                <w:rFonts w:hint="eastAsia" w:ascii="宋体" w:hAnsi="宋体"/>
                <w:szCs w:val="21"/>
                <w:highlight w:val="yellow"/>
              </w:rPr>
              <w:t>％。当有效投标报价少于n（含）家时，则以所有有效投标报价的算术平均值乘以</w:t>
            </w:r>
            <w:r>
              <w:rPr>
                <w:rFonts w:ascii="宋体" w:hAnsi="宋体"/>
                <w:szCs w:val="21"/>
                <w:highlight w:val="yellow"/>
                <w:u w:val="single"/>
              </w:rPr>
              <w:t xml:space="preserve">    </w:t>
            </w:r>
            <w:r>
              <w:rPr>
                <w:rFonts w:hint="eastAsia" w:ascii="宋体" w:hAnsi="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w:t>
            </w:r>
            <w:r>
              <w:rPr>
                <w:rFonts w:ascii="宋体" w:hAnsi="宋体"/>
                <w:szCs w:val="21"/>
                <w:highlight w:val="yellow"/>
              </w:rPr>
              <w:t>比例</w:t>
            </w:r>
            <w:r>
              <w:rPr>
                <w:rFonts w:hint="eastAsia" w:ascii="宋体" w:hAnsi="宋体"/>
                <w:szCs w:val="21"/>
                <w:highlight w:val="yellow"/>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价格得分=M-[（｜投标价格-基准价｜/基准价）*100/</w:t>
            </w:r>
            <w:r>
              <w:rPr>
                <w:rFonts w:ascii="宋体" w:hAnsi="宋体"/>
                <w:szCs w:val="21"/>
                <w:highlight w:val="yellow"/>
              </w:rPr>
              <w:t>N]*</w:t>
            </w:r>
            <w:r>
              <w:rPr>
                <w:rFonts w:hint="eastAsia" w:ascii="宋体" w:hAnsi="宋体"/>
                <w:szCs w:val="21"/>
                <w:highlight w:val="yellow"/>
              </w:rPr>
              <w:t>扣分值</w:t>
            </w:r>
          </w:p>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M=</w:t>
            </w:r>
            <w:r>
              <w:rPr>
                <w:rFonts w:ascii="宋体" w:hAnsi="宋体"/>
                <w:szCs w:val="21"/>
                <w:highlight w:val="yellow"/>
                <w:u w:val="single"/>
              </w:rPr>
              <w:t xml:space="preserve">    </w:t>
            </w:r>
            <w:r>
              <w:rPr>
                <w:rFonts w:hint="eastAsia" w:ascii="宋体" w:hAnsi="宋体"/>
                <w:szCs w:val="21"/>
                <w:highlight w:val="yellow"/>
              </w:rPr>
              <w:t>（价格评价分项满分值），N=</w:t>
            </w:r>
            <w:r>
              <w:rPr>
                <w:rFonts w:ascii="宋体" w:hAnsi="宋体"/>
                <w:szCs w:val="21"/>
                <w:highlight w:val="yellow"/>
                <w:u w:val="single"/>
              </w:rPr>
              <w:t xml:space="preserve">    </w:t>
            </w:r>
            <w:r>
              <w:rPr>
                <w:rFonts w:hint="eastAsia" w:ascii="宋体" w:hAnsi="宋体"/>
                <w:szCs w:val="21"/>
                <w:highlight w:val="yellow"/>
              </w:rPr>
              <w:t>，投标价格每高于N％时，扣</w:t>
            </w:r>
            <w:r>
              <w:rPr>
                <w:rFonts w:ascii="宋体" w:hAnsi="宋体"/>
                <w:szCs w:val="21"/>
                <w:highlight w:val="yellow"/>
                <w:u w:val="single"/>
              </w:rPr>
              <w:t xml:space="preserve">    </w:t>
            </w:r>
            <w:r>
              <w:rPr>
                <w:rFonts w:hint="eastAsia" w:ascii="宋体" w:hAnsi="宋体"/>
                <w:szCs w:val="21"/>
                <w:highlight w:val="yellow"/>
              </w:rPr>
              <w:t>分；每低于N％时，扣</w:t>
            </w:r>
            <w:r>
              <w:rPr>
                <w:rFonts w:ascii="宋体" w:hAnsi="宋体"/>
                <w:szCs w:val="21"/>
                <w:highlight w:val="yellow"/>
                <w:u w:val="single"/>
              </w:rPr>
              <w:t xml:space="preserve">    </w:t>
            </w:r>
            <w:r>
              <w:rPr>
                <w:rFonts w:hint="eastAsia" w:ascii="宋体" w:hAnsi="宋体"/>
                <w:szCs w:val="21"/>
                <w:highlight w:val="yellow"/>
              </w:rPr>
              <w:t>分；</w:t>
            </w:r>
          </w:p>
          <w:p>
            <w:pPr>
              <w:spacing w:line="240" w:lineRule="atLeast"/>
              <w:jc w:val="left"/>
              <w:rPr>
                <w:rFonts w:ascii="宋体" w:cs="宋体"/>
                <w:kern w:val="0"/>
                <w:szCs w:val="21"/>
                <w:highlight w:val="yellow"/>
              </w:rPr>
            </w:pPr>
            <w:r>
              <w:rPr>
                <w:rFonts w:hint="eastAsia" w:ascii="宋体" w:hAnsi="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□固定乘积法</w:t>
            </w:r>
          </w:p>
        </w:tc>
        <w:tc>
          <w:tcPr>
            <w:tcW w:w="6804" w:type="dxa"/>
            <w:gridSpan w:val="2"/>
            <w:tcBorders>
              <w:tl2br w:val="nil"/>
              <w:tr2bl w:val="nil"/>
            </w:tcBorders>
            <w:vAlign w:val="center"/>
          </w:tcPr>
          <w:p>
            <w:pPr>
              <w:autoSpaceDE w:val="0"/>
              <w:autoSpaceDN w:val="0"/>
              <w:adjustRightInd w:val="0"/>
              <w:snapToGrid w:val="0"/>
              <w:jc w:val="left"/>
              <w:rPr>
                <w:rStyle w:val="21"/>
                <w:rFonts w:ascii="宋体" w:hAnsi="宋体"/>
                <w:highlight w:val="yellow"/>
              </w:rPr>
            </w:pPr>
            <w:r>
              <w:rPr>
                <w:rStyle w:val="21"/>
                <w:rFonts w:hint="eastAsia" w:ascii="宋体" w:hAnsi="宋体"/>
                <w:highlight w:val="yellow"/>
              </w:rPr>
              <w:t>价格得分=（1-A×｜1-投标报价/Z｜）×M</w:t>
            </w:r>
          </w:p>
          <w:p>
            <w:pPr>
              <w:numPr>
                <w:ilvl w:val="0"/>
                <w:numId w:val="22"/>
              </w:numPr>
              <w:autoSpaceDE w:val="0"/>
              <w:autoSpaceDN w:val="0"/>
              <w:adjustRightInd w:val="0"/>
              <w:snapToGrid w:val="0"/>
              <w:jc w:val="left"/>
              <w:rPr>
                <w:rStyle w:val="21"/>
                <w:rFonts w:ascii="宋体" w:hAnsi="宋体"/>
                <w:highlight w:val="yellow"/>
              </w:rPr>
            </w:pPr>
            <w:r>
              <w:rPr>
                <w:rStyle w:val="21"/>
                <w:rFonts w:hint="eastAsia" w:ascii="宋体" w:hAnsi="宋体"/>
                <w:highlight w:val="yellow"/>
              </w:rPr>
              <w:t xml:space="preserve">M= </w:t>
            </w:r>
            <w:r>
              <w:rPr>
                <w:rFonts w:hint="eastAsia" w:ascii="宋体" w:hAnsi="宋体"/>
                <w:color w:val="FF0000"/>
                <w:szCs w:val="21"/>
                <w:highlight w:val="yellow"/>
              </w:rPr>
              <w:t>××</w:t>
            </w:r>
            <w:r>
              <w:rPr>
                <w:rStyle w:val="21"/>
                <w:rFonts w:hint="eastAsia" w:ascii="宋体" w:hAnsi="宋体"/>
                <w:highlight w:val="yellow"/>
              </w:rPr>
              <w:t xml:space="preserve"> （价格评价分项满分值），Z为本次招标基准价；</w:t>
            </w:r>
          </w:p>
          <w:p>
            <w:pPr>
              <w:numPr>
                <w:ilvl w:val="0"/>
                <w:numId w:val="22"/>
              </w:numPr>
              <w:autoSpaceDE w:val="0"/>
              <w:autoSpaceDN w:val="0"/>
              <w:adjustRightInd w:val="0"/>
              <w:snapToGrid w:val="0"/>
              <w:jc w:val="left"/>
              <w:rPr>
                <w:rStyle w:val="21"/>
                <w:rFonts w:ascii="宋体" w:hAnsi="宋体"/>
                <w:highlight w:val="yellow"/>
              </w:rPr>
            </w:pPr>
            <w:r>
              <w:rPr>
                <w:rStyle w:val="21"/>
                <w:rFonts w:hint="eastAsia" w:ascii="宋体" w:hAnsi="宋体"/>
                <w:highlight w:val="yellow"/>
              </w:rPr>
              <w:t>A为价格调整系数，当投标报价低于本次招标最佳报价（即基准价）时，A=0.5；当投标报价高于次招标基准价时，取A=1；</w:t>
            </w:r>
          </w:p>
          <w:p>
            <w:pPr>
              <w:numPr>
                <w:ilvl w:val="0"/>
                <w:numId w:val="22"/>
              </w:numPr>
              <w:jc w:val="left"/>
              <w:rPr>
                <w:rFonts w:ascii="宋体" w:cs="宋体"/>
                <w:kern w:val="0"/>
                <w:szCs w:val="21"/>
                <w:highlight w:val="yellow"/>
              </w:rPr>
            </w:pPr>
            <w:r>
              <w:rPr>
                <w:rStyle w:val="21"/>
                <w:rFonts w:hint="eastAsia" w:ascii="宋体" w:hAnsi="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其他</w:t>
            </w:r>
            <w:r>
              <w:rPr>
                <w:rFonts w:ascii="宋体" w:hAnsi="宋体"/>
                <w:szCs w:val="21"/>
                <w:highlight w:val="yellow"/>
              </w:rPr>
              <w:t>方法</w:t>
            </w:r>
          </w:p>
        </w:tc>
        <w:tc>
          <w:tcPr>
            <w:tcW w:w="6804" w:type="dxa"/>
            <w:gridSpan w:val="2"/>
            <w:tcBorders>
              <w:tl2br w:val="nil"/>
              <w:tr2bl w:val="nil"/>
            </w:tcBorders>
            <w:vAlign w:val="center"/>
          </w:tcPr>
          <w:p>
            <w:pPr>
              <w:spacing w:line="240" w:lineRule="atLeast"/>
              <w:jc w:val="both"/>
              <w:rPr>
                <w:rFonts w:ascii="宋体" w:cs="宋体"/>
                <w:kern w:val="0"/>
                <w:szCs w:val="21"/>
                <w:highlight w:val="yellow"/>
              </w:rPr>
            </w:pPr>
            <w:r>
              <w:rPr>
                <w:rFonts w:hint="eastAsia" w:ascii="宋体" w:hAnsi="宋体" w:cs="宋体"/>
                <w:color w:val="000000"/>
                <w:szCs w:val="21"/>
              </w:rPr>
              <w:t>（1-|投标报价-基准价|÷基准价）×价格权重</w:t>
            </w: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0" w:name="_Toc29006"/>
      <w:r>
        <w:rPr>
          <w:rFonts w:hint="eastAsia" w:ascii="宋体" w:hAnsi="宋体"/>
          <w:b/>
          <w:sz w:val="32"/>
          <w:szCs w:val="32"/>
        </w:rPr>
        <w:t>第四部分：合同条款及格式</w:t>
      </w:r>
      <w:bookmarkEnd w:id="6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61"/>
    <w:p>
      <w:pPr>
        <w:jc w:val="center"/>
        <w:rPr>
          <w:rFonts w:ascii="宋体" w:hAnsi="宋体"/>
          <w:szCs w:val="21"/>
        </w:rPr>
      </w:pPr>
      <w:bookmarkStart w:id="62" w:name="_Hlk116549211"/>
      <w:r>
        <w:rPr>
          <w:rFonts w:hint="eastAsia" w:ascii="方正小标宋简体" w:hAnsi="方正小标宋简体" w:eastAsia="方正小标宋简体" w:cs="方正小标宋简体"/>
          <w:bCs/>
          <w:kern w:val="0"/>
          <w:sz w:val="28"/>
          <w:szCs w:val="28"/>
        </w:rPr>
        <w:t>（仅供参考）</w:t>
      </w:r>
    </w:p>
    <w:bookmarkEnd w:id="62"/>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6"/>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4"/>
        <w:numPr>
          <w:ilvl w:val="1"/>
          <w:numId w:val="29"/>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4"/>
        <w:numPr>
          <w:ilvl w:val="0"/>
          <w:numId w:val="30"/>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4"/>
        <w:numPr>
          <w:ilvl w:val="0"/>
          <w:numId w:val="30"/>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4"/>
        <w:numPr>
          <w:ilvl w:val="1"/>
          <w:numId w:val="29"/>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4"/>
        <w:numPr>
          <w:ilvl w:val="0"/>
          <w:numId w:val="31"/>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4"/>
        <w:numPr>
          <w:ilvl w:val="0"/>
          <w:numId w:val="31"/>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4"/>
        <w:numPr>
          <w:ilvl w:val="0"/>
          <w:numId w:val="31"/>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2"/>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3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6"/>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24"/>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7"/>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违约责任</w:t>
      </w:r>
    </w:p>
    <w:p>
      <w:pPr>
        <w:keepNext w:val="0"/>
        <w:keepLines w:val="0"/>
        <w:pageBreakBefore w:val="0"/>
        <w:numPr>
          <w:ilvl w:val="0"/>
          <w:numId w:val="38"/>
        </w:numPr>
        <w:kinsoku/>
        <w:wordWrap/>
        <w:overflowPunct/>
        <w:topLinePunct w:val="0"/>
        <w:autoSpaceDE/>
        <w:autoSpaceDN/>
        <w:bidi w:val="0"/>
        <w:adjustRightInd/>
        <w:snapToGrid w:val="0"/>
        <w:spacing w:line="400" w:lineRule="exact"/>
        <w:ind w:firstLine="420" w:firstLineChars="200"/>
        <w:textAlignment w:val="auto"/>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keepNext w:val="0"/>
        <w:keepLines w:val="0"/>
        <w:pageBreakBefore w:val="0"/>
        <w:numPr>
          <w:ilvl w:val="0"/>
          <w:numId w:val="38"/>
        </w:numPr>
        <w:kinsoku/>
        <w:wordWrap/>
        <w:overflowPunct/>
        <w:topLinePunct w:val="0"/>
        <w:autoSpaceDE/>
        <w:autoSpaceDN/>
        <w:bidi w:val="0"/>
        <w:adjustRightInd/>
        <w:snapToGrid w:val="0"/>
        <w:spacing w:line="400" w:lineRule="exact"/>
        <w:ind w:firstLine="420" w:firstLineChars="200"/>
        <w:textAlignment w:val="auto"/>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合同变更、终止</w:t>
      </w:r>
    </w:p>
    <w:p>
      <w:pPr>
        <w:keepNext w:val="0"/>
        <w:keepLines w:val="0"/>
        <w:pageBreakBefore w:val="0"/>
        <w:numPr>
          <w:ilvl w:val="0"/>
          <w:numId w:val="39"/>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keepNext w:val="0"/>
        <w:keepLines w:val="0"/>
        <w:pageBreakBefore w:val="0"/>
        <w:numPr>
          <w:ilvl w:val="0"/>
          <w:numId w:val="39"/>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keepNext w:val="0"/>
        <w:keepLines w:val="0"/>
        <w:pageBreakBefore w:val="0"/>
        <w:numPr>
          <w:ilvl w:val="0"/>
          <w:numId w:val="39"/>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keepNext w:val="0"/>
        <w:keepLines w:val="0"/>
        <w:pageBreakBefore w:val="0"/>
        <w:kinsoku/>
        <w:wordWrap/>
        <w:overflowPunct/>
        <w:topLinePunct w:val="0"/>
        <w:autoSpaceDE/>
        <w:autoSpaceDN/>
        <w:bidi w:val="0"/>
        <w:adjustRightInd/>
        <w:spacing w:after="0" w:line="400" w:lineRule="exact"/>
        <w:ind w:left="0" w:firstLine="400" w:firstLineChars="200"/>
        <w:textAlignment w:val="auto"/>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保密条款</w:t>
      </w:r>
    </w:p>
    <w:p>
      <w:pPr>
        <w:pStyle w:val="2"/>
        <w:keepNext w:val="0"/>
        <w:keepLines w:val="0"/>
        <w:pageBreakBefore w:val="0"/>
        <w:kinsoku/>
        <w:wordWrap/>
        <w:overflowPunct/>
        <w:topLinePunct w:val="0"/>
        <w:autoSpaceDE/>
        <w:autoSpaceDN/>
        <w:bidi w:val="0"/>
        <w:adjustRightInd/>
        <w:spacing w:after="0" w:line="400" w:lineRule="exact"/>
        <w:ind w:left="0" w:firstLine="400" w:firstLineChars="200"/>
        <w:textAlignment w:val="auto"/>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不可抗力</w:t>
      </w:r>
    </w:p>
    <w:p>
      <w:pPr>
        <w:pStyle w:val="24"/>
        <w:keepNext w:val="0"/>
        <w:keepLines w:val="0"/>
        <w:pageBreakBefore w:val="0"/>
        <w:numPr>
          <w:ilvl w:val="0"/>
          <w:numId w:val="40"/>
        </w:numPr>
        <w:kinsoku/>
        <w:wordWrap/>
        <w:overflowPunct/>
        <w:topLinePunct w:val="0"/>
        <w:autoSpaceDE/>
        <w:autoSpaceDN/>
        <w:bidi w:val="0"/>
        <w:adjustRightInd/>
        <w:spacing w:line="400" w:lineRule="exact"/>
        <w:ind w:left="0" w:firstLine="420"/>
        <w:textAlignment w:val="auto"/>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4"/>
        <w:keepNext w:val="0"/>
        <w:keepLines w:val="0"/>
        <w:pageBreakBefore w:val="0"/>
        <w:numPr>
          <w:ilvl w:val="0"/>
          <w:numId w:val="40"/>
        </w:numPr>
        <w:kinsoku/>
        <w:wordWrap/>
        <w:overflowPunct/>
        <w:topLinePunct w:val="0"/>
        <w:autoSpaceDE/>
        <w:autoSpaceDN/>
        <w:bidi w:val="0"/>
        <w:adjustRightInd/>
        <w:spacing w:line="400" w:lineRule="exact"/>
        <w:ind w:left="0" w:firstLine="420"/>
        <w:textAlignment w:val="auto"/>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争议解决</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keepNext w:val="0"/>
        <w:keepLines w:val="0"/>
        <w:pageBreakBefore w:val="0"/>
        <w:numPr>
          <w:ilvl w:val="0"/>
          <w:numId w:val="24"/>
        </w:numPr>
        <w:kinsoku/>
        <w:wordWrap/>
        <w:overflowPunct/>
        <w:topLinePunct w:val="0"/>
        <w:autoSpaceDE/>
        <w:autoSpaceDN/>
        <w:bidi w:val="0"/>
        <w:adjustRightInd/>
        <w:spacing w:after="0" w:line="400" w:lineRule="exact"/>
        <w:ind w:left="0" w:firstLine="402" w:firstLineChars="200"/>
        <w:textAlignment w:val="auto"/>
        <w:rPr>
          <w:rFonts w:ascii="宋体" w:hAnsi="宋体" w:cs="仿宋"/>
          <w:b/>
          <w:bCs/>
          <w:sz w:val="21"/>
          <w:szCs w:val="21"/>
        </w:rPr>
      </w:pPr>
      <w:r>
        <w:rPr>
          <w:rFonts w:hint="eastAsia" w:ascii="宋体" w:hAnsi="宋体" w:cs="仿宋"/>
          <w:b/>
          <w:bCs/>
          <w:sz w:val="21"/>
          <w:szCs w:val="21"/>
        </w:rPr>
        <w:t>其他条款</w:t>
      </w:r>
    </w:p>
    <w:p>
      <w:pPr>
        <w:keepNext w:val="0"/>
        <w:keepLines w:val="0"/>
        <w:pageBreakBefore w:val="0"/>
        <w:numPr>
          <w:ilvl w:val="0"/>
          <w:numId w:val="41"/>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keepNext w:val="0"/>
        <w:keepLines w:val="0"/>
        <w:pageBreakBefore w:val="0"/>
        <w:numPr>
          <w:ilvl w:val="0"/>
          <w:numId w:val="41"/>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keepNext w:val="0"/>
        <w:keepLines w:val="0"/>
        <w:pageBreakBefore w:val="0"/>
        <w:numPr>
          <w:ilvl w:val="0"/>
          <w:numId w:val="41"/>
        </w:numPr>
        <w:kinsoku/>
        <w:wordWrap/>
        <w:overflowPunct/>
        <w:topLinePunct w:val="0"/>
        <w:autoSpaceDE/>
        <w:autoSpaceDN/>
        <w:bidi w:val="0"/>
        <w:adjustRightInd/>
        <w:spacing w:line="400" w:lineRule="exact"/>
        <w:textAlignment w:val="auto"/>
        <w:rPr>
          <w:rFonts w:ascii="宋体" w:hAnsi="宋体" w:eastAsia="宋体" w:cs="仿宋"/>
          <w:szCs w:val="21"/>
        </w:rPr>
      </w:pPr>
      <w:bookmarkStart w:id="63"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3"/>
    </w:p>
    <w:p>
      <w:pPr>
        <w:keepNext w:val="0"/>
        <w:keepLines w:val="0"/>
        <w:pageBreakBefore w:val="0"/>
        <w:numPr>
          <w:ilvl w:val="0"/>
          <w:numId w:val="41"/>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keepNext w:val="0"/>
        <w:keepLines w:val="0"/>
        <w:pageBreakBefore w:val="0"/>
        <w:numPr>
          <w:ilvl w:val="0"/>
          <w:numId w:val="41"/>
        </w:numPr>
        <w:kinsoku/>
        <w:wordWrap/>
        <w:overflowPunct/>
        <w:topLinePunct w:val="0"/>
        <w:autoSpaceDE/>
        <w:autoSpaceDN/>
        <w:bidi w:val="0"/>
        <w:adjustRightInd/>
        <w:snapToGrid w:val="0"/>
        <w:spacing w:line="400" w:lineRule="exact"/>
        <w:ind w:firstLineChars="200"/>
        <w:textAlignment w:val="auto"/>
        <w:rPr>
          <w:rFonts w:ascii="宋体" w:hAnsi="宋体" w:cs="仿宋"/>
          <w:szCs w:val="21"/>
        </w:rPr>
      </w:pPr>
      <w:r>
        <w:rPr>
          <w:rFonts w:hint="eastAsia" w:ascii="宋体" w:hAnsi="宋体" w:cs="仿宋"/>
          <w:szCs w:val="21"/>
        </w:rPr>
        <w:t>本合同一式陆份，甲方执肆份，乙方执贰份，具有同等法律效力。</w:t>
      </w:r>
    </w:p>
    <w:p>
      <w:pPr>
        <w:pStyle w:val="2"/>
        <w:keepNext w:val="0"/>
        <w:keepLines w:val="0"/>
        <w:pageBreakBefore w:val="0"/>
        <w:kinsoku/>
        <w:wordWrap/>
        <w:overflowPunct/>
        <w:topLinePunct w:val="0"/>
        <w:autoSpaceDE/>
        <w:autoSpaceDN/>
        <w:bidi w:val="0"/>
        <w:adjustRightInd/>
        <w:spacing w:after="0" w:line="400" w:lineRule="exact"/>
        <w:ind w:left="0" w:firstLine="420" w:firstLineChars="200"/>
        <w:textAlignment w:val="auto"/>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keepNext w:val="0"/>
        <w:keepLines w:val="0"/>
        <w:pageBreakBefore w:val="0"/>
        <w:kinsoku/>
        <w:wordWrap/>
        <w:overflowPunct/>
        <w:topLinePunct w:val="0"/>
        <w:autoSpaceDE/>
        <w:autoSpaceDN/>
        <w:bidi w:val="0"/>
        <w:adjustRightInd/>
        <w:spacing w:line="400" w:lineRule="exact"/>
        <w:textAlignment w:val="auto"/>
        <w:rPr>
          <w:rFonts w:ascii="宋体" w:hAnsi="宋体" w:cs="仿宋"/>
          <w:b/>
          <w:bCs/>
          <w:sz w:val="21"/>
          <w:szCs w:val="21"/>
        </w:rPr>
      </w:pPr>
    </w:p>
    <w:p>
      <w:pPr>
        <w:keepNext w:val="0"/>
        <w:keepLines w:val="0"/>
        <w:pageBreakBefore w:val="0"/>
        <w:kinsoku/>
        <w:wordWrap/>
        <w:overflowPunct/>
        <w:topLinePunct w:val="0"/>
        <w:autoSpaceDE/>
        <w:autoSpaceDN/>
        <w:bidi w:val="0"/>
        <w:adjustRightInd/>
        <w:spacing w:line="400" w:lineRule="exact"/>
        <w:ind w:firstLine="560"/>
        <w:textAlignment w:val="auto"/>
        <w:rPr>
          <w:rFonts w:ascii="宋体" w:hAnsi="宋体" w:cs="仿宋"/>
          <w:szCs w:val="21"/>
        </w:rPr>
      </w:pPr>
      <w:r>
        <w:rPr>
          <w:rFonts w:hint="eastAsia" w:ascii="宋体" w:hAnsi="宋体" w:cs="宋体"/>
          <w:b/>
          <w:kern w:val="0"/>
          <w:szCs w:val="21"/>
        </w:rPr>
        <w:t>甲  方(盖章)： 深圳会展中心管理有限责任公司</w:t>
      </w:r>
    </w:p>
    <w:p>
      <w:pPr>
        <w:keepNext w:val="0"/>
        <w:keepLines w:val="0"/>
        <w:pageBreakBefore w:val="0"/>
        <w:kinsoku/>
        <w:wordWrap/>
        <w:overflowPunct/>
        <w:topLinePunct w:val="0"/>
        <w:autoSpaceDE/>
        <w:autoSpaceDN/>
        <w:bidi w:val="0"/>
        <w:adjustRightInd/>
        <w:spacing w:line="400" w:lineRule="exact"/>
        <w:ind w:firstLine="560"/>
        <w:textAlignment w:val="auto"/>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keepNext w:val="0"/>
        <w:keepLines w:val="0"/>
        <w:pageBreakBefore w:val="0"/>
        <w:kinsoku/>
        <w:wordWrap/>
        <w:overflowPunct/>
        <w:topLinePunct w:val="0"/>
        <w:autoSpaceDE/>
        <w:autoSpaceDN/>
        <w:bidi w:val="0"/>
        <w:adjustRightInd/>
        <w:spacing w:line="400" w:lineRule="exact"/>
        <w:ind w:firstLine="562"/>
        <w:textAlignment w:val="auto"/>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keepNext w:val="0"/>
        <w:keepLines w:val="0"/>
        <w:pageBreakBefore w:val="0"/>
        <w:kinsoku/>
        <w:wordWrap/>
        <w:overflowPunct/>
        <w:topLinePunct w:val="0"/>
        <w:autoSpaceDE/>
        <w:autoSpaceDN/>
        <w:bidi w:val="0"/>
        <w:adjustRightInd/>
        <w:spacing w:line="400" w:lineRule="exact"/>
        <w:ind w:firstLine="560"/>
        <w:textAlignment w:val="auto"/>
        <w:rPr>
          <w:rFonts w:ascii="宋体" w:hAnsi="宋体" w:cs="仿宋"/>
          <w:szCs w:val="21"/>
        </w:rPr>
      </w:pPr>
    </w:p>
    <w:p>
      <w:pPr>
        <w:keepNext w:val="0"/>
        <w:keepLines w:val="0"/>
        <w:pageBreakBefore w:val="0"/>
        <w:kinsoku/>
        <w:wordWrap/>
        <w:overflowPunct/>
        <w:topLinePunct w:val="0"/>
        <w:autoSpaceDE/>
        <w:autoSpaceDN/>
        <w:bidi w:val="0"/>
        <w:adjustRightInd/>
        <w:spacing w:line="400" w:lineRule="exact"/>
        <w:ind w:firstLine="560"/>
        <w:textAlignment w:val="auto"/>
        <w:rPr>
          <w:rFonts w:ascii="宋体" w:hAnsi="宋体" w:cs="宋体"/>
          <w:b/>
          <w:kern w:val="0"/>
          <w:szCs w:val="21"/>
        </w:rPr>
      </w:pPr>
      <w:r>
        <w:rPr>
          <w:rFonts w:hint="eastAsia" w:ascii="宋体" w:hAnsi="宋体" w:cs="宋体"/>
          <w:b/>
          <w:kern w:val="0"/>
          <w:szCs w:val="21"/>
        </w:rPr>
        <w:t xml:space="preserve">乙  方（盖章）：  </w:t>
      </w:r>
    </w:p>
    <w:p>
      <w:pPr>
        <w:keepNext w:val="0"/>
        <w:keepLines w:val="0"/>
        <w:pageBreakBefore w:val="0"/>
        <w:kinsoku/>
        <w:wordWrap/>
        <w:overflowPunct/>
        <w:topLinePunct w:val="0"/>
        <w:autoSpaceDE/>
        <w:autoSpaceDN/>
        <w:bidi w:val="0"/>
        <w:adjustRightInd/>
        <w:spacing w:line="400" w:lineRule="exact"/>
        <w:ind w:firstLine="560"/>
        <w:textAlignment w:val="auto"/>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keepNext w:val="0"/>
        <w:keepLines w:val="0"/>
        <w:pageBreakBefore w:val="0"/>
        <w:kinsoku/>
        <w:wordWrap/>
        <w:overflowPunct/>
        <w:topLinePunct w:val="0"/>
        <w:autoSpaceDE/>
        <w:autoSpaceDN/>
        <w:bidi w:val="0"/>
        <w:adjustRightInd/>
        <w:spacing w:line="400" w:lineRule="exact"/>
        <w:ind w:firstLine="562"/>
        <w:textAlignment w:val="auto"/>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4" w:name="_Toc29124"/>
      <w:r>
        <w:rPr>
          <w:rFonts w:hint="eastAsia"/>
          <w:b/>
          <w:sz w:val="32"/>
          <w:szCs w:val="32"/>
        </w:rPr>
        <w:t>第五部分：参考附件</w:t>
      </w:r>
      <w:bookmarkEnd w:id="64"/>
    </w:p>
    <w:p>
      <w:pPr>
        <w:spacing w:line="0" w:lineRule="atLeast"/>
        <w:outlineLvl w:val="1"/>
        <w:rPr>
          <w:rFonts w:ascii="宋体" w:hAnsi="宋体"/>
        </w:rPr>
      </w:pPr>
      <w:bookmarkStart w:id="65" w:name="_Toc3035"/>
      <w:r>
        <w:rPr>
          <w:rFonts w:hint="eastAsia" w:ascii="宋体" w:hAnsi="宋体"/>
          <w:szCs w:val="21"/>
        </w:rPr>
        <w:t>附件1：</w:t>
      </w:r>
      <w:r>
        <w:rPr>
          <w:rFonts w:hint="eastAsia" w:ascii="宋体" w:hAnsi="宋体"/>
        </w:rPr>
        <w:t>报名回函</w:t>
      </w:r>
      <w:bookmarkEnd w:id="65"/>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keepNext w:val="0"/>
        <w:keepLines w:val="0"/>
        <w:pageBreakBefore w:val="0"/>
        <w:widowControl w:val="0"/>
        <w:kinsoku/>
        <w:wordWrap/>
        <w:overflowPunct/>
        <w:topLinePunct w:val="0"/>
        <w:bidi w:val="0"/>
        <w:spacing w:line="340" w:lineRule="exact"/>
        <w:textAlignment w:val="auto"/>
        <w:outlineLvl w:val="1"/>
        <w:rPr>
          <w:rFonts w:ascii="宋体" w:hAnsi="宋体"/>
          <w:szCs w:val="21"/>
        </w:rPr>
      </w:pPr>
      <w:bookmarkStart w:id="66" w:name="_Toc18589"/>
      <w:r>
        <w:rPr>
          <w:rFonts w:hint="eastAsia" w:ascii="宋体" w:hAnsi="宋体"/>
          <w:szCs w:val="21"/>
        </w:rPr>
        <w:t>附件2：投标函</w:t>
      </w:r>
      <w:bookmarkEnd w:id="66"/>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textAlignment w:val="auto"/>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40" w:firstLineChars="100"/>
        <w:jc w:val="left"/>
        <w:textAlignment w:val="auto"/>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80" w:firstLineChars="200"/>
        <w:jc w:val="left"/>
        <w:textAlignment w:val="auto"/>
        <w:rPr>
          <w:rFonts w:ascii="仿宋" w:hAnsi="仿宋" w:eastAsia="仿宋"/>
          <w:bCs/>
          <w:sz w:val="24"/>
          <w:u w:val="single"/>
        </w:rPr>
      </w:pPr>
      <w:r>
        <w:rPr>
          <w:rFonts w:ascii="仿宋" w:hAnsi="仿宋" w:eastAsia="仿宋"/>
          <w:bCs/>
          <w:sz w:val="24"/>
        </w:rPr>
        <w:t>8、与本投标有关的一切正式往来通讯请发往：</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7" w:name="_Toc6389"/>
      <w:r>
        <w:rPr>
          <w:rFonts w:hint="eastAsia" w:ascii="宋体" w:hAnsi="宋体"/>
          <w:szCs w:val="21"/>
        </w:rPr>
        <w:t>附件3：投标一览表</w:t>
      </w:r>
      <w:bookmarkEnd w:id="6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8"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8"/>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9" w:name="_Toc23812"/>
      <w:r>
        <w:rPr>
          <w:rFonts w:hint="eastAsia" w:ascii="宋体" w:hAnsi="宋体"/>
          <w:szCs w:val="21"/>
        </w:rPr>
        <w:t>附件4：考察证明</w:t>
      </w:r>
      <w:bookmarkEnd w:id="6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0"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1"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1"/>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0"/>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2" w:name="_Toc22210"/>
      <w:r>
        <w:rPr>
          <w:rFonts w:hint="eastAsia" w:ascii="宋体" w:hAnsi="宋体"/>
          <w:szCs w:val="21"/>
        </w:rPr>
        <w:t>附件5：技术服务响应/偏离表</w:t>
      </w:r>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18"/>
      <w:r>
        <w:rPr>
          <w:rFonts w:hint="eastAsia" w:ascii="方正小标宋_GBK" w:hAnsi="方正小标宋_GBK" w:eastAsia="方正小标宋_GBK"/>
          <w:b/>
          <w:sz w:val="32"/>
          <w:szCs w:val="32"/>
        </w:rPr>
        <w:t>技术服务响应/偏离表</w:t>
      </w:r>
      <w:bookmarkEnd w:id="7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4" w:name="_Hlk127434997"/>
      <w:bookmarkStart w:id="75" w:name="_Toc211243320"/>
      <w:r>
        <w:rPr>
          <w:rFonts w:hint="eastAsia" w:ascii="仿宋" w:hAnsi="仿宋" w:eastAsia="仿宋"/>
          <w:sz w:val="30"/>
          <w:szCs w:val="30"/>
        </w:rPr>
        <w:t>法定代表人或其授权委托人（签字或盖章）：</w:t>
      </w:r>
      <w:bookmarkEnd w:id="74"/>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5"/>
      <w:bookmarkStart w:id="76" w:name="_Toc246480945"/>
      <w:bookmarkStart w:id="77" w:name="_Toc236803114"/>
      <w:r>
        <w:rPr>
          <w:rFonts w:ascii="仿宋" w:hAnsi="仿宋" w:eastAsia="仿宋"/>
          <w:sz w:val="28"/>
          <w:szCs w:val="28"/>
        </w:rPr>
        <w:br w:type="page"/>
      </w:r>
    </w:p>
    <w:p>
      <w:pPr>
        <w:spacing w:line="0" w:lineRule="atLeast"/>
        <w:outlineLvl w:val="1"/>
        <w:rPr>
          <w:rFonts w:ascii="宋体" w:hAnsi="宋体"/>
          <w:szCs w:val="21"/>
        </w:rPr>
      </w:pPr>
      <w:bookmarkStart w:id="78" w:name="_Toc10299"/>
      <w:r>
        <w:rPr>
          <w:rFonts w:hint="eastAsia" w:ascii="宋体" w:hAnsi="宋体"/>
          <w:szCs w:val="21"/>
        </w:rPr>
        <w:t>附件6：商务条款响应/偏离表</w:t>
      </w:r>
      <w:bookmarkEnd w:id="76"/>
      <w:bookmarkEnd w:id="77"/>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9" w:name="_Toc211248420"/>
      <w:r>
        <w:rPr>
          <w:rFonts w:hint="eastAsia" w:ascii="方正小标宋_GBK" w:hAnsi="方正小标宋_GBK" w:eastAsia="方正小标宋_GBK"/>
          <w:b/>
          <w:sz w:val="32"/>
          <w:szCs w:val="32"/>
        </w:rPr>
        <w:t>商务条款响应/偏离表</w:t>
      </w:r>
      <w:bookmarkEnd w:id="7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0" w:name="_Toc478387764"/>
      <w:bookmarkStart w:id="81" w:name="_Toc236803111"/>
      <w:bookmarkStart w:id="82" w:name="_Toc395883088"/>
      <w:r>
        <w:rPr>
          <w:rFonts w:ascii="仿宋" w:hAnsi="仿宋" w:eastAsia="仿宋"/>
          <w:sz w:val="28"/>
          <w:szCs w:val="28"/>
        </w:rPr>
        <w:br w:type="page"/>
      </w:r>
    </w:p>
    <w:p>
      <w:pPr>
        <w:spacing w:line="0" w:lineRule="atLeast"/>
        <w:outlineLvl w:val="1"/>
        <w:rPr>
          <w:rFonts w:ascii="宋体" w:hAnsi="宋体"/>
          <w:szCs w:val="21"/>
        </w:rPr>
      </w:pPr>
      <w:bookmarkStart w:id="83" w:name="_Toc1637"/>
      <w:r>
        <w:rPr>
          <w:rFonts w:hint="eastAsia" w:ascii="宋体" w:hAnsi="宋体"/>
          <w:szCs w:val="21"/>
        </w:rPr>
        <w:t>附件7：报价一览表（货物）</w:t>
      </w:r>
      <w:r>
        <w:rPr>
          <w:rFonts w:hint="eastAsia" w:ascii="宋体" w:hAnsi="宋体"/>
          <w:color w:val="FF0000"/>
          <w:szCs w:val="21"/>
        </w:rPr>
        <w:t>（本项目不适用）</w:t>
      </w:r>
      <w:bookmarkEnd w:id="83"/>
    </w:p>
    <w:bookmarkEnd w:id="80"/>
    <w:bookmarkEnd w:id="81"/>
    <w:bookmarkEnd w:id="82"/>
    <w:p>
      <w:pPr>
        <w:spacing w:before="120" w:after="240"/>
        <w:jc w:val="center"/>
        <w:rPr>
          <w:rFonts w:ascii="宋体" w:hAnsi="宋体"/>
          <w:b/>
          <w:sz w:val="32"/>
          <w:szCs w:val="32"/>
        </w:rPr>
      </w:pPr>
      <w:bookmarkStart w:id="84" w:name="_Toc211248412"/>
      <w:r>
        <w:rPr>
          <w:rFonts w:hint="eastAsia" w:ascii="方正小标宋_GBK" w:hAnsi="方正小标宋_GBK" w:eastAsia="方正小标宋_GBK"/>
          <w:b/>
          <w:sz w:val="32"/>
          <w:szCs w:val="32"/>
        </w:rPr>
        <w:t>报价一览表</w:t>
      </w:r>
      <w:bookmarkEnd w:id="8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5" w:name="_Toc82095917"/>
      <w:bookmarkStart w:id="86"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5"/>
    <w:bookmarkEnd w:id="86"/>
    <w:p>
      <w:pPr>
        <w:spacing w:line="0" w:lineRule="atLeast"/>
        <w:outlineLvl w:val="1"/>
        <w:rPr>
          <w:rFonts w:ascii="宋体" w:hAnsi="宋体"/>
          <w:szCs w:val="21"/>
        </w:rPr>
      </w:pPr>
      <w:bookmarkStart w:id="87" w:name="_Toc2074"/>
      <w:r>
        <w:rPr>
          <w:rFonts w:hint="eastAsia" w:ascii="宋体" w:hAnsi="宋体"/>
          <w:szCs w:val="21"/>
        </w:rPr>
        <w:t>附件8：报价一览表（服务）</w:t>
      </w:r>
      <w:bookmarkEnd w:id="8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8" w:name="_Toc12944"/>
      <w:r>
        <w:rPr>
          <w:rFonts w:hint="eastAsia" w:ascii="宋体" w:hAnsi="宋体"/>
          <w:szCs w:val="21"/>
        </w:rPr>
        <w:t>附件9：报价一览表（工程）</w:t>
      </w:r>
      <w:r>
        <w:rPr>
          <w:rFonts w:hint="eastAsia" w:ascii="宋体" w:hAnsi="宋体"/>
          <w:color w:val="FF0000"/>
          <w:szCs w:val="21"/>
        </w:rPr>
        <w:t>（本项目不适用）</w:t>
      </w:r>
      <w:bookmarkEnd w:id="88"/>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9" w:name="_Toc22492"/>
      <w:r>
        <w:rPr>
          <w:rFonts w:hint="eastAsia" w:ascii="宋体" w:hAnsi="宋体"/>
          <w:szCs w:val="21"/>
        </w:rPr>
        <w:t>附件10：法定代表人证明书</w:t>
      </w:r>
      <w:bookmarkEnd w:id="8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0" w:name="_Toc8096"/>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4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48"/>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48"/>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1" w:name="_Toc28749"/>
      <w:r>
        <w:rPr>
          <w:rFonts w:hint="eastAsia" w:ascii="宋体" w:hAnsi="宋体"/>
          <w:szCs w:val="21"/>
        </w:rPr>
        <w:t>附件</w:t>
      </w:r>
      <w:r>
        <w:rPr>
          <w:rFonts w:ascii="宋体" w:hAnsi="宋体"/>
          <w:szCs w:val="21"/>
        </w:rPr>
        <w:t>1</w:t>
      </w:r>
      <w:r>
        <w:rPr>
          <w:rFonts w:hint="eastAsia" w:ascii="宋体" w:hAnsi="宋体"/>
          <w:szCs w:val="21"/>
        </w:rPr>
        <w:t>2：经营业绩一览表</w:t>
      </w:r>
      <w:bookmarkEnd w:id="9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2" w:name="_Toc22918"/>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3" w:name="_Toc32341"/>
      <w:r>
        <w:rPr>
          <w:rFonts w:ascii="仿宋" w:hAnsi="仿宋" w:eastAsia="仿宋"/>
          <w:sz w:val="28"/>
          <w:szCs w:val="28"/>
        </w:rPr>
        <w:br w:type="page"/>
      </w:r>
    </w:p>
    <w:p>
      <w:pPr>
        <w:spacing w:line="0" w:lineRule="atLeast"/>
        <w:outlineLvl w:val="1"/>
        <w:rPr>
          <w:rFonts w:ascii="宋体" w:hAnsi="宋体"/>
          <w:szCs w:val="21"/>
        </w:rPr>
      </w:pPr>
      <w:bookmarkStart w:id="94" w:name="_Toc21135"/>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3"/>
      <w:bookmarkEnd w:id="9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5" w:name="_Toc100848654"/>
      <w:bookmarkStart w:id="96" w:name="_Toc13834"/>
      <w:r>
        <w:rPr>
          <w:rFonts w:hint="eastAsia" w:ascii="宋体" w:hAnsi="宋体"/>
        </w:rPr>
        <w:t>附件15：投标文件密码</w:t>
      </w:r>
      <w:bookmarkEnd w:id="95"/>
      <w:r>
        <w:rPr>
          <w:rFonts w:hint="eastAsia" w:ascii="宋体" w:hAnsi="宋体"/>
        </w:rPr>
        <w:t>单</w:t>
      </w:r>
      <w:bookmarkEnd w:id="96"/>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7"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7"/>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52"/>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52"/>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8"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8"/>
    </w:p>
    <w:p>
      <w:pPr>
        <w:pStyle w:val="12"/>
      </w:pPr>
    </w:p>
    <w:sectPr>
      <w:footerReference r:id="rId5" w:type="default"/>
      <w:pgSz w:w="11906" w:h="16838"/>
      <w:pgMar w:top="1440" w:right="1800" w:bottom="1440" w:left="1800" w:header="851" w:footer="408"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9" w:name="_Hlk116546063"/>
    <w:bookmarkStart w:id="100" w:name="_Hlk116546062"/>
    <w:r>
      <w:rPr>
        <w:rFonts w:hint="eastAsia" w:ascii="宋体" w:hAnsi="宋体" w:cs="宋体"/>
        <w:bCs/>
      </w:rPr>
      <w:t>版本发布日期：</w:t>
    </w:r>
    <w:r>
      <w:rPr>
        <w:rFonts w:hint="eastAsia" w:ascii="宋体" w:hAnsi="宋体" w:cs="宋体"/>
        <w:bCs/>
        <w:u w:val="single"/>
      </w:rPr>
      <w:t>2023年</w:t>
    </w:r>
    <w:r>
      <w:rPr>
        <w:rFonts w:hint="eastAsia" w:ascii="宋体" w:hAnsi="宋体" w:cs="宋体"/>
        <w:bCs/>
        <w:u w:val="single"/>
        <w:lang w:val="en-US" w:eastAsia="zh-CN"/>
      </w:rPr>
      <w:t>4</w:t>
    </w:r>
    <w:r>
      <w:rPr>
        <w:rFonts w:hint="eastAsia" w:ascii="宋体" w:hAnsi="宋体" w:cs="宋体"/>
        <w:bCs/>
        <w:u w:val="single"/>
      </w:rPr>
      <w:t>月</w:t>
    </w:r>
    <w:r>
      <w:rPr>
        <w:rFonts w:hint="eastAsia" w:ascii="宋体" w:hAnsi="宋体" w:cs="宋体"/>
        <w:bCs/>
        <w:u w:val="single"/>
        <w:lang w:val="en-US" w:eastAsia="zh-CN"/>
      </w:rPr>
      <w:t>10</w:t>
    </w:r>
    <w:r>
      <w:rPr>
        <w:rFonts w:hint="eastAsia" w:ascii="宋体" w:hAnsi="宋体" w:cs="宋体"/>
        <w:bCs/>
        <w:u w:val="single"/>
      </w:rPr>
      <w:t>日</w:t>
    </w:r>
    <w:bookmarkEnd w:id="99"/>
    <w:bookmarkEnd w:id="10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2FB5E33"/>
    <w:multiLevelType w:val="singleLevel"/>
    <w:tmpl w:val="C2FB5E33"/>
    <w:lvl w:ilvl="0" w:tentative="0">
      <w:start w:val="5"/>
      <w:numFmt w:val="chineseCounting"/>
      <w:suff w:val="nothing"/>
      <w:lvlText w:val="%1、"/>
      <w:lvlJc w:val="left"/>
      <w:rPr>
        <w:rFonts w:hint="eastAsia"/>
      </w:rPr>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DF2362EF"/>
    <w:multiLevelType w:val="singleLevel"/>
    <w:tmpl w:val="DF2362EF"/>
    <w:lvl w:ilvl="0" w:tentative="0">
      <w:start w:val="2"/>
      <w:numFmt w:val="chineseCounting"/>
      <w:suff w:val="nothing"/>
      <w:lvlText w:val="%1、"/>
      <w:lvlJc w:val="left"/>
      <w:pPr>
        <w:tabs>
          <w:tab w:val="left" w:pos="0"/>
        </w:tabs>
        <w:ind w:left="0" w:firstLine="0"/>
      </w:pPr>
      <w:rPr>
        <w:rFonts w:hint="eastAsia"/>
      </w:rPr>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FB4857A0"/>
    <w:multiLevelType w:val="singleLevel"/>
    <w:tmpl w:val="FB4857A0"/>
    <w:lvl w:ilvl="0" w:tentative="0">
      <w:start w:val="1"/>
      <w:numFmt w:val="decimal"/>
      <w:suff w:val="nothing"/>
      <w:lvlText w:val="（%1）"/>
      <w:lvlJc w:val="left"/>
    </w:lvl>
  </w:abstractNum>
  <w:abstractNum w:abstractNumId="1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0">
      <w:start w:val="1"/>
      <w:numFmt w:val="decimal"/>
      <w:lvlText w:val="%1."/>
      <w:lvlJc w:val="left"/>
      <w:pPr>
        <w:ind w:left="420" w:hanging="42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179D7B1"/>
    <w:multiLevelType w:val="singleLevel"/>
    <w:tmpl w:val="4179D7B1"/>
    <w:lvl w:ilvl="0" w:tentative="0">
      <w:start w:val="1"/>
      <w:numFmt w:val="decimal"/>
      <w:suff w:val="nothing"/>
      <w:lvlText w:val="（%1）"/>
      <w:lvlJc w:val="left"/>
    </w:lvl>
  </w:abstractNum>
  <w:abstractNum w:abstractNumId="3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03A99C2"/>
    <w:multiLevelType w:val="singleLevel"/>
    <w:tmpl w:val="703A99C2"/>
    <w:lvl w:ilvl="0" w:tentative="0">
      <w:start w:val="1"/>
      <w:numFmt w:val="decimal"/>
      <w:suff w:val="nothing"/>
      <w:lvlText w:val="（%1）"/>
      <w:lvlJc w:val="left"/>
    </w:lvl>
  </w:abstractNum>
  <w:abstractNum w:abstractNumId="47">
    <w:nsid w:val="74E6E53F"/>
    <w:multiLevelType w:val="singleLevel"/>
    <w:tmpl w:val="74E6E53F"/>
    <w:lvl w:ilvl="0" w:tentative="0">
      <w:start w:val="4"/>
      <w:numFmt w:val="chineseCounting"/>
      <w:suff w:val="nothing"/>
      <w:lvlText w:val="%1、"/>
      <w:lvlJc w:val="left"/>
      <w:pPr>
        <w:ind w:left="0" w:firstLine="0"/>
      </w:pPr>
      <w:rPr>
        <w:rFonts w:hint="eastAsia"/>
      </w:rPr>
    </w:lvl>
  </w:abstractNum>
  <w:abstractNum w:abstractNumId="4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9">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B4A4E0C"/>
    <w:multiLevelType w:val="singleLevel"/>
    <w:tmpl w:val="7B4A4E0C"/>
    <w:lvl w:ilvl="0" w:tentative="0">
      <w:start w:val="1"/>
      <w:numFmt w:val="decimal"/>
      <w:lvlText w:val="（%1）"/>
      <w:lvlJc w:val="left"/>
      <w:pPr>
        <w:ind w:left="421" w:hanging="420"/>
      </w:pPr>
      <w:rPr>
        <w:rFonts w:hint="eastAsia"/>
      </w:rPr>
    </w:lvl>
  </w:abstractNum>
  <w:num w:numId="1">
    <w:abstractNumId w:val="41"/>
  </w:num>
  <w:num w:numId="2">
    <w:abstractNumId w:val="45"/>
  </w:num>
  <w:num w:numId="3">
    <w:abstractNumId w:val="31"/>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2"/>
  </w:num>
  <w:num w:numId="8">
    <w:abstractNumId w:val="34"/>
  </w:num>
  <w:num w:numId="9">
    <w:abstractNumId w:val="12"/>
  </w:num>
  <w:num w:numId="10">
    <w:abstractNumId w:val="21"/>
  </w:num>
  <w:num w:numId="11">
    <w:abstractNumId w:val="47"/>
  </w:num>
  <w:num w:numId="12">
    <w:abstractNumId w:val="50"/>
  </w:num>
  <w:num w:numId="13">
    <w:abstractNumId w:val="46"/>
  </w:num>
  <w:num w:numId="14">
    <w:abstractNumId w:val="15"/>
  </w:num>
  <w:num w:numId="15">
    <w:abstractNumId w:val="37"/>
  </w:num>
  <w:num w:numId="16">
    <w:abstractNumId w:val="4"/>
  </w:num>
  <w:num w:numId="17">
    <w:abstractNumId w:val="49"/>
  </w:num>
  <w:num w:numId="18">
    <w:abstractNumId w:val="8"/>
  </w:num>
  <w:num w:numId="19">
    <w:abstractNumId w:val="28"/>
  </w:num>
  <w:num w:numId="20">
    <w:abstractNumId w:val="18"/>
  </w:num>
  <w:num w:numId="21">
    <w:abstractNumId w:val="30"/>
  </w:num>
  <w:num w:numId="22">
    <w:abstractNumId w:val="3"/>
  </w:num>
  <w:num w:numId="23">
    <w:abstractNumId w:val="10"/>
  </w:num>
  <w:num w:numId="24">
    <w:abstractNumId w:val="35"/>
  </w:num>
  <w:num w:numId="25">
    <w:abstractNumId w:val="32"/>
  </w:num>
  <w:num w:numId="26">
    <w:abstractNumId w:val="13"/>
  </w:num>
  <w:num w:numId="27">
    <w:abstractNumId w:val="23"/>
  </w:num>
  <w:num w:numId="28">
    <w:abstractNumId w:val="7"/>
  </w:num>
  <w:num w:numId="29">
    <w:abstractNumId w:val="43"/>
  </w:num>
  <w:num w:numId="30">
    <w:abstractNumId w:val="20"/>
  </w:num>
  <w:num w:numId="31">
    <w:abstractNumId w:val="38"/>
  </w:num>
  <w:num w:numId="32">
    <w:abstractNumId w:val="5"/>
  </w:num>
  <w:num w:numId="33">
    <w:abstractNumId w:val="25"/>
  </w:num>
  <w:num w:numId="34">
    <w:abstractNumId w:val="1"/>
  </w:num>
  <w:num w:numId="35">
    <w:abstractNumId w:val="11"/>
  </w:num>
  <w:num w:numId="36">
    <w:abstractNumId w:val="9"/>
  </w:num>
  <w:num w:numId="37">
    <w:abstractNumId w:val="48"/>
  </w:num>
  <w:num w:numId="38">
    <w:abstractNumId w:val="0"/>
  </w:num>
  <w:num w:numId="39">
    <w:abstractNumId w:val="2"/>
  </w:num>
  <w:num w:numId="40">
    <w:abstractNumId w:val="33"/>
  </w:num>
  <w:num w:numId="41">
    <w:abstractNumId w:val="14"/>
  </w:num>
  <w:num w:numId="42">
    <w:abstractNumId w:val="17"/>
  </w:num>
  <w:num w:numId="43">
    <w:abstractNumId w:val="16"/>
  </w:num>
  <w:num w:numId="44">
    <w:abstractNumId w:val="44"/>
  </w:num>
  <w:num w:numId="45">
    <w:abstractNumId w:val="36"/>
  </w:num>
  <w:num w:numId="46">
    <w:abstractNumId w:val="29"/>
  </w:num>
  <w:num w:numId="47">
    <w:abstractNumId w:val="26"/>
  </w:num>
  <w:num w:numId="48">
    <w:abstractNumId w:val="39"/>
  </w:num>
  <w:num w:numId="49">
    <w:abstractNumId w:val="24"/>
  </w:num>
  <w:num w:numId="50">
    <w:abstractNumId w:val="19"/>
  </w:num>
  <w:num w:numId="51">
    <w:abstractNumId w:val="40"/>
  </w:num>
  <w:num w:numId="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1162A7"/>
    <w:rsid w:val="023A532F"/>
    <w:rsid w:val="02B47C4D"/>
    <w:rsid w:val="04450729"/>
    <w:rsid w:val="04D46768"/>
    <w:rsid w:val="04F90B5F"/>
    <w:rsid w:val="053A1CC8"/>
    <w:rsid w:val="06642D67"/>
    <w:rsid w:val="06856661"/>
    <w:rsid w:val="077B4608"/>
    <w:rsid w:val="07BB74B6"/>
    <w:rsid w:val="07D7576E"/>
    <w:rsid w:val="08493DEA"/>
    <w:rsid w:val="086E4EC9"/>
    <w:rsid w:val="08AA7A51"/>
    <w:rsid w:val="099036AA"/>
    <w:rsid w:val="0A700BB1"/>
    <w:rsid w:val="0B734A64"/>
    <w:rsid w:val="0CDE01F2"/>
    <w:rsid w:val="0DD201F4"/>
    <w:rsid w:val="0DFE3A56"/>
    <w:rsid w:val="0F4526B6"/>
    <w:rsid w:val="0F7D2462"/>
    <w:rsid w:val="10091618"/>
    <w:rsid w:val="10E86F53"/>
    <w:rsid w:val="11843966"/>
    <w:rsid w:val="11896038"/>
    <w:rsid w:val="12A81E95"/>
    <w:rsid w:val="14D85AEC"/>
    <w:rsid w:val="152B64B8"/>
    <w:rsid w:val="15740DA4"/>
    <w:rsid w:val="16AE3FA9"/>
    <w:rsid w:val="195A6BC0"/>
    <w:rsid w:val="1B135620"/>
    <w:rsid w:val="1B444A4F"/>
    <w:rsid w:val="1BDC2F91"/>
    <w:rsid w:val="1C1D5798"/>
    <w:rsid w:val="1C5670DA"/>
    <w:rsid w:val="1CD702F9"/>
    <w:rsid w:val="1CE53206"/>
    <w:rsid w:val="1E5A27EA"/>
    <w:rsid w:val="1F26207E"/>
    <w:rsid w:val="1F7074E6"/>
    <w:rsid w:val="1FA62636"/>
    <w:rsid w:val="227A4EED"/>
    <w:rsid w:val="228D0750"/>
    <w:rsid w:val="2294124F"/>
    <w:rsid w:val="22C443A5"/>
    <w:rsid w:val="24786106"/>
    <w:rsid w:val="25A5748F"/>
    <w:rsid w:val="25BE1EBF"/>
    <w:rsid w:val="25D85A3C"/>
    <w:rsid w:val="267E19B6"/>
    <w:rsid w:val="26E95967"/>
    <w:rsid w:val="2A1D36D7"/>
    <w:rsid w:val="2B4130F9"/>
    <w:rsid w:val="2B9E3425"/>
    <w:rsid w:val="2BD84FDD"/>
    <w:rsid w:val="2BFA4386"/>
    <w:rsid w:val="2CD73EA3"/>
    <w:rsid w:val="2D845ED0"/>
    <w:rsid w:val="2DC452B6"/>
    <w:rsid w:val="2EAB6E76"/>
    <w:rsid w:val="2F9205B8"/>
    <w:rsid w:val="2FAD5C00"/>
    <w:rsid w:val="2FF37664"/>
    <w:rsid w:val="30381F4F"/>
    <w:rsid w:val="34A05B77"/>
    <w:rsid w:val="37097428"/>
    <w:rsid w:val="37F678EE"/>
    <w:rsid w:val="386961BA"/>
    <w:rsid w:val="38AC36F6"/>
    <w:rsid w:val="394A3FAD"/>
    <w:rsid w:val="3AAD7F79"/>
    <w:rsid w:val="3B154E6F"/>
    <w:rsid w:val="3B991A52"/>
    <w:rsid w:val="3BB26AC4"/>
    <w:rsid w:val="3BC260D1"/>
    <w:rsid w:val="3C35255B"/>
    <w:rsid w:val="3D3679ED"/>
    <w:rsid w:val="3D6469F5"/>
    <w:rsid w:val="3E393CC0"/>
    <w:rsid w:val="3F2B311A"/>
    <w:rsid w:val="3F901C03"/>
    <w:rsid w:val="408D7227"/>
    <w:rsid w:val="41407E51"/>
    <w:rsid w:val="416718EC"/>
    <w:rsid w:val="42CF168E"/>
    <w:rsid w:val="439D7A21"/>
    <w:rsid w:val="43D97719"/>
    <w:rsid w:val="447267E8"/>
    <w:rsid w:val="44E431E5"/>
    <w:rsid w:val="46B30DE6"/>
    <w:rsid w:val="46F67AE8"/>
    <w:rsid w:val="485A05C5"/>
    <w:rsid w:val="48F92376"/>
    <w:rsid w:val="492A4A83"/>
    <w:rsid w:val="495C1F5C"/>
    <w:rsid w:val="499232BC"/>
    <w:rsid w:val="49BA1429"/>
    <w:rsid w:val="49F9212B"/>
    <w:rsid w:val="4AF77150"/>
    <w:rsid w:val="4B8B03E4"/>
    <w:rsid w:val="4D9A3F67"/>
    <w:rsid w:val="4DDF67CC"/>
    <w:rsid w:val="4EE12BFB"/>
    <w:rsid w:val="50FA6A61"/>
    <w:rsid w:val="51794BC1"/>
    <w:rsid w:val="520A4B41"/>
    <w:rsid w:val="53D25371"/>
    <w:rsid w:val="540F1FD2"/>
    <w:rsid w:val="54F93404"/>
    <w:rsid w:val="55197F97"/>
    <w:rsid w:val="56107A8C"/>
    <w:rsid w:val="561F6663"/>
    <w:rsid w:val="5659118C"/>
    <w:rsid w:val="567A7CEB"/>
    <w:rsid w:val="568B1E39"/>
    <w:rsid w:val="57315BF2"/>
    <w:rsid w:val="57594B93"/>
    <w:rsid w:val="585A028B"/>
    <w:rsid w:val="592B2F6A"/>
    <w:rsid w:val="594A6990"/>
    <w:rsid w:val="59F86FCA"/>
    <w:rsid w:val="5A2E0F40"/>
    <w:rsid w:val="5A765BE0"/>
    <w:rsid w:val="5B2E4FE0"/>
    <w:rsid w:val="5B893355"/>
    <w:rsid w:val="5C4C7423"/>
    <w:rsid w:val="5CB20FFE"/>
    <w:rsid w:val="5E1A38E7"/>
    <w:rsid w:val="5E7500A4"/>
    <w:rsid w:val="5E8307E5"/>
    <w:rsid w:val="5EA85F09"/>
    <w:rsid w:val="5F9C1F11"/>
    <w:rsid w:val="60475C3F"/>
    <w:rsid w:val="60785544"/>
    <w:rsid w:val="60A60070"/>
    <w:rsid w:val="61A26997"/>
    <w:rsid w:val="622C21AB"/>
    <w:rsid w:val="62D00ABF"/>
    <w:rsid w:val="640C25AF"/>
    <w:rsid w:val="643F5B88"/>
    <w:rsid w:val="65100FF8"/>
    <w:rsid w:val="6541126B"/>
    <w:rsid w:val="65A1544D"/>
    <w:rsid w:val="66E02BC1"/>
    <w:rsid w:val="683A303D"/>
    <w:rsid w:val="68E97B63"/>
    <w:rsid w:val="69392E34"/>
    <w:rsid w:val="6A5B2F9C"/>
    <w:rsid w:val="6B122DC7"/>
    <w:rsid w:val="6B1A4247"/>
    <w:rsid w:val="6B1E605C"/>
    <w:rsid w:val="6B9D5EC8"/>
    <w:rsid w:val="6C5E0507"/>
    <w:rsid w:val="6C6B5505"/>
    <w:rsid w:val="6DA90B82"/>
    <w:rsid w:val="6DE36237"/>
    <w:rsid w:val="6DF67C63"/>
    <w:rsid w:val="6E3F209B"/>
    <w:rsid w:val="6ED02117"/>
    <w:rsid w:val="6F2E052E"/>
    <w:rsid w:val="725336E8"/>
    <w:rsid w:val="7348723E"/>
    <w:rsid w:val="73652F66"/>
    <w:rsid w:val="74783A1C"/>
    <w:rsid w:val="74AB354D"/>
    <w:rsid w:val="74B05132"/>
    <w:rsid w:val="75480426"/>
    <w:rsid w:val="75797644"/>
    <w:rsid w:val="76C52AAF"/>
    <w:rsid w:val="76E063E5"/>
    <w:rsid w:val="772A35DE"/>
    <w:rsid w:val="77632D73"/>
    <w:rsid w:val="781B5752"/>
    <w:rsid w:val="798425C1"/>
    <w:rsid w:val="79A35F22"/>
    <w:rsid w:val="79BF662E"/>
    <w:rsid w:val="7A5421AD"/>
    <w:rsid w:val="7A574E29"/>
    <w:rsid w:val="7A751935"/>
    <w:rsid w:val="7B2952F2"/>
    <w:rsid w:val="7BA904E9"/>
    <w:rsid w:val="7CF46BD3"/>
    <w:rsid w:val="7D360F81"/>
    <w:rsid w:val="7ED04A7D"/>
    <w:rsid w:val="7F717E2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35</Pages>
  <Words>16333</Words>
  <Characters>17506</Characters>
  <Lines>140</Lines>
  <Paragraphs>39</Paragraphs>
  <TotalTime>39</TotalTime>
  <ScaleCrop>false</ScaleCrop>
  <LinksUpToDate>false</LinksUpToDate>
  <CharactersWithSpaces>20036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苏巧玲</cp:lastModifiedBy>
  <dcterms:modified xsi:type="dcterms:W3CDTF">2024-06-04T06:55:57Z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127115ACFB394B60A4B90C1EC2D49AF9_13</vt:lpwstr>
  </property>
</Properties>
</file>