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both"/>
        <w:rPr>
          <w:rFonts w:hint="eastAsia" w:ascii="宋体" w:hAnsi="宋体" w:eastAsia="宋体" w:cs="宋体"/>
          <w:b/>
          <w:bCs/>
          <w:sz w:val="21"/>
          <w:szCs w:val="21"/>
          <w:lang w:val="en-US" w:eastAsia="zh-CN"/>
        </w:rPr>
      </w:pPr>
    </w:p>
    <w:p>
      <w:pPr>
        <w:spacing w:before="156" w:beforeLines="50" w:after="156" w:afterLines="50"/>
        <w:jc w:val="center"/>
        <w:rPr>
          <w:rFonts w:hint="eastAsia"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val="0"/>
          <w:bCs/>
          <w:sz w:val="32"/>
          <w:szCs w:val="32"/>
          <w:lang w:eastAsia="zh-CN"/>
        </w:rPr>
        <w:t>深圳会展中心</w:t>
      </w:r>
      <w:r>
        <w:rPr>
          <w:rFonts w:hint="eastAsia" w:ascii="方正小标宋简体" w:hAnsi="方正小标宋简体" w:eastAsia="方正小标宋简体" w:cs="方正小标宋简体"/>
          <w:b w:val="0"/>
          <w:bCs/>
          <w:color w:val="auto"/>
          <w:sz w:val="32"/>
          <w:szCs w:val="32"/>
          <w:highlight w:val="none"/>
          <w:shd w:val="clear" w:color="auto" w:fill="auto"/>
          <w:lang w:val="en-US" w:eastAsia="zh-CN"/>
        </w:rPr>
        <w:t>哈高</w:t>
      </w:r>
      <w:r>
        <w:rPr>
          <w:rFonts w:hint="eastAsia" w:ascii="方正小标宋简体" w:hAnsi="方正小标宋简体" w:eastAsia="方正小标宋简体" w:cs="方正小标宋简体"/>
          <w:b w:val="0"/>
          <w:bCs/>
          <w:color w:val="auto"/>
          <w:sz w:val="32"/>
          <w:szCs w:val="32"/>
          <w:highlight w:val="none"/>
          <w:shd w:val="clear" w:color="auto" w:fill="auto"/>
        </w:rPr>
        <w:t>清洁设备</w:t>
      </w:r>
      <w:r>
        <w:rPr>
          <w:rFonts w:hint="eastAsia" w:ascii="方正小标宋简体" w:hAnsi="方正小标宋简体" w:eastAsia="方正小标宋简体" w:cs="方正小标宋简体"/>
          <w:b w:val="0"/>
          <w:bCs/>
          <w:color w:val="auto"/>
          <w:sz w:val="32"/>
          <w:szCs w:val="32"/>
          <w:highlight w:val="none"/>
          <w:shd w:val="clear" w:color="auto" w:fill="auto"/>
          <w:lang w:eastAsia="zh-CN"/>
        </w:rPr>
        <w:t>维保服务</w:t>
      </w:r>
      <w:r>
        <w:rPr>
          <w:rFonts w:hint="eastAsia" w:ascii="方正小标宋简体" w:hAnsi="方正小标宋简体" w:eastAsia="方正小标宋简体" w:cs="方正小标宋简体"/>
          <w:b w:val="0"/>
          <w:bCs/>
          <w:color w:val="auto"/>
          <w:sz w:val="32"/>
          <w:szCs w:val="32"/>
          <w:highlight w:val="none"/>
          <w:shd w:val="clear" w:color="auto" w:fill="auto"/>
        </w:rPr>
        <w:t>项目</w:t>
      </w:r>
      <w:r>
        <w:rPr>
          <w:rFonts w:hint="eastAsia" w:ascii="方正小标宋简体" w:hAnsi="方正小标宋简体" w:eastAsia="方正小标宋简体" w:cs="方正小标宋简体"/>
          <w:b w:val="0"/>
          <w:bCs/>
          <w:color w:val="auto"/>
          <w:sz w:val="32"/>
          <w:szCs w:val="32"/>
          <w:highlight w:val="none"/>
          <w:shd w:val="clear" w:color="auto" w:fill="auto"/>
          <w:lang w:eastAsia="zh-CN"/>
        </w:rPr>
        <w:t>（二次启动）</w:t>
      </w:r>
    </w:p>
    <w:p>
      <w:pPr>
        <w:tabs>
          <w:tab w:val="left" w:pos="2127"/>
          <w:tab w:val="left" w:pos="2694"/>
        </w:tabs>
        <w:spacing w:line="360" w:lineRule="auto"/>
        <w:ind w:firstLine="2030" w:firstLineChars="632"/>
        <w:rPr>
          <w:rFonts w:ascii="宋体" w:hAnsi="宋体"/>
          <w:b/>
          <w:sz w:val="32"/>
          <w:szCs w:val="32"/>
        </w:rPr>
      </w:pPr>
    </w:p>
    <w:p>
      <w:pPr>
        <w:pStyle w:val="29"/>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shd w:val="clear" w:color="auto" w:fill="auto"/>
        </w:rPr>
        <w:t>2</w:t>
      </w:r>
      <w:r>
        <w:rPr>
          <w:rFonts w:ascii="方正小标宋简体" w:hAnsi="方正小标宋_GBK" w:eastAsia="方正小标宋简体" w:cs="方正小标宋_GBK"/>
          <w:b/>
          <w:sz w:val="32"/>
          <w:szCs w:val="32"/>
          <w:highlight w:val="none"/>
          <w:shd w:val="clear" w:color="auto" w:fill="auto"/>
        </w:rPr>
        <w:t>02</w:t>
      </w:r>
      <w:r>
        <w:rPr>
          <w:rFonts w:hint="eastAsia" w:ascii="方正小标宋简体" w:hAnsi="方正小标宋_GBK" w:eastAsia="方正小标宋简体" w:cs="方正小标宋_GBK"/>
          <w:b/>
          <w:sz w:val="32"/>
          <w:szCs w:val="32"/>
          <w:highlight w:val="none"/>
          <w:shd w:val="clear" w:color="auto" w:fill="auto"/>
          <w:lang w:val="en-US" w:eastAsia="zh-CN"/>
        </w:rPr>
        <w:t>4</w:t>
      </w:r>
      <w:r>
        <w:rPr>
          <w:rFonts w:hint="eastAsia" w:ascii="方正小标宋简体" w:hAnsi="方正小标宋_GBK" w:eastAsia="方正小标宋简体" w:cs="方正小标宋_GBK"/>
          <w:b/>
          <w:sz w:val="32"/>
          <w:szCs w:val="32"/>
          <w:highlight w:val="none"/>
          <w:shd w:val="clear" w:color="auto" w:fill="auto"/>
        </w:rPr>
        <w:t>年</w:t>
      </w:r>
      <w:r>
        <w:rPr>
          <w:rFonts w:hint="eastAsia" w:ascii="方正小标宋简体" w:hAnsi="方正小标宋_GBK" w:eastAsia="方正小标宋简体" w:cs="方正小标宋_GBK"/>
          <w:b/>
          <w:sz w:val="32"/>
          <w:szCs w:val="32"/>
          <w:highlight w:val="none"/>
          <w:shd w:val="clear" w:color="auto" w:fill="auto"/>
          <w:lang w:val="en-US" w:eastAsia="zh-CN"/>
        </w:rPr>
        <w:t>6</w:t>
      </w:r>
      <w:r>
        <w:rPr>
          <w:rFonts w:hint="eastAsia" w:ascii="方正小标宋简体" w:hAnsi="方正小标宋_GBK" w:eastAsia="方正小标宋简体" w:cs="方正小标宋_GBK"/>
          <w:b/>
          <w:sz w:val="32"/>
          <w:szCs w:val="32"/>
          <w:highlight w:val="none"/>
          <w:shd w:val="clear" w:color="auto" w:fill="auto"/>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10"/>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rPr>
          <w:rFonts w:hint="eastAsia"/>
          <w:lang w:val="en-US" w:eastAsia="zh-CN"/>
        </w:rPr>
        <w:t>9</w:t>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10</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17</w:t>
      </w:r>
      <w:r>
        <w:fldChar w:fldCharType="end"/>
      </w:r>
      <w:r>
        <w:fldChar w:fldCharType="end"/>
      </w:r>
    </w:p>
    <w:p>
      <w:pPr>
        <w:pStyle w:val="11"/>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17</w:t>
      </w:r>
      <w:r>
        <w:fldChar w:fldCharType="end"/>
      </w:r>
      <w:r>
        <w:fldChar w:fldCharType="end"/>
      </w:r>
    </w:p>
    <w:p>
      <w:pPr>
        <w:pStyle w:val="11"/>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17</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18</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18</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22</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22</w:t>
      </w:r>
      <w:r>
        <w:fldChar w:fldCharType="end"/>
      </w:r>
      <w:r>
        <w:fldChar w:fldCharType="end"/>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rPr>
          <w:rFonts w:hint="eastAsia"/>
          <w:lang w:val="en-US" w:eastAsia="zh-CN"/>
        </w:rPr>
        <w:t>2</w:t>
      </w:r>
      <w:r>
        <w:fldChar w:fldCharType="end"/>
      </w:r>
      <w:r>
        <w:rPr>
          <w:rFonts w:hint="eastAsia"/>
          <w:lang w:val="en-US" w:eastAsia="zh-CN"/>
        </w:rPr>
        <w:t>0</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rPr>
          <w:rFonts w:hint="eastAsia"/>
          <w:lang w:val="en-US" w:eastAsia="zh-CN"/>
        </w:rPr>
        <w:t>2</w:t>
      </w:r>
      <w:r>
        <w:fldChar w:fldCharType="end"/>
      </w:r>
      <w:r>
        <w:rPr>
          <w:rFonts w:hint="eastAsia"/>
          <w:lang w:val="en-US" w:eastAsia="zh-CN"/>
        </w:rPr>
        <w:t>1</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rPr>
          <w:rFonts w:hint="eastAsia"/>
          <w:lang w:val="en-US" w:eastAsia="zh-CN"/>
        </w:rPr>
        <w:t>2</w:t>
      </w:r>
      <w:r>
        <w:fldChar w:fldCharType="end"/>
      </w:r>
      <w:r>
        <w:rPr>
          <w:rFonts w:hint="eastAsia"/>
          <w:lang w:val="en-US" w:eastAsia="zh-CN"/>
        </w:rPr>
        <w:t>2</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rPr>
          <w:rFonts w:hint="eastAsia"/>
          <w:lang w:val="en-US" w:eastAsia="zh-CN"/>
        </w:rPr>
        <w:t>2</w:t>
      </w:r>
      <w:r>
        <w:fldChar w:fldCharType="end"/>
      </w:r>
      <w:r>
        <w:rPr>
          <w:rFonts w:hint="eastAsia"/>
          <w:lang w:val="en-US" w:eastAsia="zh-CN"/>
        </w:rPr>
        <w:t>3</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rPr>
          <w:rFonts w:hint="eastAsia"/>
          <w:lang w:val="en-US" w:eastAsia="zh-CN"/>
        </w:rPr>
        <w:t>2</w:t>
      </w:r>
      <w:r>
        <w:fldChar w:fldCharType="end"/>
      </w:r>
      <w:r>
        <w:rPr>
          <w:rFonts w:hint="eastAsia"/>
          <w:lang w:val="en-US" w:eastAsia="zh-CN"/>
        </w:rPr>
        <w:t>4</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19"/>
          <w:rFonts w:ascii="仿宋" w:hAnsi="仿宋" w:eastAsia="仿宋" w:cs="仿宋"/>
        </w:rPr>
        <w:t>附件7：技术（服务）响应/偏离表</w:t>
      </w:r>
      <w:r>
        <w:tab/>
      </w:r>
      <w:r>
        <w:rPr>
          <w:rFonts w:hint="eastAsia"/>
          <w:lang w:val="en-US" w:eastAsia="zh-CN"/>
        </w:rPr>
        <w:t>2</w:t>
      </w:r>
      <w:r>
        <w:fldChar w:fldCharType="end"/>
      </w:r>
      <w:r>
        <w:rPr>
          <w:rFonts w:hint="eastAsia"/>
          <w:lang w:val="en-US" w:eastAsia="zh-CN"/>
        </w:rPr>
        <w:t>5</w:t>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29</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30</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31</w:t>
      </w:r>
      <w:r>
        <w:fldChar w:fldCharType="end"/>
      </w:r>
      <w:r>
        <w:fldChar w:fldCharType="end"/>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9</w:t>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33</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34</w:t>
      </w:r>
      <w:r>
        <w:fldChar w:fldCharType="end"/>
      </w:r>
      <w:r>
        <w:fldChar w:fldCharType="end"/>
      </w:r>
    </w:p>
    <w:p>
      <w:pPr>
        <w:pStyle w:val="12"/>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bookmarkStart w:id="0" w:name="_Toc128989093"/>
    </w:p>
    <w:p>
      <w:pPr>
        <w:numPr>
          <w:ilvl w:val="0"/>
          <w:numId w:val="0"/>
        </w:numPr>
        <w:spacing w:line="300" w:lineRule="auto"/>
        <w:ind w:left="420" w:leftChars="0"/>
        <w:outlineLvl w:val="0"/>
        <w:rPr>
          <w:rFonts w:hint="eastAsia" w:ascii="宋体" w:hAnsi="宋体" w:cs="宋体"/>
          <w:b/>
          <w:sz w:val="24"/>
          <w:szCs w:val="24"/>
          <w:lang w:eastAsia="zh-CN"/>
        </w:rPr>
      </w:pPr>
      <w:r>
        <w:rPr>
          <w:rFonts w:hint="eastAsia" w:ascii="宋体" w:hAnsi="宋体" w:cs="宋体"/>
          <w:b/>
          <w:sz w:val="24"/>
          <w:szCs w:val="24"/>
          <w:lang w:eastAsia="zh-CN"/>
        </w:rPr>
        <w:t>一、参加单位须知</w:t>
      </w:r>
      <w:bookmarkEnd w:id="0"/>
    </w:p>
    <w:p>
      <w:pPr>
        <w:numPr>
          <w:ilvl w:val="0"/>
          <w:numId w:val="1"/>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1"/>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1"/>
        </w:numPr>
        <w:autoSpaceDE w:val="0"/>
        <w:autoSpaceDN w:val="0"/>
        <w:adjustRightInd w:val="0"/>
        <w:snapToGrid w:val="0"/>
        <w:spacing w:line="360" w:lineRule="auto"/>
        <w:ind w:firstLine="422" w:firstLineChars="200"/>
        <w:rPr>
          <w:rFonts w:ascii="宋体" w:hAnsi="宋体"/>
          <w:b/>
          <w:sz w:val="28"/>
          <w:szCs w:val="28"/>
        </w:rPr>
      </w:pPr>
      <w:r>
        <w:rPr>
          <w:rFonts w:hint="eastAsia" w:ascii="宋体" w:hAnsi="宋体" w:eastAsia="宋体" w:cs="宋体"/>
          <w:b/>
          <w:bCs/>
          <w:color w:val="FF0000"/>
          <w:sz w:val="21"/>
          <w:szCs w:val="21"/>
        </w:rPr>
        <w:t>供应商或服务机构原则上采用轮空原则，即持有招标人其他项目中标（或成交）通</w:t>
      </w:r>
      <w:bookmarkStart w:id="54" w:name="_GoBack"/>
      <w:bookmarkEnd w:id="54"/>
      <w:r>
        <w:rPr>
          <w:rFonts w:hint="eastAsia" w:ascii="宋体" w:hAnsi="宋体" w:eastAsia="宋体" w:cs="宋体"/>
          <w:b/>
          <w:bCs/>
          <w:color w:val="FF0000"/>
          <w:sz w:val="21"/>
          <w:szCs w:val="21"/>
        </w:rPr>
        <w:t>知书的</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自</w:t>
      </w:r>
      <w:r>
        <w:rPr>
          <w:rFonts w:hint="eastAsia" w:ascii="宋体" w:hAnsi="宋体" w:eastAsia="宋体" w:cs="宋体"/>
          <w:b/>
          <w:bCs/>
          <w:color w:val="FF0000"/>
          <w:sz w:val="21"/>
          <w:szCs w:val="21"/>
        </w:rPr>
        <w:t>通知书发出之日起90天内不得参与本项目的投标（</w:t>
      </w:r>
      <w:r>
        <w:rPr>
          <w:rFonts w:hint="eastAsia" w:ascii="宋体" w:hAnsi="宋体" w:eastAsia="宋体" w:cs="宋体"/>
          <w:b/>
          <w:bCs/>
          <w:color w:val="FF0000"/>
          <w:sz w:val="21"/>
          <w:szCs w:val="21"/>
          <w:lang w:val="en-US" w:eastAsia="zh-CN"/>
        </w:rPr>
        <w:t>招标人</w:t>
      </w:r>
      <w:r>
        <w:rPr>
          <w:rFonts w:hint="eastAsia" w:ascii="宋体" w:hAnsi="宋体" w:eastAsia="宋体" w:cs="宋体"/>
          <w:b/>
          <w:bCs/>
          <w:color w:val="FF0000"/>
          <w:sz w:val="21"/>
          <w:szCs w:val="21"/>
        </w:rPr>
        <w:t>采用单一来源采购方式的项目成交通知书除外）。</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szCs w:val="21"/>
                <w:highlight w:val="none"/>
              </w:rPr>
              <w:t>：</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cs="宋体"/>
                <w:color w:val="000000"/>
                <w:szCs w:val="21"/>
                <w:highlight w:val="none"/>
                <w:lang w:val="en-US" w:eastAsia="zh-CN"/>
              </w:rPr>
              <w:t>8796</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szcec</w:t>
            </w:r>
            <w:r>
              <w:rPr>
                <w:rFonts w:hint="eastAsia" w:ascii="宋体" w:hAnsi="宋体" w:cs="宋体"/>
                <w:color w:val="000000"/>
                <w:szCs w:val="21"/>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b w:val="0"/>
                <w:bCs/>
                <w:color w:val="FF0000"/>
                <w:sz w:val="21"/>
                <w:szCs w:val="21"/>
                <w:highlight w:val="yellow"/>
                <w:lang w:eastAsia="zh-CN"/>
              </w:rPr>
            </w:pPr>
            <w:r>
              <w:rPr>
                <w:rFonts w:hint="eastAsia" w:ascii="宋体" w:hAnsi="宋体"/>
                <w:b w:val="0"/>
                <w:bCs/>
                <w:sz w:val="21"/>
                <w:szCs w:val="21"/>
              </w:rPr>
              <w:t>深圳会展中心</w:t>
            </w:r>
            <w:r>
              <w:rPr>
                <w:rFonts w:hint="eastAsia" w:ascii="宋体" w:hAnsi="宋体"/>
                <w:b w:val="0"/>
                <w:bCs/>
                <w:sz w:val="21"/>
                <w:szCs w:val="21"/>
                <w:lang w:eastAsia="zh-CN"/>
              </w:rPr>
              <w:t>哈高</w:t>
            </w:r>
            <w:r>
              <w:rPr>
                <w:rFonts w:hint="eastAsia" w:ascii="宋体" w:hAnsi="宋体"/>
                <w:b w:val="0"/>
                <w:bCs/>
                <w:sz w:val="21"/>
                <w:szCs w:val="21"/>
              </w:rPr>
              <w:t>清洁设备</w:t>
            </w:r>
            <w:r>
              <w:rPr>
                <w:rFonts w:hint="eastAsia" w:ascii="宋体" w:hAnsi="宋体"/>
                <w:b w:val="0"/>
                <w:bCs/>
                <w:sz w:val="21"/>
                <w:szCs w:val="21"/>
                <w:lang w:eastAsia="zh-CN"/>
              </w:rPr>
              <w:t>维保服务</w:t>
            </w:r>
            <w:r>
              <w:rPr>
                <w:rFonts w:hint="eastAsia" w:ascii="宋体" w:hAnsi="宋体"/>
                <w:b w:val="0"/>
                <w:bCs/>
                <w:sz w:val="21"/>
                <w:szCs w:val="21"/>
              </w:rPr>
              <w:t>项目</w:t>
            </w:r>
            <w:r>
              <w:rPr>
                <w:rFonts w:hint="eastAsia" w:ascii="宋体" w:hAnsi="宋体"/>
                <w:b w:val="0"/>
                <w:bCs/>
                <w:sz w:val="21"/>
                <w:szCs w:val="21"/>
                <w:lang w:eastAsia="zh-CN"/>
              </w:rPr>
              <w:t>（二次启动）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keepNext w:val="0"/>
              <w:keepLines w:val="0"/>
              <w:pageBreakBefore w:val="0"/>
              <w:widowControl w:val="0"/>
              <w:tabs>
                <w:tab w:val="left" w:pos="426"/>
                <w:tab w:val="left" w:pos="567"/>
              </w:tabs>
              <w:kinsoku/>
              <w:wordWrap/>
              <w:overflowPunct/>
              <w:topLinePunct w:val="0"/>
              <w:autoSpaceDE/>
              <w:autoSpaceDN/>
              <w:bidi w:val="0"/>
              <w:adjustRightInd w:val="0"/>
              <w:snapToGrid w:val="0"/>
              <w:spacing w:line="240" w:lineRule="auto"/>
              <w:jc w:val="left"/>
              <w:textAlignment w:val="auto"/>
              <w:rPr>
                <w:rFonts w:ascii="宋体" w:hAnsi="宋体"/>
                <w:i/>
                <w:color w:val="FF0000"/>
                <w:szCs w:val="21"/>
                <w:highlight w:val="yellow"/>
              </w:rPr>
            </w:pPr>
            <w:r>
              <w:rPr>
                <w:rFonts w:hint="eastAsia" w:ascii="宋体" w:hAnsi="宋体" w:cs="宋体"/>
                <w:color w:val="000000"/>
                <w:sz w:val="21"/>
                <w:szCs w:val="21"/>
                <w:lang w:eastAsia="zh-CN"/>
              </w:rPr>
              <w:t>深圳会展中心</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台</w:t>
            </w:r>
            <w:r>
              <w:rPr>
                <w:rFonts w:hint="eastAsia" w:ascii="宋体" w:hAnsi="宋体" w:cs="宋体"/>
                <w:color w:val="000000"/>
                <w:sz w:val="21"/>
                <w:szCs w:val="21"/>
                <w:lang w:val="en-US" w:eastAsia="zh-CN"/>
              </w:rPr>
              <w:t>哈高</w:t>
            </w:r>
            <w:r>
              <w:rPr>
                <w:rFonts w:hint="eastAsia" w:ascii="宋体" w:hAnsi="宋体" w:eastAsia="宋体" w:cs="宋体"/>
                <w:color w:val="000000"/>
                <w:sz w:val="21"/>
                <w:szCs w:val="21"/>
              </w:rPr>
              <w:t>清洁设备</w:t>
            </w:r>
            <w:r>
              <w:rPr>
                <w:rFonts w:hint="eastAsia" w:ascii="宋体" w:hAnsi="宋体" w:cs="宋体"/>
                <w:color w:val="000000"/>
                <w:sz w:val="21"/>
                <w:szCs w:val="21"/>
                <w:lang w:val="en-US" w:eastAsia="zh-CN"/>
              </w:rPr>
              <w:t>部分</w:t>
            </w:r>
            <w:r>
              <w:rPr>
                <w:rFonts w:hint="eastAsia" w:ascii="宋体" w:hAnsi="宋体" w:eastAsia="宋体" w:cs="宋体"/>
                <w:color w:val="000000"/>
                <w:sz w:val="21"/>
                <w:szCs w:val="21"/>
              </w:rPr>
              <w:t>使用年限已超</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年，</w:t>
            </w:r>
            <w:r>
              <w:rPr>
                <w:rFonts w:hint="eastAsia" w:ascii="宋体" w:hAnsi="宋体" w:cs="宋体"/>
                <w:color w:val="000000"/>
                <w:sz w:val="21"/>
                <w:szCs w:val="21"/>
                <w:lang w:eastAsia="zh-CN"/>
              </w:rPr>
              <w:t>为保证设备的正常运行，</w:t>
            </w:r>
            <w:r>
              <w:rPr>
                <w:rFonts w:hint="eastAsia" w:ascii="宋体" w:hAnsi="宋体" w:eastAsia="宋体" w:cs="宋体"/>
                <w:color w:val="000000"/>
                <w:sz w:val="21"/>
                <w:szCs w:val="21"/>
              </w:rPr>
              <w:t>拟</w:t>
            </w:r>
            <w:r>
              <w:rPr>
                <w:rFonts w:hint="eastAsia" w:ascii="宋体" w:hAnsi="宋体" w:cs="宋体"/>
                <w:color w:val="000000"/>
                <w:sz w:val="21"/>
                <w:szCs w:val="21"/>
                <w:lang w:eastAsia="zh-CN"/>
              </w:rPr>
              <w:t>通过询比价</w:t>
            </w:r>
            <w:r>
              <w:rPr>
                <w:rFonts w:hint="eastAsia" w:ascii="宋体" w:hAnsi="宋体" w:eastAsia="宋体" w:cs="宋体"/>
                <w:color w:val="000000"/>
                <w:sz w:val="21"/>
                <w:szCs w:val="21"/>
              </w:rPr>
              <w:t>方式</w:t>
            </w:r>
            <w:r>
              <w:rPr>
                <w:rFonts w:hint="eastAsia" w:ascii="宋体" w:hAnsi="宋体" w:cs="宋体"/>
                <w:color w:val="000000"/>
                <w:sz w:val="21"/>
                <w:szCs w:val="21"/>
                <w:lang w:eastAsia="zh-CN"/>
              </w:rPr>
              <w:t>购买</w:t>
            </w:r>
            <w:r>
              <w:rPr>
                <w:rFonts w:hint="eastAsia" w:ascii="宋体" w:hAnsi="宋体" w:cs="宋体"/>
                <w:color w:val="000000"/>
                <w:sz w:val="21"/>
                <w:szCs w:val="21"/>
                <w:lang w:val="en-US" w:eastAsia="zh-CN"/>
              </w:rPr>
              <w:t>哈高</w:t>
            </w:r>
            <w:r>
              <w:rPr>
                <w:rFonts w:hint="eastAsia" w:ascii="宋体" w:hAnsi="宋体"/>
                <w:b w:val="0"/>
                <w:bCs/>
                <w:sz w:val="21"/>
                <w:szCs w:val="21"/>
              </w:rPr>
              <w:t>清洁设备维保服务</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szCs w:val="21"/>
              </w:rPr>
              <w:t>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26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https://cg.szcec.com/sharing/mOnnZq33f，</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02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02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yellow"/>
              </w:rPr>
              <w:t>https://cg.szcec.com/sharing/wM76yQ6AM，</w:t>
            </w:r>
            <w:r>
              <w:rPr>
                <w:rFonts w:hint="eastAsia" w:ascii="宋体" w:hAnsi="宋体"/>
                <w:szCs w:val="21"/>
                <w:highlight w:val="none"/>
              </w:rPr>
              <w:t>并致电确认</w:t>
            </w:r>
            <w:bookmarkStart w:id="1" w:name="_Toc478393187"/>
            <w:bookmarkStart w:id="2" w:name="_Toc478392822"/>
            <w:bookmarkStart w:id="3" w:name="_Toc478110532"/>
            <w:r>
              <w:rPr>
                <w:rFonts w:hint="eastAsia" w:ascii="宋体" w:hAnsi="宋体"/>
                <w:szCs w:val="21"/>
                <w:highlight w:val="none"/>
              </w:rPr>
              <w:t>。</w:t>
            </w:r>
            <w:r>
              <w:rPr>
                <w:rFonts w:hint="eastAsia" w:ascii="宋体" w:hAnsi="宋体"/>
                <w:highlight w:val="none"/>
              </w:rPr>
              <w:t>注意事项如下：</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为便于开标时的解密操作，响应文件（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必须制作为一个压缩文件后再行加密，否则投标文件将被拒收。</w:t>
            </w:r>
            <w:r>
              <w:rPr>
                <w:rFonts w:ascii="宋体" w:hAnsi="宋体"/>
                <w:b/>
                <w:bCs/>
                <w:color w:val="FF0000"/>
                <w:szCs w:val="21"/>
                <w:highlight w:val="none"/>
              </w:rPr>
              <w:t>建议</w:t>
            </w:r>
            <w:r>
              <w:rPr>
                <w:rFonts w:hint="eastAsia" w:ascii="宋体" w:hAnsi="宋体"/>
                <w:b/>
                <w:bCs/>
                <w:color w:val="FF0000"/>
                <w:szCs w:val="21"/>
                <w:highlight w:val="none"/>
              </w:rPr>
              <w:t>编制文件目录</w:t>
            </w:r>
            <w:r>
              <w:rPr>
                <w:rFonts w:hint="eastAsia" w:ascii="宋体" w:hAnsi="宋体"/>
                <w:szCs w:val="21"/>
                <w:highlight w:val="none"/>
              </w:rPr>
              <w:t>并</w:t>
            </w:r>
            <w:r>
              <w:rPr>
                <w:rFonts w:ascii="宋体" w:hAnsi="宋体"/>
                <w:szCs w:val="21"/>
                <w:highlight w:val="none"/>
              </w:rPr>
              <w:t>采用</w:t>
            </w:r>
            <w:r>
              <w:rPr>
                <w:rFonts w:hint="eastAsia" w:ascii="宋体" w:hAnsi="宋体"/>
                <w:szCs w:val="21"/>
                <w:highlight w:val="none"/>
              </w:rPr>
              <w:t>winRAR或winzip等常用</w:t>
            </w:r>
            <w:r>
              <w:rPr>
                <w:rFonts w:ascii="宋体" w:hAnsi="宋体"/>
                <w:szCs w:val="21"/>
                <w:highlight w:val="none"/>
              </w:rPr>
              <w:t>压缩</w:t>
            </w:r>
            <w:r>
              <w:rPr>
                <w:rFonts w:hint="eastAsia" w:ascii="宋体" w:hAnsi="宋体"/>
                <w:szCs w:val="21"/>
                <w:highlight w:val="none"/>
              </w:rPr>
              <w:t>软件进行压缩和</w:t>
            </w:r>
            <w:r>
              <w:rPr>
                <w:rFonts w:ascii="宋体" w:hAnsi="宋体"/>
                <w:szCs w:val="21"/>
                <w:highlight w:val="none"/>
              </w:rPr>
              <w:t>加密</w:t>
            </w:r>
            <w:r>
              <w:rPr>
                <w:rFonts w:hint="eastAsia" w:ascii="宋体" w:hAnsi="宋体"/>
                <w:szCs w:val="21"/>
                <w:highlight w:val="none"/>
              </w:rPr>
              <w:t>。</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参加单位授权代表须熟记文件密码，并在开标前按时将</w:t>
            </w:r>
            <w:r>
              <w:rPr>
                <w:rFonts w:hint="eastAsia" w:ascii="宋体" w:hAnsi="宋体"/>
                <w:highlight w:val="none"/>
              </w:rPr>
              <w:t>投标文件解密密码（格式详见附件）上传至</w:t>
            </w:r>
            <w:r>
              <w:rPr>
                <w:rFonts w:hint="eastAsia" w:ascii="宋体" w:hAnsi="宋体"/>
                <w:bCs/>
                <w:color w:val="FF0000"/>
                <w:highlight w:val="yellow"/>
              </w:rPr>
              <w:t>指定地址，</w:t>
            </w:r>
            <w:r>
              <w:rPr>
                <w:rFonts w:hint="eastAsia" w:ascii="宋体" w:hAnsi="宋体"/>
                <w:szCs w:val="21"/>
                <w:highlight w:val="none"/>
              </w:rPr>
              <w:t>否则做废标处理。投标文件递交时间截止后，不再接受任何理由的撤回或重新提交文件请求。</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所有需要加盖公章的页面均须加盖公章，要求签名之处须有相应的亲笔手写签名或法定有效的私章。</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内，将投标文件解密密码上传至https://cg.szcec.com/sharing/IMzIjecvV,未按时上传投标文件解密密码将失去投标资格。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3"/>
              </w:numPr>
              <w:tabs>
                <w:tab w:val="left" w:pos="281"/>
                <w:tab w:val="left" w:pos="541"/>
              </w:tabs>
              <w:snapToGrid w:val="0"/>
              <w:ind w:left="0" w:leftChars="0" w:firstLine="0" w:firstLineChars="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none"/>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auto"/>
                <w:szCs w:val="21"/>
                <w:highlight w:val="none"/>
              </w:rPr>
              <w:t>202×-××-×× ××: ××</w:t>
            </w:r>
            <w:r>
              <w:rPr>
                <w:rFonts w:hint="eastAsia" w:ascii="宋体" w:hAnsi="宋体"/>
                <w:kern w:val="0"/>
                <w:szCs w:val="21"/>
                <w:highlight w:val="none"/>
              </w:rPr>
              <w:t>邀</w:t>
            </w:r>
            <w:r>
              <w:rPr>
                <w:rFonts w:hint="eastAsia" w:ascii="宋体" w:hAnsi="宋体"/>
                <w:kern w:val="0"/>
                <w:szCs w:val="21"/>
              </w:rPr>
              <w:t>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kern w:val="0"/>
                <w:szCs w:val="21"/>
              </w:rPr>
              <w:t>电话</w:t>
            </w:r>
            <w:r>
              <w:rPr>
                <w:rFonts w:hint="eastAsia" w:ascii="宋体" w:hAnsi="宋体"/>
                <w:kern w:val="0"/>
                <w:szCs w:val="21"/>
                <w:highlight w:val="none"/>
              </w:rPr>
              <w:t>：</w:t>
            </w:r>
            <w:r>
              <w:rPr>
                <w:rFonts w:hint="eastAsia" w:ascii="宋体" w:hAnsi="宋体" w:cs="Segoe UI Symbol"/>
                <w:color w:val="auto"/>
                <w:kern w:val="0"/>
                <w:szCs w:val="21"/>
                <w:highlight w:val="none"/>
              </w:rPr>
              <w:t>0755-8284××××,移动电话：××××</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0"/>
        </w:numPr>
        <w:spacing w:line="300" w:lineRule="auto"/>
        <w:ind w:left="420" w:leftChars="0"/>
        <w:outlineLvl w:val="0"/>
        <w:rPr>
          <w:rFonts w:ascii="宋体" w:hAnsi="宋体" w:cs="宋体"/>
          <w:b/>
          <w:sz w:val="24"/>
          <w:szCs w:val="24"/>
        </w:rPr>
      </w:pPr>
      <w:bookmarkStart w:id="4" w:name="_Toc128989094"/>
      <w:r>
        <w:rPr>
          <w:rFonts w:hint="eastAsia" w:ascii="宋体" w:hAnsi="宋体" w:cs="宋体"/>
          <w:b/>
          <w:sz w:val="24"/>
          <w:szCs w:val="24"/>
          <w:lang w:eastAsia="zh-CN"/>
        </w:rPr>
        <w:t>二、</w:t>
      </w:r>
      <w:r>
        <w:rPr>
          <w:rFonts w:hint="eastAsia" w:ascii="宋体" w:hAnsi="宋体" w:cs="宋体"/>
          <w:b/>
          <w:sz w:val="24"/>
          <w:szCs w:val="24"/>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5028463"/>
      <w:bookmarkStart w:id="6" w:name="_Toc517278751"/>
      <w:bookmarkStart w:id="7"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w:t>
      </w:r>
      <w:r>
        <w:rPr>
          <w:rFonts w:hint="eastAsia" w:ascii="宋体" w:hAnsi="宋体" w:cs="宋体"/>
          <w:szCs w:val="21"/>
          <w:highlight w:val="none"/>
        </w:rPr>
        <w:t>的地址和方式发</w:t>
      </w:r>
      <w:r>
        <w:rPr>
          <w:rFonts w:hint="eastAsia" w:ascii="宋体" w:hAnsi="宋体" w:cs="宋体"/>
          <w:szCs w:val="21"/>
        </w:rPr>
        <w:t>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pPr>
      <w:bookmarkStart w:id="8" w:name="_Toc128989095"/>
      <w:r>
        <w:rPr>
          <w:rFonts w:hint="eastAsia" w:ascii="宋体" w:hAnsi="宋体" w:cs="宋体"/>
          <w:b/>
          <w:sz w:val="24"/>
          <w:lang w:eastAsia="zh-CN"/>
        </w:rPr>
        <w:t>三、</w:t>
      </w:r>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lang w:eastAsia="zh-CN"/>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2"/>
      </w:pPr>
    </w:p>
    <w:p>
      <w:pPr>
        <w:numPr>
          <w:ilvl w:val="0"/>
          <w:numId w:val="0"/>
        </w:numPr>
        <w:spacing w:line="300" w:lineRule="auto"/>
        <w:ind w:left="420" w:leftChars="0"/>
        <w:outlineLvl w:val="0"/>
        <w:rPr>
          <w:rFonts w:ascii="宋体" w:hAnsi="宋体" w:cs="宋体"/>
          <w:b/>
          <w:sz w:val="24"/>
        </w:rPr>
      </w:pPr>
      <w:bookmarkStart w:id="9" w:name="_Toc128989096"/>
      <w:r>
        <w:rPr>
          <w:rFonts w:hint="eastAsia" w:ascii="宋体" w:hAnsi="宋体" w:cs="宋体"/>
          <w:b/>
          <w:sz w:val="24"/>
          <w:lang w:eastAsia="zh-CN"/>
        </w:rPr>
        <w:t>四、</w:t>
      </w:r>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参加单位必须是在中华人民共和国境内注册且合法运作独立法人或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bookmarkStart w:id="10" w:name="OLE_LINK3"/>
            <w:bookmarkStart w:id="11" w:name="OLE_LINK4"/>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r>
              <w:rPr>
                <w:rFonts w:hint="eastAsia" w:ascii="宋体" w:hAnsi="宋体" w:eastAsia="宋体" w:cs="宋体"/>
                <w:color w:val="auto"/>
                <w:sz w:val="21"/>
                <w:szCs w:val="21"/>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参加单位</w:t>
            </w:r>
            <w:r>
              <w:rPr>
                <w:rFonts w:hint="eastAsia" w:ascii="宋体" w:hAnsi="宋体" w:cs="宋体"/>
                <w:color w:val="auto"/>
                <w:sz w:val="21"/>
                <w:szCs w:val="21"/>
                <w:lang w:val="en-US" w:eastAsia="zh-CN"/>
              </w:rPr>
              <w:t>具有哈高设备</w:t>
            </w:r>
            <w:r>
              <w:rPr>
                <w:rFonts w:hint="eastAsia" w:ascii="宋体" w:hAnsi="宋体" w:eastAsia="宋体" w:cs="宋体"/>
                <w:color w:val="auto"/>
                <w:sz w:val="21"/>
                <w:szCs w:val="21"/>
                <w:lang w:val="en-US" w:eastAsia="zh-CN"/>
              </w:rPr>
              <w:t>制造商授权</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销售或售后服务</w:t>
            </w:r>
            <w:r>
              <w:rPr>
                <w:rFonts w:hint="eastAsia" w:ascii="宋体" w:hAnsi="宋体" w:cs="宋体"/>
                <w:color w:val="auto"/>
                <w:sz w:val="21"/>
                <w:szCs w:val="21"/>
                <w:lang w:val="en-US" w:eastAsia="zh-CN"/>
              </w:rPr>
              <w:t>证明</w:t>
            </w:r>
            <w:r>
              <w:rPr>
                <w:rFonts w:hint="eastAsia" w:ascii="宋体" w:hAnsi="宋体" w:eastAsia="宋体" w:cs="宋体"/>
                <w:color w:val="auto"/>
                <w:sz w:val="21"/>
                <w:szCs w:val="21"/>
                <w:lang w:val="en-US" w:eastAsia="zh-CN"/>
              </w:rPr>
              <w:t>（提供复印件并加盖公章）。</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color w:val="auto"/>
                <w:sz w:val="21"/>
                <w:szCs w:val="21"/>
                <w:highlight w:val="none"/>
                <w:shd w:val="clear" w:color="FFFFFF"/>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firstLine="0" w:firstLineChars="0"/>
              <w:textAlignment w:val="auto"/>
              <w:rPr>
                <w:rFonts w:hint="eastAsia"/>
                <w:color w:val="auto"/>
              </w:rPr>
            </w:pPr>
            <w:r>
              <w:rPr>
                <w:rFonts w:hint="eastAsia"/>
                <w:color w:val="auto"/>
              </w:rPr>
              <w:t>报价以人民币为结算币种，报价</w:t>
            </w:r>
            <w:r>
              <w:rPr>
                <w:rFonts w:hint="eastAsia"/>
                <w:color w:val="auto"/>
                <w:lang w:eastAsia="zh-CN"/>
              </w:rPr>
              <w:t>一览表</w:t>
            </w:r>
            <w:r>
              <w:rPr>
                <w:rFonts w:hint="eastAsia"/>
                <w:color w:val="auto"/>
              </w:rPr>
              <w:t>应包含税率、税额、税前及税后总金额</w:t>
            </w:r>
            <w:r>
              <w:rPr>
                <w:rFonts w:hint="eastAsia"/>
                <w:color w:val="auto"/>
                <w:lang w:eastAsia="zh-CN"/>
              </w:rPr>
              <w:t>。</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firstLine="0" w:firstLineChars="0"/>
              <w:textAlignment w:val="auto"/>
              <w:rPr>
                <w:rFonts w:hint="eastAsia"/>
                <w:color w:val="auto"/>
              </w:rPr>
            </w:pPr>
            <w:r>
              <w:rPr>
                <w:rFonts w:hint="eastAsia"/>
                <w:color w:val="auto"/>
                <w:lang w:eastAsia="zh-CN"/>
              </w:rPr>
              <w:t>报价</w:t>
            </w:r>
            <w:r>
              <w:rPr>
                <w:rFonts w:hint="eastAsia"/>
                <w:color w:val="auto"/>
              </w:rPr>
              <w:t>包含维护检测费、人工费、交通费、增值税等</w:t>
            </w:r>
            <w:r>
              <w:rPr>
                <w:rFonts w:hint="eastAsia"/>
                <w:color w:val="auto"/>
                <w:lang w:val="en-US" w:eastAsia="zh-CN"/>
              </w:rPr>
              <w:t>完成本项目设备维保服务的一切</w:t>
            </w:r>
            <w:r>
              <w:rPr>
                <w:rFonts w:hint="eastAsia"/>
                <w:color w:val="auto"/>
              </w:rPr>
              <w:t>费用。</w:t>
            </w:r>
          </w:p>
          <w:p>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color w:val="auto"/>
              </w:rPr>
            </w:pPr>
            <w:r>
              <w:rPr>
                <w:rFonts w:hint="eastAsia" w:ascii="宋体" w:hAnsi="宋体" w:cs="宋体"/>
                <w:color w:val="auto"/>
                <w:szCs w:val="21"/>
                <w:highlight w:val="none"/>
                <w:lang w:val="en-US" w:eastAsia="zh-CN"/>
              </w:rPr>
              <w:t>须提供</w:t>
            </w:r>
            <w:r>
              <w:rPr>
                <w:rFonts w:hint="eastAsia"/>
                <w:color w:val="auto"/>
                <w:highlight w:val="none"/>
                <w:lang w:val="en-US" w:eastAsia="zh-CN"/>
              </w:rPr>
              <w:t>常用零配件报价表（详见：常用零配件报价表），</w:t>
            </w:r>
            <w:r>
              <w:rPr>
                <w:rFonts w:hint="eastAsia"/>
                <w:color w:val="auto"/>
                <w:highlight w:val="none"/>
                <w:lang w:eastAsia="zh-CN"/>
              </w:rPr>
              <w:t>常用</w:t>
            </w:r>
            <w:r>
              <w:rPr>
                <w:rFonts w:hint="eastAsia"/>
                <w:color w:val="auto"/>
                <w:highlight w:val="none"/>
                <w:lang w:val="en-US" w:eastAsia="zh-CN"/>
              </w:rPr>
              <w:t>零配件</w:t>
            </w:r>
            <w:r>
              <w:rPr>
                <w:rFonts w:hint="eastAsia"/>
                <w:color w:val="auto"/>
                <w:highlight w:val="none"/>
                <w:lang w:eastAsia="zh-CN"/>
              </w:rPr>
              <w:t>报价表</w:t>
            </w:r>
            <w:r>
              <w:rPr>
                <w:rFonts w:hint="default"/>
                <w:color w:val="auto"/>
                <w:highlight w:val="none"/>
              </w:rPr>
              <w:t>每年向</w:t>
            </w:r>
            <w:r>
              <w:rPr>
                <w:rFonts w:hint="eastAsia"/>
                <w:color w:val="auto"/>
                <w:highlight w:val="none"/>
                <w:lang w:val="en-US" w:eastAsia="zh-CN"/>
              </w:rPr>
              <w:t>采购人</w:t>
            </w:r>
            <w:r>
              <w:rPr>
                <w:rFonts w:hint="default"/>
                <w:color w:val="auto"/>
                <w:highlight w:val="none"/>
              </w:rPr>
              <w:t>更新1次；如遇价格特殊变化情况应提前向</w:t>
            </w:r>
            <w:r>
              <w:rPr>
                <w:rFonts w:hint="eastAsia"/>
                <w:color w:val="auto"/>
                <w:highlight w:val="none"/>
                <w:lang w:val="en-US" w:eastAsia="zh-CN"/>
              </w:rPr>
              <w:t>采购人</w:t>
            </w:r>
            <w:r>
              <w:rPr>
                <w:rFonts w:hint="default"/>
                <w:color w:val="auto"/>
                <w:highlight w:val="none"/>
              </w:rPr>
              <w:t>提出。</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sz w:val="21"/>
                <w:szCs w:val="21"/>
              </w:rPr>
              <w:t>本项目维保单价控制金额</w:t>
            </w:r>
            <w:r>
              <w:rPr>
                <w:rFonts w:hint="eastAsia" w:ascii="宋体" w:hAnsi="宋体" w:eastAsia="宋体" w:cs="宋体"/>
                <w:sz w:val="21"/>
                <w:szCs w:val="21"/>
                <w:lang w:eastAsia="zh-CN"/>
              </w:rPr>
              <w:t>如下：</w:t>
            </w:r>
            <w:r>
              <w:rPr>
                <w:rFonts w:hint="eastAsia" w:ascii="宋体" w:hAnsi="宋体"/>
                <w:kern w:val="2"/>
                <w:sz w:val="21"/>
                <w:szCs w:val="21"/>
                <w:lang w:val="en-US" w:eastAsia="zh-CN" w:bidi="ar-SA"/>
              </w:rPr>
              <w:t>多功能小型清扫车</w:t>
            </w:r>
            <w:r>
              <w:rPr>
                <w:rFonts w:hint="eastAsia" w:ascii="宋体" w:hAnsi="宋体" w:cs="宋体"/>
                <w:color w:val="auto"/>
                <w:sz w:val="21"/>
                <w:szCs w:val="21"/>
                <w:lang w:val="en-US" w:eastAsia="zh-CN"/>
              </w:rPr>
              <w:t>限价</w:t>
            </w:r>
            <w:r>
              <w:rPr>
                <w:rFonts w:hint="eastAsia" w:ascii="宋体" w:hAnsi="宋体" w:eastAsia="宋体" w:cs="宋体"/>
                <w:color w:val="auto"/>
                <w:sz w:val="21"/>
                <w:szCs w:val="21"/>
                <w:lang w:val="en-US" w:eastAsia="zh-CN"/>
              </w:rPr>
              <w:t>为2980</w:t>
            </w:r>
            <w:r>
              <w:rPr>
                <w:rFonts w:hint="eastAsia" w:ascii="宋体" w:hAnsi="宋体" w:eastAsia="宋体" w:cs="宋体"/>
                <w:color w:val="auto"/>
                <w:sz w:val="21"/>
                <w:szCs w:val="21"/>
              </w:rPr>
              <w:t>元/台/次</w:t>
            </w:r>
            <w:r>
              <w:rPr>
                <w:rFonts w:hint="eastAsia" w:ascii="宋体" w:hAnsi="宋体" w:cs="宋体"/>
                <w:color w:val="auto"/>
                <w:sz w:val="21"/>
                <w:szCs w:val="21"/>
                <w:lang w:eastAsia="zh-CN"/>
              </w:rPr>
              <w:t>、</w:t>
            </w:r>
            <w:r>
              <w:rPr>
                <w:rFonts w:hint="eastAsia" w:ascii="宋体" w:hAnsi="宋体"/>
                <w:sz w:val="21"/>
                <w:szCs w:val="21"/>
                <w:lang w:val="en-US" w:eastAsia="zh-CN"/>
              </w:rPr>
              <w:t>驾驶式洗地机</w:t>
            </w:r>
            <w:r>
              <w:rPr>
                <w:rFonts w:hint="eastAsia" w:ascii="宋体" w:hAnsi="宋体" w:cs="宋体"/>
                <w:color w:val="auto"/>
                <w:sz w:val="21"/>
                <w:szCs w:val="21"/>
                <w:lang w:val="en-US" w:eastAsia="zh-CN"/>
              </w:rPr>
              <w:t>/扫地机</w:t>
            </w:r>
            <w:r>
              <w:rPr>
                <w:rFonts w:hint="eastAsia" w:ascii="宋体" w:hAnsi="宋体" w:cs="宋体"/>
                <w:color w:val="auto"/>
                <w:sz w:val="21"/>
                <w:szCs w:val="21"/>
                <w:lang w:eastAsia="zh-CN"/>
              </w:rPr>
              <w:t>限价</w:t>
            </w:r>
            <w:r>
              <w:rPr>
                <w:rFonts w:hint="eastAsia" w:ascii="宋体" w:hAnsi="宋体" w:eastAsia="宋体" w:cs="宋体"/>
                <w:color w:val="auto"/>
                <w:sz w:val="21"/>
                <w:szCs w:val="21"/>
                <w:lang w:eastAsia="zh-CN"/>
              </w:rPr>
              <w:t>为</w:t>
            </w:r>
            <w:r>
              <w:rPr>
                <w:rFonts w:hint="eastAsia" w:ascii="宋体" w:hAnsi="宋体" w:eastAsia="宋体" w:cs="宋体"/>
                <w:color w:val="auto"/>
                <w:lang w:val="en-US" w:eastAsia="zh-CN"/>
              </w:rPr>
              <w:t>1</w:t>
            </w:r>
            <w:r>
              <w:rPr>
                <w:rFonts w:hint="eastAsia" w:ascii="宋体" w:hAnsi="宋体" w:cs="宋体"/>
                <w:color w:val="auto"/>
                <w:lang w:val="en-US" w:eastAsia="zh-CN"/>
              </w:rPr>
              <w:t>100</w:t>
            </w:r>
            <w:r>
              <w:rPr>
                <w:rFonts w:hint="eastAsia" w:ascii="宋体" w:hAnsi="宋体" w:eastAsia="宋体" w:cs="宋体"/>
                <w:color w:val="auto"/>
                <w:sz w:val="21"/>
                <w:szCs w:val="21"/>
              </w:rPr>
              <w:t>元/台/次，三年维保总费用不超人民币</w:t>
            </w:r>
            <w:r>
              <w:rPr>
                <w:rFonts w:hint="eastAsia" w:ascii="宋体" w:hAnsi="宋体" w:cs="宋体"/>
                <w:color w:val="auto"/>
                <w:sz w:val="21"/>
                <w:szCs w:val="21"/>
                <w:lang w:val="en-US" w:eastAsia="zh-CN"/>
              </w:rPr>
              <w:t>8.4</w:t>
            </w:r>
            <w:r>
              <w:rPr>
                <w:rFonts w:hint="eastAsia" w:ascii="宋体" w:hAnsi="宋体" w:eastAsia="宋体" w:cs="宋体"/>
                <w:color w:val="auto"/>
                <w:sz w:val="21"/>
                <w:szCs w:val="21"/>
              </w:rPr>
              <w:t>万元（含税，</w:t>
            </w:r>
            <w:r>
              <w:rPr>
                <w:rFonts w:hint="eastAsia" w:ascii="宋体" w:hAnsi="宋体" w:cs="宋体"/>
                <w:color w:val="auto"/>
                <w:sz w:val="21"/>
                <w:szCs w:val="21"/>
                <w:lang w:eastAsia="zh-CN"/>
              </w:rPr>
              <w:t>具体</w:t>
            </w:r>
            <w:r>
              <w:rPr>
                <w:rFonts w:hint="eastAsia" w:ascii="宋体" w:hAnsi="宋体" w:eastAsia="宋体" w:cs="宋体"/>
                <w:color w:val="auto"/>
                <w:sz w:val="21"/>
                <w:szCs w:val="21"/>
              </w:rPr>
              <w:t>按实际维保次数据实结算</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31"/>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项目款项</w:t>
            </w:r>
            <w:r>
              <w:rPr>
                <w:rFonts w:hint="eastAsia" w:ascii="宋体" w:hAnsi="宋体" w:eastAsia="宋体" w:cs="宋体"/>
                <w:color w:val="auto"/>
                <w:sz w:val="21"/>
                <w:szCs w:val="21"/>
                <w:highlight w:val="none"/>
                <w:lang w:eastAsia="zh-CN"/>
              </w:rPr>
              <w:t>每年</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期支付：</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，每年根据维保</w:t>
            </w:r>
            <w:r>
              <w:rPr>
                <w:rFonts w:hint="eastAsia" w:ascii="宋体" w:hAnsi="宋体" w:eastAsia="宋体" w:cs="宋体"/>
                <w:color w:val="auto"/>
                <w:sz w:val="21"/>
                <w:szCs w:val="21"/>
                <w:highlight w:val="none"/>
              </w:rPr>
              <w:t>工作进度分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次付款</w:t>
            </w:r>
            <w:r>
              <w:rPr>
                <w:rFonts w:hint="eastAsia" w:ascii="宋体" w:hAnsi="宋体" w:eastAsia="宋体" w:cs="宋体"/>
                <w:color w:val="auto"/>
                <w:sz w:val="21"/>
                <w:szCs w:val="21"/>
                <w:highlight w:val="none"/>
                <w:lang w:eastAsia="zh-CN"/>
              </w:rPr>
              <w:t>。</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第一年合同正式履行并在完成</w:t>
            </w:r>
            <w:r>
              <w:rPr>
                <w:rFonts w:hint="eastAsia" w:ascii="宋体" w:hAnsi="宋体" w:eastAsia="宋体" w:cs="宋体"/>
                <w:color w:val="auto"/>
                <w:sz w:val="21"/>
                <w:szCs w:val="21"/>
                <w:highlight w:val="none"/>
                <w:lang w:eastAsia="zh-CN"/>
              </w:rPr>
              <w:t>第一期（两个季度）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%；在完成</w:t>
            </w:r>
            <w:r>
              <w:rPr>
                <w:rFonts w:hint="eastAsia" w:ascii="宋体" w:hAnsi="宋体" w:eastAsia="宋体" w:cs="宋体"/>
                <w:color w:val="auto"/>
                <w:sz w:val="21"/>
                <w:szCs w:val="21"/>
                <w:highlight w:val="none"/>
                <w:lang w:eastAsia="zh-CN"/>
              </w:rPr>
              <w:t>第二期（两个季度）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第二年、第三年</w:t>
            </w:r>
            <w:r>
              <w:rPr>
                <w:rFonts w:hint="eastAsia" w:ascii="宋体" w:hAnsi="宋体" w:eastAsia="宋体" w:cs="宋体"/>
                <w:sz w:val="21"/>
                <w:szCs w:val="21"/>
              </w:rPr>
              <w:t>合同开始履行之后将按照第一年合同付款方式执行。</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kern w:val="0"/>
                <w:sz w:val="21"/>
                <w:szCs w:val="21"/>
                <w:lang w:val="en-US" w:eastAsia="zh-CN"/>
              </w:rPr>
              <w:t>付款时</w:t>
            </w:r>
            <w:r>
              <w:rPr>
                <w:rFonts w:hint="eastAsia" w:ascii="宋体" w:hAnsi="宋体" w:eastAsia="宋体" w:cs="宋体"/>
                <w:kern w:val="0"/>
                <w:sz w:val="21"/>
                <w:szCs w:val="21"/>
              </w:rPr>
              <w:t>需提供维保报告，包括设备状况、更换零配件清单（包括数量，价格等）、响应情况、设备存在问题以及建议等。</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详细付款事宜以最终合同条款为准。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color w:val="auto"/>
                <w:szCs w:val="21"/>
                <w:highlight w:val="none"/>
                <w:shd w:val="clear"/>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合同服务期限</w:t>
            </w:r>
            <w:r>
              <w:rPr>
                <w:rFonts w:hint="eastAsia" w:ascii="宋体" w:hAnsi="宋体" w:eastAsia="宋体" w:cs="宋体"/>
                <w:sz w:val="21"/>
                <w:szCs w:val="21"/>
                <w:highlight w:val="none"/>
              </w:rPr>
              <w:t>：3年</w:t>
            </w:r>
            <w:r>
              <w:rPr>
                <w:rFonts w:hint="eastAsia" w:ascii="宋体" w:hAnsi="宋体" w:eastAsia="宋体" w:cs="宋体"/>
                <w:color w:val="000000"/>
                <w:sz w:val="21"/>
                <w:szCs w:val="21"/>
                <w:highlight w:val="none"/>
              </w:rPr>
              <w:t>（合同</w:t>
            </w:r>
            <w:r>
              <w:rPr>
                <w:rFonts w:hint="eastAsia" w:ascii="宋体" w:hAnsi="宋体" w:eastAsia="宋体" w:cs="宋体"/>
                <w:color w:val="000000"/>
                <w:sz w:val="21"/>
                <w:szCs w:val="21"/>
                <w:highlight w:val="none"/>
                <w:lang w:val="en-US" w:eastAsia="zh-CN"/>
              </w:rPr>
              <w:t>采用</w:t>
            </w:r>
            <w:r>
              <w:rPr>
                <w:rFonts w:hint="eastAsia" w:ascii="宋体" w:hAnsi="宋体" w:eastAsia="宋体" w:cs="宋体"/>
                <w:color w:val="000000"/>
                <w:sz w:val="21"/>
                <w:szCs w:val="21"/>
                <w:highlight w:val="none"/>
              </w:rPr>
              <w:t>1+1+1模式），</w:t>
            </w:r>
            <w:r>
              <w:rPr>
                <w:rFonts w:hint="eastAsia" w:ascii="宋体" w:hAnsi="宋体" w:eastAsia="宋体" w:cs="宋体"/>
                <w:sz w:val="21"/>
                <w:szCs w:val="21"/>
                <w:highlight w:val="none"/>
              </w:rPr>
              <w:t>乙方定期在设备现场对设备进行例行服务检查及保养，</w:t>
            </w:r>
            <w:r>
              <w:rPr>
                <w:rFonts w:hint="eastAsia" w:ascii="宋体" w:hAnsi="宋体" w:cs="宋体"/>
                <w:sz w:val="21"/>
                <w:szCs w:val="21"/>
                <w:highlight w:val="none"/>
                <w:lang w:eastAsia="zh-CN"/>
              </w:rPr>
              <w:t>多功能小型清扫车</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次/年</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eastAsia="zh-CN"/>
              </w:rPr>
              <w:t>驾驶式洗地机</w:t>
            </w:r>
            <w:r>
              <w:rPr>
                <w:rFonts w:hint="eastAsia" w:ascii="宋体" w:hAnsi="宋体" w:cs="宋体"/>
                <w:color w:val="000000"/>
                <w:sz w:val="21"/>
                <w:szCs w:val="21"/>
                <w:highlight w:val="none"/>
                <w:lang w:val="en-US" w:eastAsia="zh-CN"/>
              </w:rPr>
              <w:t>/扫地机</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次/年</w:t>
            </w:r>
            <w:r>
              <w:rPr>
                <w:rFonts w:hint="eastAsia" w:ascii="宋体" w:hAnsi="宋体" w:eastAsia="宋体" w:cs="宋体"/>
                <w:color w:val="00000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sz w:val="21"/>
                <w:szCs w:val="21"/>
                <w:highlight w:val="none"/>
                <w:lang w:val="en-US" w:eastAsia="zh-CN"/>
              </w:rPr>
            </w:pPr>
            <w:r>
              <w:rPr>
                <w:rFonts w:hint="eastAsia" w:ascii="宋体" w:hAnsi="宋体" w:cs="宋体"/>
                <w:bCs/>
                <w:highlight w:val="none"/>
                <w:lang w:eastAsia="zh-CN"/>
              </w:rPr>
              <w:t>（</w:t>
            </w:r>
            <w:r>
              <w:rPr>
                <w:rFonts w:hint="eastAsia" w:ascii="宋体" w:hAnsi="宋体" w:cs="宋体"/>
                <w:bCs/>
                <w:highlight w:val="none"/>
                <w:lang w:val="en-US" w:eastAsia="zh-CN"/>
              </w:rPr>
              <w:t>2</w:t>
            </w:r>
            <w:r>
              <w:rPr>
                <w:rFonts w:hint="eastAsia" w:ascii="宋体" w:hAnsi="宋体" w:cs="宋体"/>
                <w:bCs/>
                <w:highlight w:val="none"/>
                <w:lang w:eastAsia="zh-CN"/>
              </w:rPr>
              <w:t>）</w:t>
            </w:r>
            <w:r>
              <w:rPr>
                <w:rFonts w:hint="eastAsia" w:ascii="宋体" w:hAnsi="宋体" w:eastAsia="宋体" w:cs="宋体"/>
                <w:bCs/>
                <w:highlight w:val="none"/>
              </w:rPr>
              <w:t>每年度服务期满前</w:t>
            </w:r>
            <w:r>
              <w:rPr>
                <w:rFonts w:hint="eastAsia" w:ascii="宋体" w:hAnsi="宋体" w:eastAsia="宋体" w:cs="宋体"/>
                <w:bCs/>
                <w:highlight w:val="none"/>
                <w:lang w:val="en-US"/>
              </w:rPr>
              <w:t>两</w:t>
            </w:r>
            <w:r>
              <w:rPr>
                <w:rFonts w:hint="eastAsia" w:ascii="宋体" w:hAnsi="宋体" w:eastAsia="宋体" w:cs="宋体"/>
                <w:bCs/>
                <w:highlight w:val="none"/>
              </w:rPr>
              <w:t>个月，</w:t>
            </w:r>
            <w:r>
              <w:rPr>
                <w:rFonts w:hint="eastAsia" w:ascii="宋体" w:hAnsi="宋体" w:eastAsia="宋体" w:cs="宋体"/>
                <w:bCs/>
                <w:highlight w:val="none"/>
                <w:lang w:val="en-US" w:eastAsia="zh-CN"/>
              </w:rPr>
              <w:t>中选单位</w:t>
            </w:r>
            <w:r>
              <w:rPr>
                <w:rFonts w:hint="eastAsia" w:ascii="宋体" w:hAnsi="宋体" w:eastAsia="宋体" w:cs="宋体"/>
                <w:szCs w:val="21"/>
                <w:highlight w:val="none"/>
              </w:rPr>
              <w:t>应主动向</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人申请对其当年度服务情况进行履约评价，</w:t>
            </w:r>
            <w:r>
              <w:rPr>
                <w:rFonts w:hint="eastAsia" w:ascii="宋体" w:hAnsi="宋体" w:eastAsia="宋体" w:cs="宋体"/>
                <w:szCs w:val="21"/>
                <w:highlight w:val="none"/>
                <w:lang w:val="en-US" w:eastAsia="zh-CN"/>
              </w:rPr>
              <w:t>采购</w:t>
            </w:r>
            <w:r>
              <w:rPr>
                <w:rFonts w:hint="eastAsia" w:ascii="宋体" w:hAnsi="宋体" w:eastAsia="宋体" w:cs="宋体"/>
                <w:bCs/>
                <w:highlight w:val="none"/>
              </w:rPr>
              <w:t>人将根据合同要求对中</w:t>
            </w:r>
            <w:r>
              <w:rPr>
                <w:rFonts w:hint="eastAsia" w:ascii="宋体" w:hAnsi="宋体" w:eastAsia="宋体" w:cs="宋体"/>
                <w:bCs/>
                <w:highlight w:val="none"/>
                <w:lang w:val="en-US" w:eastAsia="zh-CN"/>
              </w:rPr>
              <w:t>选单位</w:t>
            </w:r>
            <w:r>
              <w:rPr>
                <w:rFonts w:hint="eastAsia" w:ascii="宋体" w:hAnsi="宋体" w:eastAsia="宋体" w:cs="宋体"/>
                <w:bCs/>
                <w:highlight w:val="none"/>
              </w:rPr>
              <w:t>本年度</w:t>
            </w:r>
            <w:r>
              <w:rPr>
                <w:rFonts w:hint="eastAsia" w:ascii="宋体" w:hAnsi="宋体" w:eastAsia="宋体" w:cs="宋体"/>
                <w:bCs/>
                <w:highlight w:val="none"/>
                <w:lang w:val="en-US" w:eastAsia="zh-CN"/>
              </w:rPr>
              <w:t>维保</w:t>
            </w:r>
            <w:r>
              <w:rPr>
                <w:rFonts w:hint="eastAsia" w:ascii="宋体" w:hAnsi="宋体" w:eastAsia="宋体" w:cs="宋体"/>
                <w:bCs/>
                <w:highlight w:val="none"/>
              </w:rPr>
              <w:t>服务质量、服务承诺等工作进行全面考核评审，如考核评审达标（综合评分≥8</w:t>
            </w:r>
            <w:r>
              <w:rPr>
                <w:rFonts w:hint="eastAsia" w:ascii="宋体" w:hAnsi="宋体" w:eastAsia="宋体" w:cs="宋体"/>
                <w:bCs/>
                <w:highlight w:val="none"/>
                <w:lang w:val="en-US" w:eastAsia="zh-CN"/>
              </w:rPr>
              <w:t>0</w:t>
            </w:r>
            <w:r>
              <w:rPr>
                <w:rFonts w:hint="eastAsia" w:ascii="宋体" w:hAnsi="宋体" w:eastAsia="宋体" w:cs="宋体"/>
                <w:bCs/>
                <w:highlight w:val="none"/>
              </w:rPr>
              <w:t>分），则继续执行下</w:t>
            </w:r>
            <w:r>
              <w:rPr>
                <w:rFonts w:hint="eastAsia" w:ascii="宋体" w:hAnsi="宋体" w:cs="宋体"/>
                <w:bCs/>
                <w:highlight w:val="none"/>
                <w:lang w:eastAsia="zh-CN"/>
              </w:rPr>
              <w:t>一</w:t>
            </w:r>
            <w:r>
              <w:rPr>
                <w:rFonts w:hint="eastAsia" w:ascii="宋体" w:hAnsi="宋体" w:eastAsia="宋体" w:cs="宋体"/>
                <w:bCs/>
                <w:highlight w:val="none"/>
              </w:rPr>
              <w:t>年度合同，如不达标则终止</w:t>
            </w:r>
            <w:r>
              <w:rPr>
                <w:rFonts w:hint="eastAsia" w:ascii="宋体" w:hAnsi="宋体" w:cs="宋体"/>
                <w:bCs/>
                <w:highlight w:val="none"/>
                <w:lang w:eastAsia="zh-CN"/>
              </w:rPr>
              <w:t>服务</w:t>
            </w:r>
            <w:r>
              <w:rPr>
                <w:rFonts w:hint="eastAsia" w:ascii="宋体" w:hAnsi="宋体" w:eastAsia="宋体" w:cs="宋体"/>
                <w:bCs/>
                <w:highlight w:val="none"/>
              </w:rPr>
              <w:t>合同。</w:t>
            </w:r>
            <w:r>
              <w:rPr>
                <w:rFonts w:hint="eastAsia" w:ascii="宋体" w:hAnsi="宋体" w:eastAsia="宋体" w:cs="宋体"/>
                <w:szCs w:val="21"/>
                <w:highlight w:val="none"/>
              </w:rPr>
              <w:t>如中</w:t>
            </w:r>
            <w:r>
              <w:rPr>
                <w:rFonts w:hint="eastAsia" w:ascii="宋体" w:hAnsi="宋体" w:eastAsia="宋体" w:cs="宋体"/>
                <w:szCs w:val="21"/>
                <w:highlight w:val="none"/>
                <w:lang w:val="en-US" w:eastAsia="zh-CN"/>
              </w:rPr>
              <w:t>选单位</w:t>
            </w:r>
            <w:r>
              <w:rPr>
                <w:rFonts w:hint="eastAsia" w:ascii="宋体" w:hAnsi="宋体" w:eastAsia="宋体" w:cs="宋体"/>
                <w:szCs w:val="21"/>
                <w:highlight w:val="none"/>
              </w:rPr>
              <w:t>未按时主动向</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人申请对其当年度服务情况进行履约评价的，</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人有权直接终止合同。</w:t>
            </w:r>
            <w:r>
              <w:rPr>
                <w:rFonts w:hint="eastAsia" w:ascii="宋体" w:hAnsi="宋体" w:eastAsia="宋体" w:cs="宋体"/>
                <w:bCs/>
                <w:highlight w:val="none"/>
              </w:rPr>
              <w:t>具体考核评审办法详见：《</w:t>
            </w:r>
            <w:bookmarkStart w:id="12" w:name="OLE_LINK1"/>
            <w:r>
              <w:rPr>
                <w:rFonts w:hint="eastAsia" w:ascii="宋体" w:hAnsi="宋体" w:eastAsia="宋体" w:cs="宋体"/>
                <w:bCs/>
                <w:highlight w:val="none"/>
              </w:rPr>
              <w:t>深圳会展中心</w:t>
            </w:r>
            <w:r>
              <w:rPr>
                <w:rFonts w:hint="eastAsia" w:ascii="宋体" w:hAnsi="宋体" w:cs="宋体"/>
                <w:bCs/>
                <w:highlight w:val="none"/>
                <w:lang w:val="en-US" w:eastAsia="zh-CN"/>
              </w:rPr>
              <w:t>哈高清洁设备</w:t>
            </w:r>
            <w:r>
              <w:rPr>
                <w:rFonts w:hint="eastAsia" w:ascii="宋体" w:hAnsi="宋体" w:eastAsia="宋体" w:cs="宋体"/>
                <w:bCs/>
                <w:highlight w:val="none"/>
                <w:lang w:val="en-US" w:eastAsia="zh-CN"/>
              </w:rPr>
              <w:t>维保</w:t>
            </w:r>
            <w:r>
              <w:rPr>
                <w:rFonts w:hint="eastAsia" w:ascii="宋体" w:hAnsi="宋体" w:eastAsia="宋体" w:cs="宋体"/>
                <w:bCs/>
                <w:highlight w:val="none"/>
              </w:rPr>
              <w:t>服务考核评分表</w:t>
            </w:r>
            <w:bookmarkEnd w:id="12"/>
            <w:r>
              <w:rPr>
                <w:rFonts w:hint="eastAsia" w:ascii="宋体" w:hAnsi="宋体" w:eastAsia="宋体" w:cs="宋体"/>
                <w:bCs/>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Cs w:val="21"/>
                <w:highlight w:val="none"/>
                <w:shd w:val="clear"/>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numPr>
                <w:ilvl w:val="0"/>
                <w:numId w:val="13"/>
              </w:numPr>
              <w:kinsoku/>
              <w:wordWrap/>
              <w:overflowPunct/>
              <w:topLinePunct w:val="0"/>
              <w:autoSpaceDE/>
              <w:autoSpaceDN/>
              <w:bidi w:val="0"/>
              <w:adjustRightInd/>
              <w:snapToGrid/>
              <w:spacing w:line="360" w:lineRule="exact"/>
              <w:ind w:left="0" w:leftChars="0" w:firstLine="0" w:firstLineChars="0"/>
              <w:textAlignment w:val="auto"/>
              <w:rPr>
                <w:rFonts w:ascii="宋体" w:hAnsi="宋体" w:eastAsia="宋体" w:cs="宋体"/>
                <w:sz w:val="21"/>
                <w:szCs w:val="21"/>
                <w:highlight w:val="none"/>
              </w:rPr>
            </w:pPr>
            <w:r>
              <w:rPr>
                <w:rFonts w:ascii="宋体" w:hAnsi="宋体" w:eastAsia="宋体" w:cs="宋体"/>
                <w:sz w:val="21"/>
                <w:szCs w:val="21"/>
                <w:highlight w:val="none"/>
              </w:rPr>
              <w:t>参加单位应根据采购人要求提供维保服务承诺并加盖公章。</w:t>
            </w:r>
          </w:p>
          <w:p>
            <w:pPr>
              <w:pStyle w:val="29"/>
              <w:widowControl/>
              <w:numPr>
                <w:ilvl w:val="0"/>
                <w:numId w:val="13"/>
              </w:numPr>
              <w:ind w:left="0" w:firstLine="0" w:firstLineChars="0"/>
              <w:rPr>
                <w:rFonts w:hint="eastAsia" w:ascii="宋体" w:hAnsi="宋体" w:eastAsia="宋体" w:cs="宋体"/>
                <w:sz w:val="21"/>
                <w:szCs w:val="21"/>
                <w:highlight w:val="none"/>
                <w:lang w:eastAsia="zh-CN"/>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提供的零配件保证原装正品</w:t>
            </w:r>
            <w:r>
              <w:rPr>
                <w:rFonts w:hint="eastAsia" w:ascii="宋体" w:hAnsi="宋体" w:cs="宋体"/>
                <w:color w:val="auto"/>
                <w:szCs w:val="21"/>
                <w:highlight w:val="none"/>
                <w:lang w:val="en-US" w:eastAsia="zh-CN"/>
              </w:rPr>
              <w:t>。</w:t>
            </w:r>
            <w:r>
              <w:rPr>
                <w:rFonts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ascii="宋体" w:hAnsi="宋体" w:eastAsia="宋体" w:cs="宋体"/>
                <w:sz w:val="21"/>
                <w:szCs w:val="21"/>
                <w:highlight w:val="none"/>
              </w:rPr>
              <w:t>中选单位需接受附件《常用零配件报价表》不高于本次询价的平均报价，未在报价清单中的配件，中选单位的后期报价必须符合市场行情价格，参加单位提供承诺书并加盖公章</w:t>
            </w:r>
            <w:r>
              <w:rPr>
                <w:rFonts w:hint="eastAsia" w:ascii="宋体" w:hAnsi="宋体" w:eastAsia="宋体" w:cs="宋体"/>
                <w:sz w:val="21"/>
                <w:szCs w:val="21"/>
                <w:highlight w:val="none"/>
                <w:lang w:eastAsia="zh-CN"/>
              </w:rPr>
              <w:t>。</w:t>
            </w:r>
          </w:p>
          <w:p>
            <w:pPr>
              <w:pStyle w:val="29"/>
              <w:widowControl/>
              <w:numPr>
                <w:ilvl w:val="-1"/>
                <w:numId w:val="0"/>
              </w:numPr>
              <w:ind w:left="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承诺</w:t>
            </w:r>
            <w:r>
              <w:rPr>
                <w:rFonts w:hint="eastAsia" w:ascii="宋体" w:hAnsi="宋体" w:cs="宋体"/>
                <w:sz w:val="21"/>
                <w:szCs w:val="21"/>
                <w:highlight w:val="none"/>
                <w:lang w:eastAsia="zh-CN"/>
              </w:rPr>
              <w:t>所更换零配件质保期</w:t>
            </w:r>
            <w:r>
              <w:rPr>
                <w:rFonts w:hint="eastAsia" w:ascii="宋体" w:hAnsi="宋体" w:cs="宋体"/>
                <w:sz w:val="21"/>
                <w:szCs w:val="21"/>
                <w:highlight w:val="none"/>
                <w:lang w:val="en-US" w:eastAsia="zh-CN"/>
              </w:rPr>
              <w:t>不少于</w:t>
            </w:r>
            <w:r>
              <w:rPr>
                <w:rFonts w:hint="eastAsia" w:ascii="宋体" w:hAnsi="宋体" w:cs="宋体"/>
                <w:sz w:val="21"/>
                <w:szCs w:val="21"/>
                <w:highlight w:val="none"/>
                <w:lang w:eastAsia="zh-CN"/>
              </w:rPr>
              <w:t>三个月，其中</w:t>
            </w:r>
            <w:r>
              <w:rPr>
                <w:rFonts w:hint="eastAsia" w:ascii="宋体" w:hAnsi="宋体" w:eastAsia="宋体" w:cs="宋体"/>
                <w:color w:val="auto"/>
                <w:sz w:val="21"/>
                <w:szCs w:val="21"/>
                <w:highlight w:val="none"/>
              </w:rPr>
              <w:t>蓄电池</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12个月、机械配件</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6 个月</w:t>
            </w:r>
            <w:r>
              <w:rPr>
                <w:rFonts w:hint="eastAsia" w:ascii="宋体" w:hAnsi="宋体" w:cs="宋体"/>
                <w:color w:val="auto"/>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维保</w:t>
            </w:r>
            <w:r>
              <w:rPr>
                <w:rFonts w:hint="eastAsia" w:ascii="宋体" w:hAnsi="宋体" w:cs="宋体"/>
                <w:color w:val="auto"/>
                <w:sz w:val="21"/>
                <w:szCs w:val="21"/>
                <w:lang w:val="en-US" w:eastAsia="zh-CN"/>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洗地机维</w:t>
            </w:r>
            <w:r>
              <w:rPr>
                <w:rFonts w:hint="eastAsia" w:ascii="宋体" w:hAnsi="宋体" w:cs="宋体"/>
                <w:b/>
                <w:bCs/>
                <w:color w:val="auto"/>
                <w:sz w:val="21"/>
                <w:szCs w:val="21"/>
                <w:lang w:eastAsia="zh-CN"/>
              </w:rPr>
              <w:t>保</w:t>
            </w:r>
            <w:r>
              <w:rPr>
                <w:rFonts w:hint="eastAsia" w:ascii="宋体" w:hAnsi="宋体" w:eastAsia="宋体" w:cs="宋体"/>
                <w:b/>
                <w:bCs/>
                <w:color w:val="auto"/>
                <w:sz w:val="21"/>
                <w:szCs w:val="21"/>
              </w:rPr>
              <w:t>要求：</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645" w:leftChars="0" w:hanging="225"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检查电池组充放电(放电率为80﹪)是否均衡正常</w:t>
            </w:r>
            <w:r>
              <w:rPr>
                <w:rFonts w:hint="eastAsia" w:ascii="宋体" w:hAnsi="宋体" w:cs="宋体"/>
                <w:color w:val="auto"/>
                <w:sz w:val="21"/>
                <w:szCs w:val="21"/>
                <w:lang w:eastAsia="zh-CN"/>
              </w:rPr>
              <w:t>，</w:t>
            </w:r>
            <w:r>
              <w:rPr>
                <w:rFonts w:hint="eastAsia" w:ascii="宋体" w:hAnsi="宋体" w:eastAsia="宋体" w:cs="宋体"/>
                <w:color w:val="auto"/>
                <w:sz w:val="21"/>
                <w:szCs w:val="21"/>
              </w:rPr>
              <w:t>有无发热状况，每个电瓶单元水位是否正常。</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645" w:leftChars="0" w:hanging="225"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检查清洗水箱和喉管。</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检查清洗旋转叶子、针盘。</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检查清洗刮水总成。</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检查清理吸水切断浮球。</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检查清理吸水马达过滤器。</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检查清理盘刷系统及尘土箱。</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检查洗刷室裙边。</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检查并清洗液体过滤器。</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检查脚部开关踏板及刹车是否磨损，进行调整。</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完整的清理从液体到盘刷系统。</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对润滑装置进行上油。</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检查电机碳刷磨损程度，当电机碳刷磨损程度达到70%，需及时更换。</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扫地车维</w:t>
            </w:r>
            <w:r>
              <w:rPr>
                <w:rFonts w:hint="eastAsia" w:ascii="宋体" w:hAnsi="宋体" w:cs="宋体"/>
                <w:b/>
                <w:bCs/>
                <w:color w:val="auto"/>
                <w:sz w:val="21"/>
                <w:szCs w:val="21"/>
                <w:lang w:val="en-US" w:eastAsia="zh-CN"/>
              </w:rPr>
              <w:t>保</w:t>
            </w:r>
            <w:r>
              <w:rPr>
                <w:rFonts w:hint="eastAsia" w:ascii="宋体" w:hAnsi="宋体" w:eastAsia="宋体" w:cs="宋体"/>
                <w:b/>
                <w:bCs/>
                <w:color w:val="auto"/>
                <w:sz w:val="21"/>
                <w:szCs w:val="21"/>
                <w:lang w:val="en-US" w:eastAsia="zh-CN"/>
              </w:rPr>
              <w:t>要求：</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机器总体</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按安全规程进行手动和机械操作检查；</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机器启动检查；</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对清扫刷子进行调节检查；</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检查清理垃圾箱。</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总控制</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检查车辆驱动装置；</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检查车辆方向盘及刹车（刹车调节和维护）；</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启动操作车辆；</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电机歇火及电机控制检查；</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检查车辆控制面板和开关（计时表、指示灯等）；</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检查控制手柄和控制杆；</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主刷和刷头操作检查；</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检查垃圾箱安全支撑杆。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润滑和电瓶维护</w:t>
            </w:r>
          </w:p>
          <w:p>
            <w:pPr>
              <w:pStyle w:val="29"/>
              <w:keepNext w:val="0"/>
              <w:keepLines w:val="0"/>
              <w:pageBreakBefore w:val="0"/>
              <w:widowControl/>
              <w:numPr>
                <w:ilvl w:val="0"/>
                <w:numId w:val="16"/>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检查润滑装置并上油；</w:t>
            </w:r>
          </w:p>
          <w:p>
            <w:pPr>
              <w:pStyle w:val="29"/>
              <w:keepNext w:val="0"/>
              <w:keepLines w:val="0"/>
              <w:pageBreakBefore w:val="0"/>
              <w:widowControl/>
              <w:numPr>
                <w:ilvl w:val="0"/>
                <w:numId w:val="16"/>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检查液压油油位及液压油过滤器；</w:t>
            </w:r>
          </w:p>
          <w:p>
            <w:pPr>
              <w:pStyle w:val="29"/>
              <w:keepNext w:val="0"/>
              <w:keepLines w:val="0"/>
              <w:pageBreakBefore w:val="0"/>
              <w:widowControl/>
              <w:numPr>
                <w:ilvl w:val="0"/>
                <w:numId w:val="16"/>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检查车辆电瓶和充电装置。</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机器细节</w:t>
            </w:r>
          </w:p>
          <w:p>
            <w:pPr>
              <w:pStyle w:val="29"/>
              <w:keepNext w:val="0"/>
              <w:keepLines w:val="0"/>
              <w:pageBreakBefore w:val="0"/>
              <w:widowControl/>
              <w:numPr>
                <w:ilvl w:val="0"/>
                <w:numId w:val="17"/>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清理维护灰层过滤网；</w:t>
            </w:r>
          </w:p>
          <w:p>
            <w:pPr>
              <w:pStyle w:val="29"/>
              <w:keepNext w:val="0"/>
              <w:keepLines w:val="0"/>
              <w:pageBreakBefore w:val="0"/>
              <w:widowControl/>
              <w:numPr>
                <w:ilvl w:val="0"/>
                <w:numId w:val="17"/>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检查主刷、边刷，必要时进行调节和更换；</w:t>
            </w:r>
          </w:p>
          <w:p>
            <w:pPr>
              <w:pStyle w:val="29"/>
              <w:keepNext w:val="0"/>
              <w:keepLines w:val="0"/>
              <w:pageBreakBefore w:val="0"/>
              <w:widowControl/>
              <w:numPr>
                <w:ilvl w:val="0"/>
                <w:numId w:val="17"/>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检查密封胶条、灰层裙边、垃圾箱裙边。</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多功能小型清扫车维</w:t>
            </w:r>
            <w:r>
              <w:rPr>
                <w:rFonts w:hint="eastAsia" w:ascii="宋体" w:hAnsi="宋体" w:cs="宋体"/>
                <w:b/>
                <w:bCs/>
                <w:color w:val="auto"/>
                <w:sz w:val="21"/>
                <w:szCs w:val="21"/>
                <w:lang w:val="en-US" w:eastAsia="zh-CN"/>
              </w:rPr>
              <w:t>保</w:t>
            </w:r>
            <w:r>
              <w:rPr>
                <w:rFonts w:hint="eastAsia" w:ascii="宋体" w:hAnsi="宋体" w:eastAsia="宋体" w:cs="宋体"/>
                <w:b/>
                <w:bCs/>
                <w:color w:val="auto"/>
                <w:sz w:val="21"/>
                <w:szCs w:val="21"/>
                <w:lang w:val="en-US" w:eastAsia="zh-CN"/>
              </w:rPr>
              <w:t>要求：</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机器保养手册上规定的项目（CM600操作手册75-82页，请查看附件），根据机器使用时间进行各项有序的检查。清洁机器积压粉尘、清洁滤芯、活动部件加黄油等</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检测机器各项功能（发动机、操作系统、液压系统、刹车系统、灯光等）是否正常，如有问题及时解决或提出解决方案。</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检查电线、液压油管是否完好，是否有磨损、老化及安全问题，如有及时解决。</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检测风机吸力是否正常。</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检测皮带、吸口胶条等磨损情况，根据实际调节或更换。</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检查耗品的磨损程度（刷子、钢丝绳、吸管、吸扒轮子、刹车线、吸盘胶条等），视需要更换。</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根据保养时间项目，进行保养，更换保养配件（机油、机油滤芯、燃油滤芯、液压油滤芯、空气滤芯等）。</w:t>
            </w:r>
          </w:p>
          <w:p>
            <w:pPr>
              <w:pStyle w:val="29"/>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根据机器使用情况现场对机器操作人员进行培训并提出改进注意事项。</w:t>
            </w:r>
          </w:p>
          <w:p>
            <w:pPr>
              <w:pStyle w:val="29"/>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rPr>
              <w:t>根据机器使用时间告知机器管理人员下次机器保养时间和准备备件清单。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维保人员</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1</w:t>
            </w:r>
            <w:r>
              <w:rPr>
                <w:rFonts w:hint="eastAsia" w:ascii="宋体" w:hAnsi="宋体" w:cs="宋体"/>
                <w:strike w:val="0"/>
                <w:color w:val="auto"/>
                <w:szCs w:val="21"/>
                <w:lang w:eastAsia="zh-CN"/>
              </w:rPr>
              <w:t>）</w:t>
            </w:r>
            <w:r>
              <w:rPr>
                <w:rFonts w:hint="eastAsia" w:ascii="宋体" w:hAnsi="宋体" w:cs="宋体"/>
                <w:strike w:val="0"/>
                <w:color w:val="auto"/>
                <w:szCs w:val="21"/>
              </w:rPr>
              <w:t>维保人员必须接受过</w:t>
            </w:r>
            <w:r>
              <w:rPr>
                <w:rFonts w:hint="eastAsia" w:ascii="宋体" w:hAnsi="宋体" w:cs="宋体"/>
                <w:strike w:val="0"/>
                <w:color w:val="auto"/>
                <w:szCs w:val="21"/>
                <w:lang w:eastAsia="zh-CN"/>
              </w:rPr>
              <w:t>哈高公司</w:t>
            </w:r>
            <w:r>
              <w:rPr>
                <w:rFonts w:hint="eastAsia" w:ascii="宋体" w:hAnsi="宋体" w:cs="宋体"/>
                <w:strike w:val="0"/>
                <w:color w:val="auto"/>
                <w:szCs w:val="21"/>
              </w:rPr>
              <w:t>专业的技术培训，</w:t>
            </w:r>
            <w:r>
              <w:rPr>
                <w:rFonts w:hint="eastAsia" w:ascii="宋体" w:hAnsi="宋体" w:cs="宋体"/>
                <w:strike w:val="0"/>
                <w:color w:val="auto"/>
                <w:szCs w:val="21"/>
                <w:lang w:eastAsia="zh-CN"/>
              </w:rPr>
              <w:t>提供相应的培训证明</w:t>
            </w:r>
            <w:r>
              <w:rPr>
                <w:rFonts w:hint="eastAsia" w:ascii="宋体" w:hAnsi="宋体" w:cs="宋体"/>
                <w:strike w:val="0"/>
                <w:color w:val="auto"/>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2</w:t>
            </w:r>
            <w:r>
              <w:rPr>
                <w:rFonts w:hint="eastAsia" w:ascii="宋体" w:hAnsi="宋体" w:cs="宋体"/>
                <w:strike w:val="0"/>
                <w:color w:val="auto"/>
                <w:szCs w:val="21"/>
                <w:lang w:eastAsia="zh-CN"/>
              </w:rPr>
              <w:t>）</w:t>
            </w:r>
            <w:r>
              <w:rPr>
                <w:rFonts w:hint="eastAsia" w:ascii="宋体" w:hAnsi="宋体" w:cs="宋体"/>
                <w:strike w:val="0"/>
                <w:color w:val="auto"/>
                <w:szCs w:val="21"/>
              </w:rPr>
              <w:t>维保人员应能够快速准确地诊断设备故障，并提出有效的解决方案</w:t>
            </w:r>
            <w:r>
              <w:rPr>
                <w:rFonts w:hint="eastAsia" w:ascii="宋体" w:hAnsi="宋体" w:cs="宋体"/>
                <w:strike w:val="0"/>
                <w:color w:val="auto"/>
                <w:szCs w:val="21"/>
                <w:lang w:eastAsia="zh-CN"/>
              </w:rPr>
              <w:t>，并</w:t>
            </w:r>
            <w:r>
              <w:rPr>
                <w:rFonts w:hint="eastAsia" w:ascii="宋体" w:hAnsi="宋体" w:cs="宋体"/>
                <w:strike w:val="0"/>
                <w:color w:val="auto"/>
                <w:szCs w:val="21"/>
              </w:rPr>
              <w:t>对设备的</w:t>
            </w:r>
            <w:r>
              <w:rPr>
                <w:rFonts w:hint="eastAsia" w:ascii="宋体" w:hAnsi="宋体" w:cs="宋体"/>
                <w:strike w:val="0"/>
                <w:color w:val="auto"/>
                <w:szCs w:val="21"/>
                <w:lang w:eastAsia="zh-CN"/>
              </w:rPr>
              <w:t>维保</w:t>
            </w:r>
            <w:r>
              <w:rPr>
                <w:rFonts w:hint="eastAsia" w:ascii="宋体" w:hAnsi="宋体" w:cs="宋体"/>
                <w:strike w:val="0"/>
                <w:color w:val="auto"/>
                <w:szCs w:val="21"/>
              </w:rPr>
              <w:t>有深入的了解，包括日常保养、定期检查、零部件更换等。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3</w:t>
            </w:r>
            <w:r>
              <w:rPr>
                <w:rFonts w:hint="eastAsia" w:ascii="宋体" w:hAnsi="宋体" w:cs="宋体"/>
                <w:strike w:val="0"/>
                <w:color w:val="auto"/>
                <w:szCs w:val="21"/>
                <w:lang w:eastAsia="zh-CN"/>
              </w:rPr>
              <w:t>）</w:t>
            </w:r>
            <w:r>
              <w:rPr>
                <w:rFonts w:hint="eastAsia" w:ascii="宋体" w:hAnsi="宋体" w:cs="宋体"/>
                <w:strike w:val="0"/>
                <w:color w:val="auto"/>
                <w:szCs w:val="21"/>
              </w:rPr>
              <w:t>维保人员必须遵守安全操作规程，确保在维保过程中的个人安全及设备安全</w:t>
            </w:r>
            <w:r>
              <w:rPr>
                <w:rFonts w:hint="eastAsia" w:ascii="宋体" w:hAnsi="宋体" w:cs="宋体"/>
                <w:strike w:val="0"/>
                <w:color w:val="auto"/>
                <w:szCs w:val="21"/>
                <w:lang w:eastAsia="zh-CN"/>
              </w:rPr>
              <w:t>，并</w:t>
            </w:r>
            <w:r>
              <w:rPr>
                <w:rFonts w:hint="eastAsia" w:ascii="宋体" w:hAnsi="宋体" w:cs="宋体"/>
                <w:strike w:val="0"/>
                <w:color w:val="auto"/>
                <w:szCs w:val="21"/>
              </w:rPr>
              <w:t>具备应急处理能力，在设备出现紧急故障时能够迅速响应并进行修复。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4</w:t>
            </w:r>
            <w:r>
              <w:rPr>
                <w:rFonts w:hint="eastAsia" w:ascii="宋体" w:hAnsi="宋体" w:cs="宋体"/>
                <w:strike w:val="0"/>
                <w:color w:val="auto"/>
                <w:szCs w:val="21"/>
                <w:lang w:eastAsia="zh-CN"/>
              </w:rPr>
              <w:t>）</w:t>
            </w:r>
            <w:r>
              <w:rPr>
                <w:rFonts w:hint="eastAsia" w:ascii="宋体" w:hAnsi="宋体" w:cs="宋体"/>
                <w:strike w:val="0"/>
                <w:color w:val="auto"/>
                <w:szCs w:val="21"/>
              </w:rPr>
              <w:t>维保人员需具备良好的沟通能力，能够与</w:t>
            </w:r>
            <w:r>
              <w:rPr>
                <w:rFonts w:hint="eastAsia" w:ascii="宋体" w:hAnsi="宋体" w:cs="宋体"/>
                <w:strike w:val="0"/>
                <w:color w:val="auto"/>
                <w:szCs w:val="21"/>
                <w:lang w:eastAsia="zh-CN"/>
              </w:rPr>
              <w:t>采购方设备管理、使用人员</w:t>
            </w:r>
            <w:r>
              <w:rPr>
                <w:rFonts w:hint="eastAsia" w:ascii="宋体" w:hAnsi="宋体" w:cs="宋体"/>
                <w:strike w:val="0"/>
                <w:color w:val="auto"/>
                <w:szCs w:val="21"/>
              </w:rPr>
              <w:t>有效沟通。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trike/>
                <w:color w:val="auto"/>
                <w:sz w:val="21"/>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5</w:t>
            </w:r>
            <w:r>
              <w:rPr>
                <w:rFonts w:hint="eastAsia" w:ascii="宋体" w:hAnsi="宋体" w:cs="宋体"/>
                <w:strike w:val="0"/>
                <w:color w:val="auto"/>
                <w:szCs w:val="21"/>
                <w:lang w:eastAsia="zh-CN"/>
              </w:rPr>
              <w:t>）</w:t>
            </w:r>
            <w:r>
              <w:rPr>
                <w:rFonts w:hint="eastAsia" w:ascii="宋体" w:hAnsi="宋体" w:cs="宋体"/>
                <w:strike w:val="0"/>
                <w:color w:val="auto"/>
                <w:szCs w:val="21"/>
              </w:rPr>
              <w:t>维保人员应详细记录维保过程中的各项数据</w:t>
            </w:r>
            <w:r>
              <w:rPr>
                <w:rFonts w:hint="eastAsia" w:ascii="宋体" w:hAnsi="宋体" w:cs="宋体"/>
                <w:strike w:val="0"/>
                <w:color w:val="auto"/>
                <w:szCs w:val="21"/>
                <w:lang w:eastAsia="zh-CN"/>
              </w:rPr>
              <w:t>并填写维保单</w:t>
            </w:r>
            <w:r>
              <w:rPr>
                <w:rFonts w:hint="eastAsia" w:ascii="宋体" w:hAnsi="宋体" w:cs="宋体"/>
                <w:strike w:val="0"/>
                <w:color w:val="auto"/>
                <w:szCs w:val="21"/>
              </w:rPr>
              <w:t>，能够编写维保报告，评估维保效果。</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3" w:name="_Toc128989097"/>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验收标准</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经维保后设备状况应达到如下要求：</w:t>
            </w:r>
          </w:p>
          <w:p>
            <w:pPr>
              <w:keepNext w:val="0"/>
              <w:keepLines w:val="0"/>
              <w:pageBreakBefore w:val="0"/>
              <w:numPr>
                <w:ilvl w:val="0"/>
                <w:numId w:val="19"/>
              </w:numPr>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整车外观：车身整洁干净无杂物，车辆所配备设施功能齐全有效。</w:t>
            </w:r>
          </w:p>
          <w:p>
            <w:pPr>
              <w:keepNext w:val="0"/>
              <w:keepLines w:val="0"/>
              <w:pageBreakBefore w:val="0"/>
              <w:numPr>
                <w:ilvl w:val="0"/>
                <w:numId w:val="19"/>
              </w:numPr>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行走功能：车辆启动正常，行走起步平稳无颠波感且灵活安全可靠。</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电瓶及充电装置：蓄电池表面无脏物，电瓶连接线无老化，电瓶极柱螺栓紧固；充电机工作电压符合安全标准。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电控系统：各连接点保持紧固状态，接触点闭合正常、无灰尘杂物。</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操作控制面板：各类指示仪表显示正常，控制开关测试正常、转向机构操作灵活、起步加减速平稳、灯光、喇叭有效、报警装置正常、驾驶和踏板制动正常。</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动力系统：电瓶式电机运转无异响，电源极柱螺栓紧固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燃油发动机启动运行正常。</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清扫系统：清扫刷转动正常无异响，自动调节主刷和控制边刷清扫高度及宽度达到最佳工作状态；前抛式垃圾箱装置收集倾倒垃圾正常。</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控尘系统：滤网震尘系统能有效地清洁滤网，滤网两面加装的尘封条灰尘不外漏，控尘真空风扇转速正常。</w:t>
            </w:r>
          </w:p>
          <w:p>
            <w:pPr>
              <w:keepNext w:val="0"/>
              <w:keepLines w:val="0"/>
              <w:pageBreakBefore w:val="0"/>
              <w:numPr>
                <w:ilvl w:val="0"/>
                <w:numId w:val="19"/>
              </w:numPr>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液压</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：液压管连接部位无渗漏现象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操作正常</w:t>
            </w:r>
            <w:r>
              <w:rPr>
                <w:rFonts w:hint="eastAsia" w:ascii="宋体" w:hAnsi="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left="630" w:leftChars="0" w:hanging="630" w:hangingChars="3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（10）洗地装置：清/污水箱排放正常；洗地刷盘转速及对地压力正常；吸水耙完好伸展动作灵活，作业时吸附地面紧凑，吸干效果明显。</w:t>
            </w:r>
          </w:p>
          <w:p>
            <w:pPr>
              <w:keepNext w:val="0"/>
              <w:keepLines w:val="0"/>
              <w:pageBreakBefore w:val="0"/>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（11）电源线路：排列整齐有序无破损。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trike w:val="0"/>
                <w:color w:val="auto"/>
                <w:sz w:val="21"/>
                <w:szCs w:val="21"/>
              </w:rPr>
              <w:t>（12）更换配件质量保证：蓄电池12个月、机械配件6 个月。</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故障应急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响应服务</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2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一般性故障响应服务时间：当设备发生故障，接到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电话或传真通知后，工作日时间8小时内赶到故障现场。非工作日时间12小时内赶到故障现场。维修人员在确定设备故障原因后，应及时出具设备故障检测报告并注明维修所需更换配件，并在接到维修通知后按约定时间给予维修。</w:t>
            </w:r>
          </w:p>
          <w:p>
            <w:pPr>
              <w:keepNext w:val="0"/>
              <w:keepLines w:val="0"/>
              <w:pageBreakBefore w:val="0"/>
              <w:numPr>
                <w:ilvl w:val="0"/>
                <w:numId w:val="2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紧急故障响应服务时间：重大展会期间，设备如发生故障，在接到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电话或传真通知后，工作日时间4小时内赶到故障现场，非工作日时间6小时内赶到故障现场。维修人员在确定故障原因后，采取应急措施快速修复故障设备，以保证展会清洁任务顺利完成。</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大型展会应急响应服务</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2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大型展会前期，要求维修技师提前对设备进行全面检查，及时排除故障隐患。</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大型</w:t>
            </w:r>
            <w:r>
              <w:rPr>
                <w:rFonts w:hint="eastAsia" w:ascii="宋体" w:hAnsi="宋体" w:eastAsia="宋体" w:cs="宋体"/>
                <w:color w:val="auto"/>
                <w:sz w:val="21"/>
                <w:szCs w:val="21"/>
              </w:rPr>
              <w:t>展会期间当设备出现故障，做到24小时维修应急响应服务，有效保障设备在展会清洁任务中的正常使用。</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 xml:space="preserve">                                                                                                                                                                                                                                                                                                                                                                                                                                                                                                                                                                                                                                                                                                                                                                                                                                                                                                                                                                                                                                                                                                                                                                                                                                                                                                                                                                                                                                                                                                                                                                                                                                                                                                                                                                                                                                                                                                                                                                                                                                                                                                                                                                                                                                                                                                                                                                                                                                                                                                                                                                                                                                                                                                                                                                                                                                                                                                                                                                                                                                                                                                                                                                                                                                                                                                                                                                                                                                                                                                                                                                                                                                                                                                                                                                                                                                                                                                                                                                                                                                                         </w:t>
            </w:r>
          </w:p>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参加单位应根据</w:t>
            </w:r>
            <w:r>
              <w:rPr>
                <w:rFonts w:hint="eastAsia" w:ascii="宋体" w:hAnsi="宋体" w:eastAsia="宋体" w:cs="宋体"/>
                <w:color w:val="auto"/>
                <w:kern w:val="0"/>
                <w:sz w:val="21"/>
                <w:szCs w:val="21"/>
                <w:lang w:eastAsia="zh-CN"/>
              </w:rPr>
              <w:t>采购人</w:t>
            </w:r>
            <w:r>
              <w:rPr>
                <w:rFonts w:hint="eastAsia" w:ascii="宋体" w:hAnsi="宋体" w:eastAsia="宋体" w:cs="宋体"/>
                <w:color w:val="auto"/>
                <w:kern w:val="0"/>
                <w:sz w:val="21"/>
                <w:szCs w:val="21"/>
              </w:rPr>
              <w:t>要求提供维保方案。</w:t>
            </w:r>
          </w:p>
          <w:p>
            <w:pPr>
              <w:keepNext w:val="0"/>
              <w:keepLines w:val="0"/>
              <w:pageBreakBefore w:val="0"/>
              <w:numPr>
                <w:ilvl w:val="0"/>
                <w:numId w:val="2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拥有对验收不合格及维保不及时不到位等情况，按双方维保合同约定比例扣减维保费用的权利，具体扣减条款会经双方确认后体现在维保合同中。</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0"/>
        </w:numPr>
        <w:spacing w:line="240" w:lineRule="auto"/>
        <w:ind w:leftChars="0"/>
        <w:outlineLvl w:val="0"/>
        <w:rPr>
          <w:rFonts w:ascii="宋体" w:hAnsi="宋体" w:cs="宋体"/>
          <w:b/>
          <w:sz w:val="24"/>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五、</w:t>
      </w:r>
      <w:r>
        <w:rPr>
          <w:rFonts w:hint="eastAsia" w:ascii="宋体" w:hAnsi="宋体" w:cs="宋体"/>
          <w:b/>
          <w:sz w:val="24"/>
        </w:rPr>
        <w:t>其他项目说明资料</w:t>
      </w:r>
      <w:bookmarkEnd w:id="13"/>
    </w:p>
    <w:p>
      <w:pPr>
        <w:pStyle w:val="2"/>
      </w:pPr>
    </w:p>
    <w:p>
      <w:pPr>
        <w:pStyle w:val="29"/>
        <w:keepNext w:val="0"/>
        <w:keepLines w:val="0"/>
        <w:pageBreakBefore w:val="0"/>
        <w:widowControl w:val="0"/>
        <w:numPr>
          <w:ilvl w:val="0"/>
          <w:numId w:val="23"/>
        </w:numPr>
        <w:kinsoku/>
        <w:wordWrap/>
        <w:overflowPunct/>
        <w:topLinePunct w:val="0"/>
        <w:autoSpaceDE/>
        <w:autoSpaceDN/>
        <w:bidi w:val="0"/>
        <w:adjustRightInd/>
        <w:snapToGrid/>
        <w:spacing w:line="2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维保设备</w:t>
      </w:r>
      <w:r>
        <w:rPr>
          <w:rFonts w:hint="eastAsia" w:ascii="宋体" w:hAnsi="宋体" w:cs="宋体"/>
          <w:b/>
          <w:bCs/>
          <w:sz w:val="24"/>
          <w:szCs w:val="24"/>
          <w:lang w:eastAsia="zh-CN"/>
        </w:rPr>
        <w:t>清单</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宋体" w:cs="宋体"/>
          <w:b/>
          <w:bCs/>
          <w:sz w:val="24"/>
          <w:szCs w:val="24"/>
        </w:rPr>
      </w:pP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929"/>
        <w:gridCol w:w="825"/>
        <w:gridCol w:w="1125"/>
        <w:gridCol w:w="1080"/>
        <w:gridCol w:w="10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序号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设备名称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品牌</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ascii="宋体" w:hAnsi="宋体"/>
                <w:sz w:val="21"/>
                <w:szCs w:val="21"/>
              </w:rPr>
            </w:pPr>
            <w:r>
              <w:rPr>
                <w:rFonts w:hint="eastAsia" w:ascii="宋体" w:hAnsi="宋体"/>
                <w:sz w:val="21"/>
                <w:szCs w:val="21"/>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次/年</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维保期限（年）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驾驶式洗地机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哈高</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B120R</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台</w:t>
            </w:r>
          </w:p>
        </w:tc>
        <w:tc>
          <w:tcPr>
            <w:tcW w:w="1080" w:type="dxa"/>
            <w:tcBorders>
              <w:left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4</w:t>
            </w:r>
          </w:p>
        </w:tc>
        <w:tc>
          <w:tcPr>
            <w:tcW w:w="1710" w:type="dxa"/>
            <w:tcBorders>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驾驶式洗地机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哈高</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B115R</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台</w:t>
            </w:r>
          </w:p>
        </w:tc>
        <w:tc>
          <w:tcPr>
            <w:tcW w:w="1080" w:type="dxa"/>
            <w:tcBorders>
              <w:left w:val="single" w:color="auto" w:sz="4" w:space="0"/>
              <w:right w:val="single" w:color="auto" w:sz="4" w:space="0"/>
            </w:tcBorders>
            <w:noWrap w:val="0"/>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4</w:t>
            </w:r>
          </w:p>
        </w:tc>
        <w:tc>
          <w:tcPr>
            <w:tcW w:w="1710" w:type="dxa"/>
            <w:tcBorders>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1929"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sz w:val="21"/>
                <w:szCs w:val="21"/>
                <w:lang w:val="en-US" w:eastAsia="zh-CN"/>
              </w:rPr>
            </w:pPr>
            <w:r>
              <w:rPr>
                <w:rFonts w:hint="eastAsia" w:ascii="宋体" w:hAnsi="宋体"/>
                <w:sz w:val="21"/>
                <w:szCs w:val="21"/>
                <w:lang w:val="en-US" w:eastAsia="zh-CN"/>
              </w:rPr>
              <w:t>驾驶式扫地机</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lang w:val="en-US" w:eastAsia="zh-CN"/>
              </w:rPr>
              <w:t>哈高</w:t>
            </w:r>
          </w:p>
        </w:tc>
        <w:tc>
          <w:tcPr>
            <w:tcW w:w="1125"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B900R</w:t>
            </w:r>
          </w:p>
        </w:tc>
        <w:tc>
          <w:tcPr>
            <w:tcW w:w="1080" w:type="dxa"/>
            <w:tcBorders>
              <w:top w:val="single" w:color="auto" w:sz="4" w:space="0"/>
              <w:left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台</w:t>
            </w:r>
          </w:p>
        </w:tc>
        <w:tc>
          <w:tcPr>
            <w:tcW w:w="1080" w:type="dxa"/>
            <w:tcBorders>
              <w:left w:val="single" w:color="auto" w:sz="4" w:space="0"/>
              <w:right w:val="single" w:color="auto" w:sz="4" w:space="0"/>
            </w:tcBorders>
            <w:noWrap w:val="0"/>
            <w:vAlign w:val="center"/>
          </w:tcPr>
          <w:p>
            <w:pPr>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1710" w:type="dxa"/>
            <w:tcBorders>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1929" w:type="dxa"/>
            <w:tcBorders>
              <w:top w:val="single" w:color="auto" w:sz="4" w:space="0"/>
              <w:left w:val="single" w:color="auto" w:sz="4" w:space="0"/>
              <w:right w:val="single" w:color="auto" w:sz="4" w:space="0"/>
            </w:tcBorders>
            <w:noWrap w:val="0"/>
            <w:vAlign w:val="center"/>
          </w:tcPr>
          <w:p>
            <w:pPr>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多功能小型清扫车</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哈高</w:t>
            </w:r>
          </w:p>
        </w:tc>
        <w:tc>
          <w:tcPr>
            <w:tcW w:w="1125"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CM600</w:t>
            </w:r>
          </w:p>
        </w:tc>
        <w:tc>
          <w:tcPr>
            <w:tcW w:w="108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1台</w:t>
            </w:r>
          </w:p>
        </w:tc>
        <w:tc>
          <w:tcPr>
            <w:tcW w:w="1080" w:type="dxa"/>
            <w:tcBorders>
              <w:left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2</w:t>
            </w:r>
          </w:p>
        </w:tc>
        <w:tc>
          <w:tcPr>
            <w:tcW w:w="1710" w:type="dxa"/>
            <w:tcBorders>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r>
    </w:tbl>
    <w:p>
      <w:pPr>
        <w:numPr>
          <w:ilvl w:val="0"/>
          <w:numId w:val="0"/>
        </w:numPr>
        <w:spacing w:line="300" w:lineRule="auto"/>
        <w:outlineLvl w:val="0"/>
        <w:rPr>
          <w:rFonts w:hint="eastAsia" w:ascii="宋体" w:hAnsi="宋体" w:cs="宋体"/>
          <w:b/>
          <w:bCs w:val="0"/>
          <w:sz w:val="24"/>
          <w:szCs w:val="24"/>
          <w:lang w:val="en-US" w:eastAsia="zh-CN"/>
        </w:rPr>
      </w:pPr>
      <w:bookmarkStart w:id="14" w:name="_Toc128989098"/>
    </w:p>
    <w:p>
      <w:pPr>
        <w:numPr>
          <w:ilvl w:val="0"/>
          <w:numId w:val="0"/>
        </w:numPr>
        <w:spacing w:line="300" w:lineRule="auto"/>
        <w:ind w:firstLine="482" w:firstLineChars="200"/>
        <w:outlineLvl w:val="0"/>
        <w:rPr>
          <w:rFonts w:hint="eastAsia" w:ascii="宋体" w:hAnsi="宋体" w:cs="宋体"/>
          <w:b w:val="0"/>
          <w:bCs/>
          <w:sz w:val="21"/>
          <w:szCs w:val="21"/>
          <w:lang w:eastAsia="zh-CN"/>
        </w:rPr>
      </w:pPr>
      <w:r>
        <w:rPr>
          <w:rFonts w:hint="eastAsia" w:ascii="宋体" w:hAnsi="宋体" w:cs="宋体"/>
          <w:b/>
          <w:bCs w:val="0"/>
          <w:sz w:val="24"/>
          <w:szCs w:val="24"/>
          <w:lang w:val="en-US" w:eastAsia="zh-CN"/>
        </w:rPr>
        <w:t>2.</w:t>
      </w:r>
      <w:r>
        <w:rPr>
          <w:rFonts w:hint="eastAsia" w:ascii="宋体" w:hAnsi="宋体" w:cs="宋体"/>
          <w:b/>
          <w:bCs w:val="0"/>
          <w:sz w:val="24"/>
          <w:szCs w:val="24"/>
          <w:lang w:eastAsia="zh-CN"/>
        </w:rPr>
        <w:t>深圳会展中心</w:t>
      </w:r>
      <w:r>
        <w:rPr>
          <w:rFonts w:hint="eastAsia" w:ascii="宋体" w:hAnsi="宋体" w:cs="宋体"/>
          <w:b/>
          <w:bCs w:val="0"/>
          <w:sz w:val="24"/>
          <w:szCs w:val="24"/>
          <w:lang w:val="en-US" w:eastAsia="zh-CN"/>
        </w:rPr>
        <w:t>哈高</w:t>
      </w:r>
      <w:r>
        <w:rPr>
          <w:rFonts w:hint="eastAsia" w:ascii="宋体" w:hAnsi="宋体" w:cs="宋体"/>
          <w:b/>
          <w:bCs w:val="0"/>
          <w:sz w:val="24"/>
          <w:szCs w:val="24"/>
          <w:lang w:eastAsia="zh-CN"/>
        </w:rPr>
        <w:t>清洁设备维保服务考核评分表</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深圳会展中心</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z w:val="32"/>
          <w:szCs w:val="32"/>
          <w:lang w:val="en-US" w:eastAsia="zh-CN"/>
        </w:rPr>
        <w:t>哈高清洁设备维保</w:t>
      </w:r>
      <w:r>
        <w:rPr>
          <w:rFonts w:hint="eastAsia" w:ascii="黑体" w:hAnsi="黑体" w:eastAsia="黑体" w:cs="黑体"/>
          <w:b w:val="0"/>
          <w:bCs/>
          <w:sz w:val="32"/>
          <w:szCs w:val="32"/>
        </w:rPr>
        <w:t>服务考核评分表</w:t>
      </w:r>
    </w:p>
    <w:p>
      <w:pPr>
        <w:spacing w:beforeAutospacing="0"/>
        <w:jc w:val="center"/>
        <w:rPr>
          <w:rFonts w:ascii="宋体" w:hAnsi="宋体" w:cs="宋体"/>
          <w:b/>
          <w:kern w:val="0"/>
          <w:sz w:val="15"/>
          <w:szCs w:val="32"/>
        </w:rPr>
      </w:pPr>
    </w:p>
    <w:tbl>
      <w:tblPr>
        <w:tblStyle w:val="15"/>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087"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087"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087"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8898"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087"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087"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102"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102"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是否发生过涉及安全的责任事故</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szCs w:val="21"/>
              </w:rPr>
              <w:t>每次维保时，</w:t>
            </w:r>
            <w:r>
              <w:rPr>
                <w:rFonts w:hint="eastAsia" w:ascii="宋体" w:hAnsi="宋体"/>
                <w:szCs w:val="21"/>
                <w:lang w:val="en-US" w:eastAsia="zh-CN"/>
              </w:rPr>
              <w:t>是否</w:t>
            </w:r>
            <w:r>
              <w:rPr>
                <w:rFonts w:hint="eastAsia" w:ascii="宋体" w:hAnsi="宋体"/>
                <w:szCs w:val="21"/>
              </w:rPr>
              <w:t>对维保设备</w:t>
            </w:r>
            <w:r>
              <w:rPr>
                <w:rFonts w:hint="eastAsia" w:ascii="宋体" w:hAnsi="宋体"/>
                <w:szCs w:val="21"/>
                <w:lang w:eastAsia="zh-CN"/>
              </w:rPr>
              <w:t>的</w:t>
            </w:r>
            <w:r>
              <w:rPr>
                <w:rFonts w:hint="eastAsia" w:ascii="宋体" w:hAnsi="宋体"/>
                <w:szCs w:val="21"/>
              </w:rPr>
              <w:t xml:space="preserve">充电（电瓶）装置、发动（电）机部位 </w:t>
            </w:r>
            <w:r>
              <w:rPr>
                <w:rFonts w:hint="eastAsia" w:ascii="宋体" w:hAnsi="宋体"/>
                <w:szCs w:val="21"/>
                <w:lang w:eastAsia="zh-CN"/>
              </w:rPr>
              <w:t>、</w:t>
            </w:r>
            <w:r>
              <w:rPr>
                <w:rFonts w:hint="eastAsia" w:ascii="宋体" w:hAnsi="宋体"/>
                <w:szCs w:val="21"/>
              </w:rPr>
              <w:t>控尘系统、控制面板进行清洁整理。</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szCs w:val="21"/>
              </w:rPr>
              <w:t>当设备发生故障，接到甲方电话或传真通知后</w:t>
            </w:r>
            <w:r>
              <w:rPr>
                <w:rFonts w:hint="eastAsia" w:ascii="宋体" w:hAnsi="宋体"/>
                <w:szCs w:val="21"/>
                <w:lang w:eastAsia="zh-CN"/>
              </w:rPr>
              <w:t>，</w:t>
            </w:r>
            <w:r>
              <w:rPr>
                <w:rFonts w:hint="eastAsia" w:ascii="宋体" w:hAnsi="宋体"/>
                <w:szCs w:val="21"/>
                <w:lang w:val="en-US" w:eastAsia="zh-CN"/>
              </w:rPr>
              <w:t>乙方是否在规定时间内提供</w:t>
            </w:r>
            <w:r>
              <w:rPr>
                <w:rFonts w:hint="eastAsia" w:ascii="宋体" w:hAnsi="宋体"/>
                <w:szCs w:val="21"/>
              </w:rPr>
              <w:t>应急响应服务</w:t>
            </w:r>
            <w:r>
              <w:rPr>
                <w:rFonts w:hint="eastAsia" w:ascii="宋体" w:hAnsi="宋体"/>
                <w:szCs w:val="21"/>
                <w:lang w:eastAsia="zh-CN"/>
              </w:rPr>
              <w:t>。</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w:t>
            </w:r>
            <w:r>
              <w:rPr>
                <w:rFonts w:hint="eastAsia" w:ascii="宋体" w:hAnsi="宋体" w:cs="宋体"/>
                <w:sz w:val="20"/>
                <w:lang w:val="en-US" w:eastAsia="zh-CN"/>
              </w:rPr>
              <w:t>不合格</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102"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527"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527"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527"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453"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8898"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2"/>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numPr>
          <w:ilvl w:val="0"/>
          <w:numId w:val="0"/>
        </w:numPr>
        <w:spacing w:line="300" w:lineRule="auto"/>
        <w:outlineLvl w:val="0"/>
        <w:rPr>
          <w:rFonts w:hint="eastAsia" w:ascii="宋体" w:hAnsi="宋体" w:cs="宋体"/>
          <w:b/>
          <w:bCs w:val="0"/>
          <w:sz w:val="24"/>
          <w:szCs w:val="24"/>
          <w:highlight w:val="none"/>
          <w:lang w:val="en-US" w:eastAsia="zh-CN"/>
        </w:rPr>
      </w:pPr>
    </w:p>
    <w:p>
      <w:pPr>
        <w:numPr>
          <w:ilvl w:val="0"/>
          <w:numId w:val="0"/>
        </w:numPr>
        <w:spacing w:line="300" w:lineRule="auto"/>
        <w:ind w:firstLine="482" w:firstLineChars="200"/>
        <w:outlineLvl w:val="0"/>
        <w:rPr>
          <w:rFonts w:hint="eastAsia" w:ascii="宋体" w:hAnsi="宋体" w:cs="宋体"/>
          <w:b w:val="0"/>
          <w:bCs/>
          <w:sz w:val="21"/>
          <w:szCs w:val="21"/>
          <w:highlight w:val="none"/>
          <w:lang w:eastAsia="zh-CN"/>
        </w:rPr>
      </w:pPr>
      <w:r>
        <w:rPr>
          <w:rFonts w:hint="eastAsia" w:ascii="宋体" w:hAnsi="宋体" w:cs="宋体"/>
          <w:b/>
          <w:bCs w:val="0"/>
          <w:sz w:val="24"/>
          <w:szCs w:val="24"/>
          <w:highlight w:val="none"/>
          <w:lang w:val="en-US" w:eastAsia="zh-CN"/>
        </w:rPr>
        <w:t>3.</w:t>
      </w:r>
      <w:r>
        <w:rPr>
          <w:rFonts w:hint="eastAsia" w:ascii="宋体" w:hAnsi="宋体" w:cs="宋体"/>
          <w:b/>
          <w:bCs w:val="0"/>
          <w:sz w:val="24"/>
          <w:szCs w:val="24"/>
          <w:highlight w:val="none"/>
          <w:lang w:eastAsia="zh-CN"/>
        </w:rPr>
        <w:t>常用零配件报价表</w:t>
      </w:r>
    </w:p>
    <w:p>
      <w:pPr>
        <w:pStyle w:val="5"/>
        <w:rPr>
          <w:rFonts w:hint="eastAsia"/>
          <w:lang w:eastAsia="zh-CN"/>
        </w:rPr>
      </w:pPr>
    </w:p>
    <w:tbl>
      <w:tblPr>
        <w:tblStyle w:val="15"/>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080"/>
        <w:gridCol w:w="1849"/>
        <w:gridCol w:w="2186"/>
        <w:gridCol w:w="1680"/>
        <w:gridCol w:w="709"/>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38"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常用零配件报价表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1849"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2186"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168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零件号</w:t>
            </w:r>
          </w:p>
        </w:tc>
        <w:tc>
          <w:tcPr>
            <w:tcW w:w="709"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6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vMerge w:val="restart"/>
            <w:tcBorders>
              <w:top w:val="nil"/>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电瓶驾驶式洗地机</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 xml:space="preserve"> B115R</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（709081614745)</w:t>
            </w:r>
          </w:p>
          <w:p>
            <w:pPr>
              <w:spacing w:line="240" w:lineRule="atLeast"/>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(709081201442)</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460刷盘（K901）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99754705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裙边（旧款）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01074250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裙边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01073890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后车轮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01071650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后轮轴承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00281050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01175320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钥匙开关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00021710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排水管（旧款））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01072160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排水管（新款）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01277430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电瓶（320AH）</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99745012HK</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污水水位开关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00861620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真空马达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00543510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吸污水管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吸扒拉线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拉杆</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01071460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万向球头</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00527700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吸水扒升降器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00712430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吸水扒总承（1100MM）</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99756905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吸扒支撑轮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01077810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前吸水胶条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01079790L</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后吸水胶条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01079780L</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吸扒前左压条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吸扒前右压条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吸扒后左压条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吸扒后右压条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01272060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刷子连接盘</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00512400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针盘</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99754805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刷子马达碳刷</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01272100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水泵</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00543750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继电器(K05)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00750210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面板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01273600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座位开关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01073290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行车电位器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01058390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位置开关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00975510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水电磁阀</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01071000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前后控制开关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00697630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水过滤网盖子</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01177090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水过滤网</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01077170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行车控制板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01275770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继电器K01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01273980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主控制板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01370320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主继电器（K01)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01273980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刷子卸刷器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01078000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刷盘升降器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01170430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080" w:type="dxa"/>
            <w:vMerge w:val="restart"/>
            <w:tcBorders>
              <w:top w:val="nil"/>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电瓶驾驶式洗地机</w:t>
            </w:r>
          </w:p>
        </w:tc>
        <w:tc>
          <w:tcPr>
            <w:tcW w:w="1849" w:type="dxa"/>
            <w:vMerge w:val="restart"/>
            <w:tcBorders>
              <w:top w:val="single" w:color="auto" w:sz="4" w:space="0"/>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 xml:space="preserve"> B120R</w:t>
            </w:r>
          </w:p>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(717702103365)</w:t>
            </w:r>
          </w:p>
        </w:tc>
        <w:tc>
          <w:tcPr>
            <w:tcW w:w="21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460刷盘（K901）</w:t>
            </w:r>
          </w:p>
        </w:tc>
        <w:tc>
          <w:tcPr>
            <w:tcW w:w="16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99754705</w:t>
            </w:r>
          </w:p>
        </w:tc>
        <w:tc>
          <w:tcPr>
            <w:tcW w:w="70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裙边</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01074250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后车轮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01071650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01175320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面板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01370600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行车传感器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01277740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钥匙开关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00021710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排水管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电瓶（320AH）</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99745012HK</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污水水位开关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00861620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充电机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99400302</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真空马达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01278200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吸污水管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01370150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01370360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万向球头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01279750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吸水扒总承（1100MM）</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99756915</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吸扒支撑轮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01077810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后轮盖子</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01171530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主控制板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01370440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主保险</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01370330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前吸水胶条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01079790L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后吸水胶条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01079780L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吸扒前左压条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吸扒前右压条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吸扒后左压条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吸扒后右压条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01272060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刷子连接盘</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00512400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针盘</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99754805</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刷子马达碳刷</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前行车轮马达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01371130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水泵</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00543750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水过滤器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01277880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空滤</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密封圈</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01370910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空滤底座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01071000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继电器K01</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01273980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座位开关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01277700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刷盘升降器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吸扒升降器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01370030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01371060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过滤网</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空气过滤网座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01278990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01130130</w:t>
            </w:r>
          </w:p>
        </w:tc>
        <w:tc>
          <w:tcPr>
            <w:tcW w:w="70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吸扒右胶套</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01178310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吸扒左胶套</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01178320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行车控制板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01371100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bottom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主控制板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00053710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w:t>
            </w:r>
          </w:p>
        </w:tc>
        <w:tc>
          <w:tcPr>
            <w:tcW w:w="1080" w:type="dxa"/>
            <w:vMerge w:val="restart"/>
            <w:tcBorders>
              <w:top w:val="nil"/>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电瓶驾驶式扫地机</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 xml:space="preserve"> B900R</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边刷皮带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01130710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边刷</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99651400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01073970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前轮总承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01130040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电机轴承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01275820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位置开关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行车感应器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00975500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前轮转向轴承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00137930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前轮碳刷（4个）</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限位开关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座位开关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01134330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油</w:t>
            </w:r>
            <w:r>
              <w:rPr>
                <w:rFonts w:hint="eastAsia" w:ascii="宋体" w:hAnsi="宋体" w:cs="宋体"/>
                <w:i w:val="0"/>
                <w:color w:val="000000"/>
                <w:kern w:val="0"/>
                <w:sz w:val="21"/>
                <w:szCs w:val="21"/>
                <w:u w:val="none"/>
                <w:lang w:val="en-US" w:eastAsia="zh-CN" w:bidi="ar"/>
              </w:rPr>
              <w:t>门</w:t>
            </w:r>
            <w:r>
              <w:rPr>
                <w:rFonts w:hint="eastAsia" w:ascii="宋体" w:hAnsi="宋体" w:eastAsia="宋体" w:cs="宋体"/>
                <w:i w:val="0"/>
                <w:color w:val="000000"/>
                <w:kern w:val="0"/>
                <w:sz w:val="21"/>
                <w:szCs w:val="21"/>
                <w:u w:val="none"/>
                <w:lang w:val="en-US" w:eastAsia="zh-CN" w:bidi="ar"/>
              </w:rPr>
              <w:t>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00927610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刷子电机碳刷</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01131670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碳刷总承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01135730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01131280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01131300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60安保险</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01133530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保险</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01056100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00965030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01131420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滚刷皮带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滚刷</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99651100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皮带轮</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小皮带轮</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弹性垫圈</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01130860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00106300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左右裙边</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01130820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前裙边</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01130800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滚刷连接器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主刷传动轴</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00106300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过滤板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01130750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刷盘拉线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00861020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刹车拉线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01130350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01133030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电池170AH</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99741400H</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充电机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01078030H-75R</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bottom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边刷拉线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01130640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4</w:t>
            </w:r>
          </w:p>
        </w:tc>
        <w:tc>
          <w:tcPr>
            <w:tcW w:w="1080" w:type="dxa"/>
            <w:vMerge w:val="restart"/>
            <w:tcBorders>
              <w:top w:val="nil"/>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多功能小型清扫车</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CM600</w:t>
            </w: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机油滤芯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01140320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燃油滤芯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01140330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空气滤芯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00682430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安全滤筒</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00682420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国产刷子</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88113202</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01475970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球头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01492810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风机吸管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01474620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吸盘小轮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01472250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液压油回油滤芯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01472210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风扇皮带</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01142880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空调风机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01066870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空调皮带</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01471320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01471350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美孚液压油</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18L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美孚机油</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水箱盖</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00531800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发电机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01144890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水泵</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01225370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弹簧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01473420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喷嘴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01473550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01081550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吸盘胶条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01470830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吸盘轮子</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01472250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外胎</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01472460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吸盘前胶条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01470860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开关S10</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01474000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开关S7</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01474110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吸口处掌型胶皮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01470890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空调风机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01143960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拉簧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01471480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01470290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01081170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01470260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刹车片</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01019040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01470020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警示灯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01093700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倒后镜</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01167430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钥匙开关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01090270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雨刮条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01167470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雨刮器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01167380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灯H2</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00532960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液压接头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01140310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液压接头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01140290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液压接头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01140280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液压伸缩杆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01470270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空调泵</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01066110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电磁阀Y14</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01141630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电磁阀Y17</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01470010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电磁阀Y11</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01473480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电磁阀Y13</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电磁阀Y10</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01473170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空调过滤网</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01063650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油门线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01167520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897"/>
              </w:tabs>
              <w:jc w:val="both"/>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w:t>
            </w:r>
            <w:r>
              <w:rPr>
                <w:rFonts w:hint="eastAsia" w:ascii="宋体" w:hAnsi="宋体" w:cs="宋体"/>
                <w:i w:val="0"/>
                <w:iCs w:val="0"/>
                <w:color w:val="000000"/>
                <w:sz w:val="22"/>
                <w:szCs w:val="22"/>
                <w:highlight w:val="none"/>
                <w:u w:val="none"/>
                <w:lang w:val="en-US" w:eastAsia="zh-CN"/>
              </w:rPr>
              <w:t>常用零配件报价表不作为评分标准，但作为订立合同条款的依据，中选单位需接受常用零配件报价不高于本次询价的平均报价；</w:t>
            </w:r>
            <w:r>
              <w:rPr>
                <w:rFonts w:ascii="宋体" w:hAnsi="宋体" w:eastAsia="宋体" w:cs="宋体"/>
                <w:sz w:val="21"/>
                <w:szCs w:val="21"/>
                <w:highlight w:val="none"/>
              </w:rPr>
              <w:t>未在报价清单中的配件，中选单位的后期报价必须符合市场行情价格</w:t>
            </w:r>
            <w:r>
              <w:rPr>
                <w:rFonts w:hint="eastAsia" w:ascii="宋体" w:hAnsi="宋体" w:cs="宋体"/>
                <w:sz w:val="21"/>
                <w:szCs w:val="21"/>
                <w:highlight w:val="none"/>
                <w:lang w:eastAsia="zh-CN"/>
              </w:rPr>
              <w:t>；</w:t>
            </w:r>
            <w:r>
              <w:rPr>
                <w:rFonts w:hint="eastAsia"/>
                <w:highlight w:val="none"/>
                <w:lang w:eastAsia="zh-CN"/>
              </w:rPr>
              <w:t>常用</w:t>
            </w:r>
            <w:r>
              <w:rPr>
                <w:rFonts w:hint="eastAsia"/>
                <w:highlight w:val="none"/>
                <w:lang w:val="en-US" w:eastAsia="zh-CN"/>
              </w:rPr>
              <w:t>零配件</w:t>
            </w:r>
            <w:r>
              <w:rPr>
                <w:rFonts w:hint="eastAsia"/>
                <w:highlight w:val="none"/>
                <w:lang w:eastAsia="zh-CN"/>
              </w:rPr>
              <w:t>报价表</w:t>
            </w:r>
            <w:r>
              <w:rPr>
                <w:rFonts w:hint="default"/>
                <w:highlight w:val="none"/>
              </w:rPr>
              <w:t>每年向</w:t>
            </w:r>
            <w:r>
              <w:rPr>
                <w:rFonts w:hint="eastAsia"/>
                <w:highlight w:val="none"/>
                <w:lang w:val="en-US" w:eastAsia="zh-CN"/>
              </w:rPr>
              <w:t>采购人</w:t>
            </w:r>
            <w:r>
              <w:rPr>
                <w:rFonts w:hint="default"/>
                <w:highlight w:val="none"/>
              </w:rPr>
              <w:t>更新1次；如遇价格特殊变化情况应提前向</w:t>
            </w:r>
            <w:r>
              <w:rPr>
                <w:rFonts w:hint="eastAsia"/>
                <w:highlight w:val="none"/>
                <w:lang w:val="en-US" w:eastAsia="zh-CN"/>
              </w:rPr>
              <w:t>采购人</w:t>
            </w:r>
            <w:r>
              <w:rPr>
                <w:rFonts w:hint="default"/>
                <w:highlight w:val="none"/>
              </w:rPr>
              <w:t>提出。</w:t>
            </w:r>
          </w:p>
        </w:tc>
      </w:tr>
    </w:tbl>
    <w:p>
      <w:pPr>
        <w:rPr>
          <w:rFonts w:hint="eastAsia"/>
          <w:lang w:eastAsia="zh-CN"/>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六、</w:t>
      </w:r>
      <w:r>
        <w:rPr>
          <w:rFonts w:hint="eastAsia" w:ascii="宋体" w:hAnsi="宋体" w:cs="宋体"/>
          <w:b/>
          <w:sz w:val="24"/>
        </w:rPr>
        <w:t>开标评标流程</w:t>
      </w:r>
      <w:bookmarkEnd w:id="14"/>
    </w:p>
    <w:p>
      <w:pPr>
        <w:numPr>
          <w:ilvl w:val="0"/>
          <w:numId w:val="25"/>
        </w:numPr>
        <w:ind w:hanging="5"/>
        <w:rPr>
          <w:rFonts w:ascii="宋体" w:hAnsi="宋体" w:cs="宋体"/>
          <w:szCs w:val="21"/>
          <w:highlight w:val="none"/>
        </w:rPr>
      </w:pPr>
      <w:bookmarkStart w:id="15" w:name="OLE_LINK2"/>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pPr>
        <w:numPr>
          <w:ilvl w:val="0"/>
          <w:numId w:val="25"/>
        </w:numPr>
        <w:ind w:hanging="5"/>
        <w:rPr>
          <w:rFonts w:ascii="宋体" w:hAnsi="宋体" w:cs="宋体"/>
          <w:szCs w:val="21"/>
          <w:highlight w:val="none"/>
        </w:rPr>
      </w:pPr>
      <w:r>
        <w:rPr>
          <w:rFonts w:hint="eastAsia" w:ascii="宋体" w:hAnsi="宋体"/>
          <w:szCs w:val="21"/>
          <w:highlight w:val="none"/>
        </w:rPr>
        <w:t>宣读开标注意事项、流程；</w:t>
      </w:r>
    </w:p>
    <w:p>
      <w:pPr>
        <w:numPr>
          <w:ilvl w:val="0"/>
          <w:numId w:val="25"/>
        </w:numPr>
        <w:ind w:hanging="5"/>
        <w:rPr>
          <w:rFonts w:ascii="宋体" w:hAnsi="宋体" w:cs="宋体"/>
          <w:szCs w:val="21"/>
          <w:highlight w:val="none"/>
        </w:rPr>
      </w:pPr>
      <w:r>
        <w:rPr>
          <w:rFonts w:hint="eastAsia" w:ascii="宋体" w:hAnsi="宋体" w:cs="宋体"/>
          <w:szCs w:val="21"/>
          <w:highlight w:val="none"/>
        </w:rPr>
        <w:t>评标小组推选组长；</w:t>
      </w:r>
    </w:p>
    <w:p>
      <w:pPr>
        <w:numPr>
          <w:ilvl w:val="0"/>
          <w:numId w:val="25"/>
        </w:numPr>
        <w:ind w:hanging="5"/>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25"/>
        </w:numPr>
        <w:ind w:hanging="5"/>
        <w:rPr>
          <w:rFonts w:ascii="宋体" w:hAnsi="宋体" w:cs="宋体"/>
          <w:szCs w:val="21"/>
          <w:highlight w:val="none"/>
        </w:rPr>
      </w:pPr>
      <w:r>
        <w:rPr>
          <w:rFonts w:hint="eastAsia" w:ascii="宋体" w:hAnsi="宋体" w:cs="宋体"/>
          <w:szCs w:val="21"/>
          <w:highlight w:val="none"/>
        </w:rPr>
        <w:t>商务及技术/服务需求响应性评定；</w:t>
      </w:r>
    </w:p>
    <w:p>
      <w:pPr>
        <w:numPr>
          <w:ilvl w:val="0"/>
          <w:numId w:val="25"/>
        </w:numPr>
        <w:ind w:hanging="5"/>
        <w:rPr>
          <w:rFonts w:ascii="宋体" w:hAnsi="宋体" w:cs="宋体"/>
          <w:szCs w:val="21"/>
          <w:highlight w:val="none"/>
        </w:rPr>
      </w:pPr>
      <w:r>
        <w:rPr>
          <w:rFonts w:hint="eastAsia" w:ascii="宋体" w:hAnsi="宋体" w:cs="宋体"/>
          <w:szCs w:val="21"/>
          <w:highlight w:val="none"/>
        </w:rPr>
        <w:t>确定中标候选供应商及评标报告的出具</w:t>
      </w:r>
      <w:bookmarkEnd w:id="15"/>
      <w:r>
        <w:rPr>
          <w:rFonts w:hint="eastAsia" w:ascii="宋体" w:hAnsi="宋体" w:cs="宋体"/>
          <w:szCs w:val="21"/>
          <w:highlight w:val="none"/>
        </w:rPr>
        <w:t>。</w:t>
      </w:r>
    </w:p>
    <w:p>
      <w:pPr>
        <w:pStyle w:val="12"/>
        <w:rPr>
          <w:rFonts w:ascii="宋体" w:eastAsia="宋体" w:cs="宋体"/>
          <w:highlight w:val="none"/>
        </w:rPr>
      </w:pPr>
    </w:p>
    <w:p>
      <w:pPr>
        <w:numPr>
          <w:ilvl w:val="0"/>
          <w:numId w:val="0"/>
        </w:numPr>
        <w:spacing w:line="300" w:lineRule="auto"/>
        <w:ind w:left="420" w:leftChars="0"/>
        <w:outlineLvl w:val="0"/>
        <w:rPr>
          <w:rFonts w:ascii="宋体" w:hAnsi="宋体" w:cs="宋体"/>
          <w:b/>
          <w:sz w:val="24"/>
          <w:highlight w:val="none"/>
        </w:rPr>
      </w:pPr>
      <w:bookmarkStart w:id="16" w:name="_Toc128989099"/>
      <w:r>
        <w:rPr>
          <w:rFonts w:hint="eastAsia" w:ascii="宋体" w:hAnsi="宋体" w:cs="宋体"/>
          <w:b/>
          <w:sz w:val="24"/>
          <w:highlight w:val="none"/>
          <w:lang w:eastAsia="zh-CN"/>
        </w:rPr>
        <w:t>七、</w:t>
      </w:r>
      <w:r>
        <w:rPr>
          <w:rFonts w:hint="eastAsia" w:ascii="宋体" w:hAnsi="宋体" w:cs="宋体"/>
          <w:b/>
          <w:sz w:val="24"/>
          <w:highlight w:val="none"/>
        </w:rPr>
        <w:t>评审办法</w:t>
      </w:r>
      <w:bookmarkEnd w:id="16"/>
    </w:p>
    <w:p>
      <w:pPr>
        <w:spacing w:line="360" w:lineRule="auto"/>
        <w:ind w:firstLine="420" w:firstLineChars="200"/>
        <w:rPr>
          <w:rFonts w:ascii="宋体" w:hAnsi="宋体" w:cs="宋体"/>
          <w:szCs w:val="21"/>
        </w:rPr>
      </w:pPr>
      <w:r>
        <w:rPr>
          <w:rFonts w:hint="eastAsia" w:ascii="宋体" w:hAnsi="宋体" w:cs="宋体"/>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highlight w:val="none"/>
        </w:rPr>
        <w:t>进行评审</w:t>
      </w:r>
      <w:r>
        <w:rPr>
          <w:rFonts w:hint="eastAsia" w:ascii="宋体" w:hAnsi="宋体" w:cs="宋体"/>
          <w:szCs w:val="21"/>
        </w:rPr>
        <w:t>。</w:t>
      </w:r>
    </w:p>
    <w:p>
      <w:pPr>
        <w:numPr>
          <w:ilvl w:val="0"/>
          <w:numId w:val="26"/>
        </w:numPr>
        <w:spacing w:line="300" w:lineRule="auto"/>
        <w:jc w:val="center"/>
        <w:outlineLvl w:val="1"/>
        <w:rPr>
          <w:rFonts w:ascii="宋体" w:hAnsi="宋体" w:cs="宋体"/>
          <w:sz w:val="24"/>
        </w:rPr>
      </w:pPr>
      <w:bookmarkStart w:id="17" w:name="_Toc128989100"/>
      <w:r>
        <w:rPr>
          <w:rStyle w:val="27"/>
          <w:rFonts w:hint="eastAsia" w:ascii="宋体" w:hAnsi="宋体" w:cs="宋体"/>
          <w:b/>
          <w:bCs/>
          <w:sz w:val="24"/>
        </w:rPr>
        <w:t>符合性检查</w:t>
      </w:r>
      <w:bookmarkEnd w:id="17"/>
    </w:p>
    <w:tbl>
      <w:tblPr>
        <w:tblStyle w:val="15"/>
        <w:tblW w:w="8392" w:type="dxa"/>
        <w:jc w:val="center"/>
        <w:tblCellSpacing w:w="0" w:type="dxa"/>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Layout w:type="fixed"/>
        <w:tblCellMar>
          <w:top w:w="15" w:type="dxa"/>
          <w:left w:w="15" w:type="dxa"/>
          <w:bottom w:w="15" w:type="dxa"/>
          <w:right w:w="15" w:type="dxa"/>
        </w:tblCellMar>
      </w:tblPr>
      <w:tblGrid>
        <w:gridCol w:w="1417"/>
        <w:gridCol w:w="6975"/>
      </w:tblGrid>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483"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评议项目</w:t>
            </w:r>
          </w:p>
        </w:tc>
        <w:tc>
          <w:tcPr>
            <w:tcW w:w="6975"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评议标准</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38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响应文件</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参加单位提交的响应文件是否按要求编制目录、密封/加密。</w:t>
            </w:r>
            <w:r>
              <w:rPr>
                <w:rFonts w:hint="eastAsia" w:ascii="宋体" w:hAnsi="宋体" w:cs="宋体"/>
                <w:bCs/>
                <w:color w:val="000000"/>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000000"/>
                <w:szCs w:val="21"/>
              </w:rPr>
              <w:t>。</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5602"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资格证明文件</w:t>
            </w:r>
          </w:p>
        </w:tc>
        <w:tc>
          <w:tcPr>
            <w:tcW w:w="6975" w:type="dxa"/>
            <w:tcBorders>
              <w:tl2br w:val="nil"/>
              <w:tr2bl w:val="nil"/>
            </w:tcBorders>
            <w:shd w:val="clear" w:color="auto" w:fill="F8DCDC"/>
            <w:vAlign w:val="top"/>
          </w:tcPr>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cs="仿宋"/>
                <w:szCs w:val="21"/>
                <w:lang w:val="en-US" w:eastAsia="zh-CN"/>
              </w:rPr>
              <w:t>参加单位</w:t>
            </w:r>
            <w:r>
              <w:rPr>
                <w:rFonts w:hint="eastAsia" w:ascii="宋体" w:hAnsi="宋体" w:cs="仿宋"/>
                <w:szCs w:val="21"/>
              </w:rPr>
              <w:t>是否提供以下证明文件：</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参加单位必须是在中华人民共和国境内注册且合法运作独立法人或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r>
              <w:rPr>
                <w:rFonts w:hint="eastAsia" w:ascii="宋体" w:hAnsi="宋体" w:eastAsia="宋体" w:cs="宋体"/>
                <w:color w:val="auto"/>
                <w:sz w:val="21"/>
                <w:szCs w:val="21"/>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参加单位应提交</w:t>
            </w:r>
            <w:r>
              <w:rPr>
                <w:rFonts w:hint="eastAsia" w:ascii="宋体" w:hAnsi="宋体" w:cs="宋体"/>
                <w:color w:val="auto"/>
                <w:sz w:val="21"/>
                <w:szCs w:val="21"/>
                <w:lang w:val="en-US" w:eastAsia="zh-CN"/>
              </w:rPr>
              <w:t>哈高设备</w:t>
            </w:r>
            <w:r>
              <w:rPr>
                <w:rFonts w:hint="eastAsia" w:ascii="宋体" w:hAnsi="宋体" w:eastAsia="宋体" w:cs="宋体"/>
                <w:color w:val="auto"/>
                <w:sz w:val="21"/>
                <w:szCs w:val="21"/>
                <w:lang w:val="en-US" w:eastAsia="zh-CN"/>
              </w:rPr>
              <w:t>制造商授权销售或售后服务的相关授权证书（提供复印件并加盖公章）。</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ascii="宋体" w:hAnsi="宋体" w:cs="宋体"/>
                <w:color w:val="000000"/>
                <w:szCs w:val="21"/>
              </w:rPr>
            </w:pPr>
            <w:r>
              <w:rPr>
                <w:rFonts w:hint="eastAsia" w:ascii="宋体" w:hAnsi="宋体" w:eastAsia="宋体" w:cs="宋体"/>
                <w:color w:val="auto"/>
                <w:sz w:val="21"/>
                <w:szCs w:val="21"/>
                <w:highlight w:val="none"/>
                <w:shd w:val="clear" w:color="FFFFFF"/>
              </w:rPr>
              <w:t>本项目不接受联合体投标，严禁转包或非法分包。</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20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控制金额</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000000"/>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8.4</w:t>
            </w:r>
            <w:r>
              <w:rPr>
                <w:rFonts w:hint="eastAsia" w:ascii="宋体" w:hAnsi="宋体" w:eastAsia="宋体" w:cs="宋体"/>
                <w:color w:val="000000"/>
                <w:sz w:val="21"/>
                <w:szCs w:val="21"/>
                <w:highlight w:val="none"/>
              </w:rPr>
              <w:t>万元（含税），报价高于上述控制金额的，参加单位的响应文件视同无效。</w:t>
            </w:r>
          </w:p>
        </w:tc>
      </w:tr>
    </w:tbl>
    <w:p>
      <w:pPr>
        <w:pStyle w:val="5"/>
        <w:ind w:left="0" w:leftChars="0" w:firstLine="0" w:firstLineChars="0"/>
      </w:pPr>
      <w:bookmarkStart w:id="18" w:name="_Toc128989101"/>
    </w:p>
    <w:p>
      <w:pPr>
        <w:numPr>
          <w:ilvl w:val="0"/>
          <w:numId w:val="26"/>
        </w:numPr>
        <w:spacing w:before="156" w:beforeLines="50" w:line="300" w:lineRule="auto"/>
        <w:jc w:val="center"/>
        <w:outlineLvl w:val="1"/>
        <w:rPr>
          <w:rStyle w:val="27"/>
          <w:rFonts w:ascii="宋体" w:hAnsi="宋体" w:cs="宋体"/>
          <w:b/>
          <w:bCs/>
          <w:sz w:val="24"/>
        </w:rPr>
      </w:pPr>
      <w:r>
        <w:rPr>
          <w:rStyle w:val="27"/>
          <w:rFonts w:hint="eastAsia" w:ascii="宋体" w:hAnsi="宋体" w:cs="宋体"/>
          <w:b/>
          <w:bCs/>
          <w:sz w:val="24"/>
        </w:rPr>
        <w:t>价格评议</w:t>
      </w:r>
      <w:bookmarkEnd w:id="18"/>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5"/>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2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0"/>
        </w:numPr>
        <w:spacing w:line="300" w:lineRule="auto"/>
        <w:ind w:left="420" w:leftChars="0"/>
        <w:outlineLvl w:val="0"/>
        <w:rPr>
          <w:rFonts w:ascii="宋体" w:hAnsi="宋体" w:cs="宋体"/>
          <w:b/>
          <w:sz w:val="24"/>
        </w:rPr>
      </w:pPr>
      <w:bookmarkStart w:id="19" w:name="_Toc128989102"/>
      <w:r>
        <w:rPr>
          <w:rFonts w:hint="eastAsia" w:ascii="宋体" w:hAnsi="宋体" w:cs="宋体"/>
          <w:b/>
          <w:sz w:val="24"/>
          <w:lang w:eastAsia="zh-CN"/>
        </w:rPr>
        <w:t>八、</w:t>
      </w:r>
      <w:r>
        <w:rPr>
          <w:rFonts w:hint="eastAsia" w:ascii="宋体" w:hAnsi="宋体" w:cs="宋体"/>
          <w:b/>
          <w:sz w:val="24"/>
        </w:rPr>
        <w:t>采购结果</w:t>
      </w:r>
      <w:bookmarkEnd w:id="19"/>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0"/>
        </w:numPr>
        <w:spacing w:line="300" w:lineRule="auto"/>
        <w:ind w:firstLine="482" w:firstLineChars="200"/>
        <w:outlineLvl w:val="0"/>
        <w:rPr>
          <w:rFonts w:ascii="宋体" w:hAnsi="宋体" w:cs="宋体"/>
          <w:b/>
          <w:sz w:val="24"/>
        </w:rPr>
      </w:pPr>
      <w:bookmarkStart w:id="20" w:name="_Toc128989103"/>
      <w:r>
        <w:rPr>
          <w:rFonts w:hint="eastAsia" w:ascii="宋体" w:hAnsi="宋体" w:cs="宋体"/>
          <w:b/>
          <w:sz w:val="24"/>
          <w:lang w:eastAsia="zh-CN"/>
        </w:rPr>
        <w:t>九、</w:t>
      </w:r>
      <w:r>
        <w:rPr>
          <w:rFonts w:hint="eastAsia" w:ascii="宋体" w:hAnsi="宋体" w:cs="宋体"/>
          <w:b/>
          <w:sz w:val="24"/>
        </w:rPr>
        <w:t>合同条款及格式</w:t>
      </w:r>
      <w:bookmarkEnd w:id="20"/>
    </w:p>
    <w:p>
      <w:pPr>
        <w:jc w:val="center"/>
        <w:rPr>
          <w:rFonts w:ascii="方正小标宋简体" w:hAnsi="方正小标宋简体" w:eastAsia="方正小标宋简体" w:cs="方正小标宋简体"/>
          <w:bCs/>
          <w:kern w:val="0"/>
          <w:sz w:val="28"/>
          <w:szCs w:val="28"/>
        </w:rPr>
      </w:pPr>
      <w:bookmarkStart w:id="2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1"/>
    <w:p>
      <w:pPr>
        <w:jc w:val="center"/>
        <w:rPr>
          <w:rFonts w:ascii="宋体" w:hAnsi="宋体"/>
          <w:szCs w:val="21"/>
        </w:rPr>
      </w:pPr>
      <w:bookmarkStart w:id="22" w:name="_Hlk116549211"/>
      <w:r>
        <w:rPr>
          <w:rFonts w:hint="eastAsia" w:ascii="方正小标宋简体" w:hAnsi="方正小标宋简体" w:eastAsia="方正小标宋简体" w:cs="方正小标宋简体"/>
          <w:bCs/>
          <w:kern w:val="0"/>
          <w:sz w:val="28"/>
          <w:szCs w:val="28"/>
        </w:rPr>
        <w:t>（仅供参考）</w:t>
      </w:r>
    </w:p>
    <w:bookmarkEnd w:id="22"/>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5"/>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5"/>
        <w:spacing w:line="360" w:lineRule="auto"/>
        <w:ind w:left="0"/>
        <w:rPr>
          <w:rFonts w:ascii="宋体" w:hAnsi="宋体"/>
          <w:sz w:val="21"/>
          <w:szCs w:val="21"/>
        </w:rPr>
      </w:pPr>
      <w:r>
        <w:rPr>
          <w:rFonts w:hint="eastAsia" w:ascii="宋体" w:hAnsi="宋体" w:cs="宋体"/>
          <w:sz w:val="21"/>
          <w:szCs w:val="21"/>
          <w:highlight w:val="yellow"/>
        </w:rPr>
        <w:t>电子邮件：</w:t>
      </w:r>
    </w:p>
    <w:p>
      <w:pPr>
        <w:pStyle w:val="5"/>
        <w:spacing w:after="0" w:line="360" w:lineRule="auto"/>
        <w:ind w:left="0" w:firstLine="400" w:firstLineChars="200"/>
        <w:rPr>
          <w:rFonts w:ascii="宋体" w:hAnsi="宋体"/>
          <w:sz w:val="21"/>
          <w:szCs w:val="21"/>
        </w:rPr>
      </w:pPr>
    </w:p>
    <w:p>
      <w:pPr>
        <w:pStyle w:val="5"/>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5"/>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5"/>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5"/>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2"/>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5"/>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9"/>
        <w:numPr>
          <w:ilvl w:val="1"/>
          <w:numId w:val="33"/>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9"/>
        <w:numPr>
          <w:ilvl w:val="0"/>
          <w:numId w:val="34"/>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9"/>
        <w:numPr>
          <w:ilvl w:val="0"/>
          <w:numId w:val="34"/>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9"/>
        <w:numPr>
          <w:ilvl w:val="1"/>
          <w:numId w:val="33"/>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9"/>
        <w:numPr>
          <w:ilvl w:val="0"/>
          <w:numId w:val="35"/>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9"/>
        <w:numPr>
          <w:ilvl w:val="0"/>
          <w:numId w:val="35"/>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9"/>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5"/>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6"/>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5"/>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5"/>
        <w:numPr>
          <w:ilvl w:val="0"/>
          <w:numId w:val="3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38"/>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5"/>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5"/>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5"/>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4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5"/>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41"/>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42"/>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42"/>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5"/>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5"/>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9"/>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9"/>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45"/>
        </w:numPr>
        <w:spacing w:line="360" w:lineRule="auto"/>
        <w:rPr>
          <w:rFonts w:ascii="宋体" w:hAnsi="宋体" w:eastAsia="宋体" w:cs="仿宋"/>
          <w:szCs w:val="21"/>
        </w:rPr>
      </w:pPr>
      <w:bookmarkStart w:id="23"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3"/>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5"/>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5"/>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jc w:val="both"/>
        <w:outlineLvl w:val="0"/>
        <w:rPr>
          <w:rFonts w:hint="eastAsia" w:ascii="宋体" w:hAnsi="宋体" w:cs="宋体"/>
          <w:b/>
          <w:sz w:val="24"/>
          <w:lang w:eastAsia="zh-CN"/>
        </w:rPr>
      </w:pPr>
      <w:bookmarkStart w:id="24" w:name="_Toc128989104"/>
    </w:p>
    <w:p>
      <w:pPr>
        <w:pStyle w:val="2"/>
        <w:rPr>
          <w:rFonts w:hint="eastAsia" w:ascii="宋体" w:hAnsi="宋体" w:cs="宋体"/>
          <w:b/>
          <w:sz w:val="24"/>
          <w:lang w:eastAsia="zh-CN"/>
        </w:rPr>
      </w:pPr>
    </w:p>
    <w:p>
      <w:pPr>
        <w:pStyle w:val="2"/>
        <w:rPr>
          <w:rFonts w:hint="eastAsia" w:ascii="宋体" w:hAnsi="宋体" w:cs="宋体"/>
          <w:b/>
          <w:sz w:val="24"/>
          <w:lang w:eastAsia="zh-CN"/>
        </w:rPr>
      </w:pPr>
    </w:p>
    <w:p>
      <w:pPr>
        <w:pStyle w:val="2"/>
        <w:rPr>
          <w:rFonts w:hint="eastAsia" w:ascii="宋体" w:hAnsi="宋体" w:cs="宋体"/>
          <w:b/>
          <w:sz w:val="24"/>
          <w:lang w:eastAsia="zh-CN"/>
        </w:rPr>
      </w:pPr>
    </w:p>
    <w:p>
      <w:pPr>
        <w:pStyle w:val="2"/>
        <w:rPr>
          <w:rFonts w:hint="eastAsia" w:ascii="宋体" w:hAnsi="宋体" w:cs="宋体"/>
          <w:b/>
          <w:sz w:val="24"/>
          <w:lang w:eastAsia="zh-CN"/>
        </w:rPr>
      </w:pPr>
    </w:p>
    <w:p>
      <w:pPr>
        <w:pStyle w:val="2"/>
        <w:rPr>
          <w:rFonts w:hint="eastAsia" w:ascii="宋体" w:hAnsi="宋体" w:cs="宋体"/>
          <w:b/>
          <w:sz w:val="24"/>
          <w:lang w:eastAsia="zh-CN"/>
        </w:rPr>
      </w:pPr>
    </w:p>
    <w:p>
      <w:pPr>
        <w:widowControl w:val="0"/>
        <w:numPr>
          <w:ilvl w:val="0"/>
          <w:numId w:val="0"/>
        </w:numPr>
        <w:spacing w:line="300" w:lineRule="auto"/>
        <w:ind w:firstLine="482" w:firstLineChars="200"/>
        <w:jc w:val="both"/>
        <w:outlineLvl w:val="0"/>
        <w:rPr>
          <w:rFonts w:ascii="宋体" w:hAnsi="宋体" w:cs="宋体"/>
          <w:b/>
          <w:sz w:val="24"/>
        </w:rPr>
      </w:pPr>
      <w:r>
        <w:rPr>
          <w:rFonts w:hint="eastAsia" w:ascii="宋体" w:hAnsi="宋体" w:cs="宋体"/>
          <w:b/>
          <w:sz w:val="24"/>
          <w:lang w:eastAsia="zh-CN"/>
        </w:rPr>
        <w:t>十、</w:t>
      </w:r>
      <w:r>
        <w:rPr>
          <w:rFonts w:hint="eastAsia" w:ascii="宋体" w:hAnsi="宋体" w:cs="宋体"/>
          <w:b/>
          <w:sz w:val="24"/>
        </w:rPr>
        <w:t>附件</w:t>
      </w:r>
      <w:bookmarkEnd w:id="24"/>
    </w:p>
    <w:p>
      <w:pPr>
        <w:pStyle w:val="12"/>
        <w:rPr>
          <w:rFonts w:ascii="仿宋" w:hAnsi="仿宋" w:eastAsia="仿宋" w:cs="仿宋"/>
          <w:sz w:val="28"/>
          <w:szCs w:val="28"/>
        </w:rPr>
      </w:pPr>
      <w:bookmarkStart w:id="25" w:name="_Toc478387760"/>
    </w:p>
    <w:p>
      <w:pPr>
        <w:spacing w:line="0" w:lineRule="atLeast"/>
        <w:outlineLvl w:val="0"/>
        <w:rPr>
          <w:rFonts w:ascii="宋体" w:hAnsi="宋体"/>
        </w:rPr>
      </w:pPr>
      <w:bookmarkStart w:id="26" w:name="_Toc128989105"/>
      <w:r>
        <w:rPr>
          <w:rFonts w:hint="eastAsia" w:ascii="仿宋" w:hAnsi="仿宋" w:eastAsia="仿宋" w:cs="仿宋"/>
          <w:sz w:val="28"/>
          <w:szCs w:val="28"/>
        </w:rPr>
        <w:t>附件1：报名回函</w:t>
      </w:r>
      <w:bookmarkEnd w:id="26"/>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5"/>
      </w:pPr>
      <w:r>
        <w:br w:type="page"/>
      </w:r>
    </w:p>
    <w:p>
      <w:pPr>
        <w:spacing w:line="0" w:lineRule="atLeast"/>
        <w:outlineLvl w:val="0"/>
        <w:rPr>
          <w:rFonts w:ascii="仿宋" w:hAnsi="仿宋" w:eastAsia="仿宋" w:cs="仿宋"/>
          <w:sz w:val="28"/>
          <w:szCs w:val="28"/>
        </w:rPr>
      </w:pPr>
      <w:bookmarkStart w:id="27" w:name="_Toc128989106"/>
      <w:r>
        <w:rPr>
          <w:rFonts w:hint="eastAsia" w:ascii="仿宋" w:hAnsi="仿宋" w:eastAsia="仿宋" w:cs="仿宋"/>
          <w:sz w:val="28"/>
          <w:szCs w:val="28"/>
        </w:rPr>
        <w:t>附件2：考察证明</w:t>
      </w:r>
      <w:bookmarkEnd w:id="25"/>
      <w:bookmarkEnd w:id="27"/>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2"/>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9"/>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46"/>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46"/>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46"/>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46"/>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0" w:name="_Toc25356"/>
      <w:r>
        <w:rPr>
          <w:rFonts w:hint="eastAsia" w:ascii="仿宋" w:hAnsi="仿宋" w:eastAsia="仿宋" w:cs="仿宋"/>
          <w:sz w:val="28"/>
          <w:szCs w:val="28"/>
        </w:rPr>
        <w:t>日期：_________年____月____日</w:t>
      </w:r>
      <w:bookmarkEnd w:id="30"/>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1" w:name="_Toc128989108"/>
      <w:r>
        <w:rPr>
          <w:rFonts w:hint="eastAsia" w:ascii="仿宋" w:hAnsi="仿宋" w:eastAsia="仿宋" w:cs="仿宋"/>
          <w:sz w:val="28"/>
          <w:szCs w:val="28"/>
        </w:rPr>
        <w:t>附件4：报价一览表（服务）</w:t>
      </w:r>
      <w:bookmarkEnd w:id="31"/>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b w:val="0"/>
          <w:bCs/>
          <w:sz w:val="28"/>
          <w:szCs w:val="28"/>
          <w:u w:val="single"/>
          <w:lang w:eastAsia="zh-CN"/>
        </w:rPr>
        <w:t>深圳会展中心</w:t>
      </w:r>
      <w:r>
        <w:rPr>
          <w:rFonts w:hint="eastAsia" w:ascii="仿宋" w:hAnsi="仿宋" w:eastAsia="仿宋" w:cs="仿宋"/>
          <w:b w:val="0"/>
          <w:bCs/>
          <w:color w:val="auto"/>
          <w:sz w:val="28"/>
          <w:szCs w:val="28"/>
          <w:highlight w:val="none"/>
          <w:u w:val="single"/>
          <w:shd w:val="clear" w:color="auto" w:fill="auto"/>
          <w:lang w:val="en-US" w:eastAsia="zh-CN"/>
        </w:rPr>
        <w:t>哈高</w:t>
      </w:r>
      <w:r>
        <w:rPr>
          <w:rFonts w:hint="eastAsia" w:ascii="仿宋" w:hAnsi="仿宋" w:eastAsia="仿宋" w:cs="仿宋"/>
          <w:b w:val="0"/>
          <w:bCs/>
          <w:color w:val="auto"/>
          <w:sz w:val="28"/>
          <w:szCs w:val="28"/>
          <w:highlight w:val="none"/>
          <w:u w:val="single"/>
          <w:shd w:val="clear" w:color="auto" w:fill="auto"/>
        </w:rPr>
        <w:t>清洁设备</w:t>
      </w:r>
      <w:r>
        <w:rPr>
          <w:rFonts w:hint="eastAsia" w:ascii="仿宋" w:hAnsi="仿宋" w:eastAsia="仿宋" w:cs="仿宋"/>
          <w:b w:val="0"/>
          <w:bCs/>
          <w:color w:val="auto"/>
          <w:sz w:val="28"/>
          <w:szCs w:val="28"/>
          <w:highlight w:val="none"/>
          <w:u w:val="single"/>
          <w:shd w:val="clear" w:color="auto" w:fill="auto"/>
          <w:lang w:eastAsia="zh-CN"/>
        </w:rPr>
        <w:t>维修保养</w:t>
      </w:r>
      <w:r>
        <w:rPr>
          <w:rFonts w:hint="eastAsia" w:ascii="仿宋" w:hAnsi="仿宋" w:eastAsia="仿宋" w:cs="仿宋"/>
          <w:b w:val="0"/>
          <w:bCs/>
          <w:color w:val="auto"/>
          <w:sz w:val="28"/>
          <w:szCs w:val="28"/>
          <w:highlight w:val="none"/>
          <w:u w:val="single"/>
          <w:shd w:val="clear" w:color="auto" w:fill="auto"/>
        </w:rPr>
        <w:t>服务</w:t>
      </w:r>
      <w:r>
        <w:rPr>
          <w:rFonts w:hint="eastAsia" w:ascii="仿宋" w:hAnsi="仿宋" w:eastAsia="仿宋" w:cs="仿宋"/>
          <w:b w:val="0"/>
          <w:bCs/>
          <w:color w:val="auto"/>
          <w:sz w:val="28"/>
          <w:szCs w:val="28"/>
          <w:highlight w:val="none"/>
          <w:u w:val="single"/>
          <w:shd w:val="clear" w:color="auto" w:fill="auto"/>
          <w:lang w:eastAsia="zh-CN"/>
        </w:rPr>
        <w:t>采购</w:t>
      </w:r>
      <w:r>
        <w:rPr>
          <w:rFonts w:hint="eastAsia" w:ascii="仿宋" w:hAnsi="仿宋" w:eastAsia="仿宋" w:cs="仿宋"/>
          <w:b w:val="0"/>
          <w:bCs/>
          <w:color w:val="auto"/>
          <w:sz w:val="28"/>
          <w:szCs w:val="28"/>
          <w:highlight w:val="none"/>
          <w:u w:val="single"/>
          <w:shd w:val="clear" w:color="auto" w:fill="auto"/>
        </w:rPr>
        <w:t>项目</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63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40"/>
        <w:gridCol w:w="705"/>
        <w:gridCol w:w="825"/>
        <w:gridCol w:w="690"/>
        <w:gridCol w:w="300"/>
        <w:gridCol w:w="525"/>
        <w:gridCol w:w="1230"/>
        <w:gridCol w:w="195"/>
        <w:gridCol w:w="1005"/>
        <w:gridCol w:w="690"/>
        <w:gridCol w:w="51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9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705" w:type="dxa"/>
            <w:vMerge w:val="restart"/>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品牌</w:t>
            </w:r>
          </w:p>
        </w:tc>
        <w:tc>
          <w:tcPr>
            <w:tcW w:w="825" w:type="dxa"/>
            <w:vMerge w:val="restart"/>
            <w:tcBorders>
              <w:top w:val="single" w:color="auto" w:sz="4" w:space="0"/>
              <w:left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r>
              <w:rPr>
                <w:rFonts w:hint="eastAsia" w:ascii="仿宋" w:hAnsi="仿宋" w:eastAsia="仿宋" w:cs="仿宋"/>
                <w:sz w:val="24"/>
                <w:szCs w:val="24"/>
              </w:rPr>
              <w:t>型 号</w:t>
            </w:r>
          </w:p>
        </w:tc>
        <w:tc>
          <w:tcPr>
            <w:tcW w:w="69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825"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次/年</w:t>
            </w:r>
          </w:p>
        </w:tc>
        <w:tc>
          <w:tcPr>
            <w:tcW w:w="123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维保期限</w:t>
            </w:r>
          </w:p>
          <w:p>
            <w:pPr>
              <w:jc w:val="center"/>
              <w:rPr>
                <w:rFonts w:hint="eastAsia" w:ascii="仿宋" w:hAnsi="仿宋" w:eastAsia="仿宋" w:cs="仿宋"/>
                <w:sz w:val="24"/>
                <w:szCs w:val="24"/>
              </w:rPr>
            </w:pPr>
            <w:r>
              <w:rPr>
                <w:rFonts w:hint="eastAsia" w:ascii="仿宋" w:hAnsi="仿宋" w:eastAsia="仿宋" w:cs="仿宋"/>
                <w:sz w:val="24"/>
                <w:szCs w:val="24"/>
              </w:rPr>
              <w:t>（年）</w:t>
            </w: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维保单价(元/台/次）</w:t>
            </w:r>
          </w:p>
        </w:tc>
        <w:tc>
          <w:tcPr>
            <w:tcW w:w="1316" w:type="dxa"/>
            <w:vMerge w:val="restart"/>
            <w:tcBorders>
              <w:top w:val="single" w:color="auto" w:sz="4" w:space="0"/>
              <w:left w:val="single" w:color="auto" w:sz="4" w:space="0"/>
              <w:right w:val="single" w:color="auto" w:sz="4" w:space="0"/>
            </w:tcBorders>
            <w:noWrap w:val="0"/>
            <w:vAlign w:val="center"/>
          </w:tcPr>
          <w:p>
            <w:pPr>
              <w:ind w:left="480" w:hanging="480" w:hangingChars="200"/>
              <w:jc w:val="center"/>
              <w:rPr>
                <w:rFonts w:hint="eastAsia" w:ascii="仿宋" w:hAnsi="仿宋" w:eastAsia="仿宋" w:cs="仿宋"/>
                <w:sz w:val="24"/>
                <w:szCs w:val="24"/>
                <w:lang w:eastAsia="zh-CN"/>
              </w:rPr>
            </w:pPr>
            <w:r>
              <w:rPr>
                <w:rFonts w:hint="eastAsia" w:ascii="仿宋" w:hAnsi="仿宋" w:eastAsia="仿宋" w:cs="仿宋"/>
                <w:sz w:val="24"/>
                <w:szCs w:val="24"/>
              </w:rPr>
              <w:t>3年</w:t>
            </w:r>
            <w:r>
              <w:rPr>
                <w:rFonts w:hint="eastAsia" w:ascii="仿宋" w:hAnsi="仿宋" w:eastAsia="仿宋" w:cs="仿宋"/>
                <w:sz w:val="24"/>
                <w:szCs w:val="24"/>
                <w:lang w:eastAsia="zh-CN"/>
              </w:rPr>
              <w:t>合计</w:t>
            </w:r>
          </w:p>
          <w:p>
            <w:pPr>
              <w:ind w:left="480" w:hanging="480" w:hangingChars="2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99" w:type="dxa"/>
            <w:vMerge w:val="continue"/>
            <w:tcBorders>
              <w:left w:val="single" w:color="auto" w:sz="4" w:space="0"/>
              <w:bottom w:val="single" w:color="auto" w:sz="4" w:space="0"/>
              <w:right w:val="single" w:color="auto" w:sz="4" w:space="0"/>
            </w:tcBorders>
            <w:noWrap w:val="0"/>
            <w:vAlign w:val="center"/>
          </w:tcPr>
          <w:p>
            <w:pPr>
              <w:jc w:val="center"/>
            </w:pPr>
          </w:p>
        </w:tc>
        <w:tc>
          <w:tcPr>
            <w:tcW w:w="1140" w:type="dxa"/>
            <w:vMerge w:val="continue"/>
            <w:tcBorders>
              <w:left w:val="single" w:color="auto" w:sz="4" w:space="0"/>
              <w:bottom w:val="single" w:color="auto" w:sz="4" w:space="0"/>
              <w:right w:val="single" w:color="auto" w:sz="4" w:space="0"/>
            </w:tcBorders>
            <w:noWrap w:val="0"/>
            <w:vAlign w:val="center"/>
          </w:tcPr>
          <w:p>
            <w:pPr>
              <w:jc w:val="center"/>
            </w:pPr>
          </w:p>
        </w:tc>
        <w:tc>
          <w:tcPr>
            <w:tcW w:w="705" w:type="dxa"/>
            <w:vMerge w:val="continue"/>
            <w:tcBorders>
              <w:left w:val="single" w:color="auto" w:sz="4" w:space="0"/>
              <w:bottom w:val="single" w:color="auto" w:sz="4" w:space="0"/>
              <w:right w:val="single" w:color="auto" w:sz="4" w:space="0"/>
            </w:tcBorders>
            <w:noWrap w:val="0"/>
            <w:vAlign w:val="center"/>
          </w:tcPr>
          <w:p>
            <w:pPr>
              <w:jc w:val="center"/>
            </w:pPr>
          </w:p>
        </w:tc>
        <w:tc>
          <w:tcPr>
            <w:tcW w:w="825" w:type="dxa"/>
            <w:vMerge w:val="continue"/>
            <w:tcBorders>
              <w:left w:val="single" w:color="auto" w:sz="4" w:space="0"/>
              <w:bottom w:val="single" w:color="auto" w:sz="4" w:space="0"/>
              <w:right w:val="single" w:color="auto" w:sz="4" w:space="0"/>
            </w:tcBorders>
            <w:noWrap w:val="0"/>
            <w:vAlign w:val="center"/>
          </w:tcPr>
          <w:p>
            <w:pPr>
              <w:jc w:val="center"/>
            </w:pPr>
          </w:p>
        </w:tc>
        <w:tc>
          <w:tcPr>
            <w:tcW w:w="690" w:type="dxa"/>
            <w:vMerge w:val="continue"/>
            <w:tcBorders>
              <w:left w:val="single" w:color="auto" w:sz="4" w:space="0"/>
              <w:bottom w:val="single" w:color="auto" w:sz="4" w:space="0"/>
              <w:right w:val="single" w:color="auto" w:sz="4" w:space="0"/>
            </w:tcBorders>
            <w:noWrap w:val="0"/>
            <w:vAlign w:val="center"/>
          </w:tcPr>
          <w:p>
            <w:pPr>
              <w:jc w:val="center"/>
            </w:pPr>
          </w:p>
        </w:tc>
        <w:tc>
          <w:tcPr>
            <w:tcW w:w="825" w:type="dxa"/>
            <w:gridSpan w:val="2"/>
            <w:vMerge w:val="continue"/>
            <w:tcBorders>
              <w:left w:val="single" w:color="auto" w:sz="4" w:space="0"/>
              <w:bottom w:val="single" w:color="auto" w:sz="4" w:space="0"/>
              <w:right w:val="single" w:color="auto" w:sz="4" w:space="0"/>
            </w:tcBorders>
            <w:noWrap w:val="0"/>
            <w:vAlign w:val="center"/>
          </w:tcPr>
          <w:p>
            <w:pPr>
              <w:jc w:val="center"/>
            </w:pPr>
          </w:p>
        </w:tc>
        <w:tc>
          <w:tcPr>
            <w:tcW w:w="1230" w:type="dxa"/>
            <w:vMerge w:val="continue"/>
            <w:tcBorders>
              <w:left w:val="single" w:color="auto" w:sz="4" w:space="0"/>
              <w:bottom w:val="single" w:color="auto" w:sz="4" w:space="0"/>
              <w:right w:val="single" w:color="auto" w:sz="4" w:space="0"/>
            </w:tcBorders>
            <w:noWrap w:val="0"/>
            <w:vAlign w:val="center"/>
          </w:tcPr>
          <w:p>
            <w:pPr>
              <w:jc w:val="cente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未税</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完税</w:t>
            </w:r>
          </w:p>
        </w:tc>
        <w:tc>
          <w:tcPr>
            <w:tcW w:w="1316" w:type="dxa"/>
            <w:vMerge w:val="continue"/>
            <w:tcBorders>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驾驶式洗地机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B120R</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驾驶式洗地机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B115R</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9"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4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驾驶式扫地机</w:t>
            </w:r>
          </w:p>
        </w:tc>
        <w:tc>
          <w:tcPr>
            <w:tcW w:w="70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B900R</w:t>
            </w:r>
          </w:p>
        </w:tc>
        <w:tc>
          <w:tcPr>
            <w:tcW w:w="69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9"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4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多功能小型清扫车</w:t>
            </w:r>
          </w:p>
        </w:tc>
        <w:tc>
          <w:tcPr>
            <w:tcW w:w="70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CM600</w:t>
            </w:r>
          </w:p>
        </w:tc>
        <w:tc>
          <w:tcPr>
            <w:tcW w:w="69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159" w:type="dxa"/>
            <w:gridSpan w:val="6"/>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三年</w:t>
            </w:r>
            <w:r>
              <w:rPr>
                <w:rFonts w:hint="eastAsia" w:ascii="仿宋" w:hAnsi="仿宋" w:eastAsia="仿宋" w:cs="仿宋"/>
                <w:sz w:val="24"/>
                <w:szCs w:val="24"/>
                <w:lang w:eastAsia="zh-CN"/>
              </w:rPr>
              <w:t>合计</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未税</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税额</w:t>
            </w: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159" w:type="dxa"/>
            <w:gridSpan w:val="6"/>
            <w:vMerge w:val="continue"/>
            <w:tcBorders>
              <w:left w:val="single" w:color="auto" w:sz="4" w:space="0"/>
              <w:bottom w:val="single" w:color="auto" w:sz="4" w:space="0"/>
              <w:right w:val="single" w:color="auto" w:sz="4" w:space="0"/>
            </w:tcBorders>
            <w:noWrap w:val="0"/>
            <w:vAlign w:val="center"/>
          </w:tcP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备   注</w:t>
            </w:r>
          </w:p>
        </w:tc>
        <w:tc>
          <w:tcPr>
            <w:tcW w:w="799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①维保服务期限为36个月（三年），202</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-1至202</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②常规保养</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B115R\B120R\B900R</w:t>
            </w:r>
            <w:r>
              <w:rPr>
                <w:rFonts w:hint="eastAsia" w:ascii="仿宋" w:hAnsi="仿宋" w:eastAsia="仿宋" w:cs="仿宋"/>
                <w:sz w:val="24"/>
                <w:szCs w:val="24"/>
              </w:rPr>
              <w:t>为每</w:t>
            </w:r>
            <w:r>
              <w:rPr>
                <w:rFonts w:hint="eastAsia" w:ascii="仿宋" w:hAnsi="仿宋" w:eastAsia="仿宋" w:cs="仿宋"/>
                <w:sz w:val="24"/>
                <w:szCs w:val="24"/>
                <w:lang w:val="en-US" w:eastAsia="zh-CN"/>
              </w:rPr>
              <w:t>3</w:t>
            </w:r>
            <w:r>
              <w:rPr>
                <w:rFonts w:hint="eastAsia" w:ascii="仿宋" w:hAnsi="仿宋" w:eastAsia="仿宋" w:cs="仿宋"/>
                <w:sz w:val="24"/>
                <w:szCs w:val="24"/>
              </w:rPr>
              <w:t>月1次，</w:t>
            </w:r>
            <w:r>
              <w:rPr>
                <w:rFonts w:hint="eastAsia" w:ascii="仿宋" w:hAnsi="仿宋" w:eastAsia="仿宋" w:cs="仿宋"/>
                <w:color w:val="auto"/>
                <w:sz w:val="24"/>
                <w:szCs w:val="24"/>
                <w:lang w:val="en-US" w:eastAsia="zh-CN"/>
              </w:rPr>
              <w:t>CM600</w:t>
            </w:r>
            <w:r>
              <w:rPr>
                <w:rFonts w:hint="eastAsia" w:ascii="仿宋" w:hAnsi="仿宋" w:eastAsia="仿宋" w:cs="仿宋"/>
                <w:sz w:val="24"/>
                <w:szCs w:val="24"/>
              </w:rPr>
              <w:t>为每</w:t>
            </w:r>
            <w:r>
              <w:rPr>
                <w:rFonts w:hint="eastAsia" w:ascii="仿宋" w:hAnsi="仿宋" w:eastAsia="仿宋" w:cs="仿宋"/>
                <w:sz w:val="24"/>
                <w:szCs w:val="24"/>
                <w:lang w:val="en-US" w:eastAsia="zh-CN"/>
              </w:rPr>
              <w:t>6</w:t>
            </w:r>
            <w:r>
              <w:rPr>
                <w:rFonts w:hint="eastAsia" w:ascii="仿宋" w:hAnsi="仿宋" w:eastAsia="仿宋" w:cs="仿宋"/>
                <w:sz w:val="24"/>
                <w:szCs w:val="24"/>
              </w:rPr>
              <w:t>月1次</w:t>
            </w:r>
            <w:r>
              <w:rPr>
                <w:rFonts w:hint="eastAsia" w:ascii="仿宋" w:hAnsi="仿宋" w:eastAsia="仿宋" w:cs="仿宋"/>
                <w:sz w:val="24"/>
                <w:szCs w:val="24"/>
                <w:lang w:eastAsia="zh-CN"/>
              </w:rPr>
              <w:t>，</w:t>
            </w:r>
            <w:r>
              <w:rPr>
                <w:rFonts w:hint="eastAsia" w:ascii="仿宋" w:hAnsi="仿宋" w:eastAsia="仿宋" w:cs="仿宋"/>
                <w:sz w:val="24"/>
                <w:szCs w:val="24"/>
              </w:rPr>
              <w:t>每年共计</w:t>
            </w:r>
            <w:r>
              <w:rPr>
                <w:rFonts w:hint="eastAsia" w:ascii="仿宋" w:hAnsi="仿宋" w:eastAsia="仿宋" w:cs="仿宋"/>
                <w:sz w:val="24"/>
                <w:szCs w:val="24"/>
                <w:lang w:val="en-US" w:eastAsia="zh-CN"/>
              </w:rPr>
              <w:t>22</w:t>
            </w:r>
            <w:r>
              <w:rPr>
                <w:rFonts w:hint="eastAsia" w:ascii="仿宋" w:hAnsi="仿宋" w:eastAsia="仿宋" w:cs="仿宋"/>
                <w:sz w:val="24"/>
                <w:szCs w:val="24"/>
              </w:rPr>
              <w:t>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t>③</w:t>
            </w:r>
            <w:r>
              <w:rPr>
                <w:rFonts w:hint="eastAsia" w:ascii="仿宋" w:hAnsi="仿宋" w:eastAsia="仿宋" w:cs="仿宋"/>
                <w:color w:val="auto"/>
                <w:sz w:val="24"/>
                <w:szCs w:val="24"/>
                <w:lang w:val="en-US" w:eastAsia="zh-CN"/>
              </w:rPr>
              <w:t>CM600维保控价为2980</w:t>
            </w:r>
            <w:r>
              <w:rPr>
                <w:rFonts w:hint="eastAsia" w:ascii="仿宋" w:hAnsi="仿宋" w:eastAsia="仿宋" w:cs="仿宋"/>
                <w:color w:val="auto"/>
                <w:sz w:val="24"/>
                <w:szCs w:val="24"/>
              </w:rPr>
              <w:t>元/台/次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B115R\B120R\B900R</w:t>
            </w:r>
            <w:r>
              <w:rPr>
                <w:rFonts w:hint="eastAsia" w:ascii="仿宋" w:hAnsi="仿宋" w:eastAsia="仿宋" w:cs="仿宋"/>
                <w:color w:val="auto"/>
                <w:sz w:val="24"/>
                <w:szCs w:val="24"/>
                <w:lang w:eastAsia="zh-CN"/>
              </w:rPr>
              <w:t>维保控价为</w:t>
            </w:r>
            <w:r>
              <w:rPr>
                <w:rFonts w:hint="eastAsia" w:ascii="仿宋" w:hAnsi="仿宋" w:eastAsia="仿宋" w:cs="仿宋"/>
                <w:color w:val="auto"/>
                <w:sz w:val="24"/>
                <w:szCs w:val="24"/>
                <w:lang w:val="en-US" w:eastAsia="zh-CN"/>
              </w:rPr>
              <w:t>1100</w:t>
            </w:r>
            <w:r>
              <w:rPr>
                <w:rFonts w:hint="eastAsia" w:ascii="仿宋" w:hAnsi="仿宋" w:eastAsia="仿宋" w:cs="仿宋"/>
                <w:color w:val="auto"/>
                <w:sz w:val="24"/>
                <w:szCs w:val="24"/>
              </w:rPr>
              <w:t>元/台/次</w:t>
            </w:r>
            <w:r>
              <w:rPr>
                <w:rFonts w:hint="eastAsia" w:ascii="仿宋" w:hAnsi="仿宋" w:eastAsia="仿宋" w:cs="仿宋"/>
                <w:color w:val="auto"/>
                <w:sz w:val="24"/>
                <w:szCs w:val="24"/>
                <w:lang w:eastAsia="zh-CN"/>
              </w:rPr>
              <w:t>，维保单价</w:t>
            </w:r>
            <w:r>
              <w:rPr>
                <w:rFonts w:hint="eastAsia" w:ascii="仿宋" w:hAnsi="仿宋" w:eastAsia="仿宋" w:cs="仿宋"/>
                <w:sz w:val="24"/>
                <w:szCs w:val="24"/>
              </w:rPr>
              <w:t>报价高于</w:t>
            </w:r>
            <w:r>
              <w:rPr>
                <w:rFonts w:hint="eastAsia" w:ascii="仿宋" w:hAnsi="仿宋" w:eastAsia="仿宋" w:cs="仿宋"/>
                <w:sz w:val="24"/>
                <w:szCs w:val="24"/>
                <w:lang w:eastAsia="zh-CN"/>
              </w:rPr>
              <w:t>维保控价</w:t>
            </w:r>
            <w:r>
              <w:rPr>
                <w:rFonts w:hint="eastAsia" w:ascii="仿宋" w:hAnsi="仿宋" w:eastAsia="仿宋" w:cs="仿宋"/>
                <w:sz w:val="24"/>
                <w:szCs w:val="24"/>
              </w:rPr>
              <w:t>金额的，</w:t>
            </w:r>
            <w:r>
              <w:rPr>
                <w:rFonts w:hint="eastAsia" w:ascii="仿宋" w:hAnsi="仿宋" w:eastAsia="仿宋" w:cs="仿宋"/>
                <w:sz w:val="24"/>
                <w:szCs w:val="24"/>
                <w:lang w:eastAsia="zh-CN"/>
              </w:rPr>
              <w:t>报价</w:t>
            </w:r>
            <w:r>
              <w:rPr>
                <w:rFonts w:hint="eastAsia" w:ascii="仿宋" w:hAnsi="仿宋" w:eastAsia="仿宋" w:cs="仿宋"/>
                <w:sz w:val="24"/>
                <w:szCs w:val="24"/>
              </w:rPr>
              <w:t>视同无效。</w:t>
            </w: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w:t>
      </w:r>
    </w:p>
    <w:p>
      <w:pPr>
        <w:spacing w:line="400" w:lineRule="exact"/>
        <w:ind w:firstLine="560" w:firstLineChars="200"/>
        <w:rPr>
          <w:rFonts w:ascii="仿宋" w:hAnsi="仿宋" w:eastAsia="仿宋" w:cs="仿宋"/>
          <w:bCs/>
          <w:sz w:val="28"/>
          <w:szCs w:val="28"/>
        </w:rPr>
      </w:pPr>
      <w:r>
        <w:rPr>
          <w:rFonts w:hint="eastAsia" w:ascii="仿宋" w:hAnsi="仿宋" w:eastAsia="仿宋" w:cs="仿宋"/>
          <w:sz w:val="28"/>
          <w:szCs w:val="28"/>
          <w:lang w:val="en-US" w:eastAsia="zh-CN"/>
        </w:rPr>
        <w:t>1.</w:t>
      </w:r>
      <w:r>
        <w:rPr>
          <w:rFonts w:hint="eastAsia" w:ascii="仿宋" w:hAnsi="仿宋" w:eastAsia="仿宋" w:cs="仿宋"/>
          <w:bCs/>
          <w:sz w:val="28"/>
          <w:szCs w:val="28"/>
        </w:rPr>
        <w:t>参加单位如果需要对报价或其它内容加以说明，可在备注一栏中填写</w:t>
      </w:r>
      <w:r>
        <w:rPr>
          <w:rFonts w:hint="eastAsia" w:ascii="仿宋" w:hAnsi="仿宋" w:eastAsia="仿宋" w:cs="仿宋"/>
          <w:bCs/>
          <w:sz w:val="28"/>
          <w:szCs w:val="28"/>
          <w:lang w:eastAsia="zh-CN"/>
        </w:rPr>
        <w:t>。</w:t>
      </w:r>
    </w:p>
    <w:p>
      <w:pPr>
        <w:pStyle w:val="29"/>
        <w:numPr>
          <w:ilvl w:val="0"/>
          <w:numId w:val="0"/>
        </w:numPr>
        <w:spacing w:line="400" w:lineRule="exact"/>
        <w:ind w:left="839" w:leftChars="266" w:hanging="280" w:hangingChars="100"/>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0"/>
          <w:numId w:val="0"/>
        </w:numPr>
        <w:spacing w:line="400" w:lineRule="exact"/>
        <w:ind w:left="559" w:leftChars="266" w:firstLine="0" w:firstLineChars="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如果分项报价与总价不一致，以总价为准。</w:t>
      </w:r>
    </w:p>
    <w:p>
      <w:pPr>
        <w:spacing w:line="400" w:lineRule="exact"/>
        <w:ind w:left="254" w:leftChars="121" w:firstLine="0" w:firstLineChars="0"/>
        <w:rPr>
          <w:rFonts w:ascii="仿宋" w:hAnsi="仿宋" w:eastAsia="仿宋" w:cs="仿宋"/>
          <w:sz w:val="28"/>
          <w:szCs w:val="28"/>
        </w:rPr>
      </w:pPr>
      <w:r>
        <w:rPr>
          <w:rFonts w:hint="eastAsia" w:ascii="仿宋" w:hAnsi="仿宋" w:eastAsia="仿宋" w:cs="仿宋"/>
          <w:sz w:val="28"/>
          <w:szCs w:val="28"/>
        </w:rPr>
        <w:t xml:space="preserve">    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rPr>
          <w:rFonts w:hint="eastAsia"/>
          <w:lang w:eastAsia="zh-CN"/>
        </w:rPr>
      </w:pPr>
      <w:bookmarkStart w:id="32" w:name="_Toc211248412"/>
    </w:p>
    <w:bookmarkEnd w:id="32"/>
    <w:p>
      <w:pPr>
        <w:spacing w:line="0" w:lineRule="atLeast"/>
        <w:outlineLvl w:val="0"/>
        <w:rPr>
          <w:rFonts w:hint="eastAsia" w:ascii="仿宋" w:hAnsi="仿宋" w:eastAsia="仿宋" w:cs="仿宋"/>
          <w:sz w:val="28"/>
          <w:szCs w:val="28"/>
        </w:rPr>
      </w:pPr>
      <w:bookmarkStart w:id="33" w:name="_Toc128989109"/>
      <w:bookmarkStart w:id="34" w:name="_Toc54773233"/>
    </w:p>
    <w:p>
      <w:pPr>
        <w:spacing w:line="0" w:lineRule="atLeast"/>
        <w:outlineLvl w:val="0"/>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FF0000"/>
          <w:sz w:val="28"/>
          <w:szCs w:val="28"/>
        </w:rPr>
        <w:t>（本项目不适用）</w:t>
      </w:r>
      <w:bookmarkEnd w:id="33"/>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4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5"/>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5" w:name="_Toc128989110"/>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：商务条款响应/偏离表</w:t>
      </w:r>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4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4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4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5"/>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7" w:name="_Toc85808702"/>
      <w:bookmarkStart w:id="38" w:name="_Toc128989111"/>
      <w:bookmarkStart w:id="39" w:name="_Toc236803114"/>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：技术（服务）响应/偏离表</w:t>
      </w:r>
      <w:bookmarkEnd w:id="37"/>
      <w:bookmarkEnd w:id="38"/>
      <w:bookmarkEnd w:id="39"/>
    </w:p>
    <w:p>
      <w:pPr>
        <w:adjustRightInd w:val="0"/>
        <w:snapToGrid w:val="0"/>
        <w:spacing w:before="240" w:after="240" w:line="400" w:lineRule="exact"/>
        <w:jc w:val="center"/>
        <w:rPr>
          <w:rFonts w:ascii="仿宋" w:hAnsi="仿宋" w:eastAsia="仿宋" w:cs="仿宋"/>
          <w:color w:val="000000"/>
          <w:sz w:val="28"/>
          <w:szCs w:val="28"/>
        </w:rPr>
      </w:pPr>
      <w:bookmarkStart w:id="4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5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5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5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2"/>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2"/>
        <w:outlineLvl w:val="0"/>
        <w:rPr>
          <w:rFonts w:ascii="仿宋" w:hAnsi="仿宋" w:eastAsia="仿宋" w:cs="仿宋"/>
          <w:sz w:val="28"/>
          <w:szCs w:val="28"/>
        </w:rPr>
      </w:pPr>
      <w:bookmarkStart w:id="41" w:name="_Toc128989112"/>
      <w:r>
        <w:rPr>
          <w:rFonts w:hint="eastAsia" w:ascii="仿宋" w:hAnsi="仿宋" w:eastAsia="仿宋" w:cs="仿宋"/>
          <w:sz w:val="28"/>
          <w:szCs w:val="28"/>
        </w:rPr>
        <w:t>附件</w:t>
      </w:r>
      <w:r>
        <w:rPr>
          <w:rFonts w:hint="eastAsia" w:ascii="仿宋" w:hAnsi="仿宋" w:eastAsia="仿宋" w:cs="仿宋"/>
          <w:sz w:val="28"/>
          <w:szCs w:val="28"/>
          <w:lang w:val="en-US" w:eastAsia="zh-CN"/>
        </w:rPr>
        <w:t>8</w:t>
      </w:r>
      <w:r>
        <w:rPr>
          <w:rFonts w:hint="eastAsia" w:ascii="仿宋" w:hAnsi="仿宋" w:eastAsia="仿宋" w:cs="仿宋"/>
          <w:sz w:val="28"/>
          <w:szCs w:val="28"/>
        </w:rPr>
        <w:t>：法定代表人证明书</w:t>
      </w:r>
      <w:bookmarkEnd w:id="34"/>
      <w:bookmarkEnd w:id="41"/>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5"/>
      </w:pPr>
    </w:p>
    <w:p>
      <w:pPr>
        <w:pStyle w:val="5"/>
      </w:pPr>
    </w:p>
    <w:p>
      <w:pPr>
        <w:pStyle w:val="5"/>
      </w:pPr>
    </w:p>
    <w:p>
      <w:pPr>
        <w:pStyle w:val="5"/>
      </w:pPr>
    </w:p>
    <w:p>
      <w:pPr>
        <w:pStyle w:val="5"/>
      </w:pPr>
    </w:p>
    <w:p>
      <w:pPr>
        <w:widowControl/>
        <w:jc w:val="left"/>
        <w:rPr>
          <w:rFonts w:ascii="仿宋" w:hAnsi="仿宋" w:eastAsia="仿宋" w:cs="仿宋"/>
          <w:color w:val="000000"/>
          <w:sz w:val="28"/>
          <w:szCs w:val="28"/>
        </w:rPr>
      </w:pPr>
      <w:bookmarkStart w:id="42"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3" w:name="_Toc128989113"/>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42"/>
      <w:bookmarkEnd w:id="43"/>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5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5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5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4" w:name="_Toc54773235"/>
      <w:bookmarkStart w:id="45" w:name="_Toc128989114"/>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44"/>
      <w:bookmarkEnd w:id="45"/>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6" w:name="_Toc54773236"/>
      <w:bookmarkStart w:id="47" w:name="_Toc12898911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：售后服务承诺书</w:t>
      </w:r>
      <w:bookmarkEnd w:id="46"/>
      <w:r>
        <w:rPr>
          <w:rFonts w:ascii="仿宋" w:hAnsi="仿宋" w:eastAsia="仿宋" w:cs="仿宋"/>
          <w:sz w:val="28"/>
          <w:szCs w:val="28"/>
        </w:rPr>
        <w:t>/质量保修服务承诺书（根据项目类型选择）</w:t>
      </w:r>
      <w:bookmarkEnd w:id="4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5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5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54"/>
        </w:numPr>
        <w:tabs>
          <w:tab w:val="left" w:pos="426"/>
        </w:tabs>
        <w:spacing w:before="240" w:line="360" w:lineRule="auto"/>
        <w:ind w:hanging="278"/>
        <w:rPr>
          <w:sz w:val="28"/>
          <w:szCs w:val="28"/>
        </w:rPr>
      </w:pPr>
      <w:r>
        <w:rPr>
          <w:rFonts w:hint="eastAsia" w:ascii="仿宋" w:hAnsi="仿宋" w:eastAsia="仿宋" w:cs="仿宋"/>
          <w:sz w:val="28"/>
          <w:szCs w:val="28"/>
        </w:rPr>
        <w:t>应急响应时间安排；</w:t>
      </w:r>
    </w:p>
    <w:p>
      <w:pPr>
        <w:numPr>
          <w:ilvl w:val="0"/>
          <w:numId w:val="54"/>
        </w:numPr>
        <w:tabs>
          <w:tab w:val="left" w:pos="426"/>
        </w:tabs>
        <w:spacing w:before="240" w:line="360" w:lineRule="auto"/>
        <w:ind w:hanging="278"/>
        <w:rPr>
          <w:sz w:val="28"/>
          <w:szCs w:val="28"/>
        </w:rPr>
      </w:pPr>
      <w:r>
        <w:rPr>
          <w:rFonts w:hint="eastAsia" w:ascii="仿宋" w:hAnsi="仿宋" w:eastAsia="仿宋" w:cs="仿宋"/>
          <w:sz w:val="28"/>
          <w:szCs w:val="28"/>
        </w:rPr>
        <w:t>维修服务收费标准；</w:t>
      </w:r>
    </w:p>
    <w:p>
      <w:pPr>
        <w:numPr>
          <w:ilvl w:val="0"/>
          <w:numId w:val="54"/>
        </w:numPr>
        <w:tabs>
          <w:tab w:val="left" w:pos="426"/>
        </w:tabs>
        <w:spacing w:before="240" w:line="360" w:lineRule="auto"/>
        <w:ind w:hanging="278"/>
        <w:rPr>
          <w:sz w:val="28"/>
          <w:szCs w:val="28"/>
        </w:rPr>
      </w:pPr>
      <w:r>
        <w:rPr>
          <w:rFonts w:hint="eastAsia" w:ascii="仿宋" w:hAnsi="仿宋" w:eastAsia="仿宋" w:cs="仿宋"/>
          <w:sz w:val="28"/>
          <w:szCs w:val="28"/>
          <w:lang w:eastAsia="zh-CN"/>
        </w:rPr>
        <w:t>可提供坦能清洁设备原装正品零配件；</w:t>
      </w:r>
    </w:p>
    <w:p>
      <w:pPr>
        <w:numPr>
          <w:ilvl w:val="0"/>
          <w:numId w:val="5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widowControl/>
        <w:jc w:val="left"/>
        <w:outlineLvl w:val="0"/>
        <w:rPr>
          <w:rFonts w:ascii="仿宋" w:hAnsi="仿宋" w:eastAsia="仿宋" w:cs="仿宋"/>
          <w:sz w:val="28"/>
          <w:szCs w:val="28"/>
        </w:rPr>
      </w:pPr>
      <w:bookmarkStart w:id="48" w:name="_Toc32341"/>
      <w:r>
        <w:rPr>
          <w:rFonts w:hint="eastAsia" w:ascii="仿宋" w:hAnsi="仿宋" w:eastAsia="仿宋" w:cs="仿宋"/>
          <w:sz w:val="28"/>
          <w:szCs w:val="28"/>
        </w:rPr>
        <w:br w:type="page"/>
      </w:r>
      <w:bookmarkStart w:id="49" w:name="_Toc128989116"/>
      <w:bookmarkStart w:id="50" w:name="_Toc54773237"/>
      <w:r>
        <w:rPr>
          <w:rFonts w:hint="eastAsia" w:ascii="仿宋" w:hAnsi="仿宋" w:eastAsia="仿宋" w:cs="仿宋"/>
          <w:sz w:val="28"/>
          <w:szCs w:val="28"/>
        </w:rPr>
        <w:t>附件1</w:t>
      </w:r>
      <w:r>
        <w:rPr>
          <w:rFonts w:hint="eastAsia" w:ascii="仿宋" w:hAnsi="仿宋" w:eastAsia="仿宋" w:cs="仿宋"/>
          <w:sz w:val="28"/>
          <w:szCs w:val="28"/>
          <w:lang w:val="en-US" w:eastAsia="zh-CN"/>
        </w:rPr>
        <w:t>2</w:t>
      </w:r>
      <w:r>
        <w:rPr>
          <w:rFonts w:hint="eastAsia" w:ascii="仿宋" w:hAnsi="仿宋" w:eastAsia="仿宋" w:cs="仿宋"/>
          <w:sz w:val="28"/>
          <w:szCs w:val="28"/>
        </w:rPr>
        <w:t>：履约情况及社会信誉承诺书</w:t>
      </w:r>
      <w:bookmarkEnd w:id="48"/>
      <w:bookmarkEnd w:id="49"/>
      <w:bookmarkEnd w:id="5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1"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5"/>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5"/>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2" w:name="_Toc128989117"/>
      <w:r>
        <w:rPr>
          <w:rFonts w:hint="eastAsia" w:ascii="仿宋" w:hAnsi="仿宋" w:eastAsia="仿宋" w:cs="仿宋"/>
          <w:sz w:val="28"/>
          <w:szCs w:val="28"/>
        </w:rPr>
        <w:t>附件1</w:t>
      </w:r>
      <w:r>
        <w:rPr>
          <w:rFonts w:hint="eastAsia" w:ascii="仿宋" w:hAnsi="仿宋" w:eastAsia="仿宋" w:cs="仿宋"/>
          <w:sz w:val="28"/>
          <w:szCs w:val="28"/>
          <w:lang w:val="en-US" w:eastAsia="zh-CN"/>
        </w:rPr>
        <w:t>3</w:t>
      </w:r>
      <w:r>
        <w:rPr>
          <w:rFonts w:hint="eastAsia" w:ascii="仿宋" w:hAnsi="仿宋" w:eastAsia="仿宋" w:cs="仿宋"/>
          <w:sz w:val="28"/>
          <w:szCs w:val="28"/>
        </w:rPr>
        <w:t>：投标文件密码</w:t>
      </w:r>
      <w:bookmarkEnd w:id="52"/>
    </w:p>
    <w:p>
      <w:pPr>
        <w:spacing w:line="360" w:lineRule="auto"/>
        <w:jc w:val="center"/>
        <w:rPr>
          <w:rFonts w:ascii="宋体" w:hAnsi="宋体"/>
          <w:b/>
          <w:sz w:val="44"/>
          <w:szCs w:val="44"/>
        </w:rPr>
      </w:pPr>
    </w:p>
    <w:p>
      <w:pPr>
        <w:jc w:val="center"/>
        <w:rPr>
          <w:rFonts w:ascii="宋体" w:hAnsi="宋体"/>
          <w:b/>
          <w:color w:val="000000"/>
          <w:sz w:val="32"/>
          <w:szCs w:val="32"/>
        </w:rPr>
      </w:pPr>
      <w:bookmarkStart w:id="53"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3"/>
    </w:p>
    <w:p>
      <w:pPr>
        <w:jc w:val="center"/>
        <w:rPr>
          <w:rFonts w:ascii="宋体" w:hAnsi="宋体"/>
          <w:b/>
          <w:sz w:val="32"/>
          <w:szCs w:val="32"/>
        </w:rPr>
      </w:pPr>
      <w:r>
        <w:rPr>
          <w:rFonts w:hint="eastAsia" w:ascii="宋体" w:hAnsi="宋体"/>
          <w:b/>
          <w:sz w:val="32"/>
          <w:szCs w:val="32"/>
        </w:rPr>
        <w:t>投标文件密码单</w:t>
      </w:r>
    </w:p>
    <w:p>
      <w:pPr>
        <w:pStyle w:val="5"/>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5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2"/>
        <w:numPr>
          <w:ilvl w:val="0"/>
          <w:numId w:val="5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2"/>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p>
    <w:p>
      <w:pPr>
        <w:pStyle w:val="5"/>
        <w:ind w:left="0"/>
      </w:pPr>
    </w:p>
    <w:sectPr>
      <w:headerReference r:id="rId5" w:type="default"/>
      <w:footerReference r:id="rId6" w:type="default"/>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34F46"/>
    <w:multiLevelType w:val="singleLevel"/>
    <w:tmpl w:val="84C34F46"/>
    <w:lvl w:ilvl="0" w:tentative="0">
      <w:start w:val="1"/>
      <w:numFmt w:val="decimal"/>
      <w:suff w:val="nothing"/>
      <w:lvlText w:val="（%1）"/>
      <w:lvlJc w:val="left"/>
      <w:rPr>
        <w:rFonts w:hint="default"/>
        <w:sz w:val="21"/>
        <w:szCs w:val="21"/>
      </w:rPr>
    </w:lvl>
  </w:abstractNum>
  <w:abstractNum w:abstractNumId="1">
    <w:nsid w:val="889FCE53"/>
    <w:multiLevelType w:val="singleLevel"/>
    <w:tmpl w:val="889FCE53"/>
    <w:lvl w:ilvl="0" w:tentative="0">
      <w:start w:val="1"/>
      <w:numFmt w:val="decimal"/>
      <w:lvlText w:val="(%1)"/>
      <w:lvlJc w:val="left"/>
      <w:pPr>
        <w:ind w:left="425" w:hanging="425"/>
      </w:pPr>
      <w:rPr>
        <w:rFonts w:hint="default"/>
      </w:rPr>
    </w:lvl>
  </w:abstractNum>
  <w:abstractNum w:abstractNumId="2">
    <w:nsid w:val="88BA99F8"/>
    <w:multiLevelType w:val="singleLevel"/>
    <w:tmpl w:val="88BA99F8"/>
    <w:lvl w:ilvl="0" w:tentative="0">
      <w:start w:val="1"/>
      <w:numFmt w:val="chineseCounting"/>
      <w:suff w:val="nothing"/>
      <w:lvlText w:val="（%1）"/>
      <w:lvlJc w:val="left"/>
      <w:rPr>
        <w:rFonts w:hint="eastAsia"/>
      </w:rPr>
    </w:lvl>
  </w:abstractNum>
  <w:abstractNum w:abstractNumId="3">
    <w:nsid w:val="8AB9E964"/>
    <w:multiLevelType w:val="singleLevel"/>
    <w:tmpl w:val="8AB9E964"/>
    <w:lvl w:ilvl="0" w:tentative="0">
      <w:start w:val="1"/>
      <w:numFmt w:val="decimal"/>
      <w:lvlText w:val="%1."/>
      <w:lvlJc w:val="left"/>
      <w:pPr>
        <w:tabs>
          <w:tab w:val="left" w:pos="312"/>
        </w:tabs>
      </w:pPr>
    </w:lvl>
  </w:abstractNum>
  <w:abstractNum w:abstractNumId="4">
    <w:nsid w:val="8F33FDD4"/>
    <w:multiLevelType w:val="singleLevel"/>
    <w:tmpl w:val="8F33FDD4"/>
    <w:lvl w:ilvl="0" w:tentative="0">
      <w:start w:val="1"/>
      <w:numFmt w:val="decimal"/>
      <w:suff w:val="space"/>
      <w:lvlText w:val="%1."/>
      <w:lvlJc w:val="left"/>
    </w:lvl>
  </w:abstractNum>
  <w:abstractNum w:abstractNumId="5">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6">
    <w:nsid w:val="93145535"/>
    <w:multiLevelType w:val="singleLevel"/>
    <w:tmpl w:val="93145535"/>
    <w:lvl w:ilvl="0" w:tentative="0">
      <w:start w:val="1"/>
      <w:numFmt w:val="decimal"/>
      <w:lvlText w:val="（%1）"/>
      <w:lvlJc w:val="left"/>
      <w:pPr>
        <w:ind w:left="0" w:leftChars="0" w:firstLine="0" w:firstLineChars="0"/>
      </w:pPr>
      <w:rPr>
        <w:rFonts w:hint="eastAsia"/>
      </w:rPr>
    </w:lvl>
  </w:abstractNum>
  <w:abstractNum w:abstractNumId="7">
    <w:nsid w:val="955FC8F2"/>
    <w:multiLevelType w:val="singleLevel"/>
    <w:tmpl w:val="955FC8F2"/>
    <w:lvl w:ilvl="0" w:tentative="0">
      <w:start w:val="13"/>
      <w:numFmt w:val="decimal"/>
      <w:lvlText w:val="%1)"/>
      <w:lvlJc w:val="left"/>
      <w:pPr>
        <w:tabs>
          <w:tab w:val="left" w:pos="840"/>
        </w:tabs>
        <w:ind w:left="845" w:leftChars="0" w:hanging="425" w:firstLineChars="0"/>
      </w:pPr>
      <w:rPr>
        <w:rFonts w:hint="default"/>
      </w:rPr>
    </w:lvl>
  </w:abstractNum>
  <w:abstractNum w:abstractNumId="8">
    <w:nsid w:val="BBBDDFD8"/>
    <w:multiLevelType w:val="singleLevel"/>
    <w:tmpl w:val="BBBDDFD8"/>
    <w:lvl w:ilvl="0" w:tentative="0">
      <w:start w:val="1"/>
      <w:numFmt w:val="decimal"/>
      <w:suff w:val="nothing"/>
      <w:lvlText w:val="（%1）"/>
      <w:lvlJc w:val="left"/>
      <w:rPr>
        <w:rFonts w:hint="default"/>
        <w:sz w:val="21"/>
        <w:szCs w:val="21"/>
      </w:rPr>
    </w:lvl>
  </w:abstractNum>
  <w:abstractNum w:abstractNumId="9">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10">
    <w:nsid w:val="CA690857"/>
    <w:multiLevelType w:val="singleLevel"/>
    <w:tmpl w:val="CA690857"/>
    <w:lvl w:ilvl="0" w:tentative="0">
      <w:start w:val="1"/>
      <w:numFmt w:val="decimal"/>
      <w:lvlText w:val="（%1）"/>
      <w:lvlJc w:val="left"/>
      <w:pPr>
        <w:ind w:left="420" w:hanging="420"/>
      </w:pPr>
      <w:rPr>
        <w:rFonts w:hint="eastAsia"/>
      </w:rPr>
    </w:lvl>
  </w:abstractNum>
  <w:abstractNum w:abstractNumId="11">
    <w:nsid w:val="CCE4A32B"/>
    <w:multiLevelType w:val="singleLevel"/>
    <w:tmpl w:val="CCE4A32B"/>
    <w:lvl w:ilvl="0" w:tentative="0">
      <w:start w:val="1"/>
      <w:numFmt w:val="decimal"/>
      <w:lvlText w:val="(%1)"/>
      <w:lvlJc w:val="left"/>
      <w:pPr>
        <w:ind w:left="425" w:hanging="425"/>
      </w:pPr>
      <w:rPr>
        <w:rFonts w:hint="default" w:ascii="宋体" w:hAnsi="宋体" w:eastAsia="宋体" w:cs="宋体"/>
        <w:sz w:val="21"/>
        <w:szCs w:val="21"/>
      </w:rPr>
    </w:lvl>
  </w:abstractNum>
  <w:abstractNum w:abstractNumId="12">
    <w:nsid w:val="CD60019C"/>
    <w:multiLevelType w:val="singleLevel"/>
    <w:tmpl w:val="CD60019C"/>
    <w:lvl w:ilvl="0" w:tentative="0">
      <w:start w:val="1"/>
      <w:numFmt w:val="decimal"/>
      <w:lvlText w:val="%1)"/>
      <w:lvlJc w:val="left"/>
      <w:pPr>
        <w:tabs>
          <w:tab w:val="left" w:pos="420"/>
        </w:tabs>
        <w:ind w:left="845" w:hanging="425"/>
      </w:pPr>
      <w:rPr>
        <w:rFonts w:hint="default"/>
      </w:rPr>
    </w:lvl>
  </w:abstractNum>
  <w:abstractNum w:abstractNumId="13">
    <w:nsid w:val="CF7FE85F"/>
    <w:multiLevelType w:val="singleLevel"/>
    <w:tmpl w:val="CF7FE85F"/>
    <w:lvl w:ilvl="0" w:tentative="0">
      <w:start w:val="1"/>
      <w:numFmt w:val="decimal"/>
      <w:lvlText w:val="%1."/>
      <w:lvlJc w:val="left"/>
      <w:pPr>
        <w:ind w:left="425" w:hanging="425"/>
      </w:pPr>
      <w:rPr>
        <w:rFonts w:hint="default"/>
      </w:rPr>
    </w:lvl>
  </w:abstractNum>
  <w:abstractNum w:abstractNumId="14">
    <w:nsid w:val="CFAA42A3"/>
    <w:multiLevelType w:val="singleLevel"/>
    <w:tmpl w:val="CFAA42A3"/>
    <w:lvl w:ilvl="0" w:tentative="0">
      <w:start w:val="1"/>
      <w:numFmt w:val="decimal"/>
      <w:lvlText w:val="(%1)"/>
      <w:lvlJc w:val="left"/>
      <w:pPr>
        <w:ind w:left="425" w:hanging="425"/>
      </w:pPr>
      <w:rPr>
        <w:rFonts w:hint="default"/>
      </w:rPr>
    </w:lvl>
  </w:abstractNum>
  <w:abstractNum w:abstractNumId="15">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6">
    <w:nsid w:val="DB4D60E3"/>
    <w:multiLevelType w:val="singleLevel"/>
    <w:tmpl w:val="DB4D60E3"/>
    <w:lvl w:ilvl="0" w:tentative="0">
      <w:start w:val="1"/>
      <w:numFmt w:val="decimal"/>
      <w:suff w:val="space"/>
      <w:lvlText w:val="%1."/>
      <w:lvlJc w:val="left"/>
    </w:lvl>
  </w:abstractNum>
  <w:abstractNum w:abstractNumId="17">
    <w:nsid w:val="E4DEC7AB"/>
    <w:multiLevelType w:val="singleLevel"/>
    <w:tmpl w:val="E4DEC7AB"/>
    <w:lvl w:ilvl="0" w:tentative="0">
      <w:start w:val="1"/>
      <w:numFmt w:val="decimal"/>
      <w:suff w:val="nothing"/>
      <w:lvlText w:val="（%1）"/>
      <w:lvlJc w:val="left"/>
    </w:lvl>
  </w:abstractNum>
  <w:abstractNum w:abstractNumId="18">
    <w:nsid w:val="EBB28CBD"/>
    <w:multiLevelType w:val="singleLevel"/>
    <w:tmpl w:val="EBB28CBD"/>
    <w:lvl w:ilvl="0" w:tentative="0">
      <w:start w:val="1"/>
      <w:numFmt w:val="decimal"/>
      <w:suff w:val="space"/>
      <w:lvlText w:val="%1."/>
      <w:lvlJc w:val="left"/>
      <w:pPr>
        <w:ind w:left="520" w:firstLine="0"/>
      </w:pPr>
    </w:lvl>
  </w:abstractNum>
  <w:abstractNum w:abstractNumId="19">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2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3"/>
    <w:multiLevelType w:val="singleLevel"/>
    <w:tmpl w:val="00000013"/>
    <w:lvl w:ilvl="0" w:tentative="0">
      <w:start w:val="1"/>
      <w:numFmt w:val="decimal"/>
      <w:lvlText w:val="%1."/>
      <w:lvlJc w:val="left"/>
      <w:pPr>
        <w:ind w:left="420" w:hanging="420"/>
      </w:pPr>
    </w:lvl>
  </w:abstractNum>
  <w:abstractNum w:abstractNumId="24">
    <w:nsid w:val="061809A3"/>
    <w:multiLevelType w:val="multilevel"/>
    <w:tmpl w:val="061809A3"/>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1D69C2C"/>
    <w:multiLevelType w:val="singleLevel"/>
    <w:tmpl w:val="11D69C2C"/>
    <w:lvl w:ilvl="0" w:tentative="0">
      <w:start w:val="1"/>
      <w:numFmt w:val="decimal"/>
      <w:suff w:val="space"/>
      <w:lvlText w:val="%1."/>
      <w:lvlJc w:val="left"/>
    </w:lvl>
  </w:abstractNum>
  <w:abstractNum w:abstractNumId="2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20AB9193"/>
    <w:multiLevelType w:val="singleLevel"/>
    <w:tmpl w:val="20AB9193"/>
    <w:lvl w:ilvl="0" w:tentative="0">
      <w:start w:val="1"/>
      <w:numFmt w:val="decimal"/>
      <w:lvlText w:val="%1."/>
      <w:lvlJc w:val="left"/>
      <w:pPr>
        <w:ind w:left="425" w:hanging="425"/>
      </w:pPr>
      <w:rPr>
        <w:rFonts w:hint="default"/>
      </w:rPr>
    </w:lvl>
  </w:abstractNum>
  <w:abstractNum w:abstractNumId="3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C48E557"/>
    <w:multiLevelType w:val="singleLevel"/>
    <w:tmpl w:val="2C48E557"/>
    <w:lvl w:ilvl="0" w:tentative="0">
      <w:start w:val="1"/>
      <w:numFmt w:val="decimal"/>
      <w:lvlText w:val="(%1)"/>
      <w:lvlJc w:val="left"/>
      <w:pPr>
        <w:ind w:left="0" w:leftChars="0" w:firstLine="0" w:firstLineChars="0"/>
      </w:pPr>
      <w:rPr>
        <w:rFonts w:hint="default"/>
      </w:rPr>
    </w:lvl>
  </w:abstractNum>
  <w:abstractNum w:abstractNumId="3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93EC6DE"/>
    <w:multiLevelType w:val="singleLevel"/>
    <w:tmpl w:val="393EC6DE"/>
    <w:lvl w:ilvl="0" w:tentative="0">
      <w:start w:val="1"/>
      <w:numFmt w:val="decimal"/>
      <w:lvlText w:val="%1)"/>
      <w:lvlJc w:val="left"/>
      <w:pPr>
        <w:tabs>
          <w:tab w:val="left" w:pos="420"/>
        </w:tabs>
        <w:ind w:left="845" w:hanging="425"/>
      </w:pPr>
      <w:rPr>
        <w:rFonts w:hint="default"/>
      </w:r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0">
    <w:nsid w:val="472D6470"/>
    <w:multiLevelType w:val="singleLevel"/>
    <w:tmpl w:val="472D6470"/>
    <w:lvl w:ilvl="0" w:tentative="0">
      <w:start w:val="1"/>
      <w:numFmt w:val="decimal"/>
      <w:lvlText w:val="%1."/>
      <w:lvlJc w:val="left"/>
      <w:pPr>
        <w:ind w:left="425" w:hanging="425"/>
      </w:pPr>
      <w:rPr>
        <w:rFonts w:hint="default"/>
      </w:rPr>
    </w:lvl>
  </w:abstractNum>
  <w:abstractNum w:abstractNumId="41">
    <w:nsid w:val="48F0CBD6"/>
    <w:multiLevelType w:val="singleLevel"/>
    <w:tmpl w:val="48F0CBD6"/>
    <w:lvl w:ilvl="0" w:tentative="0">
      <w:start w:val="5"/>
      <w:numFmt w:val="decimal"/>
      <w:lvlText w:val="%1)"/>
      <w:lvlJc w:val="left"/>
      <w:pPr>
        <w:tabs>
          <w:tab w:val="left" w:pos="840"/>
        </w:tabs>
        <w:ind w:left="845" w:leftChars="0" w:hanging="425" w:firstLineChars="0"/>
      </w:pPr>
      <w:rPr>
        <w:rFonts w:hint="default"/>
      </w:rPr>
    </w:lvl>
  </w:abstractNum>
  <w:abstractNum w:abstractNumId="4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3255535"/>
    <w:multiLevelType w:val="multilevel"/>
    <w:tmpl w:val="63255535"/>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4A716E8"/>
    <w:multiLevelType w:val="singleLevel"/>
    <w:tmpl w:val="64A716E8"/>
    <w:lvl w:ilvl="0" w:tentative="0">
      <w:start w:val="1"/>
      <w:numFmt w:val="decimal"/>
      <w:lvlText w:val="(%1)"/>
      <w:lvlJc w:val="left"/>
      <w:pPr>
        <w:ind w:left="425" w:hanging="425"/>
      </w:pPr>
      <w:rPr>
        <w:rFonts w:hint="default"/>
      </w:rPr>
    </w:lvl>
  </w:abstractNum>
  <w:abstractNum w:abstractNumId="4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9">
    <w:nsid w:val="6929B8DA"/>
    <w:multiLevelType w:val="singleLevel"/>
    <w:tmpl w:val="6929B8DA"/>
    <w:lvl w:ilvl="0" w:tentative="0">
      <w:start w:val="1"/>
      <w:numFmt w:val="decimal"/>
      <w:suff w:val="nothing"/>
      <w:lvlText w:val="（%1）"/>
      <w:lvlJc w:val="left"/>
    </w:lvl>
  </w:abstractNum>
  <w:abstractNum w:abstractNumId="5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1">
    <w:nsid w:val="6BEB8EB4"/>
    <w:multiLevelType w:val="singleLevel"/>
    <w:tmpl w:val="6BEB8EB4"/>
    <w:lvl w:ilvl="0" w:tentative="0">
      <w:start w:val="16"/>
      <w:numFmt w:val="decimal"/>
      <w:lvlText w:val="%1)"/>
      <w:lvlJc w:val="left"/>
      <w:pPr>
        <w:tabs>
          <w:tab w:val="left" w:pos="840"/>
        </w:tabs>
        <w:ind w:left="845" w:leftChars="0" w:hanging="425" w:firstLineChars="0"/>
      </w:pPr>
      <w:rPr>
        <w:rFonts w:hint="default"/>
      </w:rPr>
    </w:lvl>
  </w:abstractNum>
  <w:abstractNum w:abstractNumId="5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3">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0"/>
  </w:num>
  <w:num w:numId="2">
    <w:abstractNumId w:val="24"/>
  </w:num>
  <w:num w:numId="3">
    <w:abstractNumId w:val="6"/>
  </w:num>
  <w:num w:numId="4">
    <w:abstractNumId w:val="1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7"/>
  </w:num>
  <w:num w:numId="8">
    <w:abstractNumId w:val="42"/>
  </w:num>
  <w:num w:numId="9">
    <w:abstractNumId w:val="32"/>
  </w:num>
  <w:num w:numId="10">
    <w:abstractNumId w:val="0"/>
  </w:num>
  <w:num w:numId="11">
    <w:abstractNumId w:val="11"/>
  </w:num>
  <w:num w:numId="12">
    <w:abstractNumId w:val="8"/>
  </w:num>
  <w:num w:numId="13">
    <w:abstractNumId w:val="49"/>
  </w:num>
  <w:num w:numId="14">
    <w:abstractNumId w:val="34"/>
  </w:num>
  <w:num w:numId="15">
    <w:abstractNumId w:val="41"/>
  </w:num>
  <w:num w:numId="16">
    <w:abstractNumId w:val="7"/>
  </w:num>
  <w:num w:numId="17">
    <w:abstractNumId w:val="51"/>
  </w:num>
  <w:num w:numId="18">
    <w:abstractNumId w:val="12"/>
  </w:num>
  <w:num w:numId="19">
    <w:abstractNumId w:val="46"/>
  </w:num>
  <w:num w:numId="20">
    <w:abstractNumId w:val="1"/>
  </w:num>
  <w:num w:numId="21">
    <w:abstractNumId w:val="14"/>
  </w:num>
  <w:num w:numId="22">
    <w:abstractNumId w:val="47"/>
  </w:num>
  <w:num w:numId="23">
    <w:abstractNumId w:val="3"/>
  </w:num>
  <w:num w:numId="24">
    <w:abstractNumId w:val="54"/>
  </w:num>
  <w:num w:numId="25">
    <w:abstractNumId w:val="40"/>
  </w:num>
  <w:num w:numId="26">
    <w:abstractNumId w:val="22"/>
  </w:num>
  <w:num w:numId="27">
    <w:abstractNumId w:val="17"/>
  </w:num>
  <w:num w:numId="28">
    <w:abstractNumId w:val="37"/>
  </w:num>
  <w:num w:numId="29">
    <w:abstractNumId w:val="35"/>
  </w:num>
  <w:num w:numId="30">
    <w:abstractNumId w:val="18"/>
  </w:num>
  <w:num w:numId="31">
    <w:abstractNumId w:val="29"/>
  </w:num>
  <w:num w:numId="32">
    <w:abstractNumId w:val="13"/>
  </w:num>
  <w:num w:numId="33">
    <w:abstractNumId w:val="45"/>
  </w:num>
  <w:num w:numId="34">
    <w:abstractNumId w:val="26"/>
  </w:num>
  <w:num w:numId="35">
    <w:abstractNumId w:val="39"/>
  </w:num>
  <w:num w:numId="36">
    <w:abstractNumId w:val="9"/>
  </w:num>
  <w:num w:numId="37">
    <w:abstractNumId w:val="30"/>
  </w:num>
  <w:num w:numId="38">
    <w:abstractNumId w:val="4"/>
  </w:num>
  <w:num w:numId="39">
    <w:abstractNumId w:val="16"/>
  </w:num>
  <w:num w:numId="40">
    <w:abstractNumId w:val="15"/>
  </w:num>
  <w:num w:numId="41">
    <w:abstractNumId w:val="52"/>
  </w:num>
  <w:num w:numId="42">
    <w:abstractNumId w:val="2"/>
  </w:num>
  <w:num w:numId="43">
    <w:abstractNumId w:val="5"/>
  </w:num>
  <w:num w:numId="44">
    <w:abstractNumId w:val="36"/>
  </w:num>
  <w:num w:numId="45">
    <w:abstractNumId w:val="19"/>
  </w:num>
  <w:num w:numId="46">
    <w:abstractNumId w:val="48"/>
  </w:num>
  <w:num w:numId="47">
    <w:abstractNumId w:val="33"/>
  </w:num>
  <w:num w:numId="48">
    <w:abstractNumId w:val="20"/>
  </w:num>
  <w:num w:numId="49">
    <w:abstractNumId w:val="25"/>
  </w:num>
  <w:num w:numId="50">
    <w:abstractNumId w:val="21"/>
  </w:num>
  <w:num w:numId="51">
    <w:abstractNumId w:val="53"/>
  </w:num>
  <w:num w:numId="52">
    <w:abstractNumId w:val="38"/>
  </w:num>
  <w:num w:numId="53">
    <w:abstractNumId w:val="44"/>
  </w:num>
  <w:num w:numId="54">
    <w:abstractNumId w:val="23"/>
  </w:num>
  <w:num w:numId="55">
    <w:abstractNumId w:val="43"/>
  </w:num>
  <w:num w:numId="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466F1B"/>
    <w:rsid w:val="01CC7363"/>
    <w:rsid w:val="01F50D55"/>
    <w:rsid w:val="02102DB0"/>
    <w:rsid w:val="0287517D"/>
    <w:rsid w:val="02AD6AD0"/>
    <w:rsid w:val="03083F44"/>
    <w:rsid w:val="030E435A"/>
    <w:rsid w:val="03334D89"/>
    <w:rsid w:val="038B1947"/>
    <w:rsid w:val="03914474"/>
    <w:rsid w:val="04C02BE2"/>
    <w:rsid w:val="05623C89"/>
    <w:rsid w:val="06D05917"/>
    <w:rsid w:val="06F84D9C"/>
    <w:rsid w:val="075229E7"/>
    <w:rsid w:val="08116E5C"/>
    <w:rsid w:val="08727839"/>
    <w:rsid w:val="092865B1"/>
    <w:rsid w:val="09550008"/>
    <w:rsid w:val="09F14227"/>
    <w:rsid w:val="0A04500D"/>
    <w:rsid w:val="0A31466E"/>
    <w:rsid w:val="0A9B6B63"/>
    <w:rsid w:val="0BB540F7"/>
    <w:rsid w:val="0C7548FE"/>
    <w:rsid w:val="0C7929F9"/>
    <w:rsid w:val="0CBF3E0A"/>
    <w:rsid w:val="0CDC1D4A"/>
    <w:rsid w:val="0D6C68DD"/>
    <w:rsid w:val="0DE325EB"/>
    <w:rsid w:val="0FE67E91"/>
    <w:rsid w:val="0FF30054"/>
    <w:rsid w:val="1007583E"/>
    <w:rsid w:val="103B2931"/>
    <w:rsid w:val="10A7164F"/>
    <w:rsid w:val="10B81245"/>
    <w:rsid w:val="10C779F2"/>
    <w:rsid w:val="114B0367"/>
    <w:rsid w:val="114C469F"/>
    <w:rsid w:val="11672EFE"/>
    <w:rsid w:val="11C7647D"/>
    <w:rsid w:val="120327FF"/>
    <w:rsid w:val="12233FCD"/>
    <w:rsid w:val="12843799"/>
    <w:rsid w:val="13491641"/>
    <w:rsid w:val="13856A96"/>
    <w:rsid w:val="13A21615"/>
    <w:rsid w:val="161B2E57"/>
    <w:rsid w:val="16BE1405"/>
    <w:rsid w:val="172F2434"/>
    <w:rsid w:val="17F6273C"/>
    <w:rsid w:val="17F95E56"/>
    <w:rsid w:val="1828123D"/>
    <w:rsid w:val="18A624A5"/>
    <w:rsid w:val="19A308A4"/>
    <w:rsid w:val="19CE2D1D"/>
    <w:rsid w:val="1A130491"/>
    <w:rsid w:val="1B3A1A48"/>
    <w:rsid w:val="1B9A1A18"/>
    <w:rsid w:val="1C4D2C24"/>
    <w:rsid w:val="1C587A8A"/>
    <w:rsid w:val="1CCD79EE"/>
    <w:rsid w:val="1D012599"/>
    <w:rsid w:val="1D072FEF"/>
    <w:rsid w:val="1D9D4BEE"/>
    <w:rsid w:val="1DEF7E5A"/>
    <w:rsid w:val="1E020668"/>
    <w:rsid w:val="1E1C321D"/>
    <w:rsid w:val="1E6A5405"/>
    <w:rsid w:val="1E991E7F"/>
    <w:rsid w:val="1F235F0F"/>
    <w:rsid w:val="1FDC0010"/>
    <w:rsid w:val="22B1460E"/>
    <w:rsid w:val="22C64C6F"/>
    <w:rsid w:val="22C90A12"/>
    <w:rsid w:val="22F846E4"/>
    <w:rsid w:val="23265483"/>
    <w:rsid w:val="24B03D6A"/>
    <w:rsid w:val="24B81981"/>
    <w:rsid w:val="252941C0"/>
    <w:rsid w:val="25BE02E4"/>
    <w:rsid w:val="25D42D08"/>
    <w:rsid w:val="25E34532"/>
    <w:rsid w:val="263B6C9D"/>
    <w:rsid w:val="267F1A25"/>
    <w:rsid w:val="26961B68"/>
    <w:rsid w:val="28413D6F"/>
    <w:rsid w:val="28B41E2C"/>
    <w:rsid w:val="28C21443"/>
    <w:rsid w:val="298D33FE"/>
    <w:rsid w:val="2A694883"/>
    <w:rsid w:val="2AB56C65"/>
    <w:rsid w:val="2B6D21A2"/>
    <w:rsid w:val="2B724752"/>
    <w:rsid w:val="2B733A0B"/>
    <w:rsid w:val="2D341708"/>
    <w:rsid w:val="2DD81582"/>
    <w:rsid w:val="2E293537"/>
    <w:rsid w:val="2E9F5C62"/>
    <w:rsid w:val="2F3E2735"/>
    <w:rsid w:val="2FA11B48"/>
    <w:rsid w:val="2FAD3F9D"/>
    <w:rsid w:val="2FB81CD2"/>
    <w:rsid w:val="2FDB1881"/>
    <w:rsid w:val="31390F13"/>
    <w:rsid w:val="328947D0"/>
    <w:rsid w:val="32A82BA2"/>
    <w:rsid w:val="32BC0DBD"/>
    <w:rsid w:val="33802DBB"/>
    <w:rsid w:val="33822184"/>
    <w:rsid w:val="33984304"/>
    <w:rsid w:val="343F0283"/>
    <w:rsid w:val="345710C9"/>
    <w:rsid w:val="34775B9E"/>
    <w:rsid w:val="347E0722"/>
    <w:rsid w:val="3486272E"/>
    <w:rsid w:val="35B40918"/>
    <w:rsid w:val="360109F6"/>
    <w:rsid w:val="36F03147"/>
    <w:rsid w:val="376406E3"/>
    <w:rsid w:val="376E2FF2"/>
    <w:rsid w:val="37700AE6"/>
    <w:rsid w:val="37C91299"/>
    <w:rsid w:val="37CB1E7C"/>
    <w:rsid w:val="37E94C59"/>
    <w:rsid w:val="37F672C2"/>
    <w:rsid w:val="38322BBF"/>
    <w:rsid w:val="38C86E00"/>
    <w:rsid w:val="399A02D7"/>
    <w:rsid w:val="39D159DE"/>
    <w:rsid w:val="3A0866B9"/>
    <w:rsid w:val="3A111A8F"/>
    <w:rsid w:val="3AA754BE"/>
    <w:rsid w:val="3AD278CA"/>
    <w:rsid w:val="3AD75885"/>
    <w:rsid w:val="3B40215F"/>
    <w:rsid w:val="3BCF39AC"/>
    <w:rsid w:val="3BEA21CB"/>
    <w:rsid w:val="3C681CBB"/>
    <w:rsid w:val="3C974E78"/>
    <w:rsid w:val="3D0C7562"/>
    <w:rsid w:val="3D630E3B"/>
    <w:rsid w:val="3E3C6C60"/>
    <w:rsid w:val="3E857452"/>
    <w:rsid w:val="3F5E1222"/>
    <w:rsid w:val="4153612E"/>
    <w:rsid w:val="41AE46E3"/>
    <w:rsid w:val="42802E7A"/>
    <w:rsid w:val="42A0265B"/>
    <w:rsid w:val="43275334"/>
    <w:rsid w:val="44663420"/>
    <w:rsid w:val="4479539E"/>
    <w:rsid w:val="44D742D8"/>
    <w:rsid w:val="452E5288"/>
    <w:rsid w:val="453B2BD5"/>
    <w:rsid w:val="459F6172"/>
    <w:rsid w:val="46810FE3"/>
    <w:rsid w:val="474A6C5C"/>
    <w:rsid w:val="481C5C5C"/>
    <w:rsid w:val="48542CBE"/>
    <w:rsid w:val="48700967"/>
    <w:rsid w:val="48D05C49"/>
    <w:rsid w:val="48D32A87"/>
    <w:rsid w:val="499348DD"/>
    <w:rsid w:val="4AD226AE"/>
    <w:rsid w:val="4B973079"/>
    <w:rsid w:val="4C1B0657"/>
    <w:rsid w:val="4C314B4E"/>
    <w:rsid w:val="4C844900"/>
    <w:rsid w:val="4D0948D7"/>
    <w:rsid w:val="4D880A91"/>
    <w:rsid w:val="4DA70304"/>
    <w:rsid w:val="4E3426DD"/>
    <w:rsid w:val="4E976357"/>
    <w:rsid w:val="4E9C5221"/>
    <w:rsid w:val="4EB95FDB"/>
    <w:rsid w:val="4F0764F2"/>
    <w:rsid w:val="4F3A5157"/>
    <w:rsid w:val="4F712C1E"/>
    <w:rsid w:val="4FC4711A"/>
    <w:rsid w:val="504306EC"/>
    <w:rsid w:val="50764612"/>
    <w:rsid w:val="51CB596B"/>
    <w:rsid w:val="51F83FA9"/>
    <w:rsid w:val="52E73992"/>
    <w:rsid w:val="52EE0307"/>
    <w:rsid w:val="52F57C70"/>
    <w:rsid w:val="53255C19"/>
    <w:rsid w:val="5340616D"/>
    <w:rsid w:val="53FE2BDF"/>
    <w:rsid w:val="55C74643"/>
    <w:rsid w:val="561332A1"/>
    <w:rsid w:val="571F5004"/>
    <w:rsid w:val="577D718E"/>
    <w:rsid w:val="578C068D"/>
    <w:rsid w:val="57CC741D"/>
    <w:rsid w:val="58967836"/>
    <w:rsid w:val="59174FB1"/>
    <w:rsid w:val="591D4504"/>
    <w:rsid w:val="5991464D"/>
    <w:rsid w:val="5B0A0784"/>
    <w:rsid w:val="5B6C034E"/>
    <w:rsid w:val="5C551D62"/>
    <w:rsid w:val="5C9546B7"/>
    <w:rsid w:val="5CA52C31"/>
    <w:rsid w:val="5CF5419A"/>
    <w:rsid w:val="5D7D39E7"/>
    <w:rsid w:val="5DA04108"/>
    <w:rsid w:val="5E6E09D0"/>
    <w:rsid w:val="5EB66460"/>
    <w:rsid w:val="5F6F0E24"/>
    <w:rsid w:val="5F7C7776"/>
    <w:rsid w:val="605E6180"/>
    <w:rsid w:val="606D25B0"/>
    <w:rsid w:val="617B7B07"/>
    <w:rsid w:val="619B20E5"/>
    <w:rsid w:val="61B87609"/>
    <w:rsid w:val="61D37011"/>
    <w:rsid w:val="63141A74"/>
    <w:rsid w:val="637E696F"/>
    <w:rsid w:val="64295E42"/>
    <w:rsid w:val="650C4BD4"/>
    <w:rsid w:val="654B4D3E"/>
    <w:rsid w:val="65FB59E3"/>
    <w:rsid w:val="660434EC"/>
    <w:rsid w:val="67027BAA"/>
    <w:rsid w:val="67035B8E"/>
    <w:rsid w:val="67492480"/>
    <w:rsid w:val="67DD1DA1"/>
    <w:rsid w:val="680E287B"/>
    <w:rsid w:val="68D4038F"/>
    <w:rsid w:val="69170119"/>
    <w:rsid w:val="69A30E21"/>
    <w:rsid w:val="6A632919"/>
    <w:rsid w:val="6A84055E"/>
    <w:rsid w:val="6AD21273"/>
    <w:rsid w:val="6BB901C2"/>
    <w:rsid w:val="6CAD32D2"/>
    <w:rsid w:val="6D0C3BB5"/>
    <w:rsid w:val="6D2F76D1"/>
    <w:rsid w:val="6D9018A4"/>
    <w:rsid w:val="6E1B6D8D"/>
    <w:rsid w:val="6E597A7A"/>
    <w:rsid w:val="6F4A172C"/>
    <w:rsid w:val="6FBE3414"/>
    <w:rsid w:val="72AD32F9"/>
    <w:rsid w:val="72EE5E3E"/>
    <w:rsid w:val="73A8434F"/>
    <w:rsid w:val="74132DC3"/>
    <w:rsid w:val="74701065"/>
    <w:rsid w:val="74BE670B"/>
    <w:rsid w:val="75106734"/>
    <w:rsid w:val="751508F4"/>
    <w:rsid w:val="751975AF"/>
    <w:rsid w:val="755A63B4"/>
    <w:rsid w:val="75864917"/>
    <w:rsid w:val="75A22C11"/>
    <w:rsid w:val="764269C5"/>
    <w:rsid w:val="76A1400B"/>
    <w:rsid w:val="77356731"/>
    <w:rsid w:val="775A6224"/>
    <w:rsid w:val="778B51DA"/>
    <w:rsid w:val="78165693"/>
    <w:rsid w:val="78312A96"/>
    <w:rsid w:val="78D435AA"/>
    <w:rsid w:val="78F817E4"/>
    <w:rsid w:val="7943700F"/>
    <w:rsid w:val="7A734913"/>
    <w:rsid w:val="7A7B15DD"/>
    <w:rsid w:val="7AAD518C"/>
    <w:rsid w:val="7AD3201E"/>
    <w:rsid w:val="7B8B0FF4"/>
    <w:rsid w:val="7CC844A3"/>
    <w:rsid w:val="7D830855"/>
    <w:rsid w:val="7D910439"/>
    <w:rsid w:val="7DBE67E3"/>
    <w:rsid w:val="7E111751"/>
    <w:rsid w:val="7E116F68"/>
    <w:rsid w:val="7E444DDC"/>
    <w:rsid w:val="7ECB6AB6"/>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link w:val="22"/>
    <w:qFormat/>
    <w:uiPriority w:val="0"/>
    <w:pPr>
      <w:spacing w:after="120"/>
      <w:ind w:left="420" w:leftChars="200"/>
    </w:pPr>
  </w:style>
  <w:style w:type="paragraph" w:styleId="4">
    <w:name w:val="annotation text"/>
    <w:basedOn w:val="1"/>
    <w:link w:val="21"/>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Date"/>
    <w:basedOn w:val="1"/>
    <w:next w:val="1"/>
    <w:link w:val="23"/>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4"/>
    <w:semiHidden/>
    <w:qFormat/>
    <w:uiPriority w:val="99"/>
    <w:rPr>
      <w:kern w:val="2"/>
      <w:sz w:val="21"/>
      <w:szCs w:val="24"/>
    </w:rPr>
  </w:style>
  <w:style w:type="character" w:customStyle="1" w:styleId="22">
    <w:name w:val="正文文本缩进 字符"/>
    <w:link w:val="3"/>
    <w:qFormat/>
    <w:uiPriority w:val="0"/>
    <w:rPr>
      <w:kern w:val="2"/>
      <w:sz w:val="21"/>
      <w:szCs w:val="24"/>
    </w:rPr>
  </w:style>
  <w:style w:type="character" w:customStyle="1" w:styleId="23">
    <w:name w:val="日期 字符"/>
    <w:link w:val="6"/>
    <w:semiHidden/>
    <w:qFormat/>
    <w:uiPriority w:val="99"/>
    <w:rPr>
      <w:kern w:val="2"/>
      <w:sz w:val="21"/>
      <w:szCs w:val="24"/>
    </w:rPr>
  </w:style>
  <w:style w:type="character" w:customStyle="1" w:styleId="24">
    <w:name w:val="批注框文本 字符"/>
    <w:link w:val="7"/>
    <w:semiHidden/>
    <w:qFormat/>
    <w:uiPriority w:val="99"/>
    <w:rPr>
      <w:kern w:val="2"/>
      <w:sz w:val="18"/>
      <w:szCs w:val="18"/>
    </w:rPr>
  </w:style>
  <w:style w:type="character" w:customStyle="1" w:styleId="25">
    <w:name w:val="页脚 字符"/>
    <w:link w:val="8"/>
    <w:qFormat/>
    <w:uiPriority w:val="99"/>
    <w:rPr>
      <w:kern w:val="2"/>
      <w:sz w:val="18"/>
      <w:szCs w:val="18"/>
    </w:rPr>
  </w:style>
  <w:style w:type="character" w:customStyle="1" w:styleId="26">
    <w:name w:val="批注主题 字符"/>
    <w:link w:val="14"/>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15671</Words>
  <Characters>18435</Characters>
  <Lines>95</Lines>
  <Paragraphs>27</Paragraphs>
  <TotalTime>0</TotalTime>
  <ScaleCrop>false</ScaleCrop>
  <LinksUpToDate>false</LinksUpToDate>
  <CharactersWithSpaces>24265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2024-06-26T07:40:07Z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6094F6FAD01B48D48D79A68D5FC51831_13</vt:lpwstr>
  </property>
</Properties>
</file>