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left" w:pos="8640"/>
        </w:tabs>
        <w:ind w:left="360" w:firstLine="0" w:firstLineChars="0"/>
        <w:rPr>
          <w:color w:val="000000" w:themeColor="text1"/>
          <w:sz w:val="30"/>
          <w:szCs w:val="30"/>
          <w:highlight w:val="yellow"/>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项目名称：深圳会展中心美国吉尼高空作业平台</w:t>
      </w:r>
    </w:p>
    <w:p>
      <w:pPr>
        <w:spacing w:line="360" w:lineRule="auto"/>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 xml:space="preserve">          维修保养服务采购项目</w:t>
      </w:r>
    </w:p>
    <w:p>
      <w:pPr>
        <w:tabs>
          <w:tab w:val="left" w:pos="2127"/>
          <w:tab w:val="left" w:pos="2694"/>
        </w:tabs>
        <w:spacing w:line="360" w:lineRule="auto"/>
        <w:ind w:firstLine="2030" w:firstLineChars="632"/>
        <w:rPr>
          <w:rFonts w:ascii="宋体" w:hAnsi="宋体"/>
          <w:b/>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rPr>
          <w:rFonts w:hint="eastAsia"/>
        </w:rPr>
        <w:t xml:space="preserve"> </w:t>
      </w: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 xml:space="preserve">   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 xml:space="preserve">   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2年9月</w:t>
      </w:r>
      <w:r>
        <w:rPr>
          <w:rFonts w:ascii="方正小标宋_GBK" w:hAnsi="方正小标宋_GBK" w:eastAsia="方正小标宋_GBK" w:cs="方正小标宋_GBK"/>
          <w:b/>
          <w:sz w:val="32"/>
          <w:szCs w:val="32"/>
        </w:rPr>
        <w:br w:type="page"/>
      </w:r>
    </w:p>
    <w:p>
      <w:pPr>
        <w:pStyle w:val="8"/>
        <w:tabs>
          <w:tab w:val="right" w:leader="dot" w:pos="8306"/>
        </w:tabs>
        <w:spacing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8"/>
        <w:tabs>
          <w:tab w:val="right" w:leader="dot" w:pos="8296"/>
        </w:tabs>
        <w:rPr>
          <w:rFonts w:asciiTheme="minorHAnsi" w:hAnsiTheme="minorHAnsi" w:eastAsiaTheme="minorEastAsia" w:cstheme="minorBidi"/>
          <w:szCs w:val="22"/>
        </w:rPr>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"_Toc106791252" </w:instrText>
      </w:r>
      <w:r>
        <w:fldChar w:fldCharType="separate"/>
      </w:r>
      <w:r>
        <w:rPr>
          <w:rStyle w:val="18"/>
          <w:rFonts w:ascii="宋体" w:hAnsi="宋体"/>
          <w:b/>
        </w:rPr>
        <w:t>第一部分 项目要求</w:t>
      </w:r>
      <w:r>
        <w:tab/>
      </w:r>
      <w:r>
        <w:fldChar w:fldCharType="begin"/>
      </w:r>
      <w:r>
        <w:instrText xml:space="preserve"> PAGEREF _Toc106791252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"_Toc106791253" </w:instrText>
      </w:r>
      <w:r>
        <w:fldChar w:fldCharType="separate"/>
      </w:r>
      <w:r>
        <w:rPr>
          <w:rStyle w:val="18"/>
          <w:rFonts w:ascii="宋体" w:hAnsi="宋体" w:cs="仿宋"/>
          <w:bCs/>
        </w:rPr>
        <w:t>一、</w:t>
      </w:r>
      <w:r>
        <w:rPr>
          <w:rStyle w:val="18"/>
          <w:rFonts w:ascii="宋体" w:hAnsi="宋体"/>
        </w:rPr>
        <w:t>投标人须知</w:t>
      </w:r>
      <w:r>
        <w:tab/>
      </w:r>
      <w:r>
        <w:fldChar w:fldCharType="begin"/>
      </w:r>
      <w:r>
        <w:instrText xml:space="preserve"> PAGEREF _Toc106791253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"_Toc106791254" </w:instrText>
      </w:r>
      <w:r>
        <w:fldChar w:fldCharType="separate"/>
      </w:r>
      <w:r>
        <w:rPr>
          <w:rStyle w:val="18"/>
          <w:rFonts w:ascii="宋体" w:hAnsi="宋体" w:cs="仿宋"/>
          <w:bCs/>
        </w:rPr>
        <w:t>二、</w:t>
      </w:r>
      <w:r>
        <w:rPr>
          <w:rStyle w:val="18"/>
          <w:rFonts w:ascii="宋体" w:hAnsi="宋体"/>
        </w:rPr>
        <w:t>特别说明</w:t>
      </w:r>
      <w:r>
        <w:tab/>
      </w:r>
      <w:r>
        <w:fldChar w:fldCharType="begin"/>
      </w:r>
      <w:r>
        <w:instrText xml:space="preserve"> PAGEREF _Toc106791254 \h </w:instrText>
      </w:r>
      <w:r>
        <w:fldChar w:fldCharType="separate"/>
      </w:r>
      <w:r>
        <w:t>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"_Toc106791255" </w:instrText>
      </w:r>
      <w:r>
        <w:fldChar w:fldCharType="separate"/>
      </w:r>
      <w:r>
        <w:rPr>
          <w:rStyle w:val="18"/>
          <w:rFonts w:ascii="宋体" w:hAnsi="宋体" w:cs="仿宋"/>
          <w:bCs/>
        </w:rPr>
        <w:t>三、</w:t>
      </w:r>
      <w:r>
        <w:rPr>
          <w:rStyle w:val="18"/>
          <w:rFonts w:ascii="宋体" w:hAnsi="宋体"/>
        </w:rPr>
        <w:t>投标文件编制</w:t>
      </w:r>
      <w:r>
        <w:tab/>
      </w:r>
      <w:r>
        <w:fldChar w:fldCharType="begin"/>
      </w:r>
      <w:r>
        <w:instrText xml:space="preserve"> PAGEREF _Toc106791255 \h </w:instrText>
      </w:r>
      <w:r>
        <w:fldChar w:fldCharType="separate"/>
      </w:r>
      <w:r>
        <w:t>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"_Toc106791256" </w:instrText>
      </w:r>
      <w:r>
        <w:fldChar w:fldCharType="separate"/>
      </w:r>
      <w:r>
        <w:rPr>
          <w:rStyle w:val="18"/>
          <w:rFonts w:ascii="宋体" w:hAnsi="宋体" w:cs="仿宋"/>
          <w:bCs/>
        </w:rPr>
        <w:t>四、</w:t>
      </w:r>
      <w:r>
        <w:rPr>
          <w:rStyle w:val="18"/>
          <w:rFonts w:ascii="宋体" w:hAnsi="宋体"/>
        </w:rPr>
        <w:t>项目要求及数量</w:t>
      </w:r>
      <w:r>
        <w:tab/>
      </w:r>
      <w:r>
        <w:fldChar w:fldCharType="begin"/>
      </w:r>
      <w:r>
        <w:instrText xml:space="preserve"> PAGEREF _Toc106791256 \h </w:instrText>
      </w:r>
      <w:r>
        <w:fldChar w:fldCharType="separate"/>
      </w:r>
      <w:r>
        <w:t>4</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"_Toc106791257" </w:instrText>
      </w:r>
      <w:r>
        <w:fldChar w:fldCharType="separate"/>
      </w:r>
      <w:r>
        <w:rPr>
          <w:rStyle w:val="18"/>
          <w:rFonts w:ascii="宋体" w:hAnsi="宋体" w:cs="仿宋"/>
          <w:bCs/>
        </w:rPr>
        <w:t>五、</w:t>
      </w:r>
      <w:r>
        <w:rPr>
          <w:rStyle w:val="18"/>
          <w:rFonts w:ascii="宋体" w:hAnsi="宋体"/>
        </w:rPr>
        <w:t>其他项目说明资料</w:t>
      </w:r>
      <w:r>
        <w:tab/>
      </w:r>
      <w:r>
        <w:rPr>
          <w:rFonts w:hint="eastAsia"/>
        </w:rPr>
        <w:t>7</w:t>
      </w:r>
      <w:r>
        <w:rPr>
          <w:rFonts w:hint="eastAsia"/>
        </w:rP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"_Toc106791258" </w:instrText>
      </w:r>
      <w:r>
        <w:fldChar w:fldCharType="separate"/>
      </w:r>
      <w:r>
        <w:rPr>
          <w:rStyle w:val="18"/>
          <w:rFonts w:ascii="宋体" w:hAnsi="宋体"/>
          <w:b/>
        </w:rPr>
        <w:t>第二部分：开标评标流程</w:t>
      </w:r>
      <w:r>
        <w:tab/>
      </w:r>
      <w:r>
        <w:rPr>
          <w:rFonts w:hint="eastAsia"/>
        </w:rPr>
        <w:t>13</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"_Toc106791260" </w:instrText>
      </w:r>
      <w:r>
        <w:fldChar w:fldCharType="separate"/>
      </w:r>
      <w:r>
        <w:rPr>
          <w:rStyle w:val="18"/>
          <w:rFonts w:ascii="宋体" w:hAnsi="宋体" w:cs="仿宋"/>
          <w:bCs/>
        </w:rPr>
        <w:t>六、</w:t>
      </w:r>
      <w:r>
        <w:rPr>
          <w:rStyle w:val="18"/>
        </w:rPr>
        <w:t>开标阶段</w:t>
      </w:r>
      <w:r>
        <w:tab/>
      </w:r>
      <w:r>
        <w:rPr>
          <w:rFonts w:hint="eastAsia"/>
        </w:rPr>
        <w:t>13</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"_Toc106791261" </w:instrText>
      </w:r>
      <w:r>
        <w:fldChar w:fldCharType="separate"/>
      </w:r>
      <w:r>
        <w:rPr>
          <w:rStyle w:val="18"/>
          <w:rFonts w:ascii="宋体" w:hAnsi="宋体" w:cs="仿宋"/>
          <w:bCs/>
        </w:rPr>
        <w:t>七、</w:t>
      </w:r>
      <w:r>
        <w:rPr>
          <w:rStyle w:val="18"/>
        </w:rPr>
        <w:t>评标阶段</w:t>
      </w:r>
      <w:r>
        <w:tab/>
      </w:r>
      <w:r>
        <w:rPr>
          <w:rFonts w:hint="eastAsia"/>
        </w:rPr>
        <w:t>13</w:t>
      </w:r>
      <w:r>
        <w:rPr>
          <w:rFonts w:hint="eastAsia"/>
        </w:rP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"_Toc106791262" </w:instrText>
      </w:r>
      <w:r>
        <w:fldChar w:fldCharType="separate"/>
      </w:r>
      <w:r>
        <w:rPr>
          <w:rStyle w:val="18"/>
          <w:rFonts w:ascii="宋体" w:hAnsi="宋体"/>
          <w:b/>
        </w:rPr>
        <w:t>第三部分：评审办法</w:t>
      </w:r>
      <w:r>
        <w:tab/>
      </w:r>
      <w:r>
        <w:rPr>
          <w:rFonts w:hint="eastAsia"/>
        </w:rPr>
        <w:t>14</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"_Toc106791263" </w:instrText>
      </w:r>
      <w:r>
        <w:fldChar w:fldCharType="separate"/>
      </w:r>
      <w:r>
        <w:rPr>
          <w:rStyle w:val="18"/>
          <w:rFonts w:ascii="宋体" w:hAnsi="宋体" w:cs="仿宋"/>
          <w:bCs/>
        </w:rPr>
        <w:t>八、</w:t>
      </w:r>
      <w:r>
        <w:rPr>
          <w:rStyle w:val="18"/>
          <w:rFonts w:ascii="宋体" w:hAnsi="宋体"/>
          <w:bCs/>
        </w:rPr>
        <w:t xml:space="preserve"> 评审办法</w:t>
      </w:r>
      <w:r>
        <w:tab/>
      </w:r>
      <w:r>
        <w:rPr>
          <w:rFonts w:hint="eastAsia"/>
        </w:rPr>
        <w:t>14</w:t>
      </w:r>
      <w:r>
        <w:rPr>
          <w:rFonts w:hint="eastAsia"/>
        </w:rPr>
        <w:fldChar w:fldCharType="end"/>
      </w:r>
    </w:p>
    <w:p>
      <w:pPr>
        <w:pStyle w:val="4"/>
        <w:tabs>
          <w:tab w:val="right" w:leader="dot" w:pos="8296"/>
        </w:tabs>
        <w:ind w:left="0" w:leftChars="0" w:firstLine="420" w:firstLineChars="200"/>
        <w:rPr>
          <w:rFonts w:asciiTheme="minorHAnsi" w:hAnsiTheme="minorHAnsi" w:eastAsiaTheme="minorEastAsia" w:cstheme="minorBidi"/>
          <w:szCs w:val="22"/>
        </w:rPr>
      </w:pPr>
      <w:r>
        <w:fldChar w:fldCharType="begin"/>
      </w:r>
      <w:r>
        <w:instrText xml:space="preserve"> HYPERLINK \l "_Toc106791264" </w:instrText>
      </w:r>
      <w:r>
        <w:fldChar w:fldCharType="separate"/>
      </w:r>
      <w:r>
        <w:rPr>
          <w:rStyle w:val="18"/>
          <w:rFonts w:ascii="宋体" w:hAnsi="宋体"/>
        </w:rPr>
        <w:t>（一）</w:t>
      </w:r>
      <w:r>
        <w:rPr>
          <w:rStyle w:val="18"/>
          <w:rFonts w:ascii="宋体" w:hAnsi="宋体"/>
          <w:bCs/>
        </w:rPr>
        <w:t>符合性检查</w:t>
      </w:r>
      <w:r>
        <w:tab/>
      </w:r>
      <w:r>
        <w:rPr>
          <w:rFonts w:hint="eastAsia"/>
        </w:rPr>
        <w:t>14</w:t>
      </w:r>
      <w:r>
        <w:rPr>
          <w:rFonts w:hint="eastAsia"/>
        </w:rPr>
        <w:fldChar w:fldCharType="end"/>
      </w:r>
    </w:p>
    <w:p>
      <w:pPr>
        <w:pStyle w:val="4"/>
        <w:tabs>
          <w:tab w:val="right" w:leader="dot" w:pos="8296"/>
        </w:tabs>
        <w:ind w:left="0" w:leftChars="0" w:firstLine="420" w:firstLineChars="200"/>
        <w:rPr>
          <w:rFonts w:asciiTheme="minorHAnsi" w:hAnsiTheme="minorHAnsi" w:eastAsiaTheme="minorEastAsia" w:cstheme="minorBidi"/>
          <w:szCs w:val="22"/>
        </w:rPr>
      </w:pPr>
      <w:r>
        <w:fldChar w:fldCharType="begin"/>
      </w:r>
      <w:r>
        <w:instrText xml:space="preserve"> HYPERLINK \l "_Toc106791265" </w:instrText>
      </w:r>
      <w:r>
        <w:fldChar w:fldCharType="separate"/>
      </w:r>
      <w:r>
        <w:rPr>
          <w:rStyle w:val="18"/>
          <w:rFonts w:ascii="宋体" w:hAnsi="宋体"/>
          <w:bCs/>
        </w:rPr>
        <w:t>（二）综合评议指标表</w:t>
      </w:r>
      <w:r>
        <w:tab/>
      </w:r>
      <w:r>
        <w:fldChar w:fldCharType="begin"/>
      </w:r>
      <w:r>
        <w:instrText xml:space="preserve"> PAGEREF _Toc106791265 \h </w:instrText>
      </w:r>
      <w:r>
        <w:fldChar w:fldCharType="separate"/>
      </w:r>
      <w:r>
        <w:t>1</w:t>
      </w:r>
      <w:r>
        <w:rPr>
          <w:rFonts w:hint="eastAsia"/>
        </w:rPr>
        <w:t>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"_Toc106791266" </w:instrText>
      </w:r>
      <w:r>
        <w:fldChar w:fldCharType="separate"/>
      </w:r>
      <w:r>
        <w:rPr>
          <w:rStyle w:val="18"/>
          <w:rFonts w:ascii="宋体" w:hAnsi="宋体"/>
          <w:b/>
        </w:rPr>
        <w:t>第四部分：合同条款及格式</w:t>
      </w:r>
      <w:r>
        <w:tab/>
      </w:r>
      <w:r>
        <w:rPr>
          <w:rFonts w:hint="eastAsia"/>
        </w:rPr>
        <w:t>17</w:t>
      </w:r>
      <w:r>
        <w:rPr>
          <w:rFonts w:hint="eastAsia"/>
        </w:rP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"_Toc106791267" </w:instrText>
      </w:r>
      <w:r>
        <w:fldChar w:fldCharType="separate"/>
      </w:r>
      <w:r>
        <w:rPr>
          <w:rStyle w:val="18"/>
          <w:b/>
        </w:rPr>
        <w:t>第五部分：参考附件</w:t>
      </w:r>
      <w:r>
        <w:tab/>
      </w:r>
      <w:r>
        <w:rPr>
          <w:rFonts w:hint="eastAsia"/>
        </w:rPr>
        <w:t>23</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"_Toc106791268" </w:instrText>
      </w:r>
      <w:r>
        <w:fldChar w:fldCharType="separate"/>
      </w:r>
      <w:r>
        <w:rPr>
          <w:rStyle w:val="18"/>
          <w:rFonts w:ascii="宋体" w:hAnsi="宋体"/>
        </w:rPr>
        <w:t>附件1：报名回函</w:t>
      </w:r>
      <w:r>
        <w:tab/>
      </w:r>
      <w:r>
        <w:rPr>
          <w:rFonts w:hint="eastAsia"/>
        </w:rPr>
        <w:t>23</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"_Toc106791269" </w:instrText>
      </w:r>
      <w:r>
        <w:fldChar w:fldCharType="separate"/>
      </w:r>
      <w:r>
        <w:rPr>
          <w:rStyle w:val="18"/>
          <w:rFonts w:ascii="宋体" w:hAnsi="宋体"/>
        </w:rPr>
        <w:t>附件2：投标函</w:t>
      </w:r>
      <w:r>
        <w:tab/>
      </w:r>
      <w:r>
        <w:rPr>
          <w:rFonts w:hint="eastAsia"/>
        </w:rPr>
        <w:t>24</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"_Toc106791270" </w:instrText>
      </w:r>
      <w:r>
        <w:fldChar w:fldCharType="separate"/>
      </w:r>
      <w:r>
        <w:rPr>
          <w:rStyle w:val="18"/>
          <w:rFonts w:ascii="宋体" w:hAnsi="宋体"/>
        </w:rPr>
        <w:t>附件3：投标一览表</w:t>
      </w:r>
      <w:r>
        <w:tab/>
      </w:r>
      <w:r>
        <w:rPr>
          <w:rFonts w:hint="eastAsia"/>
        </w:rPr>
        <w:t>25</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"_Toc106791271" </w:instrText>
      </w:r>
      <w:r>
        <w:fldChar w:fldCharType="separate"/>
      </w:r>
      <w:r>
        <w:rPr>
          <w:rStyle w:val="18"/>
          <w:rFonts w:ascii="宋体" w:hAnsi="宋体"/>
        </w:rPr>
        <w:t>附件4：考察证明</w:t>
      </w:r>
      <w:r>
        <w:tab/>
      </w:r>
      <w:r>
        <w:rPr>
          <w:rFonts w:hint="eastAsia"/>
        </w:rPr>
        <w:t>26</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"_Toc106791272" </w:instrText>
      </w:r>
      <w:r>
        <w:fldChar w:fldCharType="separate"/>
      </w:r>
      <w:r>
        <w:rPr>
          <w:rStyle w:val="18"/>
          <w:rFonts w:ascii="宋体" w:hAnsi="宋体"/>
        </w:rPr>
        <w:t>附件5：技术服务响应/偏离表</w:t>
      </w:r>
      <w:r>
        <w:tab/>
      </w:r>
      <w:r>
        <w:rPr>
          <w:rFonts w:hint="eastAsia"/>
        </w:rPr>
        <w:t>27</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"_Toc106791273" </w:instrText>
      </w:r>
      <w:r>
        <w:fldChar w:fldCharType="separate"/>
      </w:r>
      <w:r>
        <w:rPr>
          <w:rStyle w:val="18"/>
          <w:rFonts w:ascii="宋体" w:hAnsi="宋体"/>
        </w:rPr>
        <w:t>附件6：商务条款响应/偏离表</w:t>
      </w:r>
      <w:r>
        <w:tab/>
      </w:r>
      <w:r>
        <w:rPr>
          <w:rFonts w:hint="eastAsia"/>
        </w:rPr>
        <w:t>28</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"_Toc106791274" </w:instrText>
      </w:r>
      <w:r>
        <w:fldChar w:fldCharType="separate"/>
      </w:r>
      <w:r>
        <w:rPr>
          <w:rStyle w:val="18"/>
          <w:rFonts w:ascii="宋体" w:hAnsi="宋体"/>
        </w:rPr>
        <w:t>附件7：报价一览表（货物）（本项目不适用）</w:t>
      </w:r>
      <w:r>
        <w:tab/>
      </w:r>
      <w:r>
        <w:rPr>
          <w:rFonts w:hint="eastAsia"/>
        </w:rPr>
        <w:t>29</w:t>
      </w:r>
      <w:r>
        <w:rPr>
          <w:rFonts w:hint="eastAsia"/>
        </w:rPr>
        <w:fldChar w:fldCharType="end"/>
      </w:r>
    </w:p>
    <w:p>
      <w:pPr>
        <w:pStyle w:val="10"/>
        <w:tabs>
          <w:tab w:val="right" w:leader="dot" w:pos="8296"/>
        </w:tabs>
        <w:rPr>
          <w:rFonts w:asciiTheme="minorHAnsi" w:hAnsiTheme="minorHAnsi" w:eastAsiaTheme="minorEastAsia" w:cstheme="minorBidi"/>
          <w:szCs w:val="22"/>
        </w:rPr>
      </w:pPr>
      <w:r>
        <w:rPr>
          <w:rFonts w:hint="eastAsia"/>
        </w:rPr>
        <w:fldChar w:fldCharType="begin"/>
      </w:r>
      <w:r>
        <w:instrText xml:space="preserve"> HYPERLINK \l "_Toc106791275" </w:instrText>
      </w:r>
      <w:r>
        <w:rPr>
          <w:rFonts w:hint="eastAsia"/>
        </w:rPr>
        <w:fldChar w:fldCharType="separate"/>
      </w:r>
      <w:r>
        <w:rPr>
          <w:rStyle w:val="18"/>
          <w:rFonts w:ascii="宋体" w:hAnsi="宋体"/>
        </w:rPr>
        <w:t>附件8：报价一览表（服务）</w:t>
      </w:r>
      <w:r>
        <w:tab/>
      </w:r>
      <w:r>
        <w:rPr>
          <w:rFonts w:hint="eastAsia"/>
        </w:rPr>
        <w:t>30</w:t>
      </w:r>
      <w:r>
        <w:rPr>
          <w:rFonts w:hint="eastAsia"/>
        </w:rPr>
        <w:fldChar w:fldCharType="end"/>
      </w:r>
    </w:p>
    <w:p>
      <w:pPr>
        <w:pStyle w:val="10"/>
        <w:tabs>
          <w:tab w:val="right" w:leader="dot" w:pos="8296"/>
        </w:tabs>
        <w:rPr>
          <w:rFonts w:asciiTheme="minorHAnsi" w:hAnsiTheme="minorHAnsi" w:eastAsiaTheme="minorEastAsia" w:cstheme="minorBidi"/>
          <w:szCs w:val="22"/>
        </w:rPr>
      </w:pPr>
      <w:r>
        <w:rPr>
          <w:rFonts w:hint="eastAsia"/>
        </w:rPr>
        <w:fldChar w:fldCharType="begin"/>
      </w:r>
      <w:r>
        <w:instrText xml:space="preserve"> HYPERLINK \l "_Toc106791276" </w:instrText>
      </w:r>
      <w:r>
        <w:rPr>
          <w:rFonts w:hint="eastAsia"/>
        </w:rPr>
        <w:fldChar w:fldCharType="separate"/>
      </w:r>
      <w:r>
        <w:rPr>
          <w:rStyle w:val="18"/>
          <w:rFonts w:ascii="宋体" w:hAnsi="宋体"/>
        </w:rPr>
        <w:t>附件9：报价一览表（工程）（本项目不适用）</w:t>
      </w:r>
      <w:r>
        <w:tab/>
      </w:r>
      <w:r>
        <w:rPr>
          <w:rFonts w:hint="eastAsia"/>
        </w:rPr>
        <w:t>31</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"_Toc106791277" </w:instrText>
      </w:r>
      <w:r>
        <w:fldChar w:fldCharType="separate"/>
      </w:r>
      <w:r>
        <w:rPr>
          <w:rStyle w:val="18"/>
          <w:rFonts w:ascii="宋体" w:hAnsi="宋体"/>
        </w:rPr>
        <w:t>附件10：法定代表人证明书</w:t>
      </w:r>
      <w:r>
        <w:tab/>
      </w:r>
      <w:r>
        <w:rPr>
          <w:rFonts w:hint="eastAsia"/>
        </w:rPr>
        <w:t>32</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"_Toc106791278" </w:instrText>
      </w:r>
      <w:r>
        <w:fldChar w:fldCharType="separate"/>
      </w:r>
      <w:r>
        <w:rPr>
          <w:rStyle w:val="18"/>
          <w:rFonts w:ascii="宋体" w:hAnsi="宋体"/>
        </w:rPr>
        <w:t>附件11：法人授权委托证明书</w:t>
      </w:r>
      <w:r>
        <w:tab/>
      </w:r>
      <w:r>
        <w:rPr>
          <w:rFonts w:hint="eastAsia"/>
        </w:rPr>
        <w:t>33</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"_Toc106791279" </w:instrText>
      </w:r>
      <w:r>
        <w:fldChar w:fldCharType="separate"/>
      </w:r>
      <w:r>
        <w:rPr>
          <w:rStyle w:val="18"/>
          <w:rFonts w:ascii="宋体" w:hAnsi="宋体"/>
        </w:rPr>
        <w:t>附件12：经营业绩一览表</w:t>
      </w:r>
      <w:r>
        <w:tab/>
      </w:r>
      <w:r>
        <w:rPr>
          <w:rFonts w:hint="eastAsia"/>
        </w:rPr>
        <w:t>34</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"_Toc106791280" </w:instrText>
      </w:r>
      <w:r>
        <w:fldChar w:fldCharType="separate"/>
      </w:r>
      <w:r>
        <w:rPr>
          <w:rStyle w:val="18"/>
          <w:rFonts w:ascii="宋体" w:hAnsi="宋体"/>
        </w:rPr>
        <w:t>附件13：售后服务承诺书（质量保证服务承诺书）</w:t>
      </w:r>
      <w:r>
        <w:tab/>
      </w:r>
      <w:r>
        <w:rPr>
          <w:rFonts w:hint="eastAsia"/>
        </w:rPr>
        <w:t>35</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"_Toc106791281" </w:instrText>
      </w:r>
      <w:r>
        <w:fldChar w:fldCharType="separate"/>
      </w:r>
      <w:r>
        <w:rPr>
          <w:rStyle w:val="18"/>
          <w:rFonts w:ascii="宋体" w:hAnsi="宋体"/>
        </w:rPr>
        <w:t>附件14：履约情况及社会信誉承诺书</w:t>
      </w:r>
      <w:r>
        <w:tab/>
      </w:r>
      <w:r>
        <w:rPr>
          <w:rFonts w:hint="eastAsia"/>
        </w:rPr>
        <w:t>36</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"_Toc106791282" </w:instrText>
      </w:r>
      <w:r>
        <w:fldChar w:fldCharType="separate"/>
      </w:r>
      <w:r>
        <w:rPr>
          <w:rStyle w:val="18"/>
          <w:rFonts w:ascii="宋体" w:hAnsi="宋体"/>
        </w:rPr>
        <w:t>附件15：投标文件密码单</w:t>
      </w:r>
      <w:r>
        <w:tab/>
      </w:r>
      <w:r>
        <w:rPr>
          <w:rFonts w:hint="eastAsia"/>
        </w:rPr>
        <w:t>37</w:t>
      </w:r>
      <w:r>
        <w:rPr>
          <w:rFonts w:hint="eastAsia"/>
        </w:rP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106791252"/>
      <w:r>
        <w:rPr>
          <w:rFonts w:hint="eastAsia" w:ascii="宋体" w:hAnsi="宋体"/>
          <w:b/>
          <w:sz w:val="32"/>
          <w:szCs w:val="32"/>
        </w:rPr>
        <w:t>第一部分 项目要求</w:t>
      </w:r>
      <w:bookmarkEnd w:id="0"/>
    </w:p>
    <w:p>
      <w:pPr>
        <w:numPr>
          <w:ilvl w:val="0"/>
          <w:numId w:val="1"/>
        </w:numPr>
        <w:spacing w:beforeLines="50" w:line="360" w:lineRule="auto"/>
        <w:outlineLvl w:val="1"/>
        <w:rPr>
          <w:rFonts w:ascii="宋体" w:hAnsi="宋体"/>
          <w:b/>
          <w:szCs w:val="21"/>
        </w:rPr>
      </w:pPr>
      <w:bookmarkStart w:id="1" w:name="_Toc106791253"/>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4"/>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联系人：刘工</w:t>
            </w:r>
          </w:p>
          <w:p>
            <w:pPr>
              <w:wordWrap w:val="0"/>
              <w:autoSpaceDE w:val="0"/>
              <w:autoSpaceDN w:val="0"/>
              <w:adjustRightInd w:val="0"/>
              <w:snapToGrid w:val="0"/>
              <w:rPr>
                <w:rFonts w:ascii="宋体" w:hAnsi="宋体"/>
                <w:szCs w:val="21"/>
              </w:rPr>
            </w:pPr>
            <w:r>
              <w:rPr>
                <w:rFonts w:hint="eastAsia" w:ascii="宋体" w:hAnsi="宋体"/>
                <w:szCs w:val="21"/>
              </w:rPr>
              <w:t>电话：0755-82848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szCs w:val="21"/>
              </w:rPr>
            </w:pPr>
            <w:r>
              <w:rPr>
                <w:rFonts w:hint="eastAsia" w:ascii="宋体" w:hAnsi="宋体"/>
                <w:szCs w:val="21"/>
              </w:rPr>
              <w:t>传真：0755-82848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邮箱：liuxh@chtf.com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深圳会展中心美国吉尼高空作业平台维修保养服务采购项目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autoSpaceDE w:val="0"/>
              <w:autoSpaceDN w:val="0"/>
              <w:adjustRightInd w:val="0"/>
              <w:snapToGrid w:val="0"/>
              <w:rPr>
                <w:rFonts w:ascii="宋体" w:hAnsi="宋体"/>
                <w:i/>
                <w:color w:val="FF0000"/>
                <w:szCs w:val="21"/>
                <w:highlight w:val="yellow"/>
              </w:rPr>
            </w:pPr>
            <w:r>
              <w:rPr>
                <w:rFonts w:ascii="宋体" w:hAnsi="宋体" w:cs="宋体"/>
                <w:bCs/>
                <w:szCs w:val="21"/>
              </w:rPr>
              <w:t>为保障深圳会展中心</w:t>
            </w:r>
            <w:r>
              <w:rPr>
                <w:rFonts w:hint="eastAsia" w:ascii="宋体" w:hAnsi="宋体" w:cs="宋体"/>
                <w:bCs/>
                <w:szCs w:val="21"/>
              </w:rPr>
              <w:t>美国吉尼高空作业平台</w:t>
            </w:r>
            <w:r>
              <w:rPr>
                <w:rFonts w:ascii="宋体" w:hAnsi="宋体" w:cs="宋体"/>
                <w:bCs/>
                <w:szCs w:val="21"/>
              </w:rPr>
              <w:t>设备安全正常运行和展会</w:t>
            </w:r>
            <w:r>
              <w:rPr>
                <w:rFonts w:hint="eastAsia" w:ascii="宋体" w:hAnsi="宋体" w:cs="宋体"/>
                <w:bCs/>
                <w:szCs w:val="21"/>
              </w:rPr>
              <w:t>悬挂</w:t>
            </w:r>
            <w:r>
              <w:rPr>
                <w:rFonts w:ascii="宋体" w:hAnsi="宋体" w:cs="宋体"/>
                <w:bCs/>
                <w:szCs w:val="21"/>
              </w:rPr>
              <w:t>工作任务的顺利完成，现招标人拟采用</w:t>
            </w:r>
            <w:r>
              <w:rPr>
                <w:rFonts w:hint="eastAsia" w:ascii="宋体" w:hAnsi="宋体" w:cs="宋体"/>
                <w:bCs/>
                <w:szCs w:val="21"/>
              </w:rPr>
              <w:t>公开招标</w:t>
            </w:r>
            <w:r>
              <w:rPr>
                <w:rFonts w:ascii="宋体" w:hAnsi="宋体" w:cs="宋体"/>
                <w:bCs/>
                <w:szCs w:val="21"/>
              </w:rPr>
              <w:t>方式择优选定该项目合作单位，项目具体内容及要求详见</w:t>
            </w:r>
            <w:r>
              <w:rPr>
                <w:rFonts w:hint="eastAsia" w:ascii="宋体" w:hAnsi="宋体" w:cs="宋体"/>
                <w:bCs/>
                <w:szCs w:val="21"/>
              </w:rPr>
              <w:t>项目需求</w:t>
            </w:r>
            <w:r>
              <w:rPr>
                <w:rFonts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深圳会展中心管理有限责任公司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服务期</w:t>
            </w:r>
            <w:r>
              <w:rPr>
                <w:rFonts w:ascii="宋体" w:hAnsi="宋体"/>
                <w:szCs w:val="21"/>
              </w:rPr>
              <w:t>/</w:t>
            </w:r>
            <w:r>
              <w:rPr>
                <w:rFonts w:hint="eastAsia" w:ascii="宋体" w:hAnsi="宋体"/>
                <w:szCs w:val="21"/>
              </w:rPr>
              <w:t>交货期/工期</w:t>
            </w:r>
          </w:p>
        </w:tc>
        <w:tc>
          <w:tcPr>
            <w:tcW w:w="7029" w:type="dxa"/>
            <w:vAlign w:val="center"/>
          </w:tcPr>
          <w:p>
            <w:pPr>
              <w:autoSpaceDE w:val="0"/>
              <w:autoSpaceDN w:val="0"/>
              <w:adjustRightInd w:val="0"/>
              <w:snapToGrid w:val="0"/>
              <w:rPr>
                <w:rFonts w:ascii="宋体" w:hAnsi="宋体"/>
                <w:szCs w:val="21"/>
                <w:highlight w:val="yellow"/>
              </w:rPr>
            </w:pPr>
            <w:r>
              <w:rPr>
                <w:rFonts w:ascii="宋体" w:hAnsi="宋体"/>
                <w:szCs w:val="21"/>
              </w:rPr>
              <w:t>1095</w:t>
            </w:r>
            <w:r>
              <w:rPr>
                <w:rFonts w:hint="eastAsia" w:ascii="宋体" w:hAnsi="宋体"/>
                <w:szCs w:val="21"/>
              </w:rPr>
              <w:t>天（合同服务期限三年，即3</w:t>
            </w:r>
            <w:r>
              <w:rPr>
                <w:rFonts w:ascii="宋体" w:hAnsi="宋体"/>
                <w:szCs w:val="21"/>
              </w:rPr>
              <w:t>6</w:t>
            </w:r>
            <w:r>
              <w:rPr>
                <w:rFonts w:hint="eastAsia" w:ascii="宋体" w:hAnsi="宋体"/>
                <w:szCs w:val="21"/>
              </w:rPr>
              <w:t>个月，采取</w:t>
            </w:r>
            <w:r>
              <w:rPr>
                <w:rFonts w:hint="eastAsia" w:ascii="宋体" w:hAnsi="宋体"/>
                <w:szCs w:val="21"/>
                <w:u w:val="single"/>
              </w:rPr>
              <w:t>1+1+1</w:t>
            </w:r>
            <w:r>
              <w:rPr>
                <w:rFonts w:hint="eastAsia" w:ascii="宋体" w:hAnsi="宋体"/>
                <w:szCs w:val="21"/>
              </w:rPr>
              <w:t>合同模式）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27</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30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Cs/>
                <w:color w:val="FF0000"/>
                <w:highlight w:val="yellow"/>
              </w:rPr>
              <w:t>https://cg.szcec.com/sharing/xRrnLxe9g，</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深圳会展中心官网采购公告栏目（</w:t>
            </w:r>
            <w:r>
              <w:fldChar w:fldCharType="begin"/>
            </w:r>
            <w:r>
              <w:instrText xml:space="preserve"> HYPERLINK "https://www.szcec.com/News/index/id/256.html" </w:instrText>
            </w:r>
            <w:r>
              <w:fldChar w:fldCharType="separate"/>
            </w:r>
            <w:r>
              <w:rPr>
                <w:rStyle w:val="18"/>
                <w:rFonts w:ascii="宋体" w:hAnsi="宋体"/>
                <w:szCs w:val="21"/>
              </w:rPr>
              <w:t>https://www.szcec.com/News/index/id/256.html</w:t>
            </w:r>
            <w:r>
              <w:rPr>
                <w:rStyle w:val="18"/>
                <w:rFonts w:ascii="宋体" w:hAnsi="宋体"/>
                <w:szCs w:val="21"/>
              </w:rPr>
              <w:fldChar w:fldCharType="end"/>
            </w:r>
            <w:r>
              <w:rPr>
                <w:rFonts w:hint="eastAsia" w:ascii="宋体" w:hAnsi="宋体"/>
                <w:szCs w:val="21"/>
              </w:rPr>
              <w:t>）下载。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10</w:t>
            </w:r>
            <w:r>
              <w:rPr>
                <w:rFonts w:ascii="宋体" w:hAnsi="宋体"/>
                <w:szCs w:val="21"/>
              </w:rPr>
              <w:t>-</w:t>
            </w:r>
            <w:r>
              <w:rPr>
                <w:rFonts w:hint="eastAsia" w:ascii="宋体" w:hAnsi="宋体"/>
                <w:szCs w:val="21"/>
                <w:lang w:val="en-US" w:eastAsia="zh-CN"/>
              </w:rPr>
              <w:t>9</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10</w:t>
            </w:r>
            <w:r>
              <w:rPr>
                <w:rFonts w:ascii="宋体" w:hAnsi="宋体"/>
                <w:szCs w:val="21"/>
              </w:rPr>
              <w:t>-</w:t>
            </w:r>
            <w:r>
              <w:rPr>
                <w:rFonts w:hint="eastAsia" w:ascii="宋体" w:hAnsi="宋体"/>
                <w:szCs w:val="21"/>
                <w:lang w:val="en-US" w:eastAsia="zh-CN"/>
              </w:rPr>
              <w:t>9</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10</w:t>
            </w:r>
            <w:r>
              <w:rPr>
                <w:rFonts w:ascii="宋体" w:hAnsi="宋体"/>
                <w:szCs w:val="21"/>
              </w:rPr>
              <w:t>-</w:t>
            </w:r>
            <w:r>
              <w:rPr>
                <w:rFonts w:hint="eastAsia" w:ascii="宋体" w:hAnsi="宋体"/>
                <w:szCs w:val="21"/>
                <w:lang w:val="en-US" w:eastAsia="zh-CN"/>
              </w:rPr>
              <w:t>10</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10</w:t>
            </w:r>
            <w:r>
              <w:rPr>
                <w:rFonts w:ascii="宋体" w:hAnsi="宋体"/>
                <w:szCs w:val="21"/>
              </w:rPr>
              <w:t>-</w:t>
            </w:r>
            <w:r>
              <w:rPr>
                <w:rFonts w:hint="eastAsia" w:ascii="宋体" w:hAnsi="宋体"/>
                <w:szCs w:val="21"/>
                <w:lang w:val="en-US" w:eastAsia="zh-CN"/>
              </w:rPr>
              <w:t>11</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加密形式上传至</w:t>
            </w:r>
            <w:r>
              <w:rPr>
                <w:rFonts w:hint="eastAsia" w:ascii="宋体" w:hAnsi="宋体"/>
                <w:bCs/>
                <w:color w:val="FF0000"/>
                <w:highlight w:val="yellow"/>
              </w:rPr>
              <w:t>https://cg.szcec.com/sharing/2a53yy5BZ，</w:t>
            </w:r>
            <w:r>
              <w:rPr>
                <w:rFonts w:hint="eastAsia" w:ascii="宋体" w:hAnsi="宋体"/>
                <w:szCs w:val="21"/>
              </w:rPr>
              <w:t>并致电确认</w:t>
            </w:r>
            <w:bookmarkStart w:id="2" w:name="_Toc478392822"/>
            <w:bookmarkStart w:id="3" w:name="_Toc478110532"/>
            <w:bookmarkStart w:id="4" w:name="_Toc478393187"/>
            <w:r>
              <w:rPr>
                <w:rFonts w:hint="eastAsia" w:ascii="宋体" w:hAnsi="宋体"/>
                <w:szCs w:val="21"/>
              </w:rPr>
              <w:t>。</w:t>
            </w:r>
            <w:r>
              <w:rPr>
                <w:rFonts w:hint="eastAsia" w:ascii="宋体" w:hAnsi="宋体"/>
              </w:rPr>
              <w:t>注意事项如下：</w:t>
            </w:r>
          </w:p>
          <w:p>
            <w:pPr>
              <w:pStyle w:val="22"/>
              <w:numPr>
                <w:ilvl w:val="0"/>
                <w:numId w:val="3"/>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为便于开标时的解密操作，投标文件（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b/>
                <w:bCs/>
                <w:color w:val="FF0000"/>
                <w:szCs w:val="21"/>
              </w:rPr>
              <w:t>建议</w:t>
            </w:r>
            <w:r>
              <w:rPr>
                <w:rFonts w:hint="eastAsia" w:ascii="宋体" w:hAnsi="宋体" w:eastAsia="宋体"/>
                <w:b/>
                <w:bCs/>
                <w:color w:val="FF0000"/>
                <w:szCs w:val="21"/>
              </w:rPr>
              <w:t>编制文件目录</w:t>
            </w:r>
            <w:r>
              <w:rPr>
                <w:rFonts w:hint="eastAsia" w:ascii="宋体" w:hAnsi="宋体" w:eastAsia="宋体"/>
                <w:szCs w:val="21"/>
              </w:rPr>
              <w:t>并采用</w:t>
            </w:r>
            <w:r>
              <w:rPr>
                <w:rFonts w:ascii="宋体" w:hAnsi="宋体" w:eastAsia="宋体"/>
                <w:szCs w:val="21"/>
              </w:rPr>
              <w:t>WinRAR</w:t>
            </w:r>
            <w:r>
              <w:rPr>
                <w:rFonts w:hint="eastAsia" w:ascii="宋体" w:hAnsi="宋体" w:eastAsia="宋体"/>
                <w:szCs w:val="21"/>
              </w:rPr>
              <w:t>或</w:t>
            </w:r>
            <w:r>
              <w:rPr>
                <w:rFonts w:ascii="宋体" w:hAnsi="宋体" w:eastAsia="宋体"/>
                <w:szCs w:val="21"/>
              </w:rPr>
              <w:t>WinZip</w:t>
            </w:r>
            <w:r>
              <w:rPr>
                <w:rFonts w:hint="eastAsia" w:ascii="宋体" w:hAnsi="宋体" w:eastAsia="宋体"/>
                <w:szCs w:val="21"/>
              </w:rPr>
              <w:t>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投标人授权代表须熟记文件密码，否则做废标处理。投标文件递交时间截止后，不再接受任何理由的撤回或重新提交文件请求。</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10</w:t>
            </w:r>
            <w:r>
              <w:rPr>
                <w:rFonts w:ascii="宋体" w:hAnsi="宋体"/>
                <w:szCs w:val="21"/>
              </w:rPr>
              <w:t>-</w:t>
            </w:r>
            <w:r>
              <w:rPr>
                <w:rFonts w:hint="eastAsia" w:ascii="宋体" w:hAnsi="宋体"/>
                <w:szCs w:val="21"/>
                <w:lang w:val="en-US" w:eastAsia="zh-CN"/>
              </w:rPr>
              <w:t>12</w:t>
            </w:r>
            <w:r>
              <w:rPr>
                <w:rFonts w:ascii="宋体" w:hAnsi="宋体"/>
                <w:szCs w:val="21"/>
              </w:rPr>
              <w:t xml:space="preserve"> </w:t>
            </w:r>
            <w:r>
              <w:rPr>
                <w:rFonts w:hint="eastAsia" w:ascii="宋体" w:hAnsi="宋体"/>
                <w:szCs w:val="21"/>
                <w:lang w:val="en-US" w:eastAsia="zh-CN"/>
              </w:rPr>
              <w:t>9</w:t>
            </w:r>
            <w:r>
              <w:rPr>
                <w:rFonts w:ascii="宋体" w:hAnsi="宋体"/>
                <w:szCs w:val="21"/>
              </w:rPr>
              <w:t>:</w:t>
            </w:r>
            <w:r>
              <w:rPr>
                <w:rFonts w:hint="eastAsia" w:ascii="宋体" w:hAnsi="宋体"/>
                <w:szCs w:val="21"/>
              </w:rPr>
              <w:t xml:space="preserve"> </w:t>
            </w:r>
            <w:r>
              <w:rPr>
                <w:rFonts w:hint="eastAsia" w:ascii="宋体" w:hAnsi="宋体"/>
                <w:szCs w:val="21"/>
                <w:lang w:val="en-US" w:eastAsia="zh-CN"/>
              </w:rPr>
              <w:t>30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腾讯会议</w:t>
            </w:r>
            <w:r>
              <w:rPr>
                <w:rFonts w:hint="eastAsia" w:ascii="宋体" w:hAnsi="宋体"/>
                <w:szCs w:val="21"/>
                <w:highlight w:val="none"/>
              </w:rPr>
              <w:t>号：</w:t>
            </w:r>
            <w:r>
              <w:rPr>
                <w:rFonts w:hint="eastAsia" w:ascii="宋体" w:hAnsi="宋体"/>
                <w:szCs w:val="21"/>
                <w:highlight w:val="none"/>
                <w:lang w:val="en-US" w:eastAsia="zh-CN"/>
              </w:rPr>
              <w:t>816207641</w:t>
            </w:r>
            <w:r>
              <w:rPr>
                <w:rFonts w:hint="eastAsia" w:ascii="宋体" w:hAnsi="宋体"/>
                <w:szCs w:val="21"/>
                <w:highlight w:val="none"/>
              </w:rPr>
              <w:t>（免密），</w:t>
            </w:r>
            <w:r>
              <w:rPr>
                <w:rFonts w:hint="eastAsia" w:ascii="宋体" w:hAnsi="宋体"/>
                <w:szCs w:val="21"/>
              </w:rPr>
              <w:t>届时请各投标人按采购公告要求准时提交投标文件及密码并参加在线开标。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投标文件密码</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在开标时按照招标人现场指令</w:t>
            </w:r>
            <w:r>
              <w:rPr>
                <w:rFonts w:hint="eastAsia" w:ascii="宋体" w:hAnsi="宋体"/>
              </w:rPr>
              <w:t>将投标文件解密密码（详见附件）上传至</w:t>
            </w:r>
            <w:r>
              <w:rPr>
                <w:rFonts w:hint="eastAsia" w:ascii="宋体" w:hAnsi="宋体"/>
                <w:bCs/>
                <w:color w:val="FF0000"/>
                <w:highlight w:val="yellow"/>
              </w:rPr>
              <w:t>https://cg.szcec.com/sharing/RkPXRafrR</w:t>
            </w:r>
            <w:r>
              <w:rPr>
                <w:rFonts w:hint="eastAsia" w:ascii="宋体" w:hAnsi="宋体"/>
                <w:szCs w:val="21"/>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是否接受</w:t>
            </w:r>
          </w:p>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color w:val="auto"/>
                <w:szCs w:val="21"/>
                <w:highlight w:val="none"/>
              </w:rPr>
            </w:pPr>
            <w:r>
              <w:rPr>
                <w:rFonts w:hint="eastAsia" w:ascii="宋体" w:hAnsi="宋体"/>
                <w:color w:val="auto"/>
                <w:kern w:val="0"/>
                <w:szCs w:val="21"/>
                <w:highlight w:val="none"/>
              </w:rPr>
              <w:sym w:font="Wingdings 2" w:char="0052"/>
            </w:r>
            <w:r>
              <w:rPr>
                <w:rFonts w:hint="eastAsia" w:ascii="宋体" w:hAnsi="宋体" w:cstheme="minorBidi"/>
                <w:color w:val="auto"/>
                <w:szCs w:val="21"/>
                <w:highlight w:val="none"/>
              </w:rPr>
              <w:t>不接受</w:t>
            </w:r>
          </w:p>
          <w:p>
            <w:pPr>
              <w:autoSpaceDE w:val="0"/>
              <w:autoSpaceDN w:val="0"/>
              <w:adjustRightInd w:val="0"/>
              <w:snapToGrid w:val="0"/>
              <w:rPr>
                <w:rFonts w:ascii="宋体" w:hAnsi="宋体"/>
                <w:color w:val="auto"/>
                <w:kern w:val="0"/>
                <w:szCs w:val="21"/>
                <w:highlight w:val="none"/>
              </w:rPr>
            </w:pPr>
            <w:r>
              <w:rPr>
                <w:rFonts w:hint="eastAsia" w:ascii="宋体" w:hAnsi="宋体" w:cstheme="minorBidi"/>
                <w:color w:val="auto"/>
                <w:szCs w:val="21"/>
                <w:highlight w:val="none"/>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10</w:t>
            </w:r>
          </w:p>
        </w:tc>
        <w:tc>
          <w:tcPr>
            <w:tcW w:w="1990" w:type="dxa"/>
            <w:vAlign w:val="center"/>
          </w:tcPr>
          <w:p>
            <w:pPr>
              <w:autoSpaceDE w:val="0"/>
              <w:autoSpaceDN w:val="0"/>
              <w:adjustRightInd w:val="0"/>
              <w:snapToGrid w:val="0"/>
              <w:jc w:val="center"/>
              <w:rPr>
                <w:rFonts w:ascii="宋体" w:hAnsi="宋体" w:cstheme="minorBidi"/>
                <w:color w:val="auto"/>
                <w:kern w:val="0"/>
                <w:szCs w:val="21"/>
                <w:highlight w:val="none"/>
              </w:rPr>
            </w:pPr>
            <w:r>
              <w:rPr>
                <w:rFonts w:hint="eastAsia" w:ascii="宋体" w:hAnsi="宋体" w:cstheme="minorBidi"/>
                <w:color w:val="auto"/>
                <w:kern w:val="0"/>
                <w:szCs w:val="21"/>
                <w:highlight w:val="none"/>
              </w:rPr>
              <w:t>现场踏勘</w:t>
            </w:r>
          </w:p>
        </w:tc>
        <w:tc>
          <w:tcPr>
            <w:tcW w:w="7029" w:type="dxa"/>
            <w:vAlign w:val="center"/>
          </w:tcPr>
          <w:p>
            <w:pPr>
              <w:numPr>
                <w:ilvl w:val="0"/>
                <w:numId w:val="4"/>
              </w:numPr>
              <w:tabs>
                <w:tab w:val="left" w:pos="281"/>
                <w:tab w:val="left" w:pos="541"/>
              </w:tabs>
              <w:snapToGrid w:val="0"/>
              <w:spacing w:afterLines="50"/>
              <w:ind w:left="420" w:hanging="420"/>
              <w:rPr>
                <w:rFonts w:ascii="宋体" w:hAnsi="宋体" w:cstheme="minorBidi"/>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theme="minorBidi"/>
                <w:color w:val="auto"/>
                <w:kern w:val="0"/>
                <w:szCs w:val="21"/>
                <w:highlight w:val="none"/>
              </w:rPr>
              <w:t>不组织。可在公开招标开始后至公开招标结束前自行踏勘。</w:t>
            </w:r>
          </w:p>
          <w:p>
            <w:pPr>
              <w:numPr>
                <w:ilvl w:val="0"/>
                <w:numId w:val="4"/>
              </w:numPr>
              <w:tabs>
                <w:tab w:val="left" w:pos="281"/>
                <w:tab w:val="left" w:pos="541"/>
              </w:tabs>
              <w:snapToGrid w:val="0"/>
              <w:spacing w:afterLines="50"/>
              <w:ind w:left="420" w:hanging="420"/>
              <w:rPr>
                <w:rFonts w:ascii="宋体" w:hAnsi="宋体" w:cstheme="minorBidi"/>
                <w:color w:val="auto"/>
                <w:kern w:val="0"/>
                <w:szCs w:val="21"/>
                <w:highlight w:val="none"/>
              </w:rPr>
            </w:pPr>
            <w:r>
              <w:rPr>
                <w:rFonts w:hint="eastAsia" w:ascii="宋体" w:hAnsi="宋体" w:cstheme="minorBidi"/>
                <w:color w:val="auto"/>
                <w:kern w:val="0"/>
                <w:szCs w:val="21"/>
                <w:highlight w:val="none"/>
              </w:rPr>
              <w:t>□组织，踏勘要求：</w:t>
            </w:r>
          </w:p>
          <w:p>
            <w:pPr>
              <w:pStyle w:val="22"/>
              <w:numPr>
                <w:ilvl w:val="0"/>
                <w:numId w:val="5"/>
              </w:numPr>
              <w:tabs>
                <w:tab w:val="left" w:pos="541"/>
              </w:tabs>
              <w:snapToGrid w:val="0"/>
              <w:ind w:left="805" w:hanging="227"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投标人是否必须参加：</w:t>
            </w:r>
          </w:p>
          <w:p>
            <w:pPr>
              <w:pStyle w:val="22"/>
              <w:tabs>
                <w:tab w:val="left" w:pos="541"/>
              </w:tabs>
              <w:snapToGrid w:val="0"/>
              <w:ind w:left="805" w:firstLine="8" w:firstLineChars="4"/>
              <w:rPr>
                <w:rFonts w:ascii="宋体" w:hAnsi="宋体" w:eastAsia="宋体"/>
                <w:color w:val="auto"/>
                <w:kern w:val="0"/>
                <w:szCs w:val="21"/>
                <w:highlight w:val="none"/>
              </w:rPr>
            </w:pPr>
            <w:r>
              <w:rPr>
                <w:rFonts w:hint="eastAsia" w:ascii="宋体" w:hAnsi="宋体" w:eastAsia="宋体"/>
                <w:color w:val="auto"/>
                <w:kern w:val="0"/>
                <w:szCs w:val="21"/>
                <w:highlight w:val="none"/>
              </w:rPr>
              <w:t>□是（若不参加，将因投标文件不完整导致失去本项目投标资格）</w:t>
            </w:r>
          </w:p>
          <w:p>
            <w:pPr>
              <w:pStyle w:val="22"/>
              <w:tabs>
                <w:tab w:val="left" w:pos="541"/>
              </w:tabs>
              <w:snapToGrid w:val="0"/>
              <w:spacing w:afterLines="50"/>
              <w:ind w:left="805" w:firstLine="8" w:firstLineChars="4"/>
              <w:rPr>
                <w:rFonts w:ascii="宋体" w:hAnsi="宋体" w:eastAsia="宋体"/>
                <w:color w:val="auto"/>
                <w:kern w:val="0"/>
                <w:szCs w:val="21"/>
                <w:highlight w:val="none"/>
              </w:rPr>
            </w:pPr>
            <w:r>
              <w:rPr>
                <w:rFonts w:hint="eastAsia" w:ascii="宋体" w:hAnsi="宋体" w:eastAsia="宋体"/>
                <w:color w:val="auto"/>
                <w:kern w:val="0"/>
                <w:szCs w:val="21"/>
                <w:highlight w:val="none"/>
              </w:rPr>
              <w:t>□否（可选择不参加，不影响投标资格但可能会产生不利后果）</w:t>
            </w:r>
          </w:p>
          <w:p>
            <w:pPr>
              <w:pStyle w:val="22"/>
              <w:numPr>
                <w:ilvl w:val="0"/>
                <w:numId w:val="6"/>
              </w:numPr>
              <w:tabs>
                <w:tab w:val="left" w:pos="541"/>
              </w:tabs>
              <w:snapToGrid w:val="0"/>
              <w:spacing w:afterLines="5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招标人定于202×-××-×× ××: ××邀请投标人人员察看现场并讲解项目需求；投标人应指派完全符合疫情防控要求的人员参加本项目的现场踏勘。</w:t>
            </w:r>
          </w:p>
          <w:p>
            <w:pPr>
              <w:pStyle w:val="22"/>
              <w:numPr>
                <w:ilvl w:val="0"/>
                <w:numId w:val="6"/>
              </w:numPr>
              <w:tabs>
                <w:tab w:val="left" w:pos="541"/>
              </w:tabs>
              <w:snapToGrid w:val="0"/>
              <w:spacing w:afterLines="5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投标人须持《现场考察证明》（格式见附件）参加现场踏勘，并在完成现场踏勘后交由招标人管理人员签字确认，并附于投标文件中。</w:t>
            </w:r>
          </w:p>
          <w:p>
            <w:pPr>
              <w:pStyle w:val="22"/>
              <w:numPr>
                <w:ilvl w:val="0"/>
                <w:numId w:val="6"/>
              </w:numPr>
              <w:tabs>
                <w:tab w:val="left" w:pos="541"/>
              </w:tabs>
              <w:snapToGrid w:val="0"/>
              <w:spacing w:afterLines="5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2"/>
              <w:numPr>
                <w:ilvl w:val="0"/>
                <w:numId w:val="6"/>
              </w:numPr>
              <w:tabs>
                <w:tab w:val="left" w:pos="541"/>
              </w:tabs>
              <w:snapToGrid w:val="0"/>
              <w:spacing w:afterLines="5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鉴</w:t>
            </w:r>
            <w:r>
              <w:rPr>
                <w:rFonts w:hint="eastAsia" w:ascii="宋体" w:hAnsi="宋体" w:eastAsia="宋体"/>
                <w:color w:val="auto"/>
                <w:kern w:val="0"/>
                <w:highlight w:val="none"/>
              </w:rPr>
              <w:t>于疫情防控要求，所有入场人员需持24小时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color w:val="auto"/>
                <w:kern w:val="0"/>
                <w:highlight w:val="none"/>
              </w:rPr>
              <w:t>（特别注意：各投标人不得指派属于</w:t>
            </w:r>
            <w:r>
              <w:rPr>
                <w:rFonts w:hint="eastAsia" w:ascii="宋体" w:hAnsi="宋体" w:eastAsia="宋体"/>
                <w:b/>
                <w:color w:val="auto"/>
                <w:kern w:val="0"/>
                <w:highlight w:val="none"/>
                <w:lang w:val="en-US" w:eastAsia="zh-CN"/>
              </w:rPr>
              <w:t>被划为防疫中、高风险地区</w:t>
            </w:r>
            <w:r>
              <w:rPr>
                <w:rFonts w:hint="eastAsia" w:ascii="宋体" w:hAnsi="宋体" w:eastAsia="宋体"/>
                <w:b/>
                <w:color w:val="auto"/>
                <w:kern w:val="0"/>
                <w:highlight w:val="none"/>
              </w:rPr>
              <w:t>人员作为本项目的踏勘人员）</w:t>
            </w:r>
          </w:p>
          <w:p>
            <w:pPr>
              <w:pStyle w:val="22"/>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踏勘联系人：×××</w:t>
            </w:r>
          </w:p>
          <w:p>
            <w:pPr>
              <w:pStyle w:val="22"/>
              <w:tabs>
                <w:tab w:val="left" w:pos="541"/>
              </w:tabs>
              <w:snapToGrid w:val="0"/>
              <w:ind w:left="805" w:firstLine="0"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电话：0755-8284××××，手机：XXXXX</w:t>
            </w:r>
          </w:p>
          <w:p>
            <w:pPr>
              <w:pStyle w:val="22"/>
              <w:tabs>
                <w:tab w:val="left" w:pos="541"/>
              </w:tabs>
              <w:snapToGrid w:val="0"/>
              <w:ind w:left="805" w:firstLine="0"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集合地点：××××××××××××××</w:t>
            </w:r>
          </w:p>
          <w:p>
            <w:pPr>
              <w:pStyle w:val="22"/>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履约</w:t>
            </w:r>
            <w:r>
              <w:rPr>
                <w:rFonts w:ascii="宋体" w:hAnsi="宋体"/>
                <w:color w:val="auto"/>
                <w:szCs w:val="21"/>
                <w:highlight w:val="none"/>
              </w:rPr>
              <w:t>保证金</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是否要求递交履约保证金：</w:t>
            </w:r>
            <w:r>
              <w:rPr>
                <w:rFonts w:ascii="宋体" w:hAnsi="宋体" w:cs="Segoe UI Symbol"/>
                <w:color w:val="auto"/>
                <w:kern w:val="0"/>
                <w:szCs w:val="21"/>
                <w:highlight w:val="none"/>
              </w:rPr>
              <w:t xml:space="preserve"> </w:t>
            </w:r>
          </w:p>
          <w:p>
            <w:pPr>
              <w:pStyle w:val="22"/>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52"/>
            </w:r>
            <w:r>
              <w:rPr>
                <w:rFonts w:hint="eastAsia" w:ascii="宋体" w:hAnsi="宋体" w:eastAsia="宋体" w:cs="Segoe UI Symbol"/>
                <w:color w:val="auto"/>
                <w:kern w:val="0"/>
                <w:szCs w:val="21"/>
                <w:highlight w:val="none"/>
              </w:rPr>
              <w:t>不要求</w:t>
            </w:r>
          </w:p>
          <w:p>
            <w:pPr>
              <w:pStyle w:val="22"/>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□要求</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履约保证金金额：人民币</w:t>
            </w:r>
            <w:r>
              <w:rPr>
                <w:rFonts w:hint="eastAsia" w:ascii="宋体" w:hAnsi="宋体" w:eastAsia="宋体" w:cs="Segoe UI Symbol"/>
                <w:color w:val="auto"/>
                <w:kern w:val="0"/>
                <w:szCs w:val="21"/>
                <w:highlight w:val="none"/>
                <w:u w:val="single"/>
              </w:rPr>
              <w:t xml:space="preserve"> </w:t>
            </w:r>
            <w:r>
              <w:rPr>
                <w:rFonts w:ascii="宋体" w:hAnsi="宋体" w:eastAsia="宋体" w:cs="Segoe UI Symbol"/>
                <w:color w:val="auto"/>
                <w:kern w:val="0"/>
                <w:szCs w:val="21"/>
                <w:highlight w:val="none"/>
                <w:u w:val="single"/>
              </w:rPr>
              <w:t>/</w:t>
            </w:r>
            <w:r>
              <w:rPr>
                <w:rFonts w:hint="eastAsia" w:ascii="宋体" w:hAnsi="宋体" w:eastAsia="宋体" w:cs="Segoe UI Symbol"/>
                <w:color w:val="auto"/>
                <w:kern w:val="0"/>
                <w:szCs w:val="21"/>
                <w:highlight w:val="none"/>
                <w:u w:val="single"/>
              </w:rPr>
              <w:t xml:space="preserve"> </w:t>
            </w:r>
            <w:r>
              <w:rPr>
                <w:rFonts w:hint="eastAsia" w:ascii="宋体" w:hAnsi="宋体" w:eastAsia="宋体" w:cs="Segoe UI Symbol"/>
                <w:color w:val="auto"/>
                <w:kern w:val="0"/>
                <w:szCs w:val="21"/>
                <w:highlight w:val="none"/>
              </w:rPr>
              <w:t>元</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□银行转账</w:t>
            </w:r>
            <w:r>
              <w:rPr>
                <w:rFonts w:ascii="宋体" w:hAnsi="宋体" w:eastAsia="宋体" w:cs="Segoe UI Symbol"/>
                <w:color w:val="auto"/>
                <w:kern w:val="0"/>
                <w:szCs w:val="21"/>
                <w:highlight w:val="none"/>
              </w:rPr>
              <w:t xml:space="preserve">  </w:t>
            </w:r>
            <w:r>
              <w:rPr>
                <w:rFonts w:hint="eastAsia" w:ascii="宋体" w:hAnsi="宋体" w:eastAsia="宋体" w:cs="Segoe UI Symbol"/>
                <w:color w:val="auto"/>
                <w:kern w:val="0"/>
                <w:szCs w:val="21"/>
                <w:highlight w:val="none"/>
              </w:rPr>
              <w:t>□现金</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投标人保证金</w:t>
            </w:r>
            <w:r>
              <w:rPr>
                <w:rFonts w:ascii="宋体" w:hAnsi="宋体" w:eastAsia="宋体" w:cs="Segoe UI Symbol"/>
                <w:color w:val="auto"/>
                <w:kern w:val="0"/>
                <w:szCs w:val="21"/>
                <w:highlight w:val="none"/>
              </w:rPr>
              <w:t>收款</w:t>
            </w:r>
            <w:r>
              <w:rPr>
                <w:rFonts w:hint="eastAsia" w:ascii="宋体" w:hAnsi="宋体" w:eastAsia="宋体" w:cs="Segoe UI Symbol"/>
                <w:color w:val="auto"/>
                <w:kern w:val="0"/>
                <w:szCs w:val="21"/>
                <w:highlight w:val="none"/>
              </w:rPr>
              <w:t>银行账户信息（选用“银行转账</w:t>
            </w:r>
            <w:r>
              <w:rPr>
                <w:rFonts w:ascii="宋体" w:hAnsi="宋体" w:eastAsia="宋体" w:cs="Segoe UI Symbol"/>
                <w:color w:val="auto"/>
                <w:kern w:val="0"/>
                <w:szCs w:val="21"/>
                <w:highlight w:val="none"/>
              </w:rPr>
              <w:t>”</w:t>
            </w:r>
            <w:r>
              <w:rPr>
                <w:rFonts w:hint="eastAsia" w:ascii="宋体" w:hAnsi="宋体" w:eastAsia="宋体" w:cs="Segoe UI Symbol"/>
                <w:color w:val="auto"/>
                <w:kern w:val="0"/>
                <w:szCs w:val="21"/>
                <w:highlight w:val="none"/>
              </w:rPr>
              <w:t>方式须填</w:t>
            </w:r>
            <w:r>
              <w:rPr>
                <w:rFonts w:ascii="宋体" w:hAnsi="宋体" w:eastAsia="宋体" w:cs="Segoe UI Symbol"/>
                <w:color w:val="auto"/>
                <w:kern w:val="0"/>
                <w:szCs w:val="21"/>
                <w:highlight w:val="none"/>
              </w:rPr>
              <w:t>）</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收款单位：</w:t>
            </w:r>
            <w:r>
              <w:rPr>
                <w:rFonts w:hint="eastAsia" w:ascii="宋体" w:hAnsi="宋体" w:cs="Segoe UI Symbol"/>
                <w:color w:val="auto"/>
                <w:kern w:val="0"/>
                <w:szCs w:val="21"/>
                <w:highlight w:val="none"/>
                <w:u w:val="single"/>
              </w:rPr>
              <w:t>深圳深圳会展中心管理有限责任公司</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开户银行：</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autoSpaceDE w:val="0"/>
              <w:autoSpaceDN w:val="0"/>
              <w:adjustRightInd w:val="0"/>
              <w:snapToGrid w:val="0"/>
              <w:ind w:left="819" w:leftChars="390" w:firstLine="1"/>
              <w:jc w:val="left"/>
              <w:rPr>
                <w:rFonts w:ascii="宋体" w:hAnsi="宋体" w:cs="Segoe UI Symbol"/>
                <w:color w:val="auto"/>
                <w:kern w:val="0"/>
                <w:szCs w:val="21"/>
                <w:highlight w:val="none"/>
                <w:u w:val="single"/>
              </w:rPr>
            </w:pPr>
            <w:r>
              <w:rPr>
                <w:rFonts w:hint="eastAsia" w:ascii="宋体" w:hAnsi="宋体" w:cs="Segoe UI Symbol"/>
                <w:color w:val="auto"/>
                <w:kern w:val="0"/>
                <w:szCs w:val="21"/>
                <w:highlight w:val="none"/>
              </w:rPr>
              <w:t>银行账号</w:t>
            </w:r>
            <w:r>
              <w:rPr>
                <w:rFonts w:ascii="宋体" w:hAnsi="宋体" w:cs="Segoe UI Symbol"/>
                <w:color w:val="auto"/>
                <w:kern w:val="0"/>
                <w:szCs w:val="21"/>
                <w:highlight w:val="none"/>
              </w:rPr>
              <w:t>：</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投标样品</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olor w:val="auto"/>
                <w:szCs w:val="21"/>
                <w:highlight w:val="none"/>
              </w:rPr>
              <w:t>不要求递交投标样品</w:t>
            </w:r>
          </w:p>
          <w:p>
            <w:pPr>
              <w:autoSpaceDE w:val="0"/>
              <w:autoSpaceDN w:val="0"/>
              <w:adjustRightInd w:val="0"/>
              <w:snapToGrid w:val="0"/>
              <w:jc w:val="left"/>
              <w:rPr>
                <w:rFonts w:ascii="宋体" w:hAnsi="宋体"/>
                <w:color w:val="auto"/>
                <w:szCs w:val="21"/>
                <w:highlight w:val="none"/>
                <w:u w:val="single"/>
              </w:rPr>
            </w:pPr>
            <w:r>
              <w:rPr>
                <w:rFonts w:hint="eastAsia" w:ascii="宋体" w:hAnsi="宋体"/>
                <w:color w:val="auto"/>
                <w:szCs w:val="21"/>
                <w:highlight w:val="none"/>
              </w:rPr>
              <w:t>□递交投标样品，具体要求：</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评标方法</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综合评分法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□最低价法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□其他：</w:t>
            </w:r>
            <w:r>
              <w:rPr>
                <w:rFonts w:hint="eastAsia" w:ascii="宋体" w:hAnsi="宋体" w:cs="Segoe UI Symbol"/>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c>
          <w:tcPr>
            <w:tcW w:w="1990" w:type="dxa"/>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推荐中标</w:t>
            </w:r>
          </w:p>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rPr>
              <w:t>候选人数量</w:t>
            </w:r>
          </w:p>
        </w:tc>
        <w:tc>
          <w:tcPr>
            <w:tcW w:w="7029" w:type="dxa"/>
            <w:vAlign w:val="center"/>
          </w:tcPr>
          <w:p>
            <w:pPr>
              <w:autoSpaceDE w:val="0"/>
              <w:autoSpaceDN w:val="0"/>
              <w:adjustRightInd w:val="0"/>
              <w:snapToGrid w:val="0"/>
              <w:rPr>
                <w:rFonts w:ascii="宋体" w:hAnsi="宋体" w:cs="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内部招标评标</w:t>
            </w:r>
            <w:r>
              <w:rPr>
                <w:rFonts w:ascii="宋体" w:hAnsi="宋体" w:cs="Segoe UI Symbol"/>
                <w:color w:val="auto"/>
                <w:kern w:val="0"/>
                <w:szCs w:val="21"/>
                <w:highlight w:val="none"/>
              </w:rPr>
              <w:t>小组推荐的中标候选人数</w:t>
            </w:r>
            <w:r>
              <w:rPr>
                <w:rFonts w:hint="eastAsia" w:ascii="宋体" w:hAnsi="宋体" w:cs="Segoe UI Symbol"/>
                <w:color w:val="auto"/>
                <w:kern w:val="0"/>
                <w:szCs w:val="21"/>
                <w:highlight w:val="none"/>
              </w:rPr>
              <w:t>：</w:t>
            </w:r>
            <w:r>
              <w:rPr>
                <w:rFonts w:hint="eastAsia" w:ascii="宋体" w:hAnsi="宋体" w:cs="Segoe UI Symbol"/>
                <w:color w:val="auto"/>
                <w:kern w:val="0"/>
                <w:szCs w:val="21"/>
                <w:highlight w:val="none"/>
                <w:u w:val="single"/>
              </w:rPr>
              <w:t xml:space="preserve">  1  个</w:t>
            </w:r>
            <w:r>
              <w:rPr>
                <w:rFonts w:hint="eastAsia" w:ascii="宋体" w:hAnsi="宋体" w:cs="Segoe UI Symbol"/>
                <w:color w:val="auto"/>
                <w:kern w:val="0"/>
                <w:szCs w:val="21"/>
                <w:highlight w:val="none"/>
              </w:rPr>
              <w:t>。</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w:t>
            </w:r>
            <w:r>
              <w:rPr>
                <w:rFonts w:hint="eastAsia" w:ascii="宋体" w:hAnsi="宋体" w:cs="宋体"/>
                <w:color w:val="auto"/>
                <w:szCs w:val="21"/>
                <w:highlight w:val="none"/>
              </w:rPr>
              <w:t>适用于采用</w:t>
            </w:r>
            <w:r>
              <w:rPr>
                <w:rFonts w:hint="eastAsia" w:ascii="宋体" w:hAnsi="宋体" w:cs="宋体"/>
                <w:b/>
                <w:bCs/>
                <w:color w:val="auto"/>
                <w:szCs w:val="21"/>
                <w:highlight w:val="none"/>
              </w:rPr>
              <w:t>综合评分法</w:t>
            </w:r>
            <w:r>
              <w:rPr>
                <w:rFonts w:hint="eastAsia" w:ascii="宋体" w:hAnsi="宋体" w:cs="宋体"/>
                <w:color w:val="auto"/>
                <w:szCs w:val="21"/>
                <w:highlight w:val="none"/>
              </w:rPr>
              <w:t>、</w:t>
            </w:r>
            <w:r>
              <w:rPr>
                <w:rFonts w:hint="eastAsia" w:ascii="宋体" w:hAnsi="宋体" w:cs="宋体"/>
                <w:b/>
                <w:bCs/>
                <w:color w:val="auto"/>
                <w:szCs w:val="21"/>
                <w:highlight w:val="none"/>
              </w:rPr>
              <w:t>最低价法</w:t>
            </w:r>
            <w:r>
              <w:rPr>
                <w:rFonts w:hint="eastAsia" w:ascii="宋体" w:hAnsi="宋体" w:cs="宋体"/>
                <w:bCs/>
                <w:color w:val="auto"/>
                <w:szCs w:val="21"/>
                <w:highlight w:val="none"/>
              </w:rPr>
              <w:t>）</w:t>
            </w:r>
          </w:p>
        </w:tc>
      </w:tr>
    </w:tbl>
    <w:p>
      <w:pPr>
        <w:numPr>
          <w:ilvl w:val="0"/>
          <w:numId w:val="1"/>
        </w:numPr>
        <w:spacing w:line="560" w:lineRule="exact"/>
        <w:outlineLvl w:val="1"/>
        <w:rPr>
          <w:rFonts w:ascii="宋体" w:hAnsi="宋体"/>
          <w:b/>
          <w:color w:val="auto"/>
          <w:szCs w:val="21"/>
          <w:highlight w:val="none"/>
        </w:rPr>
      </w:pPr>
      <w:bookmarkStart w:id="6" w:name="_Toc82685540"/>
      <w:bookmarkEnd w:id="6"/>
      <w:bookmarkStart w:id="7" w:name="_Toc82684589"/>
      <w:bookmarkEnd w:id="7"/>
      <w:bookmarkStart w:id="8" w:name="_Toc82685541"/>
      <w:bookmarkEnd w:id="8"/>
      <w:bookmarkStart w:id="9" w:name="_Toc82591928"/>
      <w:bookmarkEnd w:id="9"/>
      <w:bookmarkStart w:id="10" w:name="_Toc82684588"/>
      <w:bookmarkEnd w:id="10"/>
      <w:bookmarkStart w:id="11" w:name="_Toc82684705"/>
      <w:bookmarkEnd w:id="11"/>
      <w:bookmarkStart w:id="12" w:name="_Toc82591926"/>
      <w:bookmarkEnd w:id="12"/>
      <w:bookmarkStart w:id="13" w:name="_Toc82685542"/>
      <w:bookmarkEnd w:id="13"/>
      <w:bookmarkStart w:id="14" w:name="_Toc82684706"/>
      <w:bookmarkEnd w:id="14"/>
      <w:bookmarkStart w:id="15" w:name="_Toc82685543"/>
      <w:bookmarkEnd w:id="15"/>
      <w:bookmarkStart w:id="16" w:name="_Toc82684590"/>
      <w:bookmarkEnd w:id="16"/>
      <w:bookmarkStart w:id="17" w:name="_Toc82684591"/>
      <w:bookmarkEnd w:id="17"/>
      <w:bookmarkStart w:id="18" w:name="_Toc82591927"/>
      <w:bookmarkEnd w:id="18"/>
      <w:bookmarkStart w:id="19" w:name="_Toc82591925"/>
      <w:bookmarkEnd w:id="19"/>
      <w:bookmarkStart w:id="20" w:name="_Toc82684703"/>
      <w:bookmarkEnd w:id="20"/>
      <w:bookmarkStart w:id="21" w:name="_Toc82684704"/>
      <w:bookmarkEnd w:id="21"/>
      <w:bookmarkStart w:id="22" w:name="_Toc106791254"/>
      <w:r>
        <w:rPr>
          <w:rFonts w:hint="eastAsia" w:ascii="宋体" w:hAnsi="宋体"/>
          <w:b/>
          <w:color w:val="auto"/>
          <w:szCs w:val="21"/>
          <w:highlight w:val="none"/>
        </w:rPr>
        <w:t>特别说明</w:t>
      </w:r>
      <w:bookmarkEnd w:id="22"/>
    </w:p>
    <w:p>
      <w:pPr>
        <w:pStyle w:val="22"/>
        <w:numPr>
          <w:ilvl w:val="0"/>
          <w:numId w:val="9"/>
        </w:numPr>
        <w:spacing w:line="360" w:lineRule="auto"/>
        <w:ind w:left="0" w:firstLine="420" w:firstLineChars="0"/>
        <w:rPr>
          <w:rFonts w:ascii="宋体" w:hAnsi="宋体" w:eastAsia="宋体" w:cs="宋体"/>
          <w:color w:val="auto"/>
          <w:szCs w:val="21"/>
          <w:highlight w:val="none"/>
        </w:rPr>
      </w:pPr>
      <w:bookmarkStart w:id="23" w:name="_Toc45028463"/>
      <w:bookmarkStart w:id="24" w:name="_Toc478387747"/>
      <w:bookmarkStart w:id="25" w:name="_Toc517278751"/>
      <w:r>
        <w:rPr>
          <w:rFonts w:hint="eastAsia" w:ascii="宋体" w:hAnsi="宋体" w:eastAsia="宋体" w:cs="宋体"/>
          <w:color w:val="auto"/>
          <w:szCs w:val="21"/>
          <w:highlight w:val="none"/>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2"/>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本项目涉及的所有往来资料文件均需通过招标人报名回函上指定的地址发送和接收，否则可能导致文件不被接受的不利后果。</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color w:val="auto"/>
          <w:szCs w:val="21"/>
          <w:highlight w:val="none"/>
        </w:rPr>
        <w:t>参与本项目投标，投标人无需交纳投标保证金。如有意参与本项目投标，请在招标公告规定的报名截止时间前，按照要求的方式提交报名回函并致电确认，招标人只接受报名</w:t>
      </w:r>
      <w:r>
        <w:rPr>
          <w:rFonts w:hint="eastAsia" w:ascii="宋体" w:hAnsi="宋体" w:eastAsia="宋体" w:cs="宋体"/>
          <w:szCs w:val="21"/>
        </w:rPr>
        <w:t>成功的投标人参加投标。</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bookmarkEnd w:id="23"/>
      <w:bookmarkEnd w:id="24"/>
      <w:bookmarkEnd w:id="25"/>
    </w:p>
    <w:p>
      <w:pPr>
        <w:pStyle w:val="22"/>
        <w:spacing w:line="360" w:lineRule="auto"/>
        <w:ind w:firstLine="0" w:firstLineChars="0"/>
        <w:rPr>
          <w:rFonts w:ascii="宋体" w:hAnsi="宋体" w:eastAsia="宋体" w:cs="宋体"/>
          <w:szCs w:val="21"/>
        </w:rPr>
      </w:pPr>
    </w:p>
    <w:p>
      <w:pPr>
        <w:pStyle w:val="22"/>
        <w:spacing w:line="360" w:lineRule="auto"/>
        <w:ind w:firstLine="0" w:firstLineChars="0"/>
        <w:rPr>
          <w:rFonts w:ascii="宋体" w:hAnsi="宋体" w:eastAsia="宋体" w:cs="宋体"/>
          <w:szCs w:val="21"/>
        </w:rPr>
      </w:pPr>
    </w:p>
    <w:p>
      <w:pPr>
        <w:numPr>
          <w:ilvl w:val="0"/>
          <w:numId w:val="1"/>
        </w:numPr>
        <w:spacing w:line="560" w:lineRule="exact"/>
        <w:outlineLvl w:val="1"/>
        <w:rPr>
          <w:rFonts w:ascii="宋体" w:hAnsi="宋体"/>
          <w:b/>
          <w:szCs w:val="21"/>
        </w:rPr>
      </w:pPr>
      <w:bookmarkStart w:id="26" w:name="_Toc82591930"/>
      <w:bookmarkEnd w:id="26"/>
      <w:bookmarkStart w:id="27" w:name="_Toc82685545"/>
      <w:bookmarkEnd w:id="27"/>
      <w:bookmarkStart w:id="28" w:name="_Toc82684708"/>
      <w:bookmarkEnd w:id="28"/>
      <w:bookmarkStart w:id="29" w:name="_Toc82591985"/>
      <w:bookmarkEnd w:id="29"/>
      <w:bookmarkStart w:id="30" w:name="_Toc82684593"/>
      <w:bookmarkEnd w:id="30"/>
      <w:bookmarkStart w:id="31" w:name="_Toc82591988"/>
      <w:bookmarkEnd w:id="31"/>
      <w:bookmarkStart w:id="32" w:name="_Toc82591989"/>
      <w:bookmarkEnd w:id="32"/>
      <w:bookmarkStart w:id="33" w:name="_Toc82591987"/>
      <w:bookmarkEnd w:id="33"/>
      <w:bookmarkStart w:id="34" w:name="_Toc82591986"/>
      <w:bookmarkEnd w:id="34"/>
      <w:bookmarkStart w:id="35" w:name="_Toc106791255"/>
      <w:r>
        <w:rPr>
          <w:rFonts w:hint="eastAsia" w:ascii="宋体" w:hAnsi="宋体"/>
          <w:b/>
          <w:szCs w:val="21"/>
        </w:rPr>
        <w:t>投标文件编制</w:t>
      </w:r>
      <w:bookmarkEnd w:id="35"/>
    </w:p>
    <w:tbl>
      <w:tblPr>
        <w:tblStyle w:val="14"/>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资格审查文件</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商务标部分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技术/服务标部分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价格标部分</w:t>
            </w:r>
          </w:p>
          <w:p>
            <w:pPr>
              <w:pStyle w:val="11"/>
            </w:pPr>
            <w:r>
              <w:rPr>
                <w:rFonts w:hint="eastAsia" w:ascii="宋体" w:cs="Segoe UI Symbol"/>
                <w:kern w:val="0"/>
                <w:szCs w:val="21"/>
              </w:rPr>
              <w:sym w:font="Wingdings 2" w:char="0052"/>
            </w:r>
            <w:r>
              <w:rPr>
                <w:rFonts w:hint="eastAsia" w:ascii="Times New Roman" w:hAnsi="Times New Roman" w:eastAsia="宋体"/>
              </w:rPr>
              <w:t>投标文件密码单（按要求单独提交）</w:t>
            </w:r>
          </w:p>
        </w:tc>
      </w:tr>
      <w:tr>
        <w:tblPrEx>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ascii="宋体" w:hAnsi="宋体"/>
                <w:color w:val="FF0000"/>
              </w:rPr>
              <w:t>“信用中国”网站www.creditchina.gov.cn</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法定代表人授权委托书（法定代表人作为本项目代理人的，无需提供）</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资质及其证明文件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商务条款响应/偏离表</w:t>
            </w:r>
          </w:p>
          <w:p>
            <w:pPr>
              <w:autoSpaceDE w:val="0"/>
              <w:autoSpaceDN w:val="0"/>
              <w:adjustRightInd w:val="0"/>
              <w:snapToGrid w:val="0"/>
              <w:jc w:val="left"/>
              <w:rPr>
                <w:rFonts w:hint="eastAsia"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履约情况及社会信誉承诺书</w:t>
            </w:r>
          </w:p>
          <w:p>
            <w:pPr>
              <w:autoSpaceDE w:val="0"/>
              <w:autoSpaceDN w:val="0"/>
              <w:adjustRightInd w:val="0"/>
              <w:snapToGrid w:val="0"/>
              <w:jc w:val="left"/>
            </w:pPr>
            <w:r>
              <w:rPr>
                <w:rFonts w:hint="eastAsia" w:ascii="宋体" w:hAnsi="宋体" w:cs="Courier New"/>
                <w:kern w:val="0"/>
                <w:szCs w:val="21"/>
              </w:rPr>
              <w:sym w:font="Wingdings 2" w:char="0052"/>
            </w: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□工程质保/售后服务承诺书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投标一览表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报价一览表</w:t>
            </w:r>
            <w:r>
              <w:rPr>
                <w:rFonts w:hint="eastAsia" w:ascii="宋体" w:hAnsi="宋体"/>
                <w:szCs w:val="21"/>
              </w:rPr>
              <w:t>（货物/服务/工程）（根据项目所属类别选择其一）</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6" w:name="_Toc106791256"/>
      <w:r>
        <w:rPr>
          <w:rFonts w:hint="eastAsia" w:ascii="宋体" w:hAnsi="宋体"/>
          <w:b/>
          <w:szCs w:val="21"/>
        </w:rPr>
        <w:t>项目要求及数量</w:t>
      </w:r>
      <w:bookmarkEnd w:id="36"/>
    </w:p>
    <w:tbl>
      <w:tblPr>
        <w:tblStyle w:val="14"/>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2"/>
              <w:ind w:firstLine="0" w:firstLineChars="0"/>
              <w:jc w:val="center"/>
              <w:rPr>
                <w:rFonts w:ascii="宋体" w:hAnsi="宋体" w:eastAsia="宋体" w:cs="宋体"/>
                <w:szCs w:val="21"/>
              </w:rPr>
            </w:pPr>
            <w:r>
              <w:rPr>
                <w:rFonts w:hint="eastAsia" w:ascii="宋体" w:hAnsi="宋体" w:eastAsia="宋体" w:cs="宋体"/>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2"/>
              <w:numPr>
                <w:ilvl w:val="0"/>
                <w:numId w:val="10"/>
              </w:numPr>
              <w:tabs>
                <w:tab w:val="left" w:pos="531"/>
              </w:tabs>
              <w:snapToGrid w:val="0"/>
              <w:ind w:firstLineChars="0"/>
              <w:rPr>
                <w:rFonts w:hint="eastAsia" w:ascii="Times New Roman" w:hAnsi="Times New Roman" w:eastAsia="宋体" w:cs="Times New Roman"/>
                <w:kern w:val="2"/>
                <w:sz w:val="21"/>
                <w:szCs w:val="24"/>
                <w:lang w:val="en-US" w:eastAsia="zh-CN" w:bidi="ar-SA"/>
              </w:rPr>
            </w:pPr>
            <w:r>
              <w:rPr>
                <w:rFonts w:hint="eastAsia"/>
              </w:rPr>
              <w:t xml:space="preserve"> </w:t>
            </w:r>
            <w:bookmarkStart w:id="37" w:name="OLE_LINK3"/>
            <w:bookmarkStart w:id="38" w:name="OLE_LINK4"/>
            <w:r>
              <w:rPr>
                <w:rFonts w:hint="eastAsia" w:ascii="Times New Roman" w:hAnsi="Times New Roman" w:eastAsia="宋体" w:cs="Times New Roman"/>
                <w:kern w:val="2"/>
                <w:sz w:val="21"/>
                <w:szCs w:val="24"/>
                <w:lang w:val="en-US" w:eastAsia="zh-CN" w:bidi="ar-SA"/>
              </w:rPr>
              <w:t>投标人应为中华人民共和国境内注册且合法运作独立法人或具有独立承   担民事责任能力的其它组织，未被列入经营异常名录及严重失信名单。（提供企业营业执照或法人证明材料或登记证书扫描件及“信用中国”网站www.creditchina.gov.cn“信用服务”栏查询“重大税收违法案件当事人名单”“失信被执行人”信用记录查询网页截图并加盖投标人公章。被列入失信主体、经营异常的，将被拒绝参与本项目的投标活动</w:t>
            </w:r>
            <w:bookmarkEnd w:id="37"/>
            <w:bookmarkEnd w:id="38"/>
            <w:r>
              <w:rPr>
                <w:rFonts w:hint="eastAsia" w:ascii="Times New Roman" w:hAnsi="Times New Roman" w:eastAsia="宋体" w:cs="Times New Roman"/>
                <w:kern w:val="2"/>
                <w:sz w:val="21"/>
                <w:szCs w:val="24"/>
                <w:lang w:val="en-US" w:eastAsia="zh-CN" w:bidi="ar-SA"/>
              </w:rPr>
              <w:t>。</w:t>
            </w:r>
          </w:p>
          <w:p>
            <w:pPr>
              <w:pStyle w:val="22"/>
              <w:numPr>
                <w:ilvl w:val="0"/>
                <w:numId w:val="10"/>
              </w:numPr>
              <w:tabs>
                <w:tab w:val="left" w:pos="531"/>
              </w:tabs>
              <w:snapToGrid w:val="0"/>
              <w:ind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投标人需具备美国吉尼设备生产厂家售后服务授权资质，，须提供美国吉尼设备生产厂家所授权售后服务的相关授权证书（提供授权证书扫描件并加盖投标人公章）。</w:t>
            </w:r>
          </w:p>
          <w:p>
            <w:pPr>
              <w:numPr>
                <w:ilvl w:val="0"/>
                <w:numId w:val="10"/>
              </w:numPr>
              <w:tabs>
                <w:tab w:val="left" w:pos="531"/>
              </w:tabs>
              <w:snapToGrid w:val="0"/>
              <w:rPr>
                <w:rFonts w:eastAsiaTheme="majorEastAsia" w:cstheme="majorBidi"/>
                <w:b/>
                <w:bCs/>
              </w:rPr>
            </w:pPr>
            <w:r>
              <w:rPr>
                <w:rFonts w:hint="eastAsia"/>
              </w:rPr>
              <w:t>参加本项目投标的代表，必须是参加单位的法定代表人或持有法定代表人亲自签署的法人授权委托证明书的人员。（提供法定代表人证明书、法人授权委托证明书，如单位法定代表人为本项目授权投标代表的，则仅需提供法定代表人证明书及身份证扫描件，身份证原件备查。所有证明文件均需加盖投标人公章）</w:t>
            </w:r>
          </w:p>
          <w:p>
            <w:pPr>
              <w:numPr>
                <w:ilvl w:val="0"/>
                <w:numId w:val="10"/>
              </w:numPr>
              <w:tabs>
                <w:tab w:val="left" w:pos="531"/>
              </w:tabs>
              <w:snapToGrid w:val="0"/>
              <w:rPr>
                <w:rFonts w:eastAsiaTheme="majorEastAsia" w:cstheme="majorBidi"/>
                <w:b/>
                <w:bCs/>
              </w:rPr>
            </w:pPr>
            <w:r>
              <w:rPr>
                <w:rFonts w:hint="eastAsia" w:ascii="宋体" w:hAnsi="宋体" w:cs="宋体"/>
                <w:szCs w:val="21"/>
              </w:rPr>
              <w:t>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2"/>
              <w:numPr>
                <w:ilvl w:val="0"/>
                <w:numId w:val="11"/>
              </w:numPr>
              <w:ind w:firstLineChars="0"/>
              <w:rPr>
                <w:rFonts w:ascii="宋体" w:eastAsia="宋体" w:cstheme="majorBidi"/>
                <w:b/>
                <w:bCs/>
                <w:sz w:val="32"/>
              </w:rPr>
            </w:pPr>
            <w:r>
              <w:rPr>
                <w:rFonts w:hint="eastAsia" w:ascii="宋体" w:hAnsi="宋体" w:eastAsia="宋体" w:cs="宋体"/>
                <w:szCs w:val="21"/>
              </w:rPr>
              <w:t>本项目以人民币为结算币种，</w:t>
            </w:r>
            <w:r>
              <w:rPr>
                <w:rFonts w:hint="eastAsia" w:ascii="宋体" w:hAnsi="宋体" w:eastAsia="宋体" w:cs="仿宋_GB2312"/>
                <w:b/>
                <w:color w:val="auto"/>
                <w:szCs w:val="21"/>
              </w:rPr>
              <w:t>《投标一览表》</w:t>
            </w:r>
            <w:r>
              <w:rPr>
                <w:rFonts w:hint="eastAsia" w:ascii="宋体" w:hAnsi="宋体" w:eastAsia="宋体"/>
                <w:b/>
                <w:color w:val="auto"/>
                <w:szCs w:val="21"/>
              </w:rPr>
              <w:t>应包含税率、税前及税后的单价和总价</w:t>
            </w:r>
            <w:r>
              <w:rPr>
                <w:rFonts w:ascii="宋体" w:hAnsi="宋体" w:eastAsia="宋体"/>
                <w:color w:val="auto"/>
                <w:szCs w:val="21"/>
              </w:rPr>
              <w:t>,</w:t>
            </w:r>
            <w:r>
              <w:rPr>
                <w:rFonts w:hint="eastAsia" w:ascii="宋体" w:hAnsi="宋体" w:eastAsia="宋体"/>
                <w:color w:val="auto"/>
                <w:szCs w:val="21"/>
              </w:rPr>
              <w:t>其中价格评议以税前报价金额为准。</w:t>
            </w:r>
            <w:r>
              <w:rPr>
                <w:rFonts w:hint="eastAsia" w:ascii="宋体" w:hAnsi="宋体" w:eastAsia="宋体" w:cs="宋体"/>
                <w:color w:val="auto"/>
                <w:szCs w:val="21"/>
              </w:rPr>
              <w:t>报价包含</w:t>
            </w:r>
            <w:r>
              <w:rPr>
                <w:rFonts w:hint="eastAsia" w:ascii="宋体" w:hAnsi="宋体" w:eastAsia="宋体" w:cs="宋体"/>
                <w:color w:val="auto"/>
                <w:szCs w:val="21"/>
                <w:lang w:val="en-US" w:eastAsia="zh-CN"/>
              </w:rPr>
              <w:t>增值税</w:t>
            </w:r>
            <w:r>
              <w:rPr>
                <w:rFonts w:hint="eastAsia" w:ascii="宋体" w:hAnsi="宋体" w:eastAsia="宋体" w:cs="宋体"/>
                <w:color w:val="auto"/>
                <w:szCs w:val="21"/>
                <w:lang w:val="en-US" w:eastAsia="zh-CN"/>
              </w:rPr>
              <w:t>、</w:t>
            </w:r>
            <w:r>
              <w:rPr>
                <w:rFonts w:hint="eastAsia" w:ascii="宋体" w:hAnsi="宋体" w:eastAsia="宋体" w:cs="宋体"/>
                <w:color w:val="auto"/>
                <w:szCs w:val="21"/>
              </w:rPr>
              <w:t>维护检测费、人工费、交通费、差旅费、加班费、安全</w:t>
            </w:r>
            <w:r>
              <w:rPr>
                <w:rFonts w:hint="eastAsia" w:ascii="宋体" w:hAnsi="宋体" w:eastAsia="宋体" w:cs="宋体"/>
                <w:szCs w:val="21"/>
              </w:rPr>
              <w:t>措施费、管理费及</w:t>
            </w:r>
            <w:r>
              <w:rPr>
                <w:rFonts w:hint="eastAsia" w:ascii="宋体" w:hAnsi="宋体" w:eastAsia="宋体"/>
                <w:color w:val="000000"/>
              </w:rPr>
              <w:t>单件价值人民币≤</w:t>
            </w:r>
            <w:r>
              <w:rPr>
                <w:rFonts w:hint="eastAsia" w:ascii="宋体" w:hAnsi="宋体" w:eastAsia="宋体"/>
                <w:color w:val="000000"/>
                <w:u w:val="single"/>
              </w:rPr>
              <w:t>500</w:t>
            </w:r>
            <w:r>
              <w:rPr>
                <w:rFonts w:hint="eastAsia" w:ascii="宋体" w:hAnsi="宋体" w:eastAsia="宋体"/>
                <w:color w:val="000000"/>
              </w:rPr>
              <w:t>元的零配件</w:t>
            </w:r>
            <w:r>
              <w:rPr>
                <w:rFonts w:hint="eastAsia" w:ascii="宋体" w:hAnsi="宋体" w:eastAsia="宋体" w:cs="宋体"/>
                <w:szCs w:val="21"/>
              </w:rPr>
              <w:t>费等全部费用，并已涵盖投标人风险控制成本（包括但不仅限于因通货膨胀、零配件材料上涨等因素所导致成本增加）。</w:t>
            </w:r>
          </w:p>
          <w:p>
            <w:pPr>
              <w:pStyle w:val="22"/>
              <w:numPr>
                <w:ilvl w:val="0"/>
                <w:numId w:val="11"/>
              </w:numPr>
              <w:ind w:firstLineChars="0"/>
              <w:rPr>
                <w:rFonts w:ascii="宋体" w:eastAsia="宋体" w:cstheme="majorBidi"/>
                <w:b/>
                <w:bCs/>
                <w:sz w:val="32"/>
              </w:rPr>
            </w:pPr>
            <w:r>
              <w:rPr>
                <w:rFonts w:hint="eastAsia" w:ascii="宋体" w:hAnsi="宋体" w:eastAsia="宋体" w:cs="宋体"/>
                <w:szCs w:val="21"/>
              </w:rPr>
              <w:t>投标人</w:t>
            </w:r>
            <w:r>
              <w:rPr>
                <w:rFonts w:hint="eastAsia" w:ascii="宋体" w:hAnsi="宋体" w:eastAsia="宋体" w:cs="宋体"/>
                <w:szCs w:val="21"/>
                <w:lang w:eastAsia="zh-CN"/>
              </w:rPr>
              <w:t>须参考《</w:t>
            </w:r>
            <w:r>
              <w:rPr>
                <w:rFonts w:hint="eastAsia" w:ascii="宋体" w:hAnsi="宋体"/>
                <w:b/>
                <w:szCs w:val="21"/>
              </w:rPr>
              <w:t>美国吉尼高空作业平台设定零配件报价清单表</w:t>
            </w:r>
            <w:r>
              <w:rPr>
                <w:rFonts w:hint="eastAsia" w:ascii="宋体" w:hAnsi="宋体" w:eastAsia="宋体" w:cs="宋体"/>
                <w:szCs w:val="21"/>
                <w:lang w:eastAsia="zh-CN"/>
              </w:rPr>
              <w:t>》（表格</w:t>
            </w:r>
            <w:r>
              <w:rPr>
                <w:rFonts w:hint="eastAsia" w:ascii="宋体" w:hAnsi="宋体" w:eastAsia="宋体" w:cs="宋体"/>
                <w:szCs w:val="21"/>
                <w:lang w:val="en-US" w:eastAsia="zh-CN"/>
              </w:rPr>
              <w:t>2</w:t>
            </w:r>
            <w:r>
              <w:rPr>
                <w:rFonts w:hint="eastAsia" w:ascii="宋体" w:hAnsi="宋体" w:eastAsia="宋体" w:cs="宋体"/>
                <w:szCs w:val="21"/>
                <w:lang w:eastAsia="zh-CN"/>
              </w:rPr>
              <w:t>）格式分别</w:t>
            </w:r>
            <w:r>
              <w:rPr>
                <w:rFonts w:hint="eastAsia" w:ascii="宋体" w:hAnsi="宋体" w:eastAsia="宋体" w:cs="宋体"/>
                <w:szCs w:val="21"/>
              </w:rPr>
              <w:t>提供500元内和500元以上零配件报价清单，</w:t>
            </w:r>
            <w:r>
              <w:rPr>
                <w:rFonts w:hint="eastAsia" w:ascii="宋体" w:hAnsi="宋体" w:eastAsia="宋体"/>
                <w:b w:val="0"/>
                <w:szCs w:val="21"/>
              </w:rPr>
              <w:t>需尽可能多列出配件</w:t>
            </w:r>
            <w:r>
              <w:rPr>
                <w:rFonts w:hint="eastAsia" w:ascii="宋体" w:hAnsi="宋体" w:eastAsia="宋体"/>
                <w:szCs w:val="21"/>
              </w:rPr>
              <w:t>，</w:t>
            </w:r>
            <w:r>
              <w:rPr>
                <w:rFonts w:hint="eastAsia" w:ascii="宋体" w:hAnsi="宋体" w:eastAsia="宋体" w:cs="宋体"/>
                <w:szCs w:val="21"/>
              </w:rPr>
              <w:t>报价有效期至少一年，加盖投标人公章。</w:t>
            </w:r>
          </w:p>
          <w:p>
            <w:pPr>
              <w:pStyle w:val="22"/>
              <w:numPr>
                <w:ilvl w:val="0"/>
                <w:numId w:val="11"/>
              </w:numPr>
              <w:ind w:firstLineChars="0"/>
              <w:rPr>
                <w:rFonts w:ascii="宋体" w:eastAsia="宋体" w:cstheme="majorBidi"/>
                <w:b/>
                <w:bCs/>
                <w:sz w:val="32"/>
              </w:rPr>
            </w:pPr>
            <w:r>
              <w:rPr>
                <w:rFonts w:hint="eastAsia" w:ascii="宋体" w:eastAsia="宋体" w:cs="宋体"/>
                <w:szCs w:val="21"/>
              </w:rPr>
              <w:t>本次投标的费用由投标人自理。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pStyle w:val="22"/>
              <w:numPr>
                <w:ilvl w:val="0"/>
                <w:numId w:val="12"/>
              </w:numPr>
              <w:ind w:firstLineChars="0"/>
              <w:rPr>
                <w:rFonts w:ascii="宋体" w:hAnsi="宋体" w:eastAsia="宋体"/>
                <w:szCs w:val="21"/>
              </w:rPr>
            </w:pPr>
            <w:r>
              <w:rPr>
                <w:rFonts w:hint="eastAsia" w:ascii="宋体" w:hAnsi="宋体" w:eastAsia="宋体"/>
                <w:szCs w:val="21"/>
              </w:rPr>
              <w:t>本项目招标服务期三年（即</w:t>
            </w:r>
            <w:r>
              <w:rPr>
                <w:rFonts w:ascii="宋体" w:hAnsi="宋体" w:eastAsia="宋体"/>
                <w:szCs w:val="21"/>
              </w:rPr>
              <w:t>36</w:t>
            </w:r>
            <w:r>
              <w:rPr>
                <w:rFonts w:hint="eastAsia" w:ascii="宋体" w:hAnsi="宋体" w:eastAsia="宋体"/>
                <w:szCs w:val="21"/>
              </w:rPr>
              <w:t xml:space="preserve">个月）总控制金额为人民币28.23万元（含 </w:t>
            </w:r>
          </w:p>
          <w:p>
            <w:pPr>
              <w:pStyle w:val="22"/>
              <w:numPr>
                <w:ilvl w:val="0"/>
                <w:numId w:val="0"/>
              </w:numPr>
            </w:pPr>
            <w:r>
              <w:rPr>
                <w:rFonts w:hint="eastAsia" w:ascii="宋体" w:hAnsi="宋体"/>
                <w:szCs w:val="21"/>
              </w:rPr>
              <w:t xml:space="preserve"> 税）</w:t>
            </w:r>
            <w:r>
              <w:rPr>
                <w:rFonts w:hint="eastAsia" w:ascii="宋体" w:hAnsi="宋体"/>
              </w:rPr>
              <w:t>，</w:t>
            </w:r>
            <w:r>
              <w:rPr>
                <w:rFonts w:hint="eastAsia" w:ascii="宋体" w:hAnsi="宋体" w:eastAsia="宋体"/>
                <w:szCs w:val="21"/>
              </w:rPr>
              <w:t>投标人《</w:t>
            </w:r>
            <w:r>
              <w:rPr>
                <w:rFonts w:hint="eastAsia" w:ascii="宋体" w:hAnsi="宋体"/>
                <w:szCs w:val="21"/>
              </w:rPr>
              <w:t>报价一览表（服务）</w:t>
            </w:r>
            <w:r>
              <w:rPr>
                <w:rFonts w:hint="eastAsia" w:ascii="宋体" w:hAnsi="宋体" w:eastAsia="宋体"/>
                <w:szCs w:val="21"/>
              </w:rPr>
              <w:t>》三年（即</w:t>
            </w:r>
            <w:r>
              <w:rPr>
                <w:rFonts w:ascii="宋体" w:hAnsi="宋体" w:eastAsia="宋体"/>
                <w:szCs w:val="21"/>
              </w:rPr>
              <w:t>36</w:t>
            </w:r>
            <w:r>
              <w:rPr>
                <w:rFonts w:hint="eastAsia" w:ascii="宋体" w:hAnsi="宋体" w:eastAsia="宋体"/>
                <w:szCs w:val="21"/>
              </w:rPr>
              <w:t>个月）服务期总报价不得高于上</w:t>
            </w:r>
            <w:r>
              <w:rPr>
                <w:rFonts w:hint="eastAsia" w:ascii="宋体" w:hAnsi="宋体"/>
                <w:szCs w:val="21"/>
              </w:rPr>
              <w:t>述限定金额，</w:t>
            </w:r>
            <w:r>
              <w:rPr>
                <w:rFonts w:hint="eastAsia" w:ascii="宋体" w:hAnsi="宋体"/>
              </w:rPr>
              <w:t>报价超过上述控制金额的投标文件作废标处理</w:t>
            </w:r>
            <w:r>
              <w:rPr>
                <w:rFonts w:hint="eastAsia" w:ascii="宋体" w:hAnsi="宋体"/>
                <w:szCs w:val="21"/>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4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numPr>
                <w:ilvl w:val="0"/>
                <w:numId w:val="13"/>
              </w:numPr>
              <w:ind w:firstLineChars="0"/>
              <w:rPr>
                <w:rFonts w:ascii="宋体" w:hAnsi="宋体" w:eastAsia="宋体" w:cs="宋体"/>
                <w:szCs w:val="21"/>
              </w:rPr>
            </w:pPr>
            <w:r>
              <w:rPr>
                <w:rFonts w:hint="eastAsia" w:ascii="宋体" w:hAnsi="宋体" w:eastAsia="宋体" w:cs="宋体"/>
                <w:szCs w:val="21"/>
              </w:rPr>
              <w:t>投标单位按照合同及维保工作计划按时、保质的完成维保工作后，按月向招标人提交书面的《维保记录单》及相关附件或证明文件经招标人审核并验收合格后支付相关款项。</w:t>
            </w:r>
            <w:r>
              <w:rPr>
                <w:rFonts w:hint="eastAsia" w:ascii="宋体" w:hAnsi="宋体" w:cs="宋体"/>
              </w:rPr>
              <w:t>如有扣款内容，还需扣除对应款项后支付</w:t>
            </w:r>
            <w:r>
              <w:rPr>
                <w:rFonts w:hint="eastAsia" w:ascii="宋体" w:hAnsi="宋体" w:cs="宋体"/>
                <w:lang w:eastAsia="zh-CN"/>
              </w:rPr>
              <w:t>。</w:t>
            </w:r>
          </w:p>
          <w:p>
            <w:pPr>
              <w:pStyle w:val="22"/>
              <w:numPr>
                <w:ilvl w:val="0"/>
                <w:numId w:val="13"/>
              </w:numPr>
              <w:ind w:firstLineChars="0"/>
              <w:rPr>
                <w:rFonts w:ascii="宋体" w:hAnsi="宋体" w:eastAsia="宋体" w:cs="宋体"/>
                <w:szCs w:val="21"/>
              </w:rPr>
            </w:pPr>
            <w:r>
              <w:rPr>
                <w:rFonts w:hint="eastAsia" w:ascii="宋体" w:hAnsi="宋体" w:eastAsia="宋体" w:cs="宋体"/>
                <w:szCs w:val="21"/>
              </w:rPr>
              <w:t>每年分两次付款，即每6个月付1次；每次付款申请时，投标人须提供相应金额的发票。</w:t>
            </w:r>
          </w:p>
          <w:p>
            <w:pPr>
              <w:pStyle w:val="22"/>
              <w:numPr>
                <w:ilvl w:val="0"/>
                <w:numId w:val="13"/>
              </w:numPr>
              <w:ind w:firstLineChars="0"/>
              <w:rPr>
                <w:rFonts w:ascii="宋体" w:hAnsi="宋体" w:eastAsia="宋体" w:cs="宋体"/>
                <w:szCs w:val="21"/>
              </w:rPr>
            </w:pPr>
            <w:r>
              <w:rPr>
                <w:rFonts w:hint="eastAsia" w:ascii="宋体" w:eastAsia="宋体" w:cs="宋体"/>
                <w:szCs w:val="21"/>
              </w:rPr>
              <w:t>具体付款事宜以合同条款为准。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合同执行</w:t>
            </w:r>
          </w:p>
        </w:tc>
        <w:tc>
          <w:tcPr>
            <w:tcW w:w="74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numPr>
                <w:ilvl w:val="255"/>
                <w:numId w:val="0"/>
              </w:numPr>
              <w:ind w:left="0" w:firstLine="420" w:firstLineChars="200"/>
              <w:rPr>
                <w:rFonts w:ascii="宋体" w:eastAsia="宋体" w:cs="宋体"/>
                <w:sz w:val="18"/>
                <w:szCs w:val="21"/>
              </w:rPr>
            </w:pPr>
            <w:r>
              <w:rPr>
                <w:rFonts w:hint="eastAsia" w:ascii="宋体" w:hAnsi="宋体" w:cs="宋体"/>
                <w:szCs w:val="21"/>
              </w:rPr>
              <w:t>合同服务期限为三年（1</w:t>
            </w:r>
            <w:r>
              <w:rPr>
                <w:rFonts w:ascii="宋体" w:hAnsi="宋体" w:cs="宋体"/>
                <w:szCs w:val="21"/>
              </w:rPr>
              <w:t>+</w:t>
            </w:r>
            <w:r>
              <w:rPr>
                <w:rFonts w:hint="eastAsia" w:ascii="宋体" w:hAnsi="宋体" w:cs="宋体"/>
                <w:szCs w:val="21"/>
              </w:rPr>
              <w:t>1+1模式），在第一年度结束前1个月，招标人根据投标人的服务质量、各项承诺兑现情况等因素进行考核评审，如考核达到优良（即考核评分达到80分或以上），则继续执行第二年度合同，如考核未达到优良，招标人有权在第一年服务期满时终止合同。下一年度合同以此类推。考核评审要求详见《深圳会展中心服务机构履约评价表（服务类）》</w:t>
            </w:r>
            <w:r>
              <w:rPr>
                <w:rFonts w:hint="eastAsia" w:ascii="宋体" w:hAnsi="宋体" w:cs="宋体"/>
                <w:szCs w:val="21"/>
                <w:lang w:eastAsia="zh-CN"/>
              </w:rPr>
              <w:t>（招标人有权根据公司最新的供应商管理制度相关规定调整履约评价表内容），</w:t>
            </w:r>
            <w:r>
              <w:rPr>
                <w:rFonts w:hint="eastAsia" w:ascii="宋体" w:hAnsi="宋体" w:cs="宋体"/>
                <w:szCs w:val="21"/>
              </w:rPr>
              <w:t>如当年验收不合格则等同为考核不合格，招标人有权直接终止合同。</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b/>
                <w:bCs/>
                <w:kern w:val="2"/>
                <w:sz w:val="21"/>
                <w:szCs w:val="21"/>
                <w:lang w:val="en-US" w:eastAsia="zh-CN" w:bidi="ar-SA"/>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szCs w:val="21"/>
              </w:rPr>
              <w:t>维护保养车辆清单</w:t>
            </w:r>
          </w:p>
        </w:tc>
        <w:tc>
          <w:tcPr>
            <w:tcW w:w="7438" w:type="dxa"/>
            <w:tcBorders>
              <w:top w:val="single" w:color="auto" w:sz="4" w:space="0"/>
              <w:left w:val="single" w:color="auto" w:sz="4" w:space="0"/>
              <w:bottom w:val="single" w:color="auto" w:sz="4" w:space="0"/>
              <w:right w:val="single" w:color="auto" w:sz="4" w:space="0"/>
            </w:tcBorders>
            <w:vAlign w:val="center"/>
          </w:tcPr>
          <w:tbl>
            <w:tblPr>
              <w:tblStyle w:val="14"/>
              <w:tblpPr w:leftFromText="180" w:rightFromText="180" w:vertAnchor="text" w:horzAnchor="page" w:tblpX="70" w:tblpY="346"/>
              <w:tblOverlap w:val="never"/>
              <w:tblW w:w="7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842"/>
              <w:gridCol w:w="1560"/>
              <w:gridCol w:w="26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2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szCs w:val="21"/>
                    </w:rPr>
                  </w:pPr>
                  <w:r>
                    <w:rPr>
                      <w:rFonts w:hint="eastAsia" w:ascii="宋体" w:hAnsi="宋体" w:cs="宋体"/>
                      <w:b/>
                      <w:color w:val="000000"/>
                      <w:szCs w:val="21"/>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szCs w:val="21"/>
                    </w:rPr>
                  </w:pPr>
                  <w:r>
                    <w:rPr>
                      <w:rFonts w:hint="eastAsia" w:ascii="宋体" w:hAnsi="宋体" w:cs="宋体"/>
                      <w:b/>
                      <w:color w:val="000000"/>
                      <w:szCs w:val="21"/>
                    </w:rPr>
                    <w:t>设备名称</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b/>
                      <w:color w:val="000000"/>
                      <w:szCs w:val="21"/>
                    </w:rPr>
                  </w:pPr>
                  <w:r>
                    <w:rPr>
                      <w:rFonts w:hint="eastAsia" w:ascii="宋体" w:hAnsi="宋体" w:cs="宋体"/>
                      <w:b/>
                      <w:color w:val="000000"/>
                      <w:szCs w:val="21"/>
                    </w:rPr>
                    <w:t>型号</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b/>
                      <w:color w:val="000000"/>
                      <w:szCs w:val="21"/>
                    </w:rPr>
                  </w:pPr>
                  <w:r>
                    <w:rPr>
                      <w:rFonts w:hint="eastAsia" w:ascii="宋体" w:hAnsi="宋体"/>
                      <w:b/>
                      <w:szCs w:val="21"/>
                    </w:rPr>
                    <w:t>维保周期频次要求</w:t>
                  </w:r>
                </w:p>
              </w:tc>
              <w:tc>
                <w:tcPr>
                  <w:tcW w:w="85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b/>
                      <w:kern w:val="0"/>
                    </w:rPr>
                  </w:pPr>
                  <w:r>
                    <w:rPr>
                      <w:rFonts w:hint="eastAsia" w:ascii="宋体" w:hAnsi="宋体" w:cs="宋体"/>
                      <w:b/>
                      <w:color w:val="000000"/>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21" w:type="dxa"/>
                  <w:vMerge w:val="restart"/>
                  <w:tcBorders>
                    <w:top w:val="single" w:color="auto" w:sz="4" w:space="0"/>
                    <w:left w:val="single" w:color="auto" w:sz="4" w:space="0"/>
                    <w:bottom w:val="single" w:color="auto" w:sz="4" w:space="0"/>
                    <w:right w:val="single" w:color="auto" w:sz="4" w:space="0"/>
                  </w:tcBorders>
                </w:tcPr>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pPr>
                  <w:r>
                    <w:rPr>
                      <w:rFonts w:hint="eastAsia"/>
                    </w:rPr>
                    <w:t>1</w:t>
                  </w:r>
                </w:p>
                <w:p>
                  <w:pPr>
                    <w:pStyle w:val="2"/>
                    <w:jc w:val="cente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32米自行式直臂型高空作业平台</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s="宋体"/>
                      <w:color w:val="000000"/>
                      <w:szCs w:val="21"/>
                    </w:rPr>
                    <w:t>S-105</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szCs w:val="21"/>
                      <w:u w:val="single"/>
                    </w:rPr>
                    <w:t>每2个月</w:t>
                  </w:r>
                  <w:r>
                    <w:rPr>
                      <w:rFonts w:hint="eastAsia" w:ascii="宋体" w:hAnsi="宋体"/>
                      <w:szCs w:val="21"/>
                    </w:rPr>
                    <w:t>定期维保一次，1次大保/年，共</w:t>
                  </w:r>
                  <w:r>
                    <w:rPr>
                      <w:rFonts w:hint="eastAsia" w:ascii="宋体" w:hAnsi="宋体" w:cs="宋体"/>
                      <w:color w:val="000000"/>
                      <w:szCs w:val="21"/>
                    </w:rPr>
                    <w:t>7次/年。</w:t>
                  </w:r>
                </w:p>
              </w:tc>
              <w:tc>
                <w:tcPr>
                  <w:tcW w:w="850" w:type="dxa"/>
                  <w:vMerge w:val="restart"/>
                  <w:tcBorders>
                    <w:top w:val="single" w:color="auto" w:sz="4" w:space="0"/>
                    <w:left w:val="nil"/>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21" w:type="dxa"/>
                  <w:vMerge w:val="continue"/>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color w:val="00000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s="宋体"/>
                      <w:color w:val="000000"/>
                      <w:szCs w:val="21"/>
                    </w:rPr>
                    <w:t>32米保养包</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s="宋体"/>
                      <w:color w:val="000000"/>
                      <w:szCs w:val="21"/>
                    </w:rPr>
                    <w:t>套：机油滤 49924*1个</w:t>
                  </w:r>
                  <w:r>
                    <w:rPr>
                      <w:rFonts w:hint="eastAsia" w:ascii="宋体" w:hAnsi="宋体" w:cs="宋体"/>
                      <w:color w:val="000000"/>
                      <w:szCs w:val="21"/>
                    </w:rPr>
                    <w:br w:type="textWrapping"/>
                  </w:r>
                  <w:r>
                    <w:rPr>
                      <w:rFonts w:hint="eastAsia" w:ascii="宋体" w:hAnsi="宋体" w:cs="宋体"/>
                      <w:color w:val="000000"/>
                      <w:szCs w:val="21"/>
                    </w:rPr>
                    <w:t>柴油滤 29560*1个</w:t>
                  </w:r>
                  <w:r>
                    <w:rPr>
                      <w:rFonts w:hint="eastAsia" w:ascii="宋体" w:hAnsi="宋体" w:cs="宋体"/>
                      <w:color w:val="000000"/>
                      <w:szCs w:val="21"/>
                    </w:rPr>
                    <w:br w:type="textWrapping"/>
                  </w:r>
                  <w:r>
                    <w:rPr>
                      <w:rFonts w:hint="eastAsia" w:ascii="宋体" w:hAnsi="宋体" w:cs="宋体"/>
                      <w:color w:val="000000"/>
                      <w:szCs w:val="21"/>
                    </w:rPr>
                    <w:t>空气滤 62425*1个</w:t>
                  </w:r>
                </w:p>
              </w:tc>
              <w:tc>
                <w:tcPr>
                  <w:tcW w:w="26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更换2套/年</w:t>
                  </w:r>
                </w:p>
                <w:p>
                  <w:pPr>
                    <w:spacing w:line="0" w:lineRule="atLeast"/>
                    <w:jc w:val="center"/>
                    <w:rPr>
                      <w:rFonts w:ascii="宋体" w:hAnsi="宋体"/>
                      <w:color w:val="000000"/>
                      <w:szCs w:val="21"/>
                    </w:rPr>
                  </w:pPr>
                </w:p>
              </w:tc>
              <w:tc>
                <w:tcPr>
                  <w:tcW w:w="850" w:type="dxa"/>
                  <w:vMerge w:val="continue"/>
                  <w:tcBorders>
                    <w:left w:val="nil"/>
                    <w:right w:val="single" w:color="auto" w:sz="4" w:space="0"/>
                  </w:tcBorders>
                  <w:vAlign w:val="center"/>
                </w:tcPr>
                <w:p>
                  <w:pPr>
                    <w:spacing w:line="0" w:lineRule="atLeas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1" w:type="dxa"/>
                  <w:vMerge w:val="continue"/>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color w:val="00000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s="宋体"/>
                      <w:color w:val="000000"/>
                      <w:szCs w:val="21"/>
                    </w:rPr>
                    <w:t>32米专用柴油发动机机油</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s="宋体"/>
                      <w:color w:val="000000"/>
                      <w:szCs w:val="21"/>
                    </w:rPr>
                    <w:t>美孚超级黑霸王CI</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s="宋体"/>
                      <w:color w:val="000000"/>
                      <w:szCs w:val="21"/>
                    </w:rPr>
                    <w:t>更换36升/年</w:t>
                  </w:r>
                </w:p>
              </w:tc>
              <w:tc>
                <w:tcPr>
                  <w:tcW w:w="850" w:type="dxa"/>
                  <w:vMerge w:val="continue"/>
                  <w:tcBorders>
                    <w:left w:val="nil"/>
                    <w:bottom w:val="single" w:color="auto" w:sz="4" w:space="0"/>
                    <w:right w:val="single" w:color="auto" w:sz="4" w:space="0"/>
                  </w:tcBorders>
                  <w:vAlign w:val="center"/>
                </w:tcPr>
                <w:p>
                  <w:pPr>
                    <w:spacing w:line="0" w:lineRule="atLeas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21" w:type="dxa"/>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cs="宋体"/>
                      <w:color w:val="000000"/>
                      <w:szCs w:val="21"/>
                    </w:rPr>
                  </w:pPr>
                </w:p>
                <w:p>
                  <w:pPr>
                    <w:spacing w:line="0" w:lineRule="atLeast"/>
                    <w:jc w:val="center"/>
                    <w:rPr>
                      <w:rFonts w:ascii="宋体" w:hAnsi="宋体"/>
                      <w:color w:val="000000"/>
                      <w:szCs w:val="21"/>
                    </w:rPr>
                  </w:pPr>
                  <w:r>
                    <w:rPr>
                      <w:rFonts w:hint="eastAsia" w:ascii="宋体" w:hAnsi="宋体" w:cs="宋体"/>
                      <w:color w:val="000000"/>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s="宋体"/>
                      <w:color w:val="000000"/>
                      <w:szCs w:val="21"/>
                    </w:rPr>
                    <w:t>12米单桅杆式高空作业平台</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s="宋体"/>
                      <w:color w:val="000000"/>
                      <w:szCs w:val="21"/>
                    </w:rPr>
                    <w:t>AWP-40S</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szCs w:val="21"/>
                      <w:u w:val="single"/>
                    </w:rPr>
                    <w:t>每2个月</w:t>
                  </w:r>
                  <w:r>
                    <w:rPr>
                      <w:rFonts w:hint="eastAsia" w:ascii="宋体" w:hAnsi="宋体"/>
                      <w:szCs w:val="21"/>
                    </w:rPr>
                    <w:t>定期维保一次，1次大保/年，共</w:t>
                  </w:r>
                  <w:r>
                    <w:rPr>
                      <w:rFonts w:hint="eastAsia" w:ascii="宋体" w:hAnsi="宋体" w:cs="宋体"/>
                      <w:color w:val="000000"/>
                      <w:szCs w:val="21"/>
                    </w:rPr>
                    <w:t>7次/年。</w:t>
                  </w:r>
                </w:p>
              </w:tc>
              <w:tc>
                <w:tcPr>
                  <w:tcW w:w="85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21" w:type="dxa"/>
                  <w:vMerge w:val="restar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cs="宋体"/>
                      <w:color w:val="000000"/>
                      <w:szCs w:val="21"/>
                    </w:rPr>
                  </w:pPr>
                </w:p>
                <w:p>
                  <w:pPr>
                    <w:spacing w:line="0" w:lineRule="atLeast"/>
                    <w:jc w:val="center"/>
                    <w:rPr>
                      <w:rFonts w:ascii="宋体" w:hAnsi="宋体"/>
                      <w:kern w:val="0"/>
                      <w:szCs w:val="21"/>
                    </w:rPr>
                  </w:pPr>
                  <w:r>
                    <w:rPr>
                      <w:rFonts w:hint="eastAsia" w:ascii="宋体" w:hAnsi="宋体" w:cs="宋体"/>
                      <w:color w:val="000000"/>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kern w:val="0"/>
                      <w:szCs w:val="21"/>
                    </w:rPr>
                  </w:pPr>
                  <w:r>
                    <w:rPr>
                      <w:rFonts w:hint="eastAsia" w:ascii="宋体" w:hAnsi="宋体" w:cs="宋体"/>
                      <w:color w:val="000000"/>
                      <w:szCs w:val="21"/>
                    </w:rPr>
                    <w:t>12米自行式剪型高空作业平台</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s="宋体"/>
                      <w:color w:val="000000"/>
                      <w:szCs w:val="21"/>
                    </w:rPr>
                    <w:t>GS-3246</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kern w:val="0"/>
                      <w:szCs w:val="21"/>
                    </w:rPr>
                  </w:pPr>
                  <w:r>
                    <w:rPr>
                      <w:rFonts w:hint="eastAsia" w:ascii="宋体" w:hAnsi="宋体"/>
                      <w:szCs w:val="21"/>
                      <w:u w:val="single"/>
                    </w:rPr>
                    <w:t>每2个月</w:t>
                  </w:r>
                  <w:r>
                    <w:rPr>
                      <w:rFonts w:hint="eastAsia" w:ascii="宋体" w:hAnsi="宋体"/>
                      <w:szCs w:val="21"/>
                    </w:rPr>
                    <w:t>定期维保一次，1次大保/年，共</w:t>
                  </w:r>
                  <w:r>
                    <w:rPr>
                      <w:rFonts w:hint="eastAsia" w:ascii="宋体" w:hAnsi="宋体" w:cs="宋体"/>
                      <w:color w:val="000000"/>
                      <w:szCs w:val="21"/>
                    </w:rPr>
                    <w:t>7次/年。</w:t>
                  </w:r>
                </w:p>
              </w:tc>
              <w:tc>
                <w:tcPr>
                  <w:tcW w:w="850" w:type="dxa"/>
                  <w:vMerge w:val="restart"/>
                  <w:tcBorders>
                    <w:top w:val="single" w:color="auto" w:sz="4" w:space="0"/>
                    <w:left w:val="nil"/>
                    <w:right w:val="single" w:color="auto" w:sz="4" w:space="0"/>
                  </w:tcBorders>
                  <w:vAlign w:val="center"/>
                </w:tcPr>
                <w:p>
                  <w:pPr>
                    <w:spacing w:line="0" w:lineRule="atLeast"/>
                    <w:jc w:val="center"/>
                    <w:rPr>
                      <w:rFonts w:ascii="宋体" w:hAnsi="宋体"/>
                      <w:kern w:val="0"/>
                    </w:rPr>
                  </w:pPr>
                  <w:r>
                    <w:rPr>
                      <w:rFonts w:hint="eastAsia" w:ascii="宋体" w:hAnsi="宋体"/>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21" w:type="dxa"/>
                  <w:vMerge w:val="continue"/>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12米保养包（含回油滤1个/套）</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rPr>
                  </w:pPr>
                  <w:r>
                    <w:rPr>
                      <w:rFonts w:hint="eastAsia" w:ascii="宋体" w:hAnsi="宋体" w:cs="宋体"/>
                      <w:color w:val="000000"/>
                      <w:szCs w:val="21"/>
                    </w:rPr>
                    <w:t>套：回油滤44788*1个</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更换2套/年</w:t>
                  </w:r>
                </w:p>
              </w:tc>
              <w:tc>
                <w:tcPr>
                  <w:tcW w:w="850" w:type="dxa"/>
                  <w:vMerge w:val="continue"/>
                  <w:tcBorders>
                    <w:left w:val="nil"/>
                    <w:bottom w:val="single" w:color="auto" w:sz="4" w:space="0"/>
                    <w:right w:val="single" w:color="auto" w:sz="4" w:space="0"/>
                  </w:tcBorders>
                  <w:vAlign w:val="center"/>
                </w:tcPr>
                <w:p>
                  <w:pPr>
                    <w:spacing w:line="0" w:lineRule="atLeas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21" w:type="dxa"/>
                  <w:vMerge w:val="restar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kern w:val="0"/>
                    </w:rPr>
                  </w:pPr>
                </w:p>
                <w:p>
                  <w:pPr>
                    <w:spacing w:line="0" w:lineRule="atLeast"/>
                    <w:jc w:val="center"/>
                    <w:rPr>
                      <w:rFonts w:ascii="宋体" w:hAnsi="宋体"/>
                      <w:kern w:val="0"/>
                    </w:rPr>
                  </w:pPr>
                  <w:r>
                    <w:rPr>
                      <w:rFonts w:hint="eastAsia" w:ascii="宋体" w:hAnsi="宋体"/>
                      <w:kern w:val="0"/>
                    </w:rPr>
                    <w:t>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12米自行式剪型高空作业平台</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rPr>
                  </w:pPr>
                  <w:r>
                    <w:rPr>
                      <w:rFonts w:hint="eastAsia" w:ascii="宋体" w:hAnsi="宋体" w:cs="宋体"/>
                      <w:color w:val="000000"/>
                      <w:szCs w:val="21"/>
                    </w:rPr>
                    <w:t>GS-3232</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szCs w:val="21"/>
                      <w:u w:val="single"/>
                    </w:rPr>
                    <w:t>每2个月</w:t>
                  </w:r>
                  <w:r>
                    <w:rPr>
                      <w:rFonts w:hint="eastAsia" w:ascii="宋体" w:hAnsi="宋体"/>
                      <w:szCs w:val="21"/>
                    </w:rPr>
                    <w:t>定期维保一次，1次大保/年，共</w:t>
                  </w:r>
                  <w:r>
                    <w:rPr>
                      <w:rFonts w:hint="eastAsia" w:ascii="宋体" w:hAnsi="宋体" w:cs="宋体"/>
                      <w:color w:val="000000"/>
                      <w:szCs w:val="21"/>
                    </w:rPr>
                    <w:t>7次/年。</w:t>
                  </w:r>
                </w:p>
              </w:tc>
              <w:tc>
                <w:tcPr>
                  <w:tcW w:w="850" w:type="dxa"/>
                  <w:vMerge w:val="restart"/>
                  <w:tcBorders>
                    <w:top w:val="single" w:color="auto" w:sz="4" w:space="0"/>
                    <w:left w:val="nil"/>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1" w:type="dxa"/>
                  <w:vMerge w:val="continue"/>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12米保养包（含回油滤1个/套）</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rPr>
                  </w:pPr>
                  <w:r>
                    <w:rPr>
                      <w:rFonts w:hint="eastAsia" w:ascii="宋体" w:hAnsi="宋体" w:cs="宋体"/>
                      <w:color w:val="000000"/>
                      <w:szCs w:val="21"/>
                    </w:rPr>
                    <w:t>套：回油滤44788*1个</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更换2套/年</w:t>
                  </w:r>
                </w:p>
              </w:tc>
              <w:tc>
                <w:tcPr>
                  <w:tcW w:w="850" w:type="dxa"/>
                  <w:vMerge w:val="continue"/>
                  <w:tcBorders>
                    <w:left w:val="nil"/>
                    <w:bottom w:val="single" w:color="auto" w:sz="4" w:space="0"/>
                    <w:right w:val="single" w:color="auto" w:sz="4" w:space="0"/>
                  </w:tcBorders>
                  <w:vAlign w:val="center"/>
                </w:tcPr>
                <w:p>
                  <w:pPr>
                    <w:spacing w:line="0" w:lineRule="atLeas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1" w:type="dxa"/>
                  <w:vMerge w:val="restart"/>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cs="宋体"/>
                      <w:color w:val="000000"/>
                      <w:szCs w:val="21"/>
                    </w:rPr>
                  </w:pPr>
                </w:p>
                <w:p>
                  <w:pPr>
                    <w:spacing w:line="0" w:lineRule="atLeast"/>
                    <w:jc w:val="center"/>
                    <w:rPr>
                      <w:rFonts w:ascii="宋体" w:hAnsi="宋体" w:cs="宋体"/>
                      <w:color w:val="000000"/>
                      <w:szCs w:val="21"/>
                    </w:rPr>
                  </w:pPr>
                </w:p>
                <w:p>
                  <w:pPr>
                    <w:spacing w:line="0" w:lineRule="atLeast"/>
                    <w:jc w:val="center"/>
                    <w:rPr>
                      <w:rFonts w:ascii="宋体" w:hAnsi="宋体" w:cs="宋体"/>
                      <w:color w:val="000000"/>
                      <w:szCs w:val="21"/>
                    </w:rPr>
                  </w:pPr>
                </w:p>
                <w:p>
                  <w:pPr>
                    <w:spacing w:line="0" w:lineRule="atLeast"/>
                    <w:jc w:val="center"/>
                    <w:rPr>
                      <w:rFonts w:ascii="宋体" w:hAnsi="宋体" w:cs="宋体"/>
                      <w:color w:val="000000"/>
                      <w:szCs w:val="21"/>
                    </w:rPr>
                  </w:pPr>
                </w:p>
                <w:p>
                  <w:pPr>
                    <w:spacing w:line="0" w:lineRule="atLeast"/>
                    <w:jc w:val="center"/>
                    <w:rPr>
                      <w:rFonts w:ascii="宋体" w:hAnsi="宋体" w:cs="宋体"/>
                      <w:color w:val="000000"/>
                      <w:szCs w:val="21"/>
                    </w:rPr>
                  </w:pPr>
                </w:p>
                <w:p>
                  <w:pPr>
                    <w:spacing w:line="0" w:lineRule="atLeast"/>
                    <w:jc w:val="center"/>
                    <w:rPr>
                      <w:rFonts w:ascii="宋体" w:hAnsi="宋体"/>
                      <w:kern w:val="0"/>
                    </w:rPr>
                  </w:pPr>
                  <w:r>
                    <w:rPr>
                      <w:rFonts w:hint="eastAsia" w:ascii="宋体" w:hAnsi="宋体" w:cs="宋体"/>
                      <w:color w:val="000000"/>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38米自行式直臂型高空作业平台</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rPr>
                  </w:pPr>
                  <w:r>
                    <w:rPr>
                      <w:rFonts w:hint="eastAsia" w:ascii="宋体" w:hAnsi="宋体" w:cs="宋体"/>
                      <w:color w:val="000000"/>
                      <w:szCs w:val="21"/>
                    </w:rPr>
                    <w:t>S-125</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szCs w:val="21"/>
                      <w:u w:val="single"/>
                    </w:rPr>
                    <w:t>每2个月</w:t>
                  </w:r>
                  <w:r>
                    <w:rPr>
                      <w:rFonts w:hint="eastAsia" w:ascii="宋体" w:hAnsi="宋体"/>
                      <w:szCs w:val="21"/>
                    </w:rPr>
                    <w:t>定期维保一次，1次大保/年，共</w:t>
                  </w:r>
                  <w:r>
                    <w:rPr>
                      <w:rFonts w:hint="eastAsia" w:ascii="宋体" w:hAnsi="宋体" w:cs="宋体"/>
                      <w:color w:val="000000"/>
                      <w:szCs w:val="21"/>
                    </w:rPr>
                    <w:t>7次/年。</w:t>
                  </w:r>
                </w:p>
              </w:tc>
              <w:tc>
                <w:tcPr>
                  <w:tcW w:w="850" w:type="dxa"/>
                  <w:vMerge w:val="restart"/>
                  <w:tcBorders>
                    <w:top w:val="single" w:color="auto" w:sz="4" w:space="0"/>
                    <w:left w:val="nil"/>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1" w:type="dxa"/>
                  <w:vMerge w:val="continue"/>
                  <w:tcBorders>
                    <w:top w:val="single" w:color="auto" w:sz="4" w:space="0"/>
                    <w:left w:val="single" w:color="auto" w:sz="4" w:space="0"/>
                    <w:bottom w:val="single" w:color="auto" w:sz="4" w:space="0"/>
                    <w:right w:val="single" w:color="auto" w:sz="4" w:space="0"/>
                  </w:tcBorders>
                </w:tcPr>
                <w:p>
                  <w:pPr>
                    <w:spacing w:line="0" w:lineRule="atLeast"/>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38米保养包</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rPr>
                  </w:pPr>
                  <w:r>
                    <w:rPr>
                      <w:rFonts w:hint="eastAsia" w:ascii="宋体" w:hAnsi="宋体" w:cs="宋体"/>
                      <w:color w:val="000000"/>
                      <w:szCs w:val="21"/>
                    </w:rPr>
                    <w:t>套：机油滤 49924*1个</w:t>
                  </w:r>
                  <w:r>
                    <w:rPr>
                      <w:rFonts w:hint="eastAsia" w:ascii="宋体" w:hAnsi="宋体" w:cs="宋体"/>
                      <w:color w:val="000000"/>
                      <w:szCs w:val="21"/>
                    </w:rPr>
                    <w:br w:type="textWrapping"/>
                  </w:r>
                  <w:r>
                    <w:rPr>
                      <w:rFonts w:hint="eastAsia" w:ascii="宋体" w:hAnsi="宋体" w:cs="宋体"/>
                      <w:color w:val="000000"/>
                      <w:szCs w:val="21"/>
                    </w:rPr>
                    <w:t>柴油滤 29560*1个</w:t>
                  </w:r>
                  <w:r>
                    <w:rPr>
                      <w:rFonts w:hint="eastAsia" w:ascii="宋体" w:hAnsi="宋体" w:cs="宋体"/>
                      <w:color w:val="000000"/>
                      <w:szCs w:val="21"/>
                    </w:rPr>
                    <w:br w:type="textWrapping"/>
                  </w:r>
                  <w:r>
                    <w:rPr>
                      <w:rFonts w:hint="eastAsia" w:ascii="宋体" w:hAnsi="宋体" w:cs="宋体"/>
                      <w:color w:val="000000"/>
                      <w:szCs w:val="21"/>
                    </w:rPr>
                    <w:t>空气滤 62425*1个</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更换2套/年</w:t>
                  </w:r>
                </w:p>
              </w:tc>
              <w:tc>
                <w:tcPr>
                  <w:tcW w:w="850" w:type="dxa"/>
                  <w:vMerge w:val="continue"/>
                  <w:tcBorders>
                    <w:left w:val="nil"/>
                    <w:right w:val="single" w:color="auto" w:sz="4" w:space="0"/>
                  </w:tcBorders>
                  <w:vAlign w:val="center"/>
                </w:tcPr>
                <w:p>
                  <w:pPr>
                    <w:spacing w:line="0" w:lineRule="atLeas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Borders>
                    <w:top w:val="single" w:color="auto" w:sz="4" w:space="0"/>
                    <w:left w:val="single" w:color="auto" w:sz="4" w:space="0"/>
                    <w:bottom w:val="single" w:color="auto" w:sz="4" w:space="0"/>
                    <w:right w:val="single" w:color="auto" w:sz="4" w:space="0"/>
                  </w:tcBorders>
                </w:tcPr>
                <w:p>
                  <w:pPr>
                    <w:spacing w:line="0" w:lineRule="atLeast"/>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38米专用柴油发动机机油</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olor w:val="000000"/>
                    </w:rPr>
                  </w:pPr>
                  <w:r>
                    <w:rPr>
                      <w:rFonts w:hint="eastAsia" w:ascii="宋体" w:hAnsi="宋体" w:cs="宋体"/>
                      <w:color w:val="000000"/>
                      <w:szCs w:val="21"/>
                    </w:rPr>
                    <w:t>美孚超级黑霸王CI</w:t>
                  </w: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cs="宋体"/>
                      <w:color w:val="000000"/>
                      <w:szCs w:val="21"/>
                    </w:rPr>
                    <w:t>更换36升/年</w:t>
                  </w:r>
                </w:p>
              </w:tc>
              <w:tc>
                <w:tcPr>
                  <w:tcW w:w="850" w:type="dxa"/>
                  <w:vMerge w:val="continue"/>
                  <w:tcBorders>
                    <w:left w:val="nil"/>
                    <w:bottom w:val="single" w:color="auto" w:sz="4" w:space="0"/>
                    <w:right w:val="single" w:color="auto" w:sz="4" w:space="0"/>
                  </w:tcBorders>
                  <w:vAlign w:val="center"/>
                </w:tcPr>
                <w:p>
                  <w:pPr>
                    <w:spacing w:line="0" w:lineRule="atLeas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263" w:type="dxa"/>
                  <w:gridSpan w:val="2"/>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cs="宋体"/>
                      <w:color w:val="000000"/>
                      <w:szCs w:val="21"/>
                    </w:rPr>
                  </w:pPr>
                  <w:r>
                    <w:rPr>
                      <w:rFonts w:hint="eastAsia" w:ascii="宋体" w:hAnsi="宋体"/>
                      <w:kern w:val="0"/>
                    </w:rPr>
                    <w:t>合计</w:t>
                  </w:r>
                </w:p>
              </w:tc>
              <w:tc>
                <w:tcPr>
                  <w:tcW w:w="156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color w:val="000000"/>
                      <w:szCs w:val="21"/>
                    </w:rPr>
                  </w:pPr>
                </w:p>
              </w:tc>
              <w:tc>
                <w:tcPr>
                  <w:tcW w:w="26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color w:val="000000"/>
                      <w:szCs w:val="21"/>
                    </w:rPr>
                  </w:pPr>
                </w:p>
              </w:tc>
              <w:tc>
                <w:tcPr>
                  <w:tcW w:w="85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kern w:val="0"/>
                    </w:rPr>
                  </w:pPr>
                  <w:r>
                    <w:rPr>
                      <w:rFonts w:hint="eastAsia" w:ascii="宋体" w:hAnsi="宋体"/>
                      <w:kern w:val="0"/>
                    </w:rPr>
                    <w:t>7台</w:t>
                  </w:r>
                </w:p>
              </w:tc>
            </w:tr>
          </w:tbl>
          <w:p>
            <w:pPr>
              <w:ind w:left="1386" w:leftChars="660" w:firstLine="1136" w:firstLineChars="539"/>
              <w:rPr>
                <w:rFonts w:ascii="宋体" w:hAnsi="宋体" w:cs="宋体"/>
                <w:b/>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olor w:val="000000"/>
              </w:rPr>
              <w:t>高空作业平台每次维保内容</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ind w:left="0" w:firstLine="0"/>
              <w:rPr>
                <w:rFonts w:ascii="宋体" w:hAnsi="宋体"/>
                <w:color w:val="FF0000"/>
              </w:rPr>
            </w:pPr>
            <w:r>
              <w:rPr>
                <w:rFonts w:hint="eastAsia" w:ascii="宋体" w:hAnsi="宋体"/>
              </w:rPr>
              <w:t>机械结构、液压部分、启动电瓶及发动机系统、上下控制系统、安全系统检查测试（详见附件1《美国吉尼高空设备每次维保项目及内容》）。</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 w:firstLineChars="50"/>
              <w:rPr>
                <w:rFonts w:ascii="宋体" w:hAnsi="宋体"/>
              </w:rPr>
            </w:pPr>
            <w:r>
              <w:rPr>
                <w:rFonts w:hint="eastAsia" w:ascii="宋体" w:hAnsi="宋体"/>
              </w:rPr>
              <w:t>不可</w:t>
            </w:r>
          </w:p>
          <w:p>
            <w:pPr>
              <w:jc w:val="center"/>
            </w:pPr>
            <w:r>
              <w:rPr>
                <w:rFonts w:hint="eastAsia" w:ascii="宋体" w:hAnsi="宋体"/>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3</w:t>
            </w:r>
          </w:p>
        </w:tc>
        <w:tc>
          <w:tcPr>
            <w:tcW w:w="13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szCs w:val="21"/>
              </w:rPr>
            </w:pPr>
            <w:r>
              <w:rPr>
                <w:rFonts w:hint="eastAsia" w:ascii="宋体" w:hAnsi="宋体" w:cs="宋体"/>
                <w:kern w:val="0"/>
                <w:szCs w:val="21"/>
                <w:lang w:val="zh-CN"/>
              </w:rPr>
              <w:t>维保服务</w:t>
            </w:r>
          </w:p>
          <w:p>
            <w:pPr>
              <w:rPr>
                <w:rFonts w:ascii="宋体" w:hAnsi="宋体"/>
                <w:color w:val="000000"/>
                <w:szCs w:val="21"/>
              </w:rPr>
            </w:pPr>
            <w:r>
              <w:rPr>
                <w:rFonts w:hint="eastAsia" w:ascii="宋体" w:hAnsi="宋体" w:cs="宋体"/>
                <w:kern w:val="0"/>
                <w:szCs w:val="21"/>
                <w:lang w:val="zh-CN"/>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szCs w:val="21"/>
              </w:rPr>
            </w:pPr>
            <w:r>
              <w:rPr>
                <w:rFonts w:hint="eastAsia" w:ascii="宋体" w:hAnsi="宋体" w:cs="宋体"/>
                <w:kern w:val="0"/>
                <w:szCs w:val="21"/>
                <w:lang w:val="zh-CN"/>
              </w:rPr>
              <w:t>（</w:t>
            </w:r>
            <w:r>
              <w:rPr>
                <w:rFonts w:ascii="宋体" w:hAnsi="宋体"/>
                <w:kern w:val="0"/>
                <w:szCs w:val="21"/>
              </w:rPr>
              <w:t>1</w:t>
            </w:r>
            <w:r>
              <w:rPr>
                <w:rFonts w:hint="eastAsia" w:ascii="宋体" w:hAnsi="宋体" w:cs="宋体"/>
                <w:kern w:val="0"/>
                <w:szCs w:val="21"/>
                <w:lang w:val="zh-CN"/>
              </w:rPr>
              <w:t>）投标人应严格按照附件</w:t>
            </w:r>
            <w:r>
              <w:rPr>
                <w:rFonts w:ascii="宋体" w:hAnsi="宋体"/>
                <w:kern w:val="0"/>
                <w:szCs w:val="21"/>
              </w:rPr>
              <w:t>1</w:t>
            </w:r>
            <w:r>
              <w:rPr>
                <w:rFonts w:hint="eastAsia" w:ascii="宋体" w:hAnsi="宋体" w:cs="宋体"/>
                <w:kern w:val="0"/>
                <w:szCs w:val="21"/>
                <w:lang w:val="zh-CN"/>
              </w:rPr>
              <w:t>内容对设备进行每两个月一次的设备日常维护保养，另外每年须要对所有设备进行一次全方面的大保检查（即：每一年度六次常规保养、一次大保养，共计七次）；免费应急维修次数不限（注：不包含单件价值</w:t>
            </w:r>
            <w:r>
              <w:rPr>
                <w:rFonts w:ascii="宋体" w:hAnsi="宋体"/>
                <w:kern w:val="0"/>
                <w:szCs w:val="21"/>
              </w:rPr>
              <w:t>500</w:t>
            </w:r>
            <w:r>
              <w:rPr>
                <w:rFonts w:hint="eastAsia" w:ascii="宋体" w:hAnsi="宋体" w:cs="宋体"/>
                <w:kern w:val="0"/>
                <w:szCs w:val="21"/>
                <w:lang w:val="zh-CN"/>
              </w:rPr>
              <w:t>元以上维修配件费用）。</w:t>
            </w:r>
          </w:p>
          <w:p>
            <w:pPr>
              <w:autoSpaceDE w:val="0"/>
              <w:autoSpaceDN w:val="0"/>
              <w:adjustRightInd w:val="0"/>
              <w:rPr>
                <w:rFonts w:ascii="宋体" w:hAnsi="宋体"/>
                <w:kern w:val="0"/>
                <w:szCs w:val="21"/>
              </w:rPr>
            </w:pPr>
            <w:r>
              <w:rPr>
                <w:rFonts w:hint="eastAsia" w:ascii="宋体" w:hAnsi="宋体" w:cs="宋体"/>
                <w:kern w:val="0"/>
                <w:szCs w:val="21"/>
                <w:lang w:val="zh-CN"/>
              </w:rPr>
              <w:t>（</w:t>
            </w:r>
            <w:r>
              <w:rPr>
                <w:rFonts w:ascii="宋体" w:hAnsi="宋体"/>
                <w:kern w:val="0"/>
                <w:szCs w:val="21"/>
              </w:rPr>
              <w:t>2</w:t>
            </w:r>
            <w:r>
              <w:rPr>
                <w:rFonts w:hint="eastAsia" w:ascii="宋体" w:hAnsi="宋体" w:cs="宋体"/>
                <w:kern w:val="0"/>
                <w:szCs w:val="21"/>
                <w:lang w:val="zh-CN"/>
              </w:rPr>
              <w:t>）投标人每次按计划完成维修保养后必须向招标人职能部门提交维修保养工作记录，详列本次维修保养完成情况、检测记录和维修保养材料使用情况，并通过设备管理负责人核实验收。</w:t>
            </w:r>
          </w:p>
          <w:p>
            <w:pPr>
              <w:numPr>
                <w:ilvl w:val="255"/>
                <w:numId w:val="0"/>
              </w:numPr>
              <w:tabs>
                <w:tab w:val="left" w:pos="531"/>
              </w:tabs>
              <w:snapToGrid w:val="0"/>
              <w:rPr>
                <w:rFonts w:ascii="宋体" w:hAnsi="宋体"/>
                <w:szCs w:val="21"/>
              </w:rPr>
            </w:pPr>
            <w:r>
              <w:rPr>
                <w:rFonts w:hint="eastAsia" w:ascii="宋体" w:hAnsi="宋体" w:cs="宋体"/>
                <w:kern w:val="0"/>
                <w:szCs w:val="21"/>
                <w:lang w:val="zh-CN"/>
              </w:rPr>
              <w:t>（</w:t>
            </w:r>
            <w:r>
              <w:rPr>
                <w:rFonts w:ascii="宋体" w:hAnsi="宋体"/>
                <w:kern w:val="0"/>
                <w:szCs w:val="21"/>
              </w:rPr>
              <w:t>3</w:t>
            </w:r>
            <w:r>
              <w:rPr>
                <w:rFonts w:hint="eastAsia" w:ascii="宋体" w:hAnsi="宋体" w:cs="宋体"/>
                <w:kern w:val="0"/>
                <w:szCs w:val="21"/>
                <w:lang w:val="zh-CN"/>
              </w:rPr>
              <w:t>）在每年度维保工作完成后需提交维修保养工作年度报告，详列上一年度维修保养工作完成情况，设备状况及维修零配件使用和更换情况。并配合招标人对</w:t>
            </w:r>
            <w:r>
              <w:rPr>
                <w:rFonts w:hint="eastAsia" w:ascii="宋体" w:hAnsi="宋体" w:cs="宋体"/>
                <w:szCs w:val="21"/>
              </w:rPr>
              <w:t>投标人的维保服务质量、各项承诺兑现情况等因素进行年度考核评审。</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 w:firstLineChars="50"/>
              <w:rPr>
                <w:rFonts w:ascii="宋体" w:hAnsi="宋体"/>
              </w:rPr>
            </w:pPr>
            <w:r>
              <w:rPr>
                <w:rFonts w:hint="eastAsia" w:ascii="宋体" w:hAnsi="宋体"/>
              </w:rPr>
              <w:t>不可</w:t>
            </w:r>
          </w:p>
          <w:p>
            <w:pPr>
              <w:spacing w:line="360" w:lineRule="auto"/>
              <w:ind w:firstLine="105" w:firstLineChars="50"/>
              <w:rPr>
                <w:rFonts w:ascii="宋体" w:hAnsi="宋体"/>
              </w:rPr>
            </w:pPr>
            <w:r>
              <w:rPr>
                <w:rFonts w:hint="eastAsia" w:ascii="宋体" w:hAnsi="宋体"/>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lang w:val="en-US" w:eastAsia="zh-CN"/>
              </w:rPr>
              <w:t>4</w:t>
            </w:r>
          </w:p>
        </w:tc>
        <w:tc>
          <w:tcPr>
            <w:tcW w:w="1341" w:type="dxa"/>
            <w:tcBorders>
              <w:top w:val="single" w:color="auto" w:sz="4" w:space="0"/>
              <w:left w:val="single" w:color="auto" w:sz="4" w:space="0"/>
              <w:bottom w:val="single" w:color="auto" w:sz="4" w:space="0"/>
              <w:right w:val="single" w:color="auto" w:sz="4" w:space="0"/>
            </w:tcBorders>
            <w:vAlign w:val="center"/>
          </w:tcPr>
          <w:p>
            <w:pPr>
              <w:spacing w:line="0" w:lineRule="atLeast"/>
              <w:ind w:left="315" w:hanging="315" w:hangingChars="150"/>
              <w:jc w:val="center"/>
              <w:rPr>
                <w:rFonts w:ascii="宋体" w:hAnsi="宋体"/>
                <w:color w:val="000000"/>
              </w:rPr>
            </w:pPr>
            <w:r>
              <w:rPr>
                <w:rFonts w:hint="eastAsia" w:ascii="宋体" w:hAnsi="宋体"/>
                <w:color w:val="000000"/>
              </w:rPr>
              <w:t>维保验收</w:t>
            </w:r>
          </w:p>
          <w:p>
            <w:pPr>
              <w:jc w:val="center"/>
            </w:pPr>
            <w:r>
              <w:rPr>
                <w:rFonts w:hint="eastAsia" w:ascii="宋体" w:hAnsi="宋体"/>
                <w:color w:val="000000"/>
              </w:rPr>
              <w:t>标准</w:t>
            </w:r>
          </w:p>
          <w:p>
            <w:pPr>
              <w:jc w:val="center"/>
              <w:rPr>
                <w:rFonts w:ascii="宋体" w:hAnsi="宋体" w:cs="宋体"/>
                <w:color w:val="FF0000"/>
                <w:szCs w:val="21"/>
              </w:rPr>
            </w:pP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0"/>
                <w:numId w:val="14"/>
              </w:numPr>
              <w:ind w:left="720" w:hanging="720"/>
              <w:rPr>
                <w:rFonts w:ascii="宋体" w:hAnsi="宋体"/>
                <w:color w:val="000000"/>
              </w:rPr>
            </w:pPr>
            <w:r>
              <w:rPr>
                <w:rFonts w:hint="eastAsia" w:ascii="宋体" w:hAnsi="宋体"/>
                <w:color w:val="000000"/>
              </w:rPr>
              <w:t>车身整洁干净无杂物，车辆所配备设施功能齐全有效；</w:t>
            </w:r>
          </w:p>
          <w:p>
            <w:pPr>
              <w:widowControl/>
              <w:numPr>
                <w:ilvl w:val="0"/>
                <w:numId w:val="14"/>
              </w:numPr>
              <w:ind w:left="720" w:hanging="720"/>
              <w:rPr>
                <w:rFonts w:ascii="宋体" w:hAnsi="宋体"/>
                <w:color w:val="000000"/>
              </w:rPr>
            </w:pPr>
            <w:r>
              <w:rPr>
                <w:rFonts w:hint="eastAsia" w:ascii="宋体" w:hAnsi="宋体"/>
                <w:color w:val="000000"/>
              </w:rPr>
              <w:t>车辆启动正常，行走灵活安全可靠；</w:t>
            </w:r>
          </w:p>
          <w:p>
            <w:pPr>
              <w:widowControl/>
              <w:numPr>
                <w:ilvl w:val="0"/>
                <w:numId w:val="14"/>
              </w:numPr>
              <w:ind w:left="720" w:hanging="720"/>
              <w:rPr>
                <w:rFonts w:ascii="宋体" w:hAnsi="宋体"/>
                <w:color w:val="000000"/>
              </w:rPr>
            </w:pPr>
            <w:r>
              <w:rPr>
                <w:rFonts w:hint="eastAsia" w:ascii="宋体" w:hAnsi="宋体"/>
                <w:color w:val="000000"/>
              </w:rPr>
              <w:t>蓄电池表面无脏物，电瓶连接线无老化，电瓶极 柱螺栓要紧固，工作电压要符合标准，充电要均衡；</w:t>
            </w:r>
          </w:p>
          <w:p>
            <w:pPr>
              <w:widowControl/>
              <w:numPr>
                <w:ilvl w:val="0"/>
                <w:numId w:val="14"/>
              </w:numPr>
              <w:ind w:left="720" w:hanging="720"/>
              <w:rPr>
                <w:rFonts w:ascii="宋体" w:hAnsi="宋体"/>
                <w:color w:val="000000"/>
              </w:rPr>
            </w:pPr>
            <w:r>
              <w:rPr>
                <w:rFonts w:hint="eastAsia" w:ascii="宋体" w:hAnsi="宋体"/>
                <w:color w:val="000000"/>
              </w:rPr>
              <w:t>发动机运转无异响，发动机螺栓要紧固；</w:t>
            </w:r>
          </w:p>
          <w:p>
            <w:pPr>
              <w:widowControl/>
              <w:numPr>
                <w:ilvl w:val="0"/>
                <w:numId w:val="14"/>
              </w:numPr>
              <w:ind w:left="720" w:hanging="720"/>
              <w:rPr>
                <w:rFonts w:ascii="宋体" w:hAnsi="宋体"/>
                <w:color w:val="000000"/>
              </w:rPr>
            </w:pPr>
            <w:r>
              <w:rPr>
                <w:rFonts w:hint="eastAsia" w:ascii="宋体" w:hAnsi="宋体"/>
                <w:color w:val="000000"/>
              </w:rPr>
              <w:t>电控系统要求各连接点要保持紧固状态，接触点闭合正常、无灰尘杂物；</w:t>
            </w:r>
          </w:p>
          <w:p>
            <w:pPr>
              <w:widowControl/>
              <w:numPr>
                <w:ilvl w:val="0"/>
                <w:numId w:val="14"/>
              </w:numPr>
              <w:ind w:left="720" w:hanging="720"/>
              <w:rPr>
                <w:rFonts w:ascii="宋体" w:hAnsi="宋体"/>
                <w:color w:val="000000"/>
              </w:rPr>
            </w:pPr>
            <w:r>
              <w:rPr>
                <w:rFonts w:hint="eastAsia" w:ascii="宋体" w:hAnsi="宋体"/>
                <w:color w:val="000000"/>
              </w:rPr>
              <w:t>比例操作延时缓冲平缓稳定；</w:t>
            </w:r>
          </w:p>
          <w:p>
            <w:pPr>
              <w:widowControl/>
              <w:numPr>
                <w:ilvl w:val="0"/>
                <w:numId w:val="14"/>
              </w:numPr>
              <w:ind w:left="720" w:hanging="720"/>
              <w:rPr>
                <w:rFonts w:ascii="宋体" w:hAnsi="宋体"/>
                <w:color w:val="000000"/>
              </w:rPr>
            </w:pPr>
            <w:r>
              <w:rPr>
                <w:rFonts w:hint="eastAsia" w:ascii="宋体" w:hAnsi="宋体"/>
                <w:color w:val="000000"/>
              </w:rPr>
              <w:t>操作平台：操作平台旋转、应急停机、速度、机器功能、安稳控制报警、倾斜报警、转向、驾驶和制动正常；</w:t>
            </w:r>
          </w:p>
          <w:p>
            <w:pPr>
              <w:widowControl/>
              <w:numPr>
                <w:ilvl w:val="0"/>
                <w:numId w:val="14"/>
              </w:numPr>
              <w:ind w:left="720" w:hanging="720"/>
              <w:rPr>
                <w:rFonts w:ascii="宋体" w:hAnsi="宋体"/>
                <w:color w:val="000000"/>
              </w:rPr>
            </w:pPr>
            <w:r>
              <w:rPr>
                <w:rFonts w:hint="eastAsia" w:ascii="宋体" w:hAnsi="宋体"/>
                <w:color w:val="000000"/>
              </w:rPr>
              <w:t>液压部位：液压管连接部位无渗油/漏油现象；</w:t>
            </w:r>
          </w:p>
          <w:p>
            <w:pPr>
              <w:widowControl/>
              <w:numPr>
                <w:ilvl w:val="0"/>
                <w:numId w:val="14"/>
              </w:numPr>
              <w:ind w:left="720" w:hanging="720"/>
              <w:rPr>
                <w:rFonts w:ascii="宋体" w:hAnsi="宋体"/>
                <w:color w:val="000000"/>
              </w:rPr>
            </w:pPr>
            <w:r>
              <w:rPr>
                <w:rFonts w:hint="eastAsia" w:ascii="宋体" w:hAnsi="宋体"/>
                <w:color w:val="000000"/>
              </w:rPr>
              <w:t>报警装置：故障报警、倾斜报警、超载报警、安稳控制报警正常；</w:t>
            </w:r>
          </w:p>
          <w:p>
            <w:pPr>
              <w:ind w:left="735" w:hanging="735" w:hangingChars="350"/>
            </w:pPr>
            <w:r>
              <w:rPr>
                <w:rFonts w:hint="eastAsia" w:ascii="宋体" w:hAnsi="宋体"/>
                <w:color w:val="000000"/>
              </w:rPr>
              <w:t>（10） 地面操作功能：紧急停机、机器功能、驾驶和制动、安稳控制报警、倾斜报警工作正常。</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不可</w:t>
            </w:r>
          </w:p>
          <w:p>
            <w:pPr>
              <w:jc w:val="center"/>
            </w:pPr>
            <w:r>
              <w:rPr>
                <w:rFonts w:hint="eastAsia" w:ascii="宋体" w:hAnsi="宋体"/>
              </w:rPr>
              <w:t>偏离</w:t>
            </w:r>
          </w:p>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故障应急</w:t>
            </w:r>
          </w:p>
          <w:p>
            <w:pPr>
              <w:ind w:left="315" w:hanging="315" w:hangingChars="150"/>
              <w:jc w:val="center"/>
              <w:rPr>
                <w:rFonts w:ascii="宋体" w:hAnsi="宋体"/>
                <w:color w:val="000000"/>
              </w:rPr>
            </w:pPr>
            <w:r>
              <w:rPr>
                <w:rFonts w:hint="eastAsia" w:ascii="宋体" w:hAnsi="宋体"/>
                <w:color w:val="000000"/>
              </w:rPr>
              <w:t>响应服务</w:t>
            </w:r>
          </w:p>
          <w:p>
            <w:pPr>
              <w:jc w:val="center"/>
              <w:rPr>
                <w:rFonts w:ascii="宋体" w:hAnsi="宋体" w:cs="宋体"/>
                <w:color w:val="FF0000"/>
                <w:szCs w:val="21"/>
              </w:rPr>
            </w:pPr>
          </w:p>
        </w:tc>
        <w:tc>
          <w:tcPr>
            <w:tcW w:w="7438" w:type="dxa"/>
            <w:tcBorders>
              <w:top w:val="single" w:color="auto" w:sz="4" w:space="0"/>
              <w:left w:val="single" w:color="auto" w:sz="4" w:space="0"/>
              <w:bottom w:val="single" w:color="auto" w:sz="4" w:space="0"/>
              <w:right w:val="single" w:color="auto" w:sz="4" w:space="0"/>
            </w:tcBorders>
            <w:vAlign w:val="center"/>
          </w:tcPr>
          <w:p>
            <w:pPr>
              <w:pStyle w:val="22"/>
              <w:numPr>
                <w:ilvl w:val="0"/>
                <w:numId w:val="15"/>
              </w:numPr>
              <w:ind w:firstLineChars="0"/>
              <w:rPr>
                <w:rFonts w:ascii="宋体" w:hAnsi="宋体" w:eastAsia="宋体"/>
              </w:rPr>
            </w:pPr>
            <w:r>
              <w:rPr>
                <w:rFonts w:hint="eastAsia" w:ascii="宋体" w:hAnsi="宋体" w:eastAsia="宋体"/>
              </w:rPr>
              <w:t>设备每次规定的维护保养时间未到，设备出现故障，</w:t>
            </w:r>
            <w:r>
              <w:rPr>
                <w:rFonts w:hint="eastAsia" w:ascii="宋体" w:hAnsi="宋体" w:eastAsia="宋体"/>
                <w:szCs w:val="21"/>
              </w:rPr>
              <w:t>投标人在接到招标人</w:t>
            </w:r>
            <w:r>
              <w:rPr>
                <w:rFonts w:hint="eastAsia" w:ascii="宋体" w:hAnsi="宋体" w:eastAsia="宋体"/>
              </w:rPr>
              <w:t>电话或传真通知后24小时内给予维修。</w:t>
            </w:r>
            <w:r>
              <w:rPr>
                <w:rFonts w:hint="eastAsia" w:ascii="宋体" w:hAnsi="宋体" w:eastAsia="宋体"/>
                <w:color w:val="000000"/>
              </w:rPr>
              <w:t>维修人员在确定设备故障原因后，应及时出具设备故障检测报告并注明维修所需更换配件，并在接到维修通知后按约定时间给予维修。</w:t>
            </w:r>
          </w:p>
          <w:p>
            <w:pPr>
              <w:pStyle w:val="22"/>
              <w:numPr>
                <w:ilvl w:val="0"/>
                <w:numId w:val="15"/>
              </w:numPr>
              <w:ind w:firstLineChars="0"/>
              <w:rPr>
                <w:rFonts w:ascii="宋体" w:hAnsi="宋体" w:eastAsia="宋体"/>
              </w:rPr>
            </w:pPr>
            <w:r>
              <w:rPr>
                <w:rFonts w:hint="eastAsia" w:ascii="宋体" w:hAnsi="宋体" w:eastAsia="宋体"/>
              </w:rPr>
              <w:t>在合同期限内中标人会在招标人每年举办的几个重要展会（如：高交会、文博会）前对合同约定的高空作业平台进行检查，发现有故障隐患进行排除，并及时把需要更换的配件名单递交招标人审批，以最快的速度订购配件，及时换上以确保高空作业平台在重要展会上保持有效的运行状态，并在展会期间做到24小时应急响应服务，确保设备使用万无一失。</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不可</w:t>
            </w:r>
          </w:p>
          <w:p>
            <w:pPr>
              <w:jc w:val="center"/>
            </w:pPr>
            <w:r>
              <w:rPr>
                <w:rFonts w:hint="eastAsia" w:ascii="宋体" w:hAnsi="宋体"/>
              </w:rPr>
              <w:t>偏离</w:t>
            </w:r>
          </w:p>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ind w:left="315" w:hanging="315" w:hangingChars="150"/>
              <w:rPr>
                <w:rFonts w:ascii="宋体" w:hAnsi="宋体"/>
                <w:color w:val="000000"/>
              </w:rPr>
            </w:pPr>
            <w:r>
              <w:rPr>
                <w:rFonts w:hint="eastAsia" w:ascii="宋体" w:hAnsi="宋体"/>
                <w:color w:val="000000"/>
              </w:rPr>
              <w:t>维保人员</w:t>
            </w:r>
          </w:p>
          <w:p>
            <w:r>
              <w:rPr>
                <w:rFonts w:hint="eastAsia" w:ascii="宋体" w:hAnsi="宋体"/>
                <w:color w:val="000000"/>
              </w:rPr>
              <w:t>要求</w:t>
            </w:r>
          </w:p>
          <w:p>
            <w:pPr>
              <w:jc w:val="center"/>
              <w:rPr>
                <w:rFonts w:ascii="宋体" w:hAnsi="宋体" w:cs="宋体"/>
                <w:color w:val="FF0000"/>
                <w:szCs w:val="21"/>
              </w:rPr>
            </w:pPr>
          </w:p>
        </w:tc>
        <w:tc>
          <w:tcPr>
            <w:tcW w:w="743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维修保养人员：维保人员须具有经特雷克斯（常州）机械有限公司（美国吉尼公司中国工厂）正式培训后所颁发的吉尼高空作业平台培训师证资质（注：吉尼培训师证为吉尼高空作业平台设备专业资质证件，内容包含安全培训、操作培训及维修资格）。提供资质证明文件并加盖投标人公章。</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不可</w:t>
            </w:r>
          </w:p>
          <w:p>
            <w:pPr>
              <w:jc w:val="center"/>
            </w:pPr>
            <w:r>
              <w:rPr>
                <w:rFonts w:hint="eastAsia" w:ascii="宋体" w:hAnsi="宋体"/>
              </w:rPr>
              <w:t>偏离</w:t>
            </w:r>
          </w:p>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vMerge w:val="restart"/>
            <w:tcBorders>
              <w:top w:val="single" w:color="auto" w:sz="4" w:space="0"/>
              <w:left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6</w:t>
            </w:r>
          </w:p>
        </w:tc>
        <w:tc>
          <w:tcPr>
            <w:tcW w:w="1341"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szCs w:val="21"/>
              </w:rPr>
              <w:t>维保方案及服务承诺</w:t>
            </w:r>
          </w:p>
        </w:tc>
        <w:tc>
          <w:tcPr>
            <w:tcW w:w="7438" w:type="dxa"/>
            <w:vMerge w:val="restart"/>
            <w:tcBorders>
              <w:top w:val="single" w:color="auto" w:sz="4" w:space="0"/>
              <w:left w:val="single" w:color="auto" w:sz="4" w:space="0"/>
              <w:right w:val="single" w:color="auto" w:sz="4" w:space="0"/>
            </w:tcBorders>
            <w:vAlign w:val="center"/>
          </w:tcPr>
          <w:p>
            <w:pPr>
              <w:pStyle w:val="22"/>
              <w:widowControl/>
              <w:numPr>
                <w:ilvl w:val="0"/>
                <w:numId w:val="16"/>
              </w:numPr>
              <w:ind w:left="391" w:hanging="391" w:firstLineChars="0"/>
              <w:rPr>
                <w:rFonts w:ascii="宋体" w:hAnsi="宋体" w:eastAsia="宋体"/>
                <w:szCs w:val="21"/>
              </w:rPr>
            </w:pPr>
            <w:r>
              <w:rPr>
                <w:rFonts w:hint="eastAsia" w:ascii="宋体" w:hAnsi="宋体" w:eastAsia="宋体"/>
                <w:szCs w:val="21"/>
              </w:rPr>
              <w:t>投标人应根据招标人要求提供维保方案。</w:t>
            </w:r>
            <w:r>
              <w:rPr>
                <w:rFonts w:hint="eastAsia" w:ascii="宋体" w:hAnsi="宋体" w:eastAsia="宋体"/>
              </w:rPr>
              <w:t>包括但不限于详列保养项目、维保频率及进度安排、人员组织架构、设施设备情况及所需要的支持配合事项。</w:t>
            </w:r>
          </w:p>
          <w:p>
            <w:pPr>
              <w:pStyle w:val="22"/>
              <w:widowControl/>
              <w:numPr>
                <w:ilvl w:val="0"/>
                <w:numId w:val="16"/>
              </w:numPr>
              <w:ind w:left="391" w:hanging="391" w:firstLineChars="0"/>
              <w:rPr>
                <w:rFonts w:ascii="宋体" w:hAnsi="宋体"/>
                <w:szCs w:val="21"/>
              </w:rPr>
            </w:pPr>
            <w:r>
              <w:rPr>
                <w:rFonts w:hint="eastAsia" w:ascii="宋体" w:hAnsi="宋体" w:eastAsia="宋体"/>
                <w:szCs w:val="21"/>
              </w:rPr>
              <w:t>招标人对验收不合格及维保不及时不到位等情况，拥有按双方维保合同约定比例扣减维保费用的权利，具体扣减条款会经双方确认后体现在维保合同中。</w:t>
            </w:r>
          </w:p>
          <w:p>
            <w:pPr>
              <w:pStyle w:val="22"/>
              <w:widowControl/>
              <w:numPr>
                <w:ilvl w:val="0"/>
                <w:numId w:val="16"/>
              </w:numPr>
              <w:ind w:left="391" w:hanging="391" w:firstLineChars="0"/>
              <w:rPr>
                <w:rFonts w:ascii="宋体" w:hAnsi="宋体"/>
                <w:szCs w:val="21"/>
              </w:rPr>
            </w:pPr>
            <w:r>
              <w:rPr>
                <w:rFonts w:hint="eastAsia" w:ascii="宋体" w:hAnsi="宋体" w:eastAsia="宋体"/>
                <w:szCs w:val="21"/>
              </w:rPr>
              <w:t>每次维保必须有详细、规范的记录</w:t>
            </w:r>
            <w:r>
              <w:rPr>
                <w:rFonts w:ascii="宋体" w:hAnsi="宋体" w:eastAsia="宋体"/>
                <w:szCs w:val="21"/>
              </w:rPr>
              <w:t>。</w:t>
            </w:r>
            <w:r>
              <w:rPr>
                <w:rFonts w:hint="eastAsia" w:ascii="宋体" w:hAnsi="宋体" w:eastAsia="宋体"/>
                <w:szCs w:val="21"/>
              </w:rPr>
              <w:t>中标单位在</w:t>
            </w:r>
            <w:r>
              <w:rPr>
                <w:rFonts w:ascii="宋体" w:hAnsi="宋体" w:eastAsia="宋体"/>
                <w:szCs w:val="21"/>
              </w:rPr>
              <w:t>每维保年度结束</w:t>
            </w:r>
            <w:r>
              <w:rPr>
                <w:rFonts w:hint="eastAsia" w:ascii="宋体" w:hAnsi="宋体" w:eastAsia="宋体"/>
                <w:szCs w:val="21"/>
              </w:rPr>
              <w:t>时需提供上年度的维保报告，</w:t>
            </w:r>
            <w:r>
              <w:rPr>
                <w:rFonts w:hint="eastAsia" w:ascii="宋体" w:hAnsi="宋体" w:eastAsia="宋体"/>
                <w:szCs w:val="21"/>
                <w:lang w:eastAsia="zh-CN"/>
              </w:rPr>
              <w:t>报告</w:t>
            </w:r>
            <w:r>
              <w:rPr>
                <w:rFonts w:hint="eastAsia" w:ascii="宋体" w:hAnsi="宋体" w:eastAsia="宋体"/>
                <w:szCs w:val="21"/>
              </w:rPr>
              <w:t>包括设备状况、更换零配件清单（包括数量，价格等）、响应情况、设备存在问题以及建议等。</w:t>
            </w:r>
          </w:p>
          <w:p>
            <w:pPr>
              <w:pStyle w:val="22"/>
              <w:widowControl/>
              <w:numPr>
                <w:ilvl w:val="0"/>
                <w:numId w:val="16"/>
              </w:numPr>
              <w:ind w:left="391" w:hanging="391" w:firstLineChars="0"/>
              <w:rPr>
                <w:rFonts w:ascii="宋体" w:hAnsi="宋体" w:eastAsia="宋体"/>
                <w:szCs w:val="21"/>
              </w:rPr>
            </w:pPr>
            <w:r>
              <w:rPr>
                <w:rFonts w:hint="eastAsia" w:ascii="宋体" w:hAnsi="宋体" w:eastAsia="宋体"/>
                <w:szCs w:val="21"/>
              </w:rPr>
              <w:t>提供《美国吉尼高空作业平台设定零配件报价清单表》</w:t>
            </w:r>
            <w:r>
              <w:rPr>
                <w:rFonts w:hint="eastAsia" w:ascii="宋体" w:hAnsi="宋体" w:eastAsia="宋体"/>
                <w:szCs w:val="21"/>
                <w:lang w:eastAsia="zh-CN"/>
              </w:rPr>
              <w:t>（表格</w:t>
            </w:r>
            <w:r>
              <w:rPr>
                <w:rFonts w:hint="eastAsia" w:ascii="宋体" w:hAnsi="宋体" w:eastAsia="宋体"/>
                <w:szCs w:val="21"/>
                <w:lang w:val="en-US" w:eastAsia="zh-CN"/>
              </w:rPr>
              <w:t>2</w:t>
            </w:r>
            <w:r>
              <w:rPr>
                <w:rFonts w:hint="eastAsia" w:ascii="宋体" w:hAnsi="宋体" w:eastAsia="宋体"/>
                <w:szCs w:val="21"/>
                <w:lang w:eastAsia="zh-CN"/>
              </w:rPr>
              <w:t>）</w:t>
            </w:r>
          </w:p>
          <w:p>
            <w:pPr>
              <w:pStyle w:val="22"/>
              <w:widowControl/>
              <w:numPr>
                <w:ilvl w:val="0"/>
                <w:numId w:val="16"/>
              </w:numPr>
              <w:ind w:left="391" w:hanging="391" w:firstLineChars="0"/>
              <w:rPr>
                <w:rFonts w:ascii="宋体" w:hAnsi="宋体"/>
                <w:szCs w:val="21"/>
              </w:rPr>
            </w:pPr>
            <w:r>
              <w:rPr>
                <w:rFonts w:hint="eastAsia" w:ascii="宋体" w:hAnsi="宋体" w:eastAsia="宋体"/>
                <w:szCs w:val="21"/>
              </w:rPr>
              <w:t>提供所维保设备主要零配件价格清单，含型号及报价，主要零配件规格型号的数量不限但要求尽量罗列；报价有效期一年，价格清单每年向招标人更新一次；如遇价格特殊变化情况应提前向招标人提出。</w:t>
            </w:r>
          </w:p>
          <w:p>
            <w:pPr>
              <w:pStyle w:val="22"/>
              <w:widowControl/>
              <w:numPr>
                <w:ilvl w:val="0"/>
                <w:numId w:val="16"/>
              </w:numPr>
              <w:ind w:left="391" w:hanging="391" w:firstLineChars="0"/>
              <w:rPr>
                <w:rFonts w:ascii="宋体" w:hAnsi="宋体" w:eastAsia="宋体"/>
                <w:szCs w:val="21"/>
              </w:rPr>
            </w:pPr>
            <w:r>
              <w:rPr>
                <w:rFonts w:hint="eastAsia" w:ascii="宋体" w:hAnsi="宋体" w:eastAsia="宋体"/>
                <w:szCs w:val="21"/>
              </w:rPr>
              <w:t>提供承诺免费更换维修零配件清单（投标人免费更换维修</w:t>
            </w:r>
            <w:r>
              <w:rPr>
                <w:rFonts w:hint="eastAsia" w:ascii="宋体" w:hAnsi="宋体" w:eastAsia="宋体"/>
                <w:color w:val="000000"/>
              </w:rPr>
              <w:t>单件价值人民币≤</w:t>
            </w:r>
            <w:r>
              <w:rPr>
                <w:rFonts w:hint="eastAsia" w:ascii="宋体" w:hAnsi="宋体" w:eastAsia="宋体"/>
                <w:color w:val="000000"/>
                <w:u w:val="single"/>
              </w:rPr>
              <w:t>500</w:t>
            </w:r>
            <w:r>
              <w:rPr>
                <w:rFonts w:hint="eastAsia" w:ascii="宋体" w:hAnsi="宋体" w:eastAsia="宋体"/>
                <w:color w:val="000000"/>
              </w:rPr>
              <w:t>元的</w:t>
            </w:r>
            <w:r>
              <w:rPr>
                <w:rFonts w:hint="eastAsia" w:ascii="宋体" w:hAnsi="宋体" w:eastAsia="宋体"/>
                <w:szCs w:val="21"/>
              </w:rPr>
              <w:t>零配件</w:t>
            </w:r>
            <w:r>
              <w:rPr>
                <w:rFonts w:ascii="宋体" w:hAnsi="宋体" w:eastAsia="宋体"/>
                <w:szCs w:val="21"/>
              </w:rPr>
              <w:t>，</w:t>
            </w:r>
            <w:r>
              <w:rPr>
                <w:rFonts w:hint="eastAsia" w:ascii="宋体" w:hAnsi="宋体" w:eastAsia="宋体"/>
                <w:szCs w:val="21"/>
              </w:rPr>
              <w:t>即高于单价价格500元的零配件由招标人购买，低于单价价格500元的零配件由投标人购买，以提供的零配件价格清单为准，</w:t>
            </w:r>
            <w:r>
              <w:rPr>
                <w:rFonts w:ascii="宋体" w:hAnsi="宋体" w:eastAsia="宋体"/>
                <w:szCs w:val="21"/>
              </w:rPr>
              <w:t>提供的零配件价格清单应不高于市场价格）。</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不可</w:t>
            </w:r>
          </w:p>
          <w:p>
            <w:pPr>
              <w:jc w:val="center"/>
            </w:pPr>
            <w:r>
              <w:rPr>
                <w:rFonts w:hint="eastAsia" w:ascii="宋体" w:hAnsi="宋体"/>
              </w:rPr>
              <w:t>偏离</w:t>
            </w:r>
          </w:p>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9" w:type="dxa"/>
            <w:vMerge w:val="continue"/>
            <w:tcBorders>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p>
        </w:tc>
        <w:tc>
          <w:tcPr>
            <w:tcW w:w="1341" w:type="dxa"/>
            <w:vMerge w:val="continue"/>
            <w:tcBorders>
              <w:left w:val="single" w:color="auto" w:sz="4" w:space="0"/>
              <w:bottom w:val="single" w:color="auto" w:sz="4" w:space="0"/>
              <w:right w:val="single" w:color="auto" w:sz="4" w:space="0"/>
            </w:tcBorders>
            <w:vAlign w:val="center"/>
          </w:tcPr>
          <w:p>
            <w:pPr>
              <w:rPr>
                <w:rFonts w:ascii="宋体" w:hAnsi="宋体" w:cs="宋体"/>
                <w:color w:val="FF0000"/>
                <w:szCs w:val="21"/>
              </w:rPr>
            </w:pPr>
          </w:p>
        </w:tc>
        <w:tc>
          <w:tcPr>
            <w:tcW w:w="7438" w:type="dxa"/>
            <w:vMerge w:val="continue"/>
            <w:tcBorders>
              <w:left w:val="single" w:color="auto" w:sz="4" w:space="0"/>
              <w:bottom w:val="single" w:color="auto" w:sz="4" w:space="0"/>
              <w:right w:val="single" w:color="auto" w:sz="4" w:space="0"/>
            </w:tcBorders>
            <w:vAlign w:val="center"/>
          </w:tcPr>
          <w:p>
            <w:pPr>
              <w:pStyle w:val="22"/>
              <w:widowControl/>
              <w:numPr>
                <w:ilvl w:val="0"/>
                <w:numId w:val="16"/>
              </w:numPr>
              <w:ind w:left="391" w:hanging="391" w:firstLineChars="0"/>
              <w:rPr>
                <w:rFonts w:ascii="宋体" w:hAnsi="宋体" w:eastAsia="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不可</w:t>
            </w:r>
          </w:p>
          <w:p>
            <w:pPr>
              <w:jc w:val="center"/>
            </w:pPr>
            <w:r>
              <w:rPr>
                <w:rFonts w:hint="eastAsia" w:ascii="宋体" w:hAnsi="宋体"/>
              </w:rPr>
              <w:t>偏离</w:t>
            </w:r>
          </w:p>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ind w:left="315" w:hanging="315" w:hangingChars="150"/>
              <w:rPr>
                <w:rFonts w:ascii="宋体" w:hAnsi="宋体"/>
                <w:color w:val="000000"/>
              </w:rPr>
            </w:pPr>
            <w:r>
              <w:rPr>
                <w:rFonts w:hint="eastAsia" w:ascii="宋体" w:hAnsi="宋体"/>
                <w:szCs w:val="21"/>
              </w:rPr>
              <w:t>安全管理</w:t>
            </w:r>
          </w:p>
        </w:tc>
        <w:tc>
          <w:tcPr>
            <w:tcW w:w="7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7"/>
              </w:numPr>
              <w:spacing w:before="0" w:after="0" w:line="240" w:lineRule="auto"/>
              <w:ind w:left="0" w:firstLine="0"/>
              <w:rPr>
                <w:rFonts w:ascii="宋体" w:hAnsi="宋体" w:eastAsiaTheme="majorEastAsia" w:cstheme="majorBidi"/>
                <w:b/>
                <w:bCs/>
                <w:sz w:val="18"/>
                <w:szCs w:val="21"/>
              </w:rPr>
            </w:pPr>
            <w:r>
              <w:rPr>
                <w:rFonts w:hint="eastAsia" w:ascii="宋体" w:hAnsi="宋体"/>
                <w:szCs w:val="21"/>
              </w:rPr>
              <w:t>中标人须建立安全责任制，进入现场的工作人员须遵守国家、所属地政府及深圳会展中心的相关规章制度，采取有效的措施保障现场的安全、维护现场的正常工作秩序，在服务过程中要做好人员、成品、半成品及设备设施的保护。中标人应对现场施工作业人员的安全负全部责任。确保服务过程中不出现任何人身安全事故、火灾事故和财产损失等重大安全事故。如因中标人管理不善、组织不力或监管缺失等造成安全责任事故及财产损失的由中标人负全部责任。</w:t>
            </w:r>
          </w:p>
          <w:p>
            <w:pPr>
              <w:keepNext w:val="0"/>
              <w:keepLines w:val="0"/>
              <w:widowControl/>
              <w:numPr>
                <w:ilvl w:val="0"/>
                <w:numId w:val="17"/>
              </w:numPr>
              <w:spacing w:before="0" w:after="0" w:line="240" w:lineRule="auto"/>
              <w:ind w:left="0" w:firstLine="0"/>
              <w:rPr>
                <w:rFonts w:ascii="宋体" w:hAnsi="宋体" w:eastAsiaTheme="majorEastAsia" w:cstheme="majorBidi"/>
                <w:b/>
                <w:bCs/>
                <w:sz w:val="18"/>
                <w:szCs w:val="21"/>
              </w:rPr>
            </w:pPr>
            <w:r>
              <w:rPr>
                <w:rFonts w:hint="eastAsia" w:ascii="宋体" w:hAnsi="宋体"/>
                <w:szCs w:val="21"/>
              </w:rPr>
              <w:t>中标人在进行高空设备操作和特种作业时，</w:t>
            </w:r>
            <w:r>
              <w:rPr>
                <w:rFonts w:hint="eastAsia" w:ascii="宋体" w:cs="宋体"/>
                <w:kern w:val="0"/>
                <w:sz w:val="21"/>
                <w:szCs w:val="21"/>
                <w:lang w:val="zh-CN"/>
              </w:rPr>
              <w:t>应严格按照高空作业规范要去实施维修保养工作</w:t>
            </w:r>
            <w:r>
              <w:rPr>
                <w:rFonts w:hint="eastAsia" w:ascii="宋体" w:cs="宋体"/>
                <w:kern w:val="0"/>
                <w:szCs w:val="21"/>
                <w:lang w:val="zh-CN"/>
              </w:rPr>
              <w:t>，</w:t>
            </w:r>
            <w:r>
              <w:rPr>
                <w:rFonts w:hint="eastAsia" w:ascii="宋体" w:hAnsi="宋体"/>
                <w:szCs w:val="21"/>
              </w:rPr>
              <w:t>中标人负责安排持有相关操作资格证书的人员进行操作作业并承担相应安全责任。</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不可偏离</w:t>
            </w:r>
          </w:p>
        </w:tc>
      </w:tr>
    </w:tbl>
    <w:p>
      <w:pPr>
        <w:numPr>
          <w:ilvl w:val="0"/>
          <w:numId w:val="1"/>
        </w:numPr>
        <w:jc w:val="left"/>
        <w:outlineLvl w:val="1"/>
        <w:rPr>
          <w:rFonts w:ascii="宋体" w:hAnsi="宋体"/>
          <w:b/>
          <w:szCs w:val="21"/>
        </w:rPr>
      </w:pPr>
      <w:bookmarkStart w:id="39" w:name="_Toc82684600"/>
      <w:bookmarkEnd w:id="39"/>
      <w:bookmarkStart w:id="40" w:name="_Toc82591996"/>
      <w:bookmarkEnd w:id="40"/>
      <w:bookmarkStart w:id="41" w:name="_Toc82685552"/>
      <w:bookmarkEnd w:id="41"/>
      <w:bookmarkStart w:id="42" w:name="_Toc82684715"/>
      <w:bookmarkEnd w:id="42"/>
      <w:bookmarkStart w:id="43" w:name="_Toc106791257"/>
      <w:r>
        <w:rPr>
          <w:rFonts w:hint="eastAsia" w:ascii="宋体" w:hAnsi="宋体"/>
          <w:b/>
          <w:szCs w:val="21"/>
        </w:rPr>
        <w:t>其他项目说明资料</w:t>
      </w:r>
      <w:bookmarkEnd w:id="43"/>
    </w:p>
    <w:p>
      <w:pPr>
        <w:pStyle w:val="22"/>
        <w:spacing w:line="360" w:lineRule="auto"/>
        <w:ind w:right="0" w:firstLine="422" w:firstLineChars="0"/>
        <w:rPr>
          <w:rFonts w:ascii="宋体" w:hAnsi="宋体" w:eastAsia="宋体"/>
          <w:b/>
          <w:bCs/>
        </w:rPr>
      </w:pPr>
      <w:bookmarkStart w:id="44" w:name="_Toc106791258"/>
      <w:r>
        <w:rPr>
          <w:rFonts w:hint="eastAsia" w:ascii="宋体" w:hAnsi="宋体" w:eastAsia="宋体"/>
          <w:b/>
          <w:bCs/>
          <w:lang w:eastAsia="zh-CN"/>
        </w:rPr>
        <w:t>表格</w:t>
      </w:r>
      <w:r>
        <w:rPr>
          <w:rFonts w:hint="eastAsia" w:ascii="宋体" w:hAnsi="宋体" w:eastAsia="宋体"/>
          <w:b/>
          <w:bCs/>
        </w:rPr>
        <w:t>1：美国吉尼高空设备每次维保项目及内容</w:t>
      </w:r>
    </w:p>
    <w:tbl>
      <w:tblPr>
        <w:tblStyle w:val="14"/>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542"/>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743"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bCs/>
                <w:szCs w:val="21"/>
              </w:rPr>
            </w:pPr>
          </w:p>
          <w:p>
            <w:pPr>
              <w:spacing w:line="0" w:lineRule="atLeast"/>
              <w:jc w:val="center"/>
              <w:rPr>
                <w:rFonts w:ascii="宋体" w:hAnsi="宋体" w:cs="宋体"/>
                <w:b/>
                <w:bCs/>
                <w:szCs w:val="21"/>
              </w:rPr>
            </w:pPr>
            <w:r>
              <w:rPr>
                <w:rFonts w:hint="eastAsia" w:ascii="宋体" w:hAnsi="宋体" w:cs="宋体"/>
                <w:b/>
                <w:bCs/>
                <w:szCs w:val="21"/>
              </w:rPr>
              <w:t>（一）直臂或曲臂高空作业平台</w:t>
            </w:r>
          </w:p>
          <w:p>
            <w:pPr>
              <w:spacing w:line="0" w:lineRule="atLeas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bCs/>
                <w:szCs w:val="21"/>
              </w:rPr>
            </w:pPr>
            <w:r>
              <w:rPr>
                <w:rFonts w:hint="eastAsia" w:ascii="宋体" w:hAnsi="宋体" w:cs="宋体"/>
                <w:b/>
                <w:bCs/>
                <w:szCs w:val="21"/>
              </w:rPr>
              <w:t>序号</w:t>
            </w:r>
          </w:p>
        </w:tc>
        <w:tc>
          <w:tcPr>
            <w:tcW w:w="1542"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szCs w:val="21"/>
              </w:rPr>
            </w:pPr>
            <w:r>
              <w:rPr>
                <w:rFonts w:hint="eastAsia" w:ascii="宋体" w:hAnsi="宋体" w:cs="宋体"/>
                <w:b/>
                <w:bCs/>
                <w:szCs w:val="21"/>
              </w:rPr>
              <w:t>项目</w:t>
            </w:r>
          </w:p>
        </w:tc>
        <w:tc>
          <w:tcPr>
            <w:tcW w:w="6137"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szCs w:val="21"/>
              </w:rPr>
            </w:pPr>
            <w:r>
              <w:rPr>
                <w:rFonts w:hint="eastAsia" w:ascii="宋体" w:hAnsi="宋体" w:cs="宋体"/>
                <w:b/>
                <w:bCs/>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064"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1</w:t>
            </w:r>
          </w:p>
        </w:tc>
        <w:tc>
          <w:tcPr>
            <w:tcW w:w="1542" w:type="dxa"/>
            <w:vMerge w:val="restart"/>
            <w:tcBorders>
              <w:top w:val="single" w:color="auto" w:sz="4" w:space="0"/>
              <w:left w:val="nil"/>
              <w:bottom w:val="single" w:color="auto" w:sz="4" w:space="0"/>
              <w:right w:val="single" w:color="auto" w:sz="4" w:space="0"/>
            </w:tcBorders>
            <w:vAlign w:val="center"/>
          </w:tcPr>
          <w:p>
            <w:pPr>
              <w:spacing w:line="0" w:lineRule="atLeast"/>
              <w:jc w:val="left"/>
              <w:rPr>
                <w:rFonts w:ascii="宋体" w:hAnsi="宋体" w:cs="宋体"/>
                <w:color w:val="000000"/>
                <w:szCs w:val="21"/>
              </w:rPr>
            </w:pPr>
            <w:r>
              <w:rPr>
                <w:rFonts w:hint="eastAsia" w:ascii="宋体" w:hAnsi="宋体" w:cs="宋体"/>
                <w:szCs w:val="21"/>
              </w:rPr>
              <w:t>机械结构</w:t>
            </w:r>
          </w:p>
        </w:tc>
        <w:tc>
          <w:tcPr>
            <w:tcW w:w="6137"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szCs w:val="21"/>
              </w:rPr>
            </w:pPr>
            <w:r>
              <w:rPr>
                <w:rFonts w:hint="eastAsia" w:ascii="宋体" w:hAnsi="宋体" w:cs="宋体"/>
                <w:szCs w:val="21"/>
              </w:rPr>
              <w:t>小臂机械结构检查</w:t>
            </w:r>
          </w:p>
          <w:p>
            <w:pPr>
              <w:spacing w:line="0" w:lineRule="atLeast"/>
              <w:rPr>
                <w:rFonts w:ascii="宋体" w:hAnsi="宋体" w:cs="宋体"/>
                <w:kern w:val="0"/>
                <w:szCs w:val="21"/>
              </w:rPr>
            </w:pPr>
            <w:r>
              <w:rPr>
                <w:rFonts w:hint="eastAsia" w:ascii="宋体" w:hAnsi="宋体" w:cs="宋体"/>
                <w:kern w:val="0"/>
                <w:szCs w:val="21"/>
              </w:rPr>
              <w:t xml:space="preserve">1.小臂轴销锁止情况和轴销磨损情况检查 </w:t>
            </w:r>
          </w:p>
          <w:p>
            <w:pPr>
              <w:spacing w:line="0" w:lineRule="atLeast"/>
              <w:rPr>
                <w:rFonts w:ascii="宋体" w:hAnsi="宋体" w:cs="宋体"/>
                <w:kern w:val="0"/>
                <w:szCs w:val="21"/>
              </w:rPr>
            </w:pPr>
            <w:r>
              <w:rPr>
                <w:rFonts w:hint="eastAsia" w:ascii="宋体" w:hAnsi="宋体" w:cs="宋体"/>
                <w:kern w:val="0"/>
                <w:szCs w:val="21"/>
              </w:rPr>
              <w:t xml:space="preserve">2.小臂与主桅杆连接处母材及焊缝检查 </w:t>
            </w:r>
          </w:p>
          <w:p>
            <w:pPr>
              <w:spacing w:line="0" w:lineRule="atLeast"/>
              <w:rPr>
                <w:rFonts w:ascii="宋体" w:hAnsi="宋体" w:cs="宋体"/>
                <w:kern w:val="0"/>
                <w:szCs w:val="21"/>
              </w:rPr>
            </w:pPr>
            <w:r>
              <w:rPr>
                <w:rFonts w:hint="eastAsia" w:ascii="宋体" w:hAnsi="宋体" w:cs="宋体"/>
                <w:kern w:val="0"/>
                <w:szCs w:val="21"/>
              </w:rPr>
              <w:t xml:space="preserve">3.小臂油缸轴销及锁止销检查 </w:t>
            </w:r>
          </w:p>
          <w:p>
            <w:pPr>
              <w:spacing w:line="0" w:lineRule="atLeast"/>
              <w:rPr>
                <w:rFonts w:ascii="宋体" w:hAnsi="宋体" w:cs="宋体"/>
                <w:kern w:val="0"/>
                <w:szCs w:val="21"/>
              </w:rPr>
            </w:pPr>
            <w:r>
              <w:rPr>
                <w:rFonts w:hint="eastAsia" w:ascii="宋体" w:hAnsi="宋体" w:cs="宋体"/>
                <w:kern w:val="0"/>
                <w:szCs w:val="21"/>
              </w:rPr>
              <w:t xml:space="preserve">4.小臂连杆变形情况检查 </w:t>
            </w:r>
          </w:p>
          <w:p>
            <w:pPr>
              <w:spacing w:line="0" w:lineRule="atLeast"/>
              <w:rPr>
                <w:rFonts w:ascii="宋体" w:hAnsi="宋体" w:cs="宋体"/>
                <w:kern w:val="0"/>
                <w:szCs w:val="21"/>
              </w:rPr>
            </w:pPr>
            <w:r>
              <w:rPr>
                <w:rFonts w:hint="eastAsia" w:ascii="宋体" w:hAnsi="宋体" w:cs="宋体"/>
                <w:kern w:val="0"/>
                <w:szCs w:val="21"/>
              </w:rPr>
              <w:t xml:space="preserve">5.小臂油缸接头及轴封密封情况检查 </w:t>
            </w:r>
          </w:p>
          <w:p>
            <w:pPr>
              <w:spacing w:line="0" w:lineRule="atLeast"/>
              <w:rPr>
                <w:rFonts w:ascii="宋体" w:hAnsi="宋体" w:cs="宋体"/>
                <w:kern w:val="0"/>
                <w:szCs w:val="21"/>
              </w:rPr>
            </w:pPr>
            <w:r>
              <w:rPr>
                <w:rFonts w:hint="eastAsia" w:ascii="宋体" w:hAnsi="宋体" w:cs="宋体"/>
                <w:kern w:val="0"/>
                <w:szCs w:val="21"/>
              </w:rPr>
              <w:t xml:space="preserve">6.小臂与主臂三角连接块焊缝及机械结构检查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54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zCs w:val="21"/>
              </w:rPr>
            </w:pPr>
          </w:p>
        </w:tc>
        <w:tc>
          <w:tcPr>
            <w:tcW w:w="6137"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szCs w:val="21"/>
              </w:rPr>
            </w:pPr>
            <w:r>
              <w:rPr>
                <w:rFonts w:hint="eastAsia" w:ascii="宋体" w:hAnsi="宋体" w:cs="宋体"/>
                <w:szCs w:val="21"/>
              </w:rPr>
              <w:t>工作栏机械结构检查</w:t>
            </w:r>
          </w:p>
          <w:p>
            <w:pPr>
              <w:spacing w:line="0" w:lineRule="atLeast"/>
              <w:rPr>
                <w:rFonts w:ascii="宋体" w:hAnsi="宋体" w:cs="宋体"/>
                <w:szCs w:val="21"/>
              </w:rPr>
            </w:pPr>
            <w:r>
              <w:rPr>
                <w:rFonts w:hint="eastAsia" w:ascii="宋体" w:hAnsi="宋体" w:cs="宋体"/>
                <w:szCs w:val="21"/>
              </w:rPr>
              <w:t xml:space="preserve">1.工作栏各围杆变形情况检查 </w:t>
            </w:r>
          </w:p>
          <w:p>
            <w:pPr>
              <w:spacing w:line="0" w:lineRule="atLeast"/>
              <w:rPr>
                <w:rFonts w:ascii="宋体" w:hAnsi="宋体" w:cs="宋体"/>
                <w:szCs w:val="21"/>
              </w:rPr>
            </w:pPr>
            <w:r>
              <w:rPr>
                <w:rFonts w:hint="eastAsia" w:ascii="宋体" w:hAnsi="宋体" w:cs="宋体"/>
                <w:szCs w:val="21"/>
              </w:rPr>
              <w:t xml:space="preserve">2.工作栏安全带固定点检查 </w:t>
            </w:r>
          </w:p>
          <w:p>
            <w:pPr>
              <w:spacing w:line="0" w:lineRule="atLeast"/>
              <w:rPr>
                <w:rFonts w:ascii="宋体" w:hAnsi="宋体" w:cs="宋体"/>
                <w:szCs w:val="21"/>
              </w:rPr>
            </w:pPr>
            <w:r>
              <w:rPr>
                <w:rFonts w:hint="eastAsia" w:ascii="宋体" w:hAnsi="宋体" w:cs="宋体"/>
                <w:szCs w:val="21"/>
              </w:rPr>
              <w:t xml:space="preserve">3.工作栏旋转机构固定情况检查 </w:t>
            </w:r>
          </w:p>
          <w:p>
            <w:pPr>
              <w:spacing w:line="0" w:lineRule="atLeast"/>
              <w:rPr>
                <w:rFonts w:ascii="宋体" w:hAnsi="宋体" w:cs="宋体"/>
                <w:szCs w:val="21"/>
              </w:rPr>
            </w:pPr>
            <w:r>
              <w:rPr>
                <w:rFonts w:hint="eastAsia" w:ascii="宋体" w:hAnsi="宋体" w:cs="宋体"/>
                <w:szCs w:val="21"/>
              </w:rPr>
              <w:t xml:space="preserve">4.工作栏底板安全筋机构检查 </w:t>
            </w:r>
          </w:p>
          <w:p>
            <w:pPr>
              <w:spacing w:line="0" w:lineRule="atLeast"/>
              <w:rPr>
                <w:rFonts w:ascii="宋体" w:hAnsi="宋体" w:cs="宋体"/>
                <w:szCs w:val="21"/>
              </w:rPr>
            </w:pPr>
            <w:r>
              <w:rPr>
                <w:rFonts w:hint="eastAsia" w:ascii="宋体" w:hAnsi="宋体" w:cs="宋体"/>
                <w:szCs w:val="21"/>
              </w:rPr>
              <w:t xml:space="preserve">5.工作栏各标签完好情况 </w:t>
            </w:r>
          </w:p>
          <w:p>
            <w:pPr>
              <w:spacing w:line="0" w:lineRule="atLeast"/>
              <w:rPr>
                <w:rFonts w:ascii="宋体" w:hAnsi="宋体" w:cs="宋体"/>
                <w:szCs w:val="21"/>
              </w:rPr>
            </w:pPr>
            <w:r>
              <w:rPr>
                <w:rFonts w:hint="eastAsia" w:ascii="宋体" w:hAnsi="宋体" w:cs="宋体"/>
                <w:szCs w:val="21"/>
              </w:rPr>
              <w:t xml:space="preserve">6.工作栏旋转马达固定及涡轮蜗杆机构检查 </w:t>
            </w:r>
          </w:p>
          <w:p>
            <w:pPr>
              <w:spacing w:line="0" w:lineRule="atLeast"/>
              <w:rPr>
                <w:rFonts w:ascii="宋体" w:hAnsi="宋体" w:cs="宋体"/>
                <w:szCs w:val="21"/>
              </w:rPr>
            </w:pPr>
            <w:r>
              <w:rPr>
                <w:rFonts w:hint="eastAsia" w:ascii="宋体" w:hAnsi="宋体" w:cs="宋体"/>
                <w:szCs w:val="21"/>
              </w:rPr>
              <w:t xml:space="preserve">7.工作栏调平油缸固定及锁止情况检查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542"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szCs w:val="21"/>
              </w:rPr>
            </w:pPr>
          </w:p>
        </w:tc>
        <w:tc>
          <w:tcPr>
            <w:tcW w:w="6137" w:type="dxa"/>
            <w:tcBorders>
              <w:top w:val="single" w:color="auto" w:sz="4" w:space="0"/>
              <w:left w:val="nil"/>
              <w:bottom w:val="single" w:color="auto" w:sz="4" w:space="0"/>
              <w:right w:val="single" w:color="auto" w:sz="4" w:space="0"/>
            </w:tcBorders>
            <w:shd w:val="clear" w:color="auto" w:fill="FFFFFF" w:themeFill="background1"/>
            <w:vAlign w:val="center"/>
          </w:tcPr>
          <w:p>
            <w:pPr>
              <w:spacing w:line="0" w:lineRule="atLeast"/>
              <w:rPr>
                <w:rFonts w:ascii="宋体" w:hAnsi="宋体" w:cs="宋体"/>
                <w:szCs w:val="21"/>
              </w:rPr>
            </w:pPr>
            <w:r>
              <w:rPr>
                <w:rFonts w:hint="eastAsia" w:ascii="宋体" w:hAnsi="宋体" w:cs="宋体"/>
                <w:szCs w:val="21"/>
              </w:rPr>
              <w:t>传动链条情况检查</w:t>
            </w:r>
          </w:p>
          <w:p>
            <w:pPr>
              <w:spacing w:line="0" w:lineRule="atLeast"/>
              <w:rPr>
                <w:rFonts w:ascii="宋体" w:hAnsi="宋体" w:cs="宋体"/>
                <w:szCs w:val="21"/>
              </w:rPr>
            </w:pPr>
            <w:r>
              <w:rPr>
                <w:rFonts w:hint="eastAsia" w:ascii="宋体" w:hAnsi="宋体" w:cs="宋体"/>
                <w:szCs w:val="21"/>
              </w:rPr>
              <w:t xml:space="preserve">1.传动链条紧固情况检查 </w:t>
            </w:r>
          </w:p>
          <w:p>
            <w:pPr>
              <w:spacing w:line="0" w:lineRule="atLeast"/>
              <w:rPr>
                <w:rFonts w:ascii="宋体" w:hAnsi="宋体" w:cs="宋体"/>
                <w:szCs w:val="21"/>
              </w:rPr>
            </w:pPr>
            <w:r>
              <w:rPr>
                <w:rFonts w:hint="eastAsia" w:ascii="宋体" w:hAnsi="宋体" w:cs="宋体"/>
                <w:szCs w:val="21"/>
              </w:rPr>
              <w:t xml:space="preserve">2.传动链条锁紧扭矩检查 </w:t>
            </w:r>
          </w:p>
          <w:p>
            <w:pPr>
              <w:spacing w:line="0" w:lineRule="atLeast"/>
              <w:rPr>
                <w:rFonts w:ascii="宋体" w:hAnsi="宋体" w:cs="宋体"/>
                <w:szCs w:val="21"/>
              </w:rPr>
            </w:pPr>
            <w:r>
              <w:rPr>
                <w:rFonts w:hint="eastAsia" w:ascii="宋体" w:hAnsi="宋体" w:cs="宋体"/>
                <w:szCs w:val="21"/>
              </w:rPr>
              <w:t xml:space="preserve">3.传动链条轴销及锁止情况检查 </w:t>
            </w:r>
          </w:p>
          <w:p>
            <w:pPr>
              <w:spacing w:line="0" w:lineRule="atLeast"/>
              <w:rPr>
                <w:rFonts w:ascii="宋体" w:hAnsi="宋体" w:cs="宋体"/>
                <w:szCs w:val="21"/>
              </w:rPr>
            </w:pPr>
            <w:r>
              <w:rPr>
                <w:rFonts w:hint="eastAsia" w:ascii="宋体" w:hAnsi="宋体" w:cs="宋体"/>
                <w:szCs w:val="21"/>
              </w:rPr>
              <w:t xml:space="preserve">4.传动链条内电线情况 </w:t>
            </w:r>
          </w:p>
          <w:p>
            <w:pPr>
              <w:spacing w:line="0" w:lineRule="atLeast"/>
              <w:rPr>
                <w:rFonts w:ascii="宋体" w:hAnsi="宋体" w:cs="宋体"/>
                <w:szCs w:val="21"/>
              </w:rPr>
            </w:pPr>
            <w:r>
              <w:rPr>
                <w:rFonts w:hint="eastAsia" w:ascii="宋体" w:hAnsi="宋体" w:cs="宋体"/>
                <w:szCs w:val="21"/>
              </w:rPr>
              <w:t>5.传动链条内油管情况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064" w:type="dxa"/>
            <w:vMerge w:val="restart"/>
            <w:tcBorders>
              <w:top w:val="nil"/>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2</w:t>
            </w:r>
          </w:p>
        </w:tc>
        <w:tc>
          <w:tcPr>
            <w:tcW w:w="1542" w:type="dxa"/>
            <w:vMerge w:val="restart"/>
            <w:tcBorders>
              <w:top w:val="nil"/>
              <w:left w:val="nil"/>
              <w:bottom w:val="single" w:color="auto" w:sz="4" w:space="0"/>
              <w:right w:val="single" w:color="auto" w:sz="4" w:space="0"/>
            </w:tcBorders>
            <w:vAlign w:val="center"/>
          </w:tcPr>
          <w:p>
            <w:pPr>
              <w:spacing w:line="0" w:lineRule="atLeast"/>
              <w:jc w:val="center"/>
              <w:rPr>
                <w:rFonts w:ascii="宋体" w:hAnsi="宋体" w:cs="宋体"/>
                <w:color w:val="000000"/>
                <w:szCs w:val="21"/>
              </w:rPr>
            </w:pPr>
            <w:r>
              <w:rPr>
                <w:rFonts w:hint="eastAsia" w:ascii="宋体" w:hAnsi="宋体" w:cs="宋体"/>
                <w:szCs w:val="21"/>
              </w:rPr>
              <w:t>机械结构</w:t>
            </w:r>
          </w:p>
        </w:tc>
        <w:tc>
          <w:tcPr>
            <w:tcW w:w="6137"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szCs w:val="21"/>
              </w:rPr>
            </w:pPr>
            <w:r>
              <w:rPr>
                <w:rFonts w:hint="eastAsia" w:ascii="宋体" w:hAnsi="宋体" w:cs="宋体"/>
                <w:szCs w:val="21"/>
              </w:rPr>
              <w:t>主臂机械结构检查</w:t>
            </w:r>
          </w:p>
          <w:p>
            <w:pPr>
              <w:spacing w:line="0" w:lineRule="atLeast"/>
              <w:rPr>
                <w:rFonts w:ascii="宋体" w:hAnsi="宋体" w:cs="宋体"/>
                <w:szCs w:val="21"/>
              </w:rPr>
            </w:pPr>
            <w:r>
              <w:rPr>
                <w:rFonts w:hint="eastAsia" w:ascii="宋体" w:hAnsi="宋体" w:cs="宋体"/>
                <w:szCs w:val="21"/>
              </w:rPr>
              <w:t>1.主臂母材及焊缝检查</w:t>
            </w:r>
          </w:p>
          <w:p>
            <w:pPr>
              <w:spacing w:line="0" w:lineRule="atLeast"/>
              <w:rPr>
                <w:rFonts w:ascii="宋体" w:hAnsi="宋体" w:cs="宋体"/>
                <w:szCs w:val="21"/>
              </w:rPr>
            </w:pPr>
            <w:r>
              <w:rPr>
                <w:rFonts w:hint="eastAsia" w:ascii="宋体" w:hAnsi="宋体" w:cs="宋体"/>
                <w:szCs w:val="21"/>
              </w:rPr>
              <w:t>2.主臂连接处轴销及锁止情况检查</w:t>
            </w:r>
          </w:p>
          <w:p>
            <w:pPr>
              <w:spacing w:line="0" w:lineRule="atLeast"/>
              <w:rPr>
                <w:rFonts w:ascii="宋体" w:hAnsi="宋体" w:cs="宋体"/>
                <w:szCs w:val="21"/>
              </w:rPr>
            </w:pPr>
            <w:r>
              <w:rPr>
                <w:rFonts w:hint="eastAsia" w:ascii="宋体" w:hAnsi="宋体" w:cs="宋体"/>
                <w:szCs w:val="21"/>
              </w:rPr>
              <w:t>3.主臂油缸油封及轴封情况检查</w:t>
            </w:r>
          </w:p>
          <w:p>
            <w:pPr>
              <w:spacing w:line="0" w:lineRule="atLeast"/>
              <w:rPr>
                <w:rFonts w:ascii="宋体" w:hAnsi="宋体" w:cs="宋体"/>
                <w:szCs w:val="21"/>
              </w:rPr>
            </w:pPr>
            <w:r>
              <w:rPr>
                <w:rFonts w:hint="eastAsia" w:ascii="宋体" w:hAnsi="宋体" w:cs="宋体"/>
                <w:szCs w:val="21"/>
              </w:rPr>
              <w:t>4.主臂油缸连接及锁止情况检查</w:t>
            </w:r>
          </w:p>
          <w:p>
            <w:pPr>
              <w:spacing w:line="0" w:lineRule="atLeast"/>
              <w:rPr>
                <w:rFonts w:ascii="宋体" w:hAnsi="宋体" w:cs="宋体"/>
                <w:color w:val="000000"/>
                <w:szCs w:val="21"/>
              </w:rPr>
            </w:pPr>
            <w:r>
              <w:rPr>
                <w:rFonts w:hint="eastAsia" w:ascii="宋体" w:hAnsi="宋体" w:cs="宋体"/>
                <w:szCs w:val="21"/>
              </w:rPr>
              <w:t>5.主臂滑块磨损情况检查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542"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szCs w:val="21"/>
              </w:rPr>
            </w:pPr>
          </w:p>
        </w:tc>
        <w:tc>
          <w:tcPr>
            <w:tcW w:w="6137"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szCs w:val="21"/>
              </w:rPr>
            </w:pPr>
            <w:r>
              <w:rPr>
                <w:rFonts w:hint="eastAsia" w:ascii="宋体" w:hAnsi="宋体" w:cs="宋体"/>
                <w:szCs w:val="21"/>
              </w:rPr>
              <w:t>伸缩臂情况检查</w:t>
            </w:r>
          </w:p>
          <w:p>
            <w:pPr>
              <w:spacing w:line="0" w:lineRule="atLeast"/>
              <w:rPr>
                <w:rFonts w:ascii="宋体" w:hAnsi="宋体" w:cs="宋体"/>
                <w:szCs w:val="21"/>
              </w:rPr>
            </w:pPr>
            <w:r>
              <w:rPr>
                <w:rFonts w:hint="eastAsia" w:ascii="宋体" w:hAnsi="宋体" w:cs="宋体"/>
                <w:szCs w:val="21"/>
              </w:rPr>
              <w:t>1.伸缩臂焊缝及母材检查</w:t>
            </w:r>
          </w:p>
          <w:p>
            <w:pPr>
              <w:spacing w:line="0" w:lineRule="atLeast"/>
              <w:rPr>
                <w:rFonts w:ascii="宋体" w:hAnsi="宋体" w:cs="宋体"/>
                <w:szCs w:val="21"/>
              </w:rPr>
            </w:pPr>
            <w:r>
              <w:rPr>
                <w:rFonts w:hint="eastAsia" w:ascii="宋体" w:hAnsi="宋体" w:cs="宋体"/>
                <w:szCs w:val="21"/>
              </w:rPr>
              <w:t>2.伸缩臂磨损情况检查</w:t>
            </w:r>
          </w:p>
          <w:p>
            <w:pPr>
              <w:spacing w:line="0" w:lineRule="atLeast"/>
              <w:rPr>
                <w:rFonts w:ascii="宋体" w:hAnsi="宋体" w:cs="宋体"/>
                <w:szCs w:val="21"/>
              </w:rPr>
            </w:pPr>
            <w:r>
              <w:rPr>
                <w:rFonts w:hint="eastAsia" w:ascii="宋体" w:hAnsi="宋体" w:cs="宋体"/>
                <w:szCs w:val="21"/>
              </w:rPr>
              <w:t>3.伸缩臂滑块磨损情况检查</w:t>
            </w:r>
          </w:p>
          <w:p>
            <w:pPr>
              <w:spacing w:line="0" w:lineRule="atLeast"/>
              <w:rPr>
                <w:rFonts w:ascii="宋体" w:hAnsi="宋体" w:cs="宋体"/>
                <w:szCs w:val="21"/>
              </w:rPr>
            </w:pPr>
            <w:r>
              <w:rPr>
                <w:rFonts w:hint="eastAsia" w:ascii="宋体" w:hAnsi="宋体" w:cs="宋体"/>
                <w:szCs w:val="21"/>
              </w:rPr>
              <w:t>4.伸缩臂油缸固定及锁止情况检查</w:t>
            </w:r>
          </w:p>
          <w:p>
            <w:pPr>
              <w:spacing w:line="0" w:lineRule="atLeast"/>
              <w:rPr>
                <w:rFonts w:ascii="宋体" w:hAnsi="宋体" w:cs="宋体"/>
                <w:color w:val="000000"/>
                <w:szCs w:val="21"/>
              </w:rPr>
            </w:pPr>
            <w:r>
              <w:rPr>
                <w:rFonts w:hint="eastAsia" w:ascii="宋体" w:hAnsi="宋体" w:cs="宋体"/>
                <w:szCs w:val="21"/>
              </w:rPr>
              <w:t>5.伸缩臂油缸密封及轴封情况检查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542"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szCs w:val="21"/>
              </w:rPr>
            </w:pPr>
          </w:p>
        </w:tc>
        <w:tc>
          <w:tcPr>
            <w:tcW w:w="6137"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szCs w:val="21"/>
              </w:rPr>
            </w:pPr>
            <w:r>
              <w:rPr>
                <w:rFonts w:hint="eastAsia" w:ascii="宋体" w:hAnsi="宋体" w:cs="宋体"/>
                <w:szCs w:val="21"/>
              </w:rPr>
              <w:t>车身及底盘机械结构检查</w:t>
            </w:r>
          </w:p>
          <w:p>
            <w:pPr>
              <w:spacing w:line="0" w:lineRule="atLeast"/>
              <w:rPr>
                <w:rFonts w:ascii="宋体" w:hAnsi="宋体" w:cs="宋体"/>
                <w:szCs w:val="21"/>
              </w:rPr>
            </w:pPr>
            <w:r>
              <w:rPr>
                <w:rFonts w:hint="eastAsia" w:ascii="宋体" w:hAnsi="宋体" w:cs="宋体"/>
                <w:szCs w:val="21"/>
              </w:rPr>
              <w:t>1.车身焊缝检查</w:t>
            </w:r>
          </w:p>
          <w:p>
            <w:pPr>
              <w:spacing w:line="0" w:lineRule="atLeast"/>
              <w:rPr>
                <w:rFonts w:ascii="宋体" w:hAnsi="宋体" w:cs="宋体"/>
                <w:szCs w:val="21"/>
              </w:rPr>
            </w:pPr>
            <w:r>
              <w:rPr>
                <w:rFonts w:hint="eastAsia" w:ascii="宋体" w:hAnsi="宋体" w:cs="宋体"/>
                <w:szCs w:val="21"/>
              </w:rPr>
              <w:t>2.车身回转环固定螺丝检查</w:t>
            </w:r>
          </w:p>
          <w:p>
            <w:pPr>
              <w:spacing w:line="0" w:lineRule="atLeast"/>
              <w:rPr>
                <w:rFonts w:ascii="宋体" w:hAnsi="宋体" w:cs="宋体"/>
                <w:szCs w:val="21"/>
              </w:rPr>
            </w:pPr>
            <w:r>
              <w:rPr>
                <w:rFonts w:hint="eastAsia" w:ascii="宋体" w:hAnsi="宋体" w:cs="宋体"/>
                <w:szCs w:val="21"/>
              </w:rPr>
              <w:t>3.行走减速器固定处磨损情况检查</w:t>
            </w:r>
          </w:p>
          <w:p>
            <w:pPr>
              <w:spacing w:line="0" w:lineRule="atLeast"/>
              <w:rPr>
                <w:rFonts w:ascii="宋体" w:hAnsi="宋体" w:cs="宋体"/>
                <w:szCs w:val="21"/>
              </w:rPr>
            </w:pPr>
            <w:r>
              <w:rPr>
                <w:rFonts w:hint="eastAsia" w:ascii="宋体" w:hAnsi="宋体" w:cs="宋体"/>
                <w:szCs w:val="21"/>
              </w:rPr>
              <w:t>4.轮胎螺丝固定情况检查</w:t>
            </w:r>
          </w:p>
          <w:p>
            <w:pPr>
              <w:spacing w:line="0" w:lineRule="atLeast"/>
              <w:rPr>
                <w:rFonts w:ascii="宋体" w:hAnsi="宋体" w:cs="宋体"/>
                <w:szCs w:val="21"/>
              </w:rPr>
            </w:pPr>
            <w:r>
              <w:rPr>
                <w:rFonts w:hint="eastAsia" w:ascii="宋体" w:hAnsi="宋体" w:cs="宋体"/>
                <w:szCs w:val="21"/>
              </w:rPr>
              <w:t>5.轮胎减速器固定情况检查</w:t>
            </w:r>
          </w:p>
          <w:p>
            <w:pPr>
              <w:spacing w:line="0" w:lineRule="atLeast"/>
              <w:rPr>
                <w:rFonts w:ascii="宋体" w:hAnsi="宋体" w:cs="宋体"/>
                <w:szCs w:val="21"/>
              </w:rPr>
            </w:pPr>
            <w:r>
              <w:rPr>
                <w:rFonts w:hint="eastAsia" w:ascii="宋体" w:hAnsi="宋体" w:cs="宋体"/>
                <w:szCs w:val="21"/>
              </w:rPr>
              <w:t>6.转向轮回转轴磨损检查</w:t>
            </w:r>
          </w:p>
          <w:p>
            <w:pPr>
              <w:spacing w:line="0" w:lineRule="atLeast"/>
              <w:rPr>
                <w:rFonts w:ascii="宋体" w:hAnsi="宋体" w:cs="宋体"/>
                <w:szCs w:val="21"/>
              </w:rPr>
            </w:pPr>
            <w:r>
              <w:rPr>
                <w:rFonts w:hint="eastAsia" w:ascii="宋体" w:hAnsi="宋体" w:cs="宋体"/>
                <w:szCs w:val="21"/>
              </w:rPr>
              <w:t>7.转向减速机构和回转环固定结构检查</w:t>
            </w:r>
          </w:p>
          <w:p>
            <w:pPr>
              <w:spacing w:line="0" w:lineRule="atLeast"/>
              <w:rPr>
                <w:rFonts w:ascii="宋体" w:hAnsi="宋体" w:cs="宋体"/>
                <w:szCs w:val="21"/>
              </w:rPr>
            </w:pPr>
            <w:r>
              <w:rPr>
                <w:rFonts w:hint="eastAsia" w:ascii="宋体" w:hAnsi="宋体" w:cs="宋体"/>
                <w:szCs w:val="21"/>
              </w:rPr>
              <w:t>8.回转环磨损及润滑情况检查</w:t>
            </w:r>
          </w:p>
          <w:p>
            <w:pPr>
              <w:spacing w:line="0" w:lineRule="atLeast"/>
              <w:rPr>
                <w:rFonts w:ascii="宋体" w:hAnsi="宋体" w:cs="宋体"/>
                <w:color w:val="000000"/>
                <w:szCs w:val="21"/>
              </w:rPr>
            </w:pPr>
            <w:r>
              <w:rPr>
                <w:rFonts w:hint="eastAsia" w:ascii="宋体" w:hAnsi="宋体" w:cs="宋体"/>
                <w:szCs w:val="21"/>
              </w:rPr>
              <w:t>9.驱动轮磨损情况检查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3</w:t>
            </w:r>
          </w:p>
        </w:tc>
        <w:tc>
          <w:tcPr>
            <w:tcW w:w="1542" w:type="dxa"/>
            <w:tcBorders>
              <w:top w:val="single" w:color="auto" w:sz="4" w:space="0"/>
              <w:left w:val="nil"/>
              <w:bottom w:val="single" w:color="auto" w:sz="4" w:space="0"/>
              <w:right w:val="single" w:color="auto" w:sz="4" w:space="0"/>
            </w:tcBorders>
            <w:vAlign w:val="center"/>
          </w:tcPr>
          <w:p>
            <w:pPr>
              <w:spacing w:line="240" w:lineRule="atLeast"/>
              <w:rPr>
                <w:rFonts w:ascii="宋体" w:hAnsi="宋体" w:cs="宋体"/>
                <w:color w:val="000000"/>
                <w:szCs w:val="21"/>
              </w:rPr>
            </w:pPr>
            <w:r>
              <w:rPr>
                <w:rFonts w:hint="eastAsia" w:ascii="宋体" w:hAnsi="宋体" w:cs="宋体"/>
                <w:szCs w:val="21"/>
              </w:rPr>
              <w:t>液压部分检查</w:t>
            </w:r>
          </w:p>
        </w:tc>
        <w:tc>
          <w:tcPr>
            <w:tcW w:w="6137"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szCs w:val="21"/>
              </w:rPr>
            </w:pPr>
            <w:r>
              <w:rPr>
                <w:rFonts w:hint="eastAsia" w:ascii="宋体" w:hAnsi="宋体" w:cs="宋体"/>
                <w:szCs w:val="21"/>
              </w:rPr>
              <w:t>液压缸，液压管路和电磁阀系统</w:t>
            </w:r>
          </w:p>
          <w:p>
            <w:pPr>
              <w:pStyle w:val="2"/>
              <w:spacing w:after="0"/>
              <w:ind w:left="0"/>
              <w:rPr>
                <w:rFonts w:ascii="宋体" w:hAnsi="宋体" w:cs="宋体"/>
                <w:sz w:val="21"/>
                <w:szCs w:val="21"/>
              </w:rPr>
            </w:pPr>
            <w:r>
              <w:rPr>
                <w:rFonts w:hint="eastAsia" w:ascii="宋体" w:hAnsi="宋体" w:cs="宋体"/>
                <w:sz w:val="21"/>
                <w:szCs w:val="21"/>
              </w:rPr>
              <w:t>1.所有液压管路接口是否有渗漏，管路是否有弯折，磨损等（分析是否存在安全引换，是否须要更换）</w:t>
            </w:r>
          </w:p>
          <w:p>
            <w:pPr>
              <w:pStyle w:val="2"/>
              <w:spacing w:after="0"/>
              <w:ind w:left="0"/>
              <w:rPr>
                <w:rFonts w:ascii="宋体" w:hAnsi="宋体" w:cs="宋体"/>
                <w:sz w:val="21"/>
                <w:szCs w:val="21"/>
              </w:rPr>
            </w:pPr>
            <w:r>
              <w:rPr>
                <w:rFonts w:hint="eastAsia" w:ascii="宋体" w:hAnsi="宋体" w:cs="宋体"/>
                <w:sz w:val="21"/>
                <w:szCs w:val="21"/>
              </w:rPr>
              <w:t>2.所有油缸外观渗漏及性能分析</w:t>
            </w:r>
          </w:p>
          <w:p>
            <w:pPr>
              <w:pStyle w:val="2"/>
              <w:spacing w:after="0"/>
              <w:ind w:left="0"/>
              <w:rPr>
                <w:rFonts w:ascii="宋体" w:hAnsi="宋体" w:cs="宋体"/>
                <w:sz w:val="21"/>
                <w:szCs w:val="21"/>
              </w:rPr>
            </w:pPr>
            <w:r>
              <w:rPr>
                <w:rFonts w:hint="eastAsia" w:ascii="宋体" w:hAnsi="宋体" w:cs="宋体"/>
                <w:sz w:val="21"/>
                <w:szCs w:val="21"/>
              </w:rPr>
              <w:t xml:space="preserve">3.动作功能/行走/转向系统是否有磨损或渗漏 </w:t>
            </w:r>
          </w:p>
          <w:p>
            <w:pPr>
              <w:pStyle w:val="2"/>
              <w:spacing w:after="0"/>
              <w:ind w:left="0"/>
              <w:rPr>
                <w:rFonts w:ascii="宋体" w:hAnsi="宋体" w:cs="宋体"/>
                <w:sz w:val="21"/>
                <w:szCs w:val="21"/>
              </w:rPr>
            </w:pPr>
            <w:r>
              <w:rPr>
                <w:rFonts w:hint="eastAsia" w:ascii="宋体" w:hAnsi="宋体" w:cs="宋体"/>
                <w:sz w:val="21"/>
                <w:szCs w:val="21"/>
              </w:rPr>
              <w:t>4.各动作臂压力检查测试及所有电池磁阀检查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4</w:t>
            </w:r>
          </w:p>
        </w:tc>
        <w:tc>
          <w:tcPr>
            <w:tcW w:w="1542"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color w:val="000000"/>
                <w:szCs w:val="21"/>
              </w:rPr>
            </w:pPr>
            <w:r>
              <w:rPr>
                <w:rFonts w:hint="eastAsia" w:ascii="宋体" w:hAnsi="宋体" w:cs="宋体"/>
                <w:szCs w:val="21"/>
              </w:rPr>
              <w:t>启动电瓶及发动机系统</w:t>
            </w:r>
          </w:p>
        </w:tc>
        <w:tc>
          <w:tcPr>
            <w:tcW w:w="6137"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szCs w:val="21"/>
              </w:rPr>
            </w:pPr>
            <w:r>
              <w:rPr>
                <w:rFonts w:hint="eastAsia" w:ascii="宋体" w:hAnsi="宋体" w:cs="宋体"/>
                <w:szCs w:val="21"/>
              </w:rPr>
              <w:t>启动电池及发电系统检查</w:t>
            </w:r>
          </w:p>
          <w:p>
            <w:pPr>
              <w:pStyle w:val="2"/>
              <w:spacing w:after="0" w:line="160" w:lineRule="atLeast"/>
              <w:ind w:left="0"/>
              <w:jc w:val="left"/>
              <w:rPr>
                <w:rFonts w:ascii="宋体" w:hAnsi="宋体" w:cs="宋体"/>
                <w:sz w:val="21"/>
                <w:szCs w:val="21"/>
              </w:rPr>
            </w:pPr>
            <w:r>
              <w:rPr>
                <w:rFonts w:hint="eastAsia" w:ascii="宋体" w:hAnsi="宋体" w:cs="宋体"/>
                <w:sz w:val="21"/>
                <w:szCs w:val="21"/>
              </w:rPr>
              <w:t xml:space="preserve">1.电池表面是否有起鼓现象 </w:t>
            </w:r>
          </w:p>
          <w:p>
            <w:pPr>
              <w:pStyle w:val="2"/>
              <w:spacing w:after="0" w:line="160" w:lineRule="atLeast"/>
              <w:ind w:left="0"/>
              <w:jc w:val="left"/>
              <w:rPr>
                <w:rFonts w:ascii="宋体" w:hAnsi="宋体" w:cs="宋体"/>
                <w:sz w:val="21"/>
                <w:szCs w:val="21"/>
              </w:rPr>
            </w:pPr>
            <w:r>
              <w:rPr>
                <w:rFonts w:hint="eastAsia" w:ascii="宋体" w:hAnsi="宋体" w:cs="宋体"/>
                <w:sz w:val="21"/>
                <w:szCs w:val="21"/>
              </w:rPr>
              <w:t xml:space="preserve">2.电池的连接线及端子是否有硫化现象 </w:t>
            </w:r>
          </w:p>
          <w:p>
            <w:pPr>
              <w:pStyle w:val="2"/>
              <w:spacing w:after="0" w:line="160" w:lineRule="atLeast"/>
              <w:ind w:left="0"/>
              <w:jc w:val="left"/>
              <w:rPr>
                <w:rFonts w:ascii="宋体" w:hAnsi="宋体" w:cs="宋体"/>
                <w:sz w:val="21"/>
                <w:szCs w:val="21"/>
              </w:rPr>
            </w:pPr>
            <w:r>
              <w:rPr>
                <w:rFonts w:hint="eastAsia" w:ascii="宋体" w:hAnsi="宋体" w:cs="宋体"/>
                <w:sz w:val="21"/>
                <w:szCs w:val="21"/>
              </w:rPr>
              <w:t xml:space="preserve">3.电池电解液情况检查（如果是加液电池） </w:t>
            </w:r>
          </w:p>
          <w:p>
            <w:pPr>
              <w:pStyle w:val="2"/>
              <w:spacing w:after="0" w:line="160" w:lineRule="atLeast"/>
              <w:ind w:left="0"/>
              <w:jc w:val="left"/>
              <w:rPr>
                <w:rFonts w:ascii="宋体" w:hAnsi="宋体" w:cs="宋体"/>
                <w:sz w:val="21"/>
                <w:szCs w:val="21"/>
              </w:rPr>
            </w:pPr>
            <w:r>
              <w:rPr>
                <w:rFonts w:hint="eastAsia" w:ascii="宋体" w:hAnsi="宋体" w:cs="宋体"/>
                <w:sz w:val="21"/>
                <w:szCs w:val="21"/>
              </w:rPr>
              <w:t xml:space="preserve">4.柴油机发电系统功能测试检查 </w:t>
            </w:r>
          </w:p>
          <w:p>
            <w:pPr>
              <w:pStyle w:val="2"/>
              <w:spacing w:after="0" w:line="160" w:lineRule="atLeast"/>
              <w:ind w:left="0"/>
              <w:jc w:val="left"/>
              <w:rPr>
                <w:rFonts w:ascii="宋体" w:hAnsi="宋体" w:cs="宋体"/>
                <w:sz w:val="21"/>
                <w:szCs w:val="21"/>
              </w:rPr>
            </w:pPr>
            <w:r>
              <w:rPr>
                <w:rFonts w:hint="eastAsia" w:ascii="宋体" w:hAnsi="宋体" w:cs="宋体"/>
                <w:sz w:val="21"/>
                <w:szCs w:val="21"/>
              </w:rPr>
              <w:t xml:space="preserve">5.柴油发动机柴油管路检查 </w:t>
            </w:r>
          </w:p>
          <w:p>
            <w:pPr>
              <w:pStyle w:val="2"/>
              <w:spacing w:after="0" w:line="160" w:lineRule="atLeast"/>
              <w:ind w:left="0"/>
              <w:jc w:val="left"/>
              <w:rPr>
                <w:rFonts w:ascii="宋体" w:hAnsi="宋体" w:cs="宋体"/>
                <w:sz w:val="21"/>
                <w:szCs w:val="21"/>
              </w:rPr>
            </w:pPr>
            <w:r>
              <w:rPr>
                <w:rFonts w:hint="eastAsia" w:ascii="宋体" w:hAnsi="宋体" w:cs="宋体"/>
                <w:sz w:val="21"/>
                <w:szCs w:val="21"/>
              </w:rPr>
              <w:t xml:space="preserve">6.柴油发动机机油冷却管路检查 </w:t>
            </w:r>
          </w:p>
          <w:p>
            <w:pPr>
              <w:pStyle w:val="2"/>
              <w:spacing w:after="0" w:line="160" w:lineRule="atLeast"/>
              <w:ind w:left="0"/>
              <w:jc w:val="left"/>
              <w:rPr>
                <w:rFonts w:ascii="宋体" w:hAnsi="宋体" w:cs="宋体"/>
                <w:sz w:val="21"/>
                <w:szCs w:val="21"/>
              </w:rPr>
            </w:pPr>
            <w:r>
              <w:rPr>
                <w:rFonts w:hint="eastAsia" w:ascii="宋体" w:hAnsi="宋体" w:cs="宋体"/>
                <w:sz w:val="21"/>
                <w:szCs w:val="21"/>
              </w:rPr>
              <w:t xml:space="preserve">7.柴油发动机高低速怠速线圈检查 </w:t>
            </w:r>
          </w:p>
          <w:p>
            <w:pPr>
              <w:pStyle w:val="2"/>
              <w:spacing w:after="0" w:line="160" w:lineRule="atLeast"/>
              <w:ind w:left="0"/>
              <w:jc w:val="left"/>
              <w:rPr>
                <w:rFonts w:ascii="宋体" w:hAnsi="宋体" w:cs="宋体"/>
                <w:sz w:val="21"/>
                <w:szCs w:val="21"/>
              </w:rPr>
            </w:pPr>
            <w:r>
              <w:rPr>
                <w:rFonts w:hint="eastAsia" w:ascii="宋体" w:hAnsi="宋体" w:cs="宋体"/>
                <w:sz w:val="21"/>
                <w:szCs w:val="21"/>
              </w:rPr>
              <w:t xml:space="preserve">8.柴油发动机机油缺少报警系统检查  </w:t>
            </w:r>
          </w:p>
          <w:p>
            <w:pPr>
              <w:pStyle w:val="2"/>
              <w:spacing w:after="0" w:line="160" w:lineRule="atLeast"/>
              <w:ind w:left="0"/>
              <w:jc w:val="left"/>
              <w:rPr>
                <w:rFonts w:ascii="宋体" w:hAnsi="宋体" w:cs="宋体"/>
                <w:sz w:val="21"/>
                <w:szCs w:val="21"/>
              </w:rPr>
            </w:pPr>
            <w:r>
              <w:rPr>
                <w:rFonts w:hint="eastAsia" w:ascii="宋体" w:hAnsi="宋体" w:cs="宋体"/>
                <w:sz w:val="21"/>
                <w:szCs w:val="21"/>
              </w:rPr>
              <w:t>9.所有线束和接线端子检查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5</w:t>
            </w:r>
          </w:p>
        </w:tc>
        <w:tc>
          <w:tcPr>
            <w:tcW w:w="1542"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color w:val="000000"/>
                <w:szCs w:val="21"/>
              </w:rPr>
            </w:pPr>
            <w:r>
              <w:rPr>
                <w:rFonts w:hint="eastAsia" w:ascii="宋体" w:hAnsi="宋体" w:cs="宋体"/>
                <w:szCs w:val="21"/>
              </w:rPr>
              <w:t>上下控制系统</w:t>
            </w:r>
          </w:p>
        </w:tc>
        <w:tc>
          <w:tcPr>
            <w:tcW w:w="6137"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szCs w:val="21"/>
              </w:rPr>
            </w:pPr>
            <w:r>
              <w:rPr>
                <w:rFonts w:hint="eastAsia" w:ascii="宋体" w:hAnsi="宋体" w:cs="宋体"/>
                <w:szCs w:val="21"/>
              </w:rPr>
              <w:t>控制系统信号检查测试</w:t>
            </w:r>
          </w:p>
          <w:p>
            <w:pPr>
              <w:spacing w:line="0" w:lineRule="atLeast"/>
              <w:rPr>
                <w:rFonts w:ascii="宋体" w:hAnsi="宋体" w:cs="宋体"/>
                <w:szCs w:val="21"/>
              </w:rPr>
            </w:pPr>
            <w:r>
              <w:rPr>
                <w:rFonts w:hint="eastAsia" w:ascii="宋体" w:hAnsi="宋体" w:cs="宋体"/>
                <w:szCs w:val="21"/>
              </w:rPr>
              <w:t>1.紧急停止功能测试</w:t>
            </w:r>
          </w:p>
          <w:p>
            <w:pPr>
              <w:spacing w:line="0" w:lineRule="atLeast"/>
              <w:rPr>
                <w:rFonts w:ascii="宋体" w:hAnsi="宋体" w:cs="宋体"/>
                <w:szCs w:val="21"/>
              </w:rPr>
            </w:pPr>
            <w:r>
              <w:rPr>
                <w:rFonts w:hint="eastAsia" w:ascii="宋体" w:hAnsi="宋体" w:cs="宋体"/>
                <w:szCs w:val="21"/>
              </w:rPr>
              <w:t>2.下控制系统各功能测试，含各工作臂动作测试，塔台旋转，工作栏调平等</w:t>
            </w:r>
          </w:p>
          <w:p>
            <w:pPr>
              <w:spacing w:line="0" w:lineRule="atLeast"/>
              <w:ind w:left="210" w:hanging="210" w:hangingChars="100"/>
              <w:rPr>
                <w:rFonts w:ascii="宋体" w:hAnsi="宋体" w:cs="宋体"/>
                <w:szCs w:val="21"/>
              </w:rPr>
            </w:pPr>
            <w:r>
              <w:rPr>
                <w:rFonts w:hint="eastAsia" w:ascii="宋体" w:hAnsi="宋体" w:cs="宋体"/>
                <w:szCs w:val="21"/>
              </w:rPr>
              <w:t>3.检查脚踏安全开关是否正常工作，在脚踏安全开关未踩踏之前，机器不应有任何动作，踩下安全开关连续超过10秒以上，该开关将自动失效</w:t>
            </w:r>
          </w:p>
          <w:p>
            <w:pPr>
              <w:spacing w:line="0" w:lineRule="atLeast"/>
              <w:rPr>
                <w:rFonts w:ascii="宋体" w:hAnsi="宋体" w:cs="宋体"/>
                <w:szCs w:val="21"/>
              </w:rPr>
            </w:pPr>
            <w:r>
              <w:rPr>
                <w:rFonts w:hint="eastAsia" w:ascii="宋体" w:hAnsi="宋体" w:cs="宋体"/>
                <w:szCs w:val="21"/>
              </w:rPr>
              <w:t>4.机器行驶和臂东走互锁检查确认</w:t>
            </w:r>
          </w:p>
          <w:p>
            <w:pPr>
              <w:spacing w:line="0" w:lineRule="atLeast"/>
              <w:ind w:left="210" w:hanging="210" w:hangingChars="100"/>
              <w:rPr>
                <w:rFonts w:ascii="宋体" w:hAnsi="宋体" w:cs="宋体"/>
                <w:szCs w:val="21"/>
              </w:rPr>
            </w:pPr>
            <w:r>
              <w:rPr>
                <w:rFonts w:hint="eastAsia" w:ascii="宋体" w:hAnsi="宋体" w:cs="宋体"/>
                <w:szCs w:val="21"/>
              </w:rPr>
              <w:t>5.检查确认上下控制平台是否互锁，及启动某一工作面板的时候，另一操作面板不应有任何动作</w:t>
            </w:r>
          </w:p>
          <w:p>
            <w:pPr>
              <w:spacing w:line="0" w:lineRule="atLeast"/>
              <w:rPr>
                <w:rFonts w:ascii="宋体" w:hAnsi="宋体" w:cs="宋体"/>
                <w:szCs w:val="21"/>
              </w:rPr>
            </w:pPr>
            <w:r>
              <w:rPr>
                <w:rFonts w:hint="eastAsia" w:ascii="宋体" w:hAnsi="宋体" w:cs="宋体"/>
                <w:szCs w:val="21"/>
              </w:rPr>
              <w:t>6.喇叭测试</w:t>
            </w:r>
          </w:p>
          <w:p>
            <w:pPr>
              <w:spacing w:line="0" w:lineRule="atLeast"/>
              <w:rPr>
                <w:rFonts w:ascii="宋体" w:hAnsi="宋体" w:cs="宋体"/>
                <w:szCs w:val="21"/>
              </w:rPr>
            </w:pPr>
            <w:r>
              <w:rPr>
                <w:rFonts w:hint="eastAsia" w:ascii="宋体" w:hAnsi="宋体" w:cs="宋体"/>
                <w:szCs w:val="21"/>
              </w:rPr>
              <w:t>下控制面板信号功能检查</w:t>
            </w:r>
          </w:p>
          <w:p>
            <w:pPr>
              <w:spacing w:line="0" w:lineRule="atLeast"/>
              <w:rPr>
                <w:rFonts w:ascii="宋体" w:hAnsi="宋体" w:cs="宋体"/>
                <w:szCs w:val="21"/>
              </w:rPr>
            </w:pPr>
            <w:r>
              <w:rPr>
                <w:rFonts w:hint="eastAsia" w:ascii="宋体" w:hAnsi="宋体" w:cs="宋体"/>
                <w:szCs w:val="21"/>
              </w:rPr>
              <w:t>1．下控制面板急停按钮功能确认，在按下该按钮以后，机器不应有任何动作</w:t>
            </w:r>
          </w:p>
          <w:p>
            <w:pPr>
              <w:spacing w:line="0" w:lineRule="atLeast"/>
              <w:rPr>
                <w:rFonts w:ascii="宋体" w:hAnsi="宋体" w:cs="宋体"/>
                <w:szCs w:val="21"/>
              </w:rPr>
            </w:pPr>
            <w:r>
              <w:rPr>
                <w:rFonts w:hint="eastAsia" w:ascii="宋体" w:hAnsi="宋体" w:cs="宋体"/>
                <w:szCs w:val="21"/>
              </w:rPr>
              <w:t>2．下控制面板各动作功能检查确认</w:t>
            </w:r>
          </w:p>
          <w:p>
            <w:pPr>
              <w:spacing w:line="0" w:lineRule="atLeast"/>
              <w:rPr>
                <w:rFonts w:ascii="宋体" w:hAnsi="宋体" w:cs="宋体"/>
                <w:color w:val="000000"/>
                <w:szCs w:val="21"/>
              </w:rPr>
            </w:pPr>
            <w:r>
              <w:rPr>
                <w:rFonts w:hint="eastAsia" w:ascii="宋体" w:hAnsi="宋体" w:cs="宋体"/>
                <w:szCs w:val="21"/>
              </w:rPr>
              <w:t>3.平台互锁功能检查确认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6</w:t>
            </w:r>
          </w:p>
        </w:tc>
        <w:tc>
          <w:tcPr>
            <w:tcW w:w="1542"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安全系统检查测试</w:t>
            </w:r>
          </w:p>
          <w:p>
            <w:pPr>
              <w:spacing w:line="0" w:lineRule="atLeast"/>
              <w:jc w:val="center"/>
              <w:rPr>
                <w:rFonts w:ascii="宋体" w:hAnsi="宋体" w:cs="宋体"/>
                <w:szCs w:val="21"/>
              </w:rPr>
            </w:pPr>
          </w:p>
        </w:tc>
        <w:tc>
          <w:tcPr>
            <w:tcW w:w="6137"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xml:space="preserve">1.高低速行驶功能自动切换测试 </w:t>
            </w:r>
          </w:p>
          <w:p>
            <w:pPr>
              <w:rPr>
                <w:rFonts w:ascii="宋体" w:hAnsi="宋体" w:cs="宋体"/>
                <w:kern w:val="0"/>
                <w:szCs w:val="21"/>
              </w:rPr>
            </w:pPr>
            <w:r>
              <w:rPr>
                <w:rFonts w:hint="eastAsia" w:ascii="宋体" w:hAnsi="宋体" w:cs="宋体"/>
                <w:kern w:val="0"/>
                <w:szCs w:val="21"/>
              </w:rPr>
              <w:t xml:space="preserve">2.主臂升降/伸缩后是否自动切换到快慢速行驶 </w:t>
            </w:r>
          </w:p>
          <w:p>
            <w:pPr>
              <w:rPr>
                <w:rFonts w:ascii="宋体" w:hAnsi="宋体" w:cs="宋体"/>
                <w:kern w:val="0"/>
                <w:szCs w:val="21"/>
              </w:rPr>
            </w:pPr>
            <w:r>
              <w:rPr>
                <w:rFonts w:hint="eastAsia" w:ascii="宋体" w:hAnsi="宋体" w:cs="宋体"/>
                <w:kern w:val="0"/>
                <w:szCs w:val="21"/>
              </w:rPr>
              <w:t>3.支腿安全传感器是否正常</w:t>
            </w:r>
          </w:p>
          <w:p>
            <w:pPr>
              <w:rPr>
                <w:rFonts w:ascii="宋体" w:hAnsi="宋体" w:cs="宋体"/>
                <w:kern w:val="0"/>
                <w:szCs w:val="21"/>
              </w:rPr>
            </w:pPr>
            <w:r>
              <w:rPr>
                <w:rFonts w:hint="eastAsia" w:ascii="宋体" w:hAnsi="宋体" w:cs="宋体"/>
                <w:kern w:val="0"/>
                <w:szCs w:val="21"/>
              </w:rPr>
              <w:t xml:space="preserve">4.倾斜保护装置  </w:t>
            </w:r>
          </w:p>
          <w:p>
            <w:pPr>
              <w:spacing w:line="0" w:lineRule="atLeast"/>
              <w:rPr>
                <w:rFonts w:ascii="宋体" w:hAnsi="宋体" w:cs="宋体"/>
                <w:szCs w:val="21"/>
              </w:rPr>
            </w:pPr>
            <w:r>
              <w:rPr>
                <w:rFonts w:hint="eastAsia" w:ascii="宋体" w:hAnsi="宋体" w:cs="宋体"/>
                <w:kern w:val="0"/>
                <w:szCs w:val="21"/>
              </w:rPr>
              <w:t>5.紧急电动辅助系统测试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43" w:type="dxa"/>
            <w:gridSpan w:val="3"/>
            <w:tcBorders>
              <w:top w:val="single" w:color="auto" w:sz="4" w:space="0"/>
              <w:left w:val="single" w:color="auto" w:sz="4" w:space="0"/>
              <w:bottom w:val="single" w:color="auto" w:sz="4" w:space="0"/>
              <w:right w:val="single" w:color="auto" w:sz="4" w:space="0"/>
            </w:tcBorders>
            <w:vAlign w:val="center"/>
          </w:tcPr>
          <w:p>
            <w:pPr>
              <w:tabs>
                <w:tab w:val="left" w:pos="3279"/>
              </w:tabs>
              <w:spacing w:line="0" w:lineRule="atLeast"/>
              <w:ind w:firstLine="2319" w:firstLineChars="1100"/>
              <w:rPr>
                <w:rFonts w:ascii="宋体" w:hAnsi="宋体" w:cs="宋体"/>
                <w:kern w:val="0"/>
                <w:szCs w:val="21"/>
              </w:rPr>
            </w:pPr>
            <w:r>
              <w:rPr>
                <w:rFonts w:hint="eastAsia" w:ascii="宋体" w:hAnsi="宋体" w:cs="宋体"/>
                <w:b/>
                <w:kern w:val="0"/>
                <w:szCs w:val="21"/>
              </w:rPr>
              <w:t>（二）</w:t>
            </w:r>
            <w:r>
              <w:rPr>
                <w:rFonts w:hint="eastAsia" w:ascii="宋体" w:hAnsi="宋体" w:cs="宋体"/>
                <w:b/>
                <w:bCs/>
                <w:kern w:val="0"/>
                <w:szCs w:val="21"/>
              </w:rPr>
              <w:t>剪叉式高空作业平台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bCs/>
                <w:szCs w:val="21"/>
              </w:rPr>
            </w:pPr>
            <w:r>
              <w:rPr>
                <w:rFonts w:hint="eastAsia" w:ascii="宋体" w:hAnsi="宋体" w:cs="宋体"/>
                <w:b/>
                <w:bCs/>
                <w:szCs w:val="21"/>
              </w:rPr>
              <w:t>序号</w:t>
            </w:r>
          </w:p>
        </w:tc>
        <w:tc>
          <w:tcPr>
            <w:tcW w:w="1542"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szCs w:val="21"/>
              </w:rPr>
            </w:pPr>
            <w:r>
              <w:rPr>
                <w:rFonts w:hint="eastAsia" w:ascii="宋体" w:hAnsi="宋体" w:cs="宋体"/>
                <w:b/>
                <w:bCs/>
                <w:szCs w:val="21"/>
              </w:rPr>
              <w:t>项目</w:t>
            </w:r>
          </w:p>
        </w:tc>
        <w:tc>
          <w:tcPr>
            <w:tcW w:w="6137"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szCs w:val="21"/>
              </w:rPr>
            </w:pPr>
            <w:r>
              <w:rPr>
                <w:rFonts w:hint="eastAsia" w:ascii="宋体" w:hAnsi="宋体" w:cs="宋体"/>
                <w:b/>
                <w:bCs/>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1</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剪叉机械结构检查</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18"/>
              </w:numPr>
              <w:spacing w:after="0" w:line="280" w:lineRule="exact"/>
              <w:ind w:left="0" w:firstLine="0"/>
              <w:jc w:val="left"/>
              <w:rPr>
                <w:rFonts w:ascii="宋体" w:hAnsi="宋体" w:cs="宋体"/>
                <w:sz w:val="21"/>
                <w:szCs w:val="21"/>
              </w:rPr>
            </w:pPr>
            <w:r>
              <w:rPr>
                <w:rFonts w:hint="eastAsia" w:ascii="宋体" w:hAnsi="宋体" w:cs="宋体"/>
                <w:sz w:val="21"/>
                <w:szCs w:val="21"/>
              </w:rPr>
              <w:t>剪叉臂母材焊缝检查</w:t>
            </w:r>
          </w:p>
          <w:p>
            <w:pPr>
              <w:pStyle w:val="2"/>
              <w:numPr>
                <w:ilvl w:val="0"/>
                <w:numId w:val="18"/>
              </w:numPr>
              <w:spacing w:after="0" w:line="280" w:lineRule="exact"/>
              <w:ind w:left="0" w:firstLine="0"/>
              <w:jc w:val="left"/>
              <w:rPr>
                <w:rFonts w:ascii="宋体" w:hAnsi="宋体" w:cs="宋体"/>
                <w:sz w:val="21"/>
                <w:szCs w:val="21"/>
              </w:rPr>
            </w:pPr>
            <w:r>
              <w:rPr>
                <w:rFonts w:hint="eastAsia" w:ascii="宋体" w:hAnsi="宋体" w:cs="宋体"/>
                <w:sz w:val="21"/>
                <w:szCs w:val="21"/>
              </w:rPr>
              <w:t>剪叉臂轴销磨损情况检查</w:t>
            </w:r>
          </w:p>
          <w:p>
            <w:pPr>
              <w:pStyle w:val="2"/>
              <w:numPr>
                <w:ilvl w:val="0"/>
                <w:numId w:val="18"/>
              </w:numPr>
              <w:spacing w:after="0" w:line="280" w:lineRule="exact"/>
              <w:ind w:left="0" w:firstLine="0"/>
              <w:jc w:val="left"/>
              <w:rPr>
                <w:rFonts w:ascii="宋体" w:hAnsi="宋体" w:cs="宋体"/>
                <w:sz w:val="21"/>
                <w:szCs w:val="21"/>
              </w:rPr>
            </w:pPr>
            <w:r>
              <w:rPr>
                <w:rFonts w:hint="eastAsia" w:ascii="宋体" w:hAnsi="宋体" w:cs="宋体"/>
                <w:sz w:val="21"/>
                <w:szCs w:val="21"/>
              </w:rPr>
              <w:t>剪叉臂轴销锁止情况检查</w:t>
            </w:r>
          </w:p>
          <w:p>
            <w:pPr>
              <w:pStyle w:val="2"/>
              <w:numPr>
                <w:ilvl w:val="0"/>
                <w:numId w:val="18"/>
              </w:numPr>
              <w:spacing w:after="0" w:line="280" w:lineRule="exact"/>
              <w:ind w:left="0" w:firstLine="0"/>
              <w:jc w:val="left"/>
              <w:rPr>
                <w:rFonts w:ascii="宋体" w:hAnsi="宋体" w:cs="宋体"/>
                <w:sz w:val="21"/>
                <w:szCs w:val="21"/>
              </w:rPr>
            </w:pPr>
            <w:r>
              <w:rPr>
                <w:rFonts w:hint="eastAsia" w:ascii="宋体" w:hAnsi="宋体" w:cs="宋体"/>
                <w:sz w:val="21"/>
                <w:szCs w:val="21"/>
              </w:rPr>
              <w:t>剪叉臂与车体连接处母材及焊缝检查</w:t>
            </w:r>
          </w:p>
          <w:p>
            <w:pPr>
              <w:pStyle w:val="2"/>
              <w:numPr>
                <w:ilvl w:val="0"/>
                <w:numId w:val="18"/>
              </w:numPr>
              <w:spacing w:after="0" w:line="280" w:lineRule="exact"/>
              <w:ind w:left="0" w:firstLine="0"/>
              <w:jc w:val="left"/>
              <w:rPr>
                <w:rFonts w:ascii="宋体" w:hAnsi="宋体" w:cs="宋体"/>
                <w:sz w:val="21"/>
                <w:szCs w:val="21"/>
              </w:rPr>
            </w:pPr>
            <w:r>
              <w:rPr>
                <w:rFonts w:hint="eastAsia" w:ascii="宋体" w:hAnsi="宋体" w:cs="宋体"/>
                <w:sz w:val="21"/>
                <w:szCs w:val="21"/>
              </w:rPr>
              <w:t>剪叉臂油缸轴销及锁止销检查</w:t>
            </w:r>
          </w:p>
          <w:p>
            <w:pPr>
              <w:pStyle w:val="2"/>
              <w:numPr>
                <w:ilvl w:val="0"/>
                <w:numId w:val="18"/>
              </w:numPr>
              <w:spacing w:after="0" w:line="280" w:lineRule="exact"/>
              <w:ind w:left="0" w:firstLine="0"/>
              <w:jc w:val="left"/>
              <w:rPr>
                <w:rFonts w:ascii="宋体" w:hAnsi="宋体" w:cs="宋体"/>
                <w:sz w:val="21"/>
                <w:szCs w:val="21"/>
              </w:rPr>
            </w:pPr>
            <w:r>
              <w:rPr>
                <w:rFonts w:hint="eastAsia" w:ascii="宋体" w:hAnsi="宋体" w:cs="宋体"/>
                <w:sz w:val="21"/>
                <w:szCs w:val="21"/>
              </w:rPr>
              <w:t>车体变形情况检查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2</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工作栏机械结构检查</w:t>
            </w:r>
          </w:p>
        </w:tc>
        <w:tc>
          <w:tcPr>
            <w:tcW w:w="6137" w:type="dxa"/>
            <w:tcBorders>
              <w:top w:val="single" w:color="auto" w:sz="4" w:space="0"/>
              <w:left w:val="nil"/>
              <w:bottom w:val="single" w:color="auto" w:sz="4" w:space="0"/>
              <w:right w:val="single" w:color="auto" w:sz="4" w:space="0"/>
            </w:tcBorders>
            <w:vAlign w:val="center"/>
          </w:tcPr>
          <w:p>
            <w:pPr>
              <w:numPr>
                <w:ilvl w:val="0"/>
                <w:numId w:val="19"/>
              </w:numPr>
              <w:tabs>
                <w:tab w:val="left" w:pos="349"/>
              </w:tabs>
              <w:spacing w:line="280" w:lineRule="exact"/>
              <w:jc w:val="left"/>
              <w:rPr>
                <w:rFonts w:ascii="宋体" w:hAnsi="宋体" w:cs="宋体"/>
                <w:szCs w:val="21"/>
              </w:rPr>
            </w:pPr>
            <w:r>
              <w:rPr>
                <w:rFonts w:hint="eastAsia" w:ascii="宋体" w:hAnsi="宋体" w:cs="宋体"/>
                <w:szCs w:val="21"/>
              </w:rPr>
              <w:t>工作栏各围杆变形情况检查</w:t>
            </w:r>
          </w:p>
          <w:p>
            <w:pPr>
              <w:numPr>
                <w:ilvl w:val="0"/>
                <w:numId w:val="19"/>
              </w:numPr>
              <w:tabs>
                <w:tab w:val="left" w:pos="349"/>
              </w:tabs>
              <w:spacing w:line="280" w:lineRule="exact"/>
              <w:jc w:val="left"/>
              <w:rPr>
                <w:rFonts w:ascii="宋体" w:hAnsi="宋体" w:cs="宋体"/>
                <w:szCs w:val="21"/>
              </w:rPr>
            </w:pPr>
            <w:r>
              <w:rPr>
                <w:rFonts w:hint="eastAsia" w:ascii="宋体" w:hAnsi="宋体" w:cs="宋体"/>
                <w:szCs w:val="21"/>
              </w:rPr>
              <w:t>工作栏安全带固定点检查</w:t>
            </w:r>
          </w:p>
          <w:p>
            <w:pPr>
              <w:numPr>
                <w:ilvl w:val="0"/>
                <w:numId w:val="19"/>
              </w:numPr>
              <w:tabs>
                <w:tab w:val="left" w:pos="349"/>
              </w:tabs>
              <w:spacing w:line="280" w:lineRule="exact"/>
              <w:jc w:val="left"/>
              <w:rPr>
                <w:rFonts w:ascii="宋体" w:hAnsi="宋体" w:cs="宋体"/>
                <w:szCs w:val="21"/>
              </w:rPr>
            </w:pPr>
            <w:r>
              <w:rPr>
                <w:rFonts w:hint="eastAsia" w:ascii="宋体" w:hAnsi="宋体" w:cs="宋体"/>
                <w:szCs w:val="21"/>
              </w:rPr>
              <w:t>工作栏底板安全筋机构检查</w:t>
            </w:r>
          </w:p>
          <w:p>
            <w:pPr>
              <w:numPr>
                <w:ilvl w:val="0"/>
                <w:numId w:val="19"/>
              </w:numPr>
              <w:tabs>
                <w:tab w:val="left" w:pos="349"/>
              </w:tabs>
              <w:spacing w:line="280" w:lineRule="exact"/>
              <w:jc w:val="left"/>
              <w:rPr>
                <w:rFonts w:ascii="宋体" w:hAnsi="宋体" w:cs="宋体"/>
                <w:szCs w:val="21"/>
              </w:rPr>
            </w:pPr>
            <w:r>
              <w:rPr>
                <w:rFonts w:hint="eastAsia" w:ascii="宋体" w:hAnsi="宋体" w:cs="宋体"/>
                <w:szCs w:val="21"/>
              </w:rPr>
              <w:t>工作栏各标签完好情况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3</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车身及底盘机械结构检查</w:t>
            </w:r>
          </w:p>
        </w:tc>
        <w:tc>
          <w:tcPr>
            <w:tcW w:w="6137" w:type="dxa"/>
            <w:tcBorders>
              <w:top w:val="single" w:color="auto" w:sz="4" w:space="0"/>
              <w:left w:val="nil"/>
              <w:bottom w:val="single" w:color="auto" w:sz="4" w:space="0"/>
              <w:right w:val="single" w:color="auto" w:sz="4" w:space="0"/>
            </w:tcBorders>
            <w:vAlign w:val="center"/>
          </w:tcPr>
          <w:p>
            <w:pPr>
              <w:numPr>
                <w:ilvl w:val="0"/>
                <w:numId w:val="20"/>
              </w:numPr>
              <w:spacing w:line="280" w:lineRule="exact"/>
              <w:jc w:val="left"/>
              <w:rPr>
                <w:rFonts w:ascii="宋体" w:hAnsi="宋体" w:cs="宋体"/>
                <w:szCs w:val="21"/>
              </w:rPr>
            </w:pPr>
            <w:r>
              <w:rPr>
                <w:rFonts w:hint="eastAsia" w:ascii="宋体" w:hAnsi="宋体" w:cs="宋体"/>
                <w:szCs w:val="21"/>
              </w:rPr>
              <w:t>车身焊缝检查</w:t>
            </w:r>
          </w:p>
          <w:p>
            <w:pPr>
              <w:numPr>
                <w:ilvl w:val="0"/>
                <w:numId w:val="20"/>
              </w:numPr>
              <w:spacing w:line="280" w:lineRule="exact"/>
              <w:jc w:val="left"/>
              <w:rPr>
                <w:rFonts w:ascii="宋体" w:hAnsi="宋体" w:cs="宋体"/>
                <w:szCs w:val="21"/>
              </w:rPr>
            </w:pPr>
            <w:r>
              <w:rPr>
                <w:rFonts w:hint="eastAsia" w:ascii="宋体" w:hAnsi="宋体" w:cs="宋体"/>
                <w:szCs w:val="21"/>
              </w:rPr>
              <w:t>行走减速器固定处磨损情况检查</w:t>
            </w:r>
          </w:p>
          <w:p>
            <w:pPr>
              <w:numPr>
                <w:ilvl w:val="0"/>
                <w:numId w:val="20"/>
              </w:numPr>
              <w:spacing w:line="280" w:lineRule="exact"/>
              <w:jc w:val="left"/>
              <w:rPr>
                <w:rFonts w:ascii="宋体" w:hAnsi="宋体" w:cs="宋体"/>
                <w:szCs w:val="21"/>
              </w:rPr>
            </w:pPr>
            <w:r>
              <w:rPr>
                <w:rFonts w:hint="eastAsia" w:ascii="宋体" w:hAnsi="宋体" w:cs="宋体"/>
                <w:szCs w:val="21"/>
              </w:rPr>
              <w:t>轮胎螺丝固定情况检查</w:t>
            </w:r>
          </w:p>
          <w:p>
            <w:pPr>
              <w:numPr>
                <w:ilvl w:val="0"/>
                <w:numId w:val="20"/>
              </w:numPr>
              <w:spacing w:line="280" w:lineRule="exact"/>
              <w:jc w:val="left"/>
              <w:rPr>
                <w:rFonts w:ascii="宋体" w:hAnsi="宋体" w:cs="宋体"/>
                <w:szCs w:val="21"/>
              </w:rPr>
            </w:pPr>
            <w:r>
              <w:rPr>
                <w:rFonts w:hint="eastAsia" w:ascii="宋体" w:hAnsi="宋体" w:cs="宋体"/>
                <w:szCs w:val="21"/>
              </w:rPr>
              <w:t>轮胎减速器固定情况检查</w:t>
            </w:r>
          </w:p>
          <w:p>
            <w:pPr>
              <w:numPr>
                <w:ilvl w:val="0"/>
                <w:numId w:val="20"/>
              </w:numPr>
              <w:spacing w:line="280" w:lineRule="exact"/>
              <w:jc w:val="left"/>
              <w:rPr>
                <w:rFonts w:ascii="宋体" w:hAnsi="宋体" w:cs="宋体"/>
                <w:szCs w:val="21"/>
              </w:rPr>
            </w:pPr>
            <w:r>
              <w:rPr>
                <w:rFonts w:hint="eastAsia" w:ascii="宋体" w:hAnsi="宋体" w:cs="宋体"/>
                <w:szCs w:val="21"/>
              </w:rPr>
              <w:t>转向轮回转轴磨损检查</w:t>
            </w:r>
          </w:p>
          <w:p>
            <w:pPr>
              <w:numPr>
                <w:ilvl w:val="0"/>
                <w:numId w:val="20"/>
              </w:numPr>
              <w:spacing w:line="280" w:lineRule="exact"/>
              <w:jc w:val="left"/>
              <w:rPr>
                <w:rFonts w:ascii="宋体" w:hAnsi="宋体" w:cs="宋体"/>
                <w:szCs w:val="21"/>
              </w:rPr>
            </w:pPr>
            <w:r>
              <w:rPr>
                <w:rFonts w:hint="eastAsia" w:ascii="宋体" w:hAnsi="宋体" w:cs="宋体"/>
                <w:szCs w:val="21"/>
              </w:rPr>
              <w:t>驱动轮磨损情况检查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4</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液压部分检查  液压缸、液压管路和电磁阀系统</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21"/>
              </w:numPr>
              <w:spacing w:after="0" w:line="280" w:lineRule="exact"/>
              <w:jc w:val="left"/>
              <w:rPr>
                <w:rFonts w:ascii="宋体" w:hAnsi="宋体" w:cs="宋体"/>
                <w:sz w:val="21"/>
                <w:szCs w:val="21"/>
              </w:rPr>
            </w:pPr>
            <w:r>
              <w:rPr>
                <w:rFonts w:hint="eastAsia" w:ascii="宋体" w:hAnsi="宋体" w:cs="宋体"/>
                <w:sz w:val="21"/>
                <w:szCs w:val="21"/>
              </w:rPr>
              <w:t>所有液压管路接口是否有渗 漏</w:t>
            </w:r>
          </w:p>
          <w:p>
            <w:pPr>
              <w:pStyle w:val="2"/>
              <w:numPr>
                <w:ilvl w:val="0"/>
                <w:numId w:val="21"/>
              </w:numPr>
              <w:spacing w:after="0" w:line="280" w:lineRule="exact"/>
              <w:jc w:val="left"/>
              <w:rPr>
                <w:rFonts w:ascii="宋体" w:hAnsi="宋体" w:cs="宋体"/>
                <w:sz w:val="21"/>
                <w:szCs w:val="21"/>
              </w:rPr>
            </w:pPr>
            <w:r>
              <w:rPr>
                <w:rFonts w:hint="eastAsia" w:ascii="宋体" w:hAnsi="宋体" w:cs="宋体"/>
                <w:sz w:val="21"/>
                <w:szCs w:val="21"/>
              </w:rPr>
              <w:t>管路是否有弯折，磨损等</w:t>
            </w:r>
          </w:p>
          <w:p>
            <w:pPr>
              <w:pStyle w:val="2"/>
              <w:numPr>
                <w:ilvl w:val="0"/>
                <w:numId w:val="21"/>
              </w:numPr>
              <w:spacing w:after="0" w:line="280" w:lineRule="exact"/>
              <w:jc w:val="left"/>
              <w:rPr>
                <w:rFonts w:ascii="宋体" w:hAnsi="宋体" w:cs="宋体"/>
                <w:sz w:val="21"/>
                <w:szCs w:val="21"/>
              </w:rPr>
            </w:pPr>
            <w:r>
              <w:rPr>
                <w:rFonts w:hint="eastAsia" w:ascii="宋体" w:hAnsi="宋体" w:cs="宋体"/>
                <w:sz w:val="21"/>
                <w:szCs w:val="21"/>
              </w:rPr>
              <w:t>转向系统是否有磨损或渗漏</w:t>
            </w:r>
          </w:p>
          <w:p>
            <w:pPr>
              <w:pStyle w:val="2"/>
              <w:numPr>
                <w:ilvl w:val="0"/>
                <w:numId w:val="21"/>
              </w:numPr>
              <w:spacing w:after="0" w:line="280" w:lineRule="exact"/>
              <w:jc w:val="left"/>
              <w:rPr>
                <w:rFonts w:ascii="宋体" w:hAnsi="宋体" w:cs="宋体"/>
                <w:sz w:val="21"/>
                <w:szCs w:val="21"/>
              </w:rPr>
            </w:pPr>
            <w:r>
              <w:rPr>
                <w:rFonts w:hint="eastAsia" w:ascii="宋体" w:hAnsi="宋体" w:cs="宋体"/>
                <w:sz w:val="21"/>
                <w:szCs w:val="21"/>
              </w:rPr>
              <w:t>剪叉臂压力检查测试</w:t>
            </w:r>
          </w:p>
          <w:p>
            <w:pPr>
              <w:pStyle w:val="2"/>
              <w:numPr>
                <w:ilvl w:val="0"/>
                <w:numId w:val="21"/>
              </w:numPr>
              <w:spacing w:after="0" w:line="280" w:lineRule="exact"/>
              <w:jc w:val="left"/>
              <w:rPr>
                <w:rFonts w:ascii="宋体" w:hAnsi="宋体" w:cs="宋体"/>
                <w:sz w:val="21"/>
                <w:szCs w:val="21"/>
              </w:rPr>
            </w:pPr>
            <w:r>
              <w:rPr>
                <w:rFonts w:hint="eastAsia" w:ascii="宋体" w:hAnsi="宋体" w:cs="宋体"/>
                <w:sz w:val="21"/>
                <w:szCs w:val="21"/>
              </w:rPr>
              <w:t>比例动作电磁阀块检查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5</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电池系统检查</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22"/>
              </w:numPr>
              <w:spacing w:after="0" w:line="280" w:lineRule="exact"/>
              <w:jc w:val="left"/>
              <w:rPr>
                <w:rFonts w:ascii="宋体" w:hAnsi="宋体" w:cs="宋体"/>
                <w:sz w:val="21"/>
                <w:szCs w:val="21"/>
              </w:rPr>
            </w:pPr>
            <w:r>
              <w:rPr>
                <w:rFonts w:hint="eastAsia" w:ascii="宋体" w:hAnsi="宋体" w:cs="宋体"/>
                <w:sz w:val="21"/>
                <w:szCs w:val="21"/>
              </w:rPr>
              <w:t>电池表面是否有起鼓现象</w:t>
            </w:r>
          </w:p>
          <w:p>
            <w:pPr>
              <w:pStyle w:val="2"/>
              <w:numPr>
                <w:ilvl w:val="0"/>
                <w:numId w:val="22"/>
              </w:numPr>
              <w:spacing w:after="0" w:line="280" w:lineRule="exact"/>
              <w:jc w:val="left"/>
              <w:rPr>
                <w:rFonts w:ascii="宋体" w:hAnsi="宋体" w:cs="宋体"/>
                <w:sz w:val="21"/>
                <w:szCs w:val="21"/>
              </w:rPr>
            </w:pPr>
            <w:r>
              <w:rPr>
                <w:rFonts w:hint="eastAsia" w:ascii="宋体" w:hAnsi="宋体" w:cs="宋体"/>
                <w:sz w:val="21"/>
                <w:szCs w:val="21"/>
              </w:rPr>
              <w:t>电池的连接线及端子是否有硫化现象</w:t>
            </w:r>
          </w:p>
          <w:p>
            <w:pPr>
              <w:pStyle w:val="2"/>
              <w:numPr>
                <w:ilvl w:val="0"/>
                <w:numId w:val="22"/>
              </w:numPr>
              <w:spacing w:after="0" w:line="280" w:lineRule="exact"/>
              <w:jc w:val="left"/>
              <w:rPr>
                <w:rFonts w:ascii="宋体" w:hAnsi="宋体" w:cs="宋体"/>
                <w:sz w:val="21"/>
                <w:szCs w:val="21"/>
              </w:rPr>
            </w:pPr>
            <w:r>
              <w:rPr>
                <w:rFonts w:hint="eastAsia" w:ascii="宋体" w:hAnsi="宋体" w:cs="宋体"/>
                <w:sz w:val="21"/>
                <w:szCs w:val="21"/>
              </w:rPr>
              <w:t>电池电解液情况检查（如果是加液电池）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6</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上下控制系统 控制系统信号检查测试</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23"/>
              </w:numPr>
              <w:spacing w:after="0" w:line="280" w:lineRule="exact"/>
              <w:jc w:val="left"/>
              <w:rPr>
                <w:rFonts w:ascii="宋体" w:hAnsi="宋体" w:cs="宋体"/>
                <w:sz w:val="21"/>
                <w:szCs w:val="21"/>
              </w:rPr>
            </w:pPr>
            <w:r>
              <w:rPr>
                <w:rFonts w:hint="eastAsia" w:ascii="宋体" w:hAnsi="宋体" w:cs="宋体"/>
                <w:sz w:val="21"/>
                <w:szCs w:val="21"/>
              </w:rPr>
              <w:t>紧急停止功能测试</w:t>
            </w:r>
          </w:p>
          <w:p>
            <w:pPr>
              <w:pStyle w:val="2"/>
              <w:numPr>
                <w:ilvl w:val="0"/>
                <w:numId w:val="23"/>
              </w:numPr>
              <w:spacing w:after="0" w:line="280" w:lineRule="exact"/>
              <w:jc w:val="left"/>
              <w:rPr>
                <w:rFonts w:ascii="宋体" w:hAnsi="宋体" w:cs="宋体"/>
                <w:sz w:val="21"/>
                <w:szCs w:val="21"/>
              </w:rPr>
            </w:pPr>
            <w:r>
              <w:rPr>
                <w:rFonts w:hint="eastAsia" w:ascii="宋体" w:hAnsi="宋体" w:cs="宋体"/>
                <w:sz w:val="21"/>
                <w:szCs w:val="21"/>
              </w:rPr>
              <w:t>下控制系统各功能测试测试</w:t>
            </w:r>
          </w:p>
          <w:p>
            <w:pPr>
              <w:pStyle w:val="2"/>
              <w:numPr>
                <w:ilvl w:val="0"/>
                <w:numId w:val="23"/>
              </w:numPr>
              <w:spacing w:after="0" w:line="280" w:lineRule="exact"/>
              <w:jc w:val="left"/>
              <w:rPr>
                <w:rFonts w:ascii="宋体" w:hAnsi="宋体" w:cs="宋体"/>
                <w:sz w:val="21"/>
                <w:szCs w:val="21"/>
              </w:rPr>
            </w:pPr>
            <w:r>
              <w:rPr>
                <w:rFonts w:hint="eastAsia" w:ascii="宋体" w:hAnsi="宋体" w:cs="宋体"/>
                <w:sz w:val="21"/>
                <w:szCs w:val="21"/>
              </w:rPr>
              <w:t>行驶比例手柄比例信号测试</w:t>
            </w:r>
          </w:p>
          <w:p>
            <w:pPr>
              <w:pStyle w:val="2"/>
              <w:numPr>
                <w:ilvl w:val="0"/>
                <w:numId w:val="23"/>
              </w:numPr>
              <w:spacing w:after="0" w:line="280" w:lineRule="exact"/>
              <w:jc w:val="left"/>
              <w:rPr>
                <w:rFonts w:ascii="宋体" w:hAnsi="宋体" w:cs="宋体"/>
                <w:sz w:val="21"/>
                <w:szCs w:val="21"/>
              </w:rPr>
            </w:pPr>
            <w:r>
              <w:rPr>
                <w:rFonts w:hint="eastAsia" w:ascii="宋体" w:hAnsi="宋体" w:cs="宋体"/>
                <w:sz w:val="21"/>
                <w:szCs w:val="21"/>
              </w:rPr>
              <w:t>检查手柄安全开关是否正常工作，在安全开关未按压之前，机器不应有任何动</w:t>
            </w:r>
          </w:p>
          <w:p>
            <w:pPr>
              <w:pStyle w:val="2"/>
              <w:numPr>
                <w:ilvl w:val="0"/>
                <w:numId w:val="23"/>
              </w:numPr>
              <w:spacing w:after="0" w:line="280" w:lineRule="exact"/>
              <w:jc w:val="left"/>
              <w:rPr>
                <w:rFonts w:ascii="宋体" w:hAnsi="宋体" w:cs="宋体"/>
                <w:sz w:val="21"/>
                <w:szCs w:val="21"/>
              </w:rPr>
            </w:pPr>
            <w:r>
              <w:rPr>
                <w:rFonts w:hint="eastAsia" w:ascii="宋体" w:hAnsi="宋体" w:cs="宋体"/>
                <w:sz w:val="21"/>
                <w:szCs w:val="21"/>
              </w:rPr>
              <w:t>检查确认上下控制平台是否互锁，及启动某一工作面板的时候，另一操作面板不应有任何动作</w:t>
            </w:r>
          </w:p>
          <w:p>
            <w:pPr>
              <w:pStyle w:val="2"/>
              <w:numPr>
                <w:ilvl w:val="0"/>
                <w:numId w:val="23"/>
              </w:numPr>
              <w:spacing w:after="0" w:line="280" w:lineRule="exact"/>
              <w:jc w:val="left"/>
              <w:rPr>
                <w:rFonts w:ascii="宋体" w:hAnsi="宋体" w:cs="宋体"/>
                <w:sz w:val="21"/>
                <w:szCs w:val="21"/>
              </w:rPr>
            </w:pPr>
            <w:r>
              <w:rPr>
                <w:rFonts w:hint="eastAsia" w:ascii="宋体" w:hAnsi="宋体" w:cs="宋体"/>
                <w:sz w:val="21"/>
                <w:szCs w:val="21"/>
              </w:rPr>
              <w:t>检查一次喇叭测试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7</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下控制面板信号功能检查</w:t>
            </w:r>
          </w:p>
        </w:tc>
        <w:tc>
          <w:tcPr>
            <w:tcW w:w="6137" w:type="dxa"/>
            <w:tcBorders>
              <w:top w:val="single" w:color="auto" w:sz="4" w:space="0"/>
              <w:left w:val="nil"/>
              <w:bottom w:val="single" w:color="auto" w:sz="4" w:space="0"/>
              <w:right w:val="single" w:color="auto" w:sz="4" w:space="0"/>
            </w:tcBorders>
            <w:vAlign w:val="center"/>
          </w:tcPr>
          <w:p>
            <w:pPr>
              <w:numPr>
                <w:ilvl w:val="0"/>
                <w:numId w:val="24"/>
              </w:numPr>
              <w:spacing w:line="280" w:lineRule="exact"/>
              <w:jc w:val="left"/>
              <w:rPr>
                <w:rFonts w:ascii="宋体" w:hAnsi="宋体" w:cs="宋体"/>
                <w:szCs w:val="21"/>
              </w:rPr>
            </w:pPr>
            <w:r>
              <w:rPr>
                <w:rFonts w:hint="eastAsia" w:ascii="宋体" w:hAnsi="宋体" w:cs="宋体"/>
                <w:szCs w:val="21"/>
              </w:rPr>
              <w:t>下控制面板急停按钮功能确认，在按下该按钮以后，机器不应有任何动作</w:t>
            </w:r>
          </w:p>
          <w:p>
            <w:pPr>
              <w:numPr>
                <w:ilvl w:val="0"/>
                <w:numId w:val="24"/>
              </w:numPr>
              <w:spacing w:line="280" w:lineRule="exact"/>
              <w:jc w:val="left"/>
              <w:rPr>
                <w:rFonts w:ascii="宋体" w:hAnsi="宋体" w:cs="宋体"/>
                <w:szCs w:val="21"/>
              </w:rPr>
            </w:pPr>
            <w:r>
              <w:rPr>
                <w:rFonts w:hint="eastAsia" w:ascii="宋体" w:hAnsi="宋体" w:cs="宋体"/>
                <w:szCs w:val="21"/>
              </w:rPr>
              <w:t>下控制面板各动作功能检查确认</w:t>
            </w:r>
          </w:p>
          <w:p>
            <w:pPr>
              <w:numPr>
                <w:ilvl w:val="0"/>
                <w:numId w:val="24"/>
              </w:numPr>
              <w:spacing w:line="280" w:lineRule="exact"/>
              <w:jc w:val="left"/>
              <w:rPr>
                <w:rFonts w:ascii="宋体" w:hAnsi="宋体" w:cs="宋体"/>
                <w:szCs w:val="21"/>
              </w:rPr>
            </w:pPr>
            <w:r>
              <w:rPr>
                <w:rFonts w:hint="eastAsia" w:ascii="宋体" w:hAnsi="宋体" w:cs="宋体"/>
                <w:szCs w:val="21"/>
              </w:rPr>
              <w:t>平台互锁功能检查确认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8</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安全系统检查测试</w:t>
            </w:r>
          </w:p>
        </w:tc>
        <w:tc>
          <w:tcPr>
            <w:tcW w:w="6137" w:type="dxa"/>
            <w:tcBorders>
              <w:top w:val="single" w:color="auto" w:sz="4" w:space="0"/>
              <w:left w:val="nil"/>
              <w:bottom w:val="single" w:color="auto" w:sz="4" w:space="0"/>
              <w:right w:val="single" w:color="auto" w:sz="4" w:space="0"/>
            </w:tcBorders>
            <w:vAlign w:val="center"/>
          </w:tcPr>
          <w:p>
            <w:pPr>
              <w:numPr>
                <w:ilvl w:val="0"/>
                <w:numId w:val="25"/>
              </w:numPr>
              <w:spacing w:line="280" w:lineRule="exact"/>
              <w:jc w:val="left"/>
              <w:rPr>
                <w:rFonts w:ascii="宋体" w:hAnsi="宋体" w:cs="宋体"/>
                <w:szCs w:val="21"/>
              </w:rPr>
            </w:pPr>
            <w:r>
              <w:rPr>
                <w:rFonts w:hint="eastAsia" w:ascii="宋体" w:hAnsi="宋体" w:cs="宋体"/>
                <w:szCs w:val="21"/>
              </w:rPr>
              <w:t>高低速行驶功能自动切换测试</w:t>
            </w:r>
          </w:p>
          <w:p>
            <w:pPr>
              <w:numPr>
                <w:ilvl w:val="0"/>
                <w:numId w:val="25"/>
              </w:numPr>
              <w:spacing w:line="280" w:lineRule="exact"/>
              <w:jc w:val="left"/>
              <w:rPr>
                <w:rFonts w:ascii="宋体" w:hAnsi="宋体" w:cs="宋体"/>
                <w:szCs w:val="21"/>
              </w:rPr>
            </w:pPr>
            <w:r>
              <w:rPr>
                <w:rFonts w:hint="eastAsia" w:ascii="宋体" w:hAnsi="宋体" w:cs="宋体"/>
                <w:szCs w:val="21"/>
              </w:rPr>
              <w:t>平台升到2米以上位置后是否自动切换到慢速行驶</w:t>
            </w:r>
          </w:p>
          <w:p>
            <w:pPr>
              <w:numPr>
                <w:ilvl w:val="0"/>
                <w:numId w:val="25"/>
              </w:numPr>
              <w:spacing w:line="280" w:lineRule="exact"/>
              <w:jc w:val="left"/>
              <w:rPr>
                <w:rFonts w:ascii="宋体" w:hAnsi="宋体" w:cs="宋体"/>
                <w:szCs w:val="21"/>
              </w:rPr>
            </w:pPr>
            <w:r>
              <w:rPr>
                <w:rFonts w:hint="eastAsia" w:ascii="宋体" w:hAnsi="宋体" w:cs="宋体"/>
                <w:szCs w:val="21"/>
              </w:rPr>
              <w:t>倾斜保护装置</w:t>
            </w:r>
          </w:p>
          <w:p>
            <w:pPr>
              <w:numPr>
                <w:ilvl w:val="0"/>
                <w:numId w:val="25"/>
              </w:numPr>
              <w:spacing w:line="280" w:lineRule="exact"/>
              <w:jc w:val="left"/>
              <w:rPr>
                <w:rFonts w:ascii="宋体" w:hAnsi="宋体" w:cs="宋体"/>
                <w:szCs w:val="21"/>
              </w:rPr>
            </w:pPr>
            <w:r>
              <w:rPr>
                <w:rFonts w:hint="eastAsia" w:ascii="宋体" w:hAnsi="宋体" w:cs="宋体"/>
                <w:szCs w:val="21"/>
              </w:rPr>
              <w:t>平台升到2米以上位置以后，触发倾斜传感器，是否限制上升动作并伴有警报声</w:t>
            </w:r>
          </w:p>
          <w:p>
            <w:pPr>
              <w:numPr>
                <w:ilvl w:val="0"/>
                <w:numId w:val="25"/>
              </w:numPr>
              <w:spacing w:line="280" w:lineRule="exact"/>
              <w:jc w:val="left"/>
              <w:rPr>
                <w:rFonts w:ascii="宋体" w:hAnsi="宋体" w:cs="宋体"/>
                <w:szCs w:val="21"/>
              </w:rPr>
            </w:pPr>
            <w:r>
              <w:rPr>
                <w:rFonts w:hint="eastAsia" w:ascii="宋体" w:hAnsi="宋体" w:cs="宋体"/>
                <w:szCs w:val="21"/>
              </w:rPr>
              <w:t>平台超重报警系统测试，超重后是否先做所有动作并伴有警报声</w:t>
            </w:r>
          </w:p>
          <w:p>
            <w:pPr>
              <w:numPr>
                <w:ilvl w:val="0"/>
                <w:numId w:val="25"/>
              </w:numPr>
              <w:spacing w:line="280" w:lineRule="exact"/>
              <w:jc w:val="left"/>
              <w:rPr>
                <w:rFonts w:ascii="宋体" w:hAnsi="宋体" w:cs="宋体"/>
                <w:szCs w:val="21"/>
              </w:rPr>
            </w:pPr>
            <w:r>
              <w:rPr>
                <w:rFonts w:hint="eastAsia" w:ascii="宋体" w:hAnsi="宋体" w:cs="宋体"/>
                <w:szCs w:val="21"/>
              </w:rPr>
              <w:t>紧急手动操作系统测试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9</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滤芯保养内容</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26"/>
              </w:numPr>
              <w:spacing w:after="0" w:line="280" w:lineRule="exact"/>
              <w:jc w:val="left"/>
              <w:rPr>
                <w:rFonts w:ascii="宋体" w:hAnsi="宋体" w:cs="宋体"/>
                <w:sz w:val="21"/>
                <w:szCs w:val="21"/>
              </w:rPr>
            </w:pPr>
            <w:r>
              <w:rPr>
                <w:rFonts w:hint="eastAsia" w:ascii="宋体" w:hAnsi="宋体" w:cs="宋体"/>
                <w:sz w:val="21"/>
                <w:szCs w:val="21"/>
              </w:rPr>
              <w:t>液压系统保养，更换原装液压油过滤器</w:t>
            </w:r>
          </w:p>
          <w:p>
            <w:pPr>
              <w:pStyle w:val="2"/>
              <w:numPr>
                <w:ilvl w:val="0"/>
                <w:numId w:val="26"/>
              </w:numPr>
              <w:spacing w:after="0" w:line="280" w:lineRule="exact"/>
              <w:jc w:val="left"/>
              <w:rPr>
                <w:rFonts w:ascii="宋体" w:hAnsi="宋体" w:cs="宋体"/>
                <w:sz w:val="21"/>
                <w:szCs w:val="21"/>
              </w:rPr>
            </w:pPr>
            <w:r>
              <w:rPr>
                <w:rFonts w:hint="eastAsia" w:ascii="宋体" w:hAnsi="宋体" w:cs="宋体"/>
                <w:sz w:val="21"/>
                <w:szCs w:val="21"/>
              </w:rPr>
              <w:t>转向轴加注润滑油</w:t>
            </w:r>
          </w:p>
          <w:p>
            <w:pPr>
              <w:pStyle w:val="2"/>
              <w:numPr>
                <w:ilvl w:val="0"/>
                <w:numId w:val="26"/>
              </w:numPr>
              <w:spacing w:after="0" w:line="280" w:lineRule="exact"/>
              <w:jc w:val="left"/>
              <w:rPr>
                <w:rFonts w:ascii="宋体" w:hAnsi="宋体" w:cs="宋体"/>
                <w:sz w:val="21"/>
                <w:szCs w:val="21"/>
              </w:rPr>
            </w:pPr>
            <w:r>
              <w:rPr>
                <w:rFonts w:hint="eastAsia" w:ascii="宋体" w:hAnsi="宋体" w:cs="宋体"/>
                <w:sz w:val="21"/>
                <w:szCs w:val="21"/>
              </w:rPr>
              <w:t>剪叉臂间清理及润滑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43" w:type="dxa"/>
            <w:gridSpan w:val="3"/>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cs="宋体"/>
                <w:sz w:val="21"/>
                <w:szCs w:val="21"/>
              </w:rPr>
            </w:pPr>
            <w:r>
              <w:rPr>
                <w:rFonts w:hint="eastAsia" w:ascii="宋体" w:hAnsi="宋体" w:cs="宋体"/>
                <w:b/>
                <w:bCs/>
                <w:sz w:val="21"/>
                <w:szCs w:val="21"/>
              </w:rPr>
              <w:t>（三）桅杆式高空作业平台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bCs/>
                <w:szCs w:val="21"/>
              </w:rPr>
            </w:pPr>
            <w:r>
              <w:rPr>
                <w:rFonts w:hint="eastAsia" w:ascii="宋体" w:hAnsi="宋体" w:cs="宋体"/>
                <w:b/>
                <w:bCs/>
                <w:szCs w:val="21"/>
              </w:rPr>
              <w:t>序号</w:t>
            </w:r>
          </w:p>
        </w:tc>
        <w:tc>
          <w:tcPr>
            <w:tcW w:w="1542"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szCs w:val="21"/>
              </w:rPr>
            </w:pPr>
            <w:r>
              <w:rPr>
                <w:rFonts w:hint="eastAsia" w:ascii="宋体" w:hAnsi="宋体" w:cs="宋体"/>
                <w:b/>
                <w:bCs/>
                <w:szCs w:val="21"/>
              </w:rPr>
              <w:t>项目</w:t>
            </w:r>
          </w:p>
        </w:tc>
        <w:tc>
          <w:tcPr>
            <w:tcW w:w="6137"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szCs w:val="21"/>
              </w:rPr>
            </w:pPr>
            <w:r>
              <w:rPr>
                <w:rFonts w:hint="eastAsia" w:ascii="宋体" w:hAnsi="宋体" w:cs="宋体"/>
                <w:b/>
                <w:bCs/>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1</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机械结构桅杆部分</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27"/>
              </w:numPr>
              <w:spacing w:after="0" w:line="280" w:lineRule="exact"/>
              <w:jc w:val="left"/>
              <w:rPr>
                <w:rFonts w:ascii="宋体" w:hAnsi="宋体" w:cs="宋体"/>
                <w:sz w:val="21"/>
                <w:szCs w:val="21"/>
              </w:rPr>
            </w:pPr>
            <w:r>
              <w:rPr>
                <w:rFonts w:hint="eastAsia" w:ascii="宋体" w:hAnsi="宋体" w:cs="宋体"/>
                <w:sz w:val="21"/>
                <w:szCs w:val="21"/>
              </w:rPr>
              <w:t>桅杆型材磨损情况检查</w:t>
            </w:r>
          </w:p>
          <w:p>
            <w:pPr>
              <w:pStyle w:val="2"/>
              <w:numPr>
                <w:ilvl w:val="0"/>
                <w:numId w:val="27"/>
              </w:numPr>
              <w:spacing w:after="0" w:line="280" w:lineRule="exact"/>
              <w:jc w:val="left"/>
              <w:rPr>
                <w:rFonts w:ascii="宋体" w:hAnsi="宋体" w:cs="宋体"/>
                <w:sz w:val="21"/>
                <w:szCs w:val="21"/>
              </w:rPr>
            </w:pPr>
            <w:r>
              <w:rPr>
                <w:rFonts w:hint="eastAsia" w:ascii="宋体" w:hAnsi="宋体" w:cs="宋体"/>
                <w:sz w:val="21"/>
                <w:szCs w:val="21"/>
              </w:rPr>
              <w:t>各节桅杆轴销磨损情况检查</w:t>
            </w:r>
          </w:p>
          <w:p>
            <w:pPr>
              <w:pStyle w:val="2"/>
              <w:numPr>
                <w:ilvl w:val="0"/>
                <w:numId w:val="27"/>
              </w:numPr>
              <w:spacing w:after="0" w:line="280" w:lineRule="exact"/>
              <w:jc w:val="left"/>
              <w:rPr>
                <w:rFonts w:ascii="宋体" w:hAnsi="宋体" w:cs="宋体"/>
                <w:sz w:val="21"/>
                <w:szCs w:val="21"/>
              </w:rPr>
            </w:pPr>
            <w:r>
              <w:rPr>
                <w:rFonts w:hint="eastAsia" w:ascii="宋体" w:hAnsi="宋体" w:cs="宋体"/>
                <w:sz w:val="21"/>
                <w:szCs w:val="21"/>
              </w:rPr>
              <w:t>各节桅杆轴销锁止情况检查</w:t>
            </w:r>
          </w:p>
          <w:p>
            <w:pPr>
              <w:pStyle w:val="2"/>
              <w:numPr>
                <w:ilvl w:val="0"/>
                <w:numId w:val="27"/>
              </w:numPr>
              <w:spacing w:after="0" w:line="280" w:lineRule="exact"/>
              <w:jc w:val="left"/>
              <w:rPr>
                <w:rFonts w:ascii="宋体" w:hAnsi="宋体" w:cs="宋体"/>
                <w:sz w:val="21"/>
                <w:szCs w:val="21"/>
              </w:rPr>
            </w:pPr>
            <w:r>
              <w:rPr>
                <w:rFonts w:hint="eastAsia" w:ascii="宋体" w:hAnsi="宋体" w:cs="宋体"/>
                <w:sz w:val="21"/>
                <w:szCs w:val="21"/>
              </w:rPr>
              <w:t>桅杆间滑块磨损情况检查</w:t>
            </w:r>
          </w:p>
          <w:p>
            <w:pPr>
              <w:pStyle w:val="2"/>
              <w:numPr>
                <w:ilvl w:val="0"/>
                <w:numId w:val="27"/>
              </w:numPr>
              <w:spacing w:after="0" w:line="280" w:lineRule="exact"/>
              <w:jc w:val="left"/>
              <w:rPr>
                <w:rFonts w:ascii="宋体" w:hAnsi="宋体" w:cs="宋体"/>
                <w:sz w:val="21"/>
                <w:szCs w:val="21"/>
              </w:rPr>
            </w:pPr>
            <w:r>
              <w:rPr>
                <w:rFonts w:hint="eastAsia" w:ascii="宋体" w:hAnsi="宋体" w:cs="宋体"/>
                <w:sz w:val="21"/>
                <w:szCs w:val="21"/>
              </w:rPr>
              <w:t>工作栏变形情况检查</w:t>
            </w:r>
          </w:p>
          <w:p>
            <w:pPr>
              <w:pStyle w:val="2"/>
              <w:numPr>
                <w:ilvl w:val="0"/>
                <w:numId w:val="27"/>
              </w:numPr>
              <w:spacing w:after="0" w:line="280" w:lineRule="exact"/>
              <w:jc w:val="left"/>
              <w:rPr>
                <w:rFonts w:ascii="宋体" w:hAnsi="宋体" w:cs="宋体"/>
                <w:sz w:val="21"/>
                <w:szCs w:val="21"/>
              </w:rPr>
            </w:pPr>
            <w:r>
              <w:rPr>
                <w:rFonts w:hint="eastAsia" w:ascii="宋体" w:hAnsi="宋体" w:cs="宋体"/>
                <w:sz w:val="21"/>
                <w:szCs w:val="21"/>
              </w:rPr>
              <w:t>链条情况检查</w:t>
            </w:r>
          </w:p>
          <w:p>
            <w:pPr>
              <w:pStyle w:val="2"/>
              <w:numPr>
                <w:ilvl w:val="0"/>
                <w:numId w:val="27"/>
              </w:numPr>
              <w:spacing w:after="0" w:line="280" w:lineRule="exact"/>
              <w:jc w:val="left"/>
              <w:rPr>
                <w:rFonts w:ascii="宋体" w:hAnsi="宋体" w:cs="宋体"/>
                <w:sz w:val="21"/>
                <w:szCs w:val="21"/>
              </w:rPr>
            </w:pPr>
            <w:r>
              <w:rPr>
                <w:rFonts w:hint="eastAsia" w:ascii="宋体" w:hAnsi="宋体" w:cs="宋体"/>
                <w:sz w:val="21"/>
                <w:szCs w:val="21"/>
              </w:rPr>
              <w:t>钢丝绳情况检查</w:t>
            </w:r>
          </w:p>
          <w:p>
            <w:pPr>
              <w:pStyle w:val="2"/>
              <w:numPr>
                <w:ilvl w:val="0"/>
                <w:numId w:val="27"/>
              </w:numPr>
              <w:spacing w:after="0" w:line="280" w:lineRule="exact"/>
              <w:jc w:val="left"/>
              <w:rPr>
                <w:rFonts w:ascii="宋体" w:hAnsi="宋体" w:cs="宋体"/>
                <w:sz w:val="21"/>
                <w:szCs w:val="21"/>
              </w:rPr>
            </w:pPr>
            <w:r>
              <w:rPr>
                <w:rFonts w:hint="eastAsia" w:ascii="宋体" w:hAnsi="宋体" w:cs="宋体"/>
                <w:sz w:val="21"/>
                <w:szCs w:val="21"/>
              </w:rPr>
              <w:t>导向轮磨损情况检查</w:t>
            </w:r>
          </w:p>
          <w:p>
            <w:pPr>
              <w:pStyle w:val="2"/>
              <w:numPr>
                <w:ilvl w:val="0"/>
                <w:numId w:val="27"/>
              </w:numPr>
              <w:spacing w:after="0" w:line="280" w:lineRule="exact"/>
              <w:jc w:val="left"/>
              <w:rPr>
                <w:rFonts w:ascii="宋体" w:hAnsi="宋体" w:cs="宋体"/>
                <w:sz w:val="21"/>
                <w:szCs w:val="21"/>
              </w:rPr>
            </w:pPr>
            <w:r>
              <w:rPr>
                <w:rFonts w:hint="eastAsia" w:ascii="宋体" w:hAnsi="宋体" w:cs="宋体"/>
                <w:sz w:val="21"/>
                <w:szCs w:val="21"/>
              </w:rPr>
              <w:t>导向轮紧固情况检查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2</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车身及底盘部分</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28"/>
              </w:numPr>
              <w:spacing w:after="0" w:line="280" w:lineRule="exact"/>
              <w:jc w:val="left"/>
              <w:rPr>
                <w:rFonts w:ascii="宋体" w:hAnsi="宋体" w:cs="宋体"/>
                <w:sz w:val="21"/>
                <w:szCs w:val="21"/>
              </w:rPr>
            </w:pPr>
            <w:r>
              <w:rPr>
                <w:rFonts w:hint="eastAsia" w:ascii="宋体" w:hAnsi="宋体" w:cs="宋体"/>
                <w:sz w:val="21"/>
                <w:szCs w:val="21"/>
              </w:rPr>
              <w:t>车身固定螺丝检查</w:t>
            </w:r>
          </w:p>
          <w:p>
            <w:pPr>
              <w:pStyle w:val="2"/>
              <w:numPr>
                <w:ilvl w:val="0"/>
                <w:numId w:val="28"/>
              </w:numPr>
              <w:spacing w:after="0" w:line="280" w:lineRule="exact"/>
              <w:jc w:val="left"/>
              <w:rPr>
                <w:rFonts w:ascii="宋体" w:hAnsi="宋体" w:cs="宋体"/>
                <w:sz w:val="21"/>
                <w:szCs w:val="21"/>
              </w:rPr>
            </w:pPr>
            <w:r>
              <w:rPr>
                <w:rFonts w:hint="eastAsia" w:ascii="宋体" w:hAnsi="宋体" w:cs="宋体"/>
                <w:sz w:val="21"/>
                <w:szCs w:val="21"/>
              </w:rPr>
              <w:t>车身焊缝检查</w:t>
            </w:r>
          </w:p>
          <w:p>
            <w:pPr>
              <w:pStyle w:val="2"/>
              <w:numPr>
                <w:ilvl w:val="0"/>
                <w:numId w:val="28"/>
              </w:numPr>
              <w:spacing w:after="0" w:line="280" w:lineRule="exact"/>
              <w:jc w:val="left"/>
              <w:rPr>
                <w:rFonts w:ascii="宋体" w:hAnsi="宋体" w:cs="宋体"/>
                <w:sz w:val="21"/>
                <w:szCs w:val="21"/>
              </w:rPr>
            </w:pPr>
            <w:r>
              <w:rPr>
                <w:rFonts w:hint="eastAsia" w:ascii="宋体" w:hAnsi="宋体" w:cs="宋体"/>
                <w:sz w:val="21"/>
                <w:szCs w:val="21"/>
              </w:rPr>
              <w:t>轮胎螺丝固定情况检查</w:t>
            </w:r>
          </w:p>
          <w:p>
            <w:pPr>
              <w:pStyle w:val="2"/>
              <w:numPr>
                <w:ilvl w:val="0"/>
                <w:numId w:val="28"/>
              </w:numPr>
              <w:spacing w:after="0" w:line="280" w:lineRule="exact"/>
              <w:jc w:val="left"/>
              <w:rPr>
                <w:rFonts w:ascii="宋体" w:hAnsi="宋体" w:cs="宋体"/>
                <w:sz w:val="21"/>
                <w:szCs w:val="21"/>
              </w:rPr>
            </w:pPr>
            <w:r>
              <w:rPr>
                <w:rFonts w:hint="eastAsia" w:ascii="宋体" w:hAnsi="宋体" w:cs="宋体"/>
                <w:sz w:val="21"/>
                <w:szCs w:val="21"/>
              </w:rPr>
              <w:t>转向轮回转轴磨损检查</w:t>
            </w:r>
          </w:p>
          <w:p>
            <w:pPr>
              <w:pStyle w:val="2"/>
              <w:numPr>
                <w:ilvl w:val="0"/>
                <w:numId w:val="28"/>
              </w:numPr>
              <w:spacing w:after="0" w:line="280" w:lineRule="exact"/>
              <w:jc w:val="left"/>
              <w:rPr>
                <w:rFonts w:ascii="宋体" w:hAnsi="宋体" w:cs="宋体"/>
                <w:sz w:val="21"/>
                <w:szCs w:val="21"/>
              </w:rPr>
            </w:pPr>
            <w:r>
              <w:rPr>
                <w:rFonts w:hint="eastAsia" w:ascii="宋体" w:hAnsi="宋体" w:cs="宋体"/>
                <w:sz w:val="21"/>
                <w:szCs w:val="21"/>
              </w:rPr>
              <w:t>支脚结构情况检查</w:t>
            </w:r>
          </w:p>
          <w:p>
            <w:pPr>
              <w:pStyle w:val="2"/>
              <w:numPr>
                <w:ilvl w:val="0"/>
                <w:numId w:val="28"/>
              </w:numPr>
              <w:spacing w:after="0" w:line="280" w:lineRule="exact"/>
              <w:jc w:val="left"/>
              <w:rPr>
                <w:rFonts w:ascii="宋体" w:hAnsi="宋体" w:cs="宋体"/>
                <w:sz w:val="21"/>
                <w:szCs w:val="21"/>
              </w:rPr>
            </w:pPr>
            <w:r>
              <w:rPr>
                <w:rFonts w:hint="eastAsia" w:ascii="宋体" w:hAnsi="宋体" w:cs="宋体"/>
                <w:sz w:val="21"/>
                <w:szCs w:val="21"/>
              </w:rPr>
              <w:t>支脚螺杆磨损情况检查</w:t>
            </w:r>
          </w:p>
          <w:p>
            <w:pPr>
              <w:pStyle w:val="2"/>
              <w:numPr>
                <w:ilvl w:val="0"/>
                <w:numId w:val="28"/>
              </w:numPr>
              <w:spacing w:after="0" w:line="280" w:lineRule="exact"/>
              <w:jc w:val="left"/>
              <w:rPr>
                <w:rFonts w:ascii="宋体" w:hAnsi="宋体" w:cs="宋体"/>
                <w:sz w:val="21"/>
                <w:szCs w:val="21"/>
              </w:rPr>
            </w:pPr>
            <w:r>
              <w:rPr>
                <w:rFonts w:hint="eastAsia" w:ascii="宋体" w:hAnsi="宋体" w:cs="宋体"/>
                <w:sz w:val="21"/>
                <w:szCs w:val="21"/>
              </w:rPr>
              <w:t>支脚脚垫磨损、固定情况检查</w:t>
            </w:r>
          </w:p>
          <w:p>
            <w:pPr>
              <w:pStyle w:val="2"/>
              <w:numPr>
                <w:ilvl w:val="0"/>
                <w:numId w:val="28"/>
              </w:numPr>
              <w:spacing w:after="0" w:line="280" w:lineRule="exact"/>
              <w:jc w:val="left"/>
              <w:rPr>
                <w:rFonts w:ascii="宋体" w:hAnsi="宋体" w:cs="宋体"/>
                <w:sz w:val="21"/>
                <w:szCs w:val="21"/>
              </w:rPr>
            </w:pPr>
            <w:r>
              <w:rPr>
                <w:rFonts w:hint="eastAsia" w:ascii="宋体" w:hAnsi="宋体" w:cs="宋体"/>
                <w:sz w:val="21"/>
                <w:szCs w:val="21"/>
              </w:rPr>
              <w:t>支脚与车身连接处锁止销紧固情况检查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3</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斜支撑架部分</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29"/>
              </w:numPr>
              <w:spacing w:after="0" w:line="280" w:lineRule="exact"/>
              <w:jc w:val="left"/>
              <w:rPr>
                <w:rFonts w:ascii="宋体" w:hAnsi="宋体" w:cs="宋体"/>
                <w:sz w:val="21"/>
                <w:szCs w:val="21"/>
              </w:rPr>
            </w:pPr>
            <w:r>
              <w:rPr>
                <w:rFonts w:hint="eastAsia" w:ascii="宋体" w:hAnsi="宋体" w:cs="宋体"/>
                <w:sz w:val="21"/>
                <w:szCs w:val="21"/>
              </w:rPr>
              <w:t>支撑架结构检查</w:t>
            </w:r>
          </w:p>
          <w:p>
            <w:pPr>
              <w:pStyle w:val="2"/>
              <w:numPr>
                <w:ilvl w:val="0"/>
                <w:numId w:val="29"/>
              </w:numPr>
              <w:spacing w:after="0" w:line="280" w:lineRule="exact"/>
              <w:jc w:val="left"/>
              <w:rPr>
                <w:rFonts w:ascii="宋体" w:hAnsi="宋体" w:cs="宋体"/>
                <w:sz w:val="21"/>
                <w:szCs w:val="21"/>
              </w:rPr>
            </w:pPr>
            <w:r>
              <w:rPr>
                <w:rFonts w:hint="eastAsia" w:ascii="宋体" w:hAnsi="宋体" w:cs="宋体"/>
                <w:sz w:val="21"/>
                <w:szCs w:val="21"/>
              </w:rPr>
              <w:t>支撑架各紧固螺丝检查</w:t>
            </w:r>
          </w:p>
          <w:p>
            <w:pPr>
              <w:pStyle w:val="2"/>
              <w:numPr>
                <w:ilvl w:val="0"/>
                <w:numId w:val="29"/>
              </w:numPr>
              <w:spacing w:after="0" w:line="280" w:lineRule="exact"/>
              <w:jc w:val="left"/>
              <w:rPr>
                <w:rFonts w:ascii="宋体" w:hAnsi="宋体" w:cs="宋体"/>
                <w:sz w:val="21"/>
                <w:szCs w:val="21"/>
              </w:rPr>
            </w:pPr>
            <w:r>
              <w:rPr>
                <w:rFonts w:hint="eastAsia" w:ascii="宋体" w:hAnsi="宋体" w:cs="宋体"/>
                <w:sz w:val="21"/>
                <w:szCs w:val="21"/>
              </w:rPr>
              <w:t>支撑架功能检查</w:t>
            </w:r>
          </w:p>
          <w:p>
            <w:pPr>
              <w:pStyle w:val="2"/>
              <w:numPr>
                <w:ilvl w:val="0"/>
                <w:numId w:val="29"/>
              </w:numPr>
              <w:spacing w:after="0" w:line="280" w:lineRule="exact"/>
              <w:jc w:val="left"/>
              <w:rPr>
                <w:rFonts w:ascii="宋体" w:hAnsi="宋体" w:cs="宋体"/>
                <w:sz w:val="21"/>
                <w:szCs w:val="21"/>
              </w:rPr>
            </w:pPr>
            <w:r>
              <w:rPr>
                <w:rFonts w:hint="eastAsia" w:ascii="宋体" w:hAnsi="宋体" w:cs="宋体"/>
                <w:sz w:val="21"/>
                <w:szCs w:val="21"/>
              </w:rPr>
              <w:t>支撑架锁止销情况检查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4</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液压系统</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30"/>
              </w:numPr>
              <w:spacing w:after="0" w:line="280" w:lineRule="exact"/>
              <w:jc w:val="left"/>
              <w:rPr>
                <w:rFonts w:ascii="宋体" w:hAnsi="宋体" w:cs="宋体"/>
                <w:sz w:val="21"/>
                <w:szCs w:val="21"/>
              </w:rPr>
            </w:pPr>
            <w:r>
              <w:rPr>
                <w:rFonts w:hint="eastAsia" w:ascii="宋体" w:hAnsi="宋体" w:cs="宋体"/>
                <w:sz w:val="21"/>
                <w:szCs w:val="21"/>
              </w:rPr>
              <w:t>所有液压管路接口是否有渗漏</w:t>
            </w:r>
          </w:p>
          <w:p>
            <w:pPr>
              <w:pStyle w:val="2"/>
              <w:numPr>
                <w:ilvl w:val="0"/>
                <w:numId w:val="30"/>
              </w:numPr>
              <w:spacing w:after="0" w:line="280" w:lineRule="exact"/>
              <w:jc w:val="left"/>
              <w:rPr>
                <w:rFonts w:ascii="宋体" w:hAnsi="宋体" w:cs="宋体"/>
                <w:sz w:val="21"/>
                <w:szCs w:val="21"/>
              </w:rPr>
            </w:pPr>
            <w:r>
              <w:rPr>
                <w:rFonts w:hint="eastAsia" w:ascii="宋体" w:hAnsi="宋体" w:cs="宋体"/>
                <w:sz w:val="21"/>
                <w:szCs w:val="21"/>
              </w:rPr>
              <w:t>管路是否有弯折，磨损等</w:t>
            </w:r>
          </w:p>
          <w:p>
            <w:pPr>
              <w:pStyle w:val="2"/>
              <w:numPr>
                <w:ilvl w:val="0"/>
                <w:numId w:val="30"/>
              </w:numPr>
              <w:spacing w:after="0" w:line="280" w:lineRule="exact"/>
              <w:jc w:val="left"/>
              <w:rPr>
                <w:rFonts w:ascii="宋体" w:hAnsi="宋体" w:cs="宋体"/>
                <w:sz w:val="21"/>
                <w:szCs w:val="21"/>
              </w:rPr>
            </w:pPr>
            <w:r>
              <w:rPr>
                <w:rFonts w:hint="eastAsia" w:ascii="宋体" w:hAnsi="宋体" w:cs="宋体"/>
                <w:sz w:val="21"/>
                <w:szCs w:val="21"/>
              </w:rPr>
              <w:t>举升油缸是否有磨损或渗漏</w:t>
            </w:r>
          </w:p>
          <w:p>
            <w:pPr>
              <w:pStyle w:val="2"/>
              <w:numPr>
                <w:ilvl w:val="0"/>
                <w:numId w:val="30"/>
              </w:numPr>
              <w:spacing w:after="0" w:line="280" w:lineRule="exact"/>
              <w:jc w:val="left"/>
              <w:rPr>
                <w:rFonts w:ascii="宋体" w:hAnsi="宋体" w:cs="宋体"/>
                <w:sz w:val="21"/>
                <w:szCs w:val="21"/>
              </w:rPr>
            </w:pPr>
            <w:r>
              <w:rPr>
                <w:rFonts w:hint="eastAsia" w:ascii="宋体" w:hAnsi="宋体" w:cs="宋体"/>
                <w:sz w:val="21"/>
                <w:szCs w:val="21"/>
              </w:rPr>
              <w:t>各动作臂压力检查测试</w:t>
            </w:r>
          </w:p>
          <w:p>
            <w:pPr>
              <w:pStyle w:val="2"/>
              <w:numPr>
                <w:ilvl w:val="0"/>
                <w:numId w:val="30"/>
              </w:numPr>
              <w:spacing w:after="0" w:line="280" w:lineRule="exact"/>
              <w:jc w:val="left"/>
              <w:rPr>
                <w:rFonts w:ascii="宋体" w:hAnsi="宋体" w:cs="宋体"/>
                <w:sz w:val="21"/>
                <w:szCs w:val="21"/>
              </w:rPr>
            </w:pPr>
            <w:r>
              <w:rPr>
                <w:rFonts w:hint="eastAsia" w:ascii="宋体" w:hAnsi="宋体" w:cs="宋体"/>
                <w:sz w:val="21"/>
                <w:szCs w:val="21"/>
              </w:rPr>
              <w:t>手动泄压阀功能测试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5</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电控部分</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上控紧急停止开关检查</w:t>
            </w:r>
          </w:p>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上控功能激活开关检查</w:t>
            </w:r>
          </w:p>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上控上升下降开关检查</w:t>
            </w:r>
          </w:p>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下控钥匙开关功能检查</w:t>
            </w:r>
          </w:p>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支撑腿检测系统指示灯检查</w:t>
            </w:r>
          </w:p>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紧急下降系统功能检查</w:t>
            </w:r>
          </w:p>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平台至地面控制电缆检查</w:t>
            </w:r>
          </w:p>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电机电流大小检查</w:t>
            </w:r>
          </w:p>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电机碳刷磨损情况检查</w:t>
            </w:r>
          </w:p>
          <w:p>
            <w:pPr>
              <w:pStyle w:val="2"/>
              <w:numPr>
                <w:ilvl w:val="0"/>
                <w:numId w:val="31"/>
              </w:numPr>
              <w:spacing w:after="0" w:line="280" w:lineRule="exact"/>
              <w:jc w:val="left"/>
              <w:rPr>
                <w:rFonts w:ascii="宋体" w:hAnsi="宋体" w:cs="宋体"/>
                <w:sz w:val="21"/>
                <w:szCs w:val="21"/>
              </w:rPr>
            </w:pPr>
            <w:r>
              <w:rPr>
                <w:rFonts w:hint="eastAsia" w:ascii="宋体" w:hAnsi="宋体" w:cs="宋体"/>
                <w:sz w:val="21"/>
                <w:szCs w:val="21"/>
              </w:rPr>
              <w:t>过流保护系统检查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6</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安全功能</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32"/>
              </w:numPr>
              <w:spacing w:after="0" w:line="280" w:lineRule="exact"/>
              <w:jc w:val="left"/>
              <w:rPr>
                <w:rFonts w:ascii="宋体" w:hAnsi="宋体" w:cs="宋体"/>
                <w:sz w:val="21"/>
                <w:szCs w:val="21"/>
              </w:rPr>
            </w:pPr>
            <w:r>
              <w:rPr>
                <w:rFonts w:hint="eastAsia" w:ascii="宋体" w:hAnsi="宋体" w:cs="宋体"/>
                <w:sz w:val="21"/>
                <w:szCs w:val="21"/>
              </w:rPr>
              <w:t>支撑腿未插入，是否限制机器动作</w:t>
            </w:r>
          </w:p>
          <w:p>
            <w:pPr>
              <w:pStyle w:val="2"/>
              <w:numPr>
                <w:ilvl w:val="0"/>
                <w:numId w:val="32"/>
              </w:numPr>
              <w:spacing w:after="0" w:line="280" w:lineRule="exact"/>
              <w:jc w:val="left"/>
              <w:rPr>
                <w:rFonts w:ascii="宋体" w:hAnsi="宋体" w:cs="宋体"/>
                <w:sz w:val="21"/>
                <w:szCs w:val="21"/>
              </w:rPr>
            </w:pPr>
            <w:r>
              <w:rPr>
                <w:rFonts w:hint="eastAsia" w:ascii="宋体" w:hAnsi="宋体" w:cs="宋体"/>
                <w:sz w:val="21"/>
                <w:szCs w:val="21"/>
              </w:rPr>
              <w:t>上下操作系统是否互锁</w:t>
            </w:r>
          </w:p>
          <w:p>
            <w:pPr>
              <w:pStyle w:val="2"/>
              <w:numPr>
                <w:ilvl w:val="0"/>
                <w:numId w:val="32"/>
              </w:numPr>
              <w:spacing w:after="0" w:line="280" w:lineRule="exact"/>
              <w:jc w:val="left"/>
              <w:rPr>
                <w:rFonts w:ascii="宋体" w:hAnsi="宋体" w:cs="宋体"/>
                <w:sz w:val="21"/>
                <w:szCs w:val="21"/>
              </w:rPr>
            </w:pPr>
            <w:r>
              <w:rPr>
                <w:rFonts w:hint="eastAsia" w:ascii="宋体" w:hAnsi="宋体" w:cs="宋体"/>
                <w:sz w:val="21"/>
                <w:szCs w:val="21"/>
              </w:rPr>
              <w:t>紧急手动下降系统检查</w:t>
            </w:r>
          </w:p>
          <w:p>
            <w:pPr>
              <w:pStyle w:val="2"/>
              <w:numPr>
                <w:ilvl w:val="0"/>
                <w:numId w:val="32"/>
              </w:numPr>
              <w:spacing w:after="0" w:line="280" w:lineRule="exact"/>
              <w:jc w:val="left"/>
              <w:rPr>
                <w:rFonts w:ascii="宋体" w:hAnsi="宋体" w:cs="宋体"/>
                <w:sz w:val="21"/>
                <w:szCs w:val="21"/>
              </w:rPr>
            </w:pPr>
            <w:r>
              <w:rPr>
                <w:rFonts w:hint="eastAsia" w:ascii="宋体" w:hAnsi="宋体" w:cs="宋体"/>
                <w:sz w:val="21"/>
                <w:szCs w:val="21"/>
              </w:rPr>
              <w:t>紧急电动下降系统检查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7</w:t>
            </w:r>
          </w:p>
        </w:tc>
        <w:tc>
          <w:tcPr>
            <w:tcW w:w="1542"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保养内容</w:t>
            </w:r>
          </w:p>
        </w:tc>
        <w:tc>
          <w:tcPr>
            <w:tcW w:w="6137" w:type="dxa"/>
            <w:tcBorders>
              <w:top w:val="single" w:color="auto" w:sz="4" w:space="0"/>
              <w:left w:val="nil"/>
              <w:bottom w:val="single" w:color="auto" w:sz="4" w:space="0"/>
              <w:right w:val="single" w:color="auto" w:sz="4" w:space="0"/>
            </w:tcBorders>
            <w:vAlign w:val="center"/>
          </w:tcPr>
          <w:p>
            <w:pPr>
              <w:pStyle w:val="2"/>
              <w:numPr>
                <w:ilvl w:val="0"/>
                <w:numId w:val="33"/>
              </w:numPr>
              <w:spacing w:after="0" w:line="280" w:lineRule="exact"/>
              <w:jc w:val="left"/>
              <w:rPr>
                <w:rFonts w:ascii="宋体" w:hAnsi="宋体" w:cs="宋体"/>
                <w:sz w:val="21"/>
                <w:szCs w:val="21"/>
              </w:rPr>
            </w:pPr>
            <w:r>
              <w:rPr>
                <w:rFonts w:hint="eastAsia" w:ascii="宋体" w:hAnsi="宋体" w:cs="宋体"/>
                <w:sz w:val="21"/>
                <w:szCs w:val="21"/>
              </w:rPr>
              <w:t>液压系统保养，更换液压油</w:t>
            </w:r>
          </w:p>
          <w:p>
            <w:pPr>
              <w:pStyle w:val="2"/>
              <w:numPr>
                <w:ilvl w:val="0"/>
                <w:numId w:val="33"/>
              </w:numPr>
              <w:spacing w:after="0" w:line="280" w:lineRule="exact"/>
              <w:jc w:val="left"/>
              <w:rPr>
                <w:rFonts w:ascii="宋体" w:hAnsi="宋体" w:cs="宋体"/>
                <w:sz w:val="21"/>
                <w:szCs w:val="21"/>
              </w:rPr>
            </w:pPr>
            <w:r>
              <w:rPr>
                <w:rFonts w:hint="eastAsia" w:ascii="宋体" w:hAnsi="宋体" w:cs="宋体"/>
                <w:sz w:val="21"/>
                <w:szCs w:val="21"/>
              </w:rPr>
              <w:t>支撑腿螺杆润滑</w:t>
            </w:r>
          </w:p>
          <w:p>
            <w:pPr>
              <w:pStyle w:val="2"/>
              <w:numPr>
                <w:ilvl w:val="0"/>
                <w:numId w:val="33"/>
              </w:numPr>
              <w:spacing w:after="0" w:line="280" w:lineRule="exact"/>
              <w:jc w:val="left"/>
              <w:rPr>
                <w:rFonts w:ascii="宋体" w:hAnsi="宋体" w:cs="宋体"/>
                <w:sz w:val="21"/>
                <w:szCs w:val="21"/>
              </w:rPr>
            </w:pPr>
            <w:r>
              <w:rPr>
                <w:rFonts w:hint="eastAsia" w:ascii="宋体" w:hAnsi="宋体" w:cs="宋体"/>
                <w:sz w:val="21"/>
                <w:szCs w:val="21"/>
              </w:rPr>
              <w:t>桅杆滑块润滑</w:t>
            </w:r>
          </w:p>
        </w:tc>
      </w:tr>
    </w:tbl>
    <w:p>
      <w:pPr>
        <w:spacing w:line="360" w:lineRule="auto"/>
        <w:jc w:val="center"/>
        <w:outlineLvl w:val="0"/>
        <w:rPr>
          <w:rFonts w:ascii="宋体" w:hAnsi="宋体"/>
          <w:b/>
          <w:sz w:val="32"/>
          <w:szCs w:val="32"/>
        </w:rPr>
        <w:sectPr>
          <w:footerReference r:id="rId4" w:type="default"/>
          <w:pgSz w:w="11906" w:h="16838"/>
          <w:pgMar w:top="1134" w:right="1800" w:bottom="993" w:left="1800" w:header="851" w:footer="409" w:gutter="0"/>
          <w:pgNumType w:start="1"/>
          <w:cols w:space="425" w:num="1"/>
          <w:docGrid w:type="lines" w:linePitch="312" w:charSpace="0"/>
        </w:sectPr>
      </w:pPr>
    </w:p>
    <w:p>
      <w:pPr>
        <w:spacing w:line="360" w:lineRule="auto"/>
        <w:jc w:val="left"/>
        <w:outlineLvl w:val="0"/>
        <w:rPr>
          <w:rFonts w:hint="eastAsia" w:ascii="宋体" w:hAnsi="宋体"/>
          <w:b/>
          <w:szCs w:val="21"/>
          <w:lang w:eastAsia="zh-CN"/>
        </w:rPr>
      </w:pPr>
      <w:r>
        <w:rPr>
          <w:rFonts w:hint="eastAsia" w:ascii="宋体" w:hAnsi="宋体"/>
          <w:b/>
          <w:szCs w:val="21"/>
          <w:lang w:eastAsia="zh-CN"/>
        </w:rPr>
        <w:t>表格</w:t>
      </w:r>
      <w:r>
        <w:rPr>
          <w:rFonts w:hint="eastAsia" w:ascii="宋体" w:hAnsi="宋体"/>
          <w:b/>
          <w:szCs w:val="21"/>
        </w:rPr>
        <w:t>2：美国吉尼高空作业平台设定零配件报价清单表</w:t>
      </w:r>
      <w:r>
        <w:rPr>
          <w:rFonts w:hint="eastAsia" w:ascii="宋体" w:hAnsi="宋体"/>
          <w:b/>
          <w:szCs w:val="21"/>
          <w:lang w:eastAsia="zh-CN"/>
        </w:rPr>
        <w:t>（单价</w:t>
      </w:r>
      <w:r>
        <w:rPr>
          <w:rFonts w:hint="eastAsia" w:ascii="宋体" w:hAnsi="宋体"/>
          <w:b/>
          <w:szCs w:val="21"/>
          <w:lang w:val="en-US" w:eastAsia="zh-CN"/>
        </w:rPr>
        <w:t>500元以上</w:t>
      </w:r>
      <w:r>
        <w:rPr>
          <w:rFonts w:hint="eastAsia" w:ascii="宋体" w:hAnsi="宋体"/>
          <w:b/>
          <w:szCs w:val="21"/>
          <w:lang w:eastAsia="zh-CN"/>
        </w:rPr>
        <w:t>）</w:t>
      </w:r>
    </w:p>
    <w:p>
      <w:pPr>
        <w:spacing w:line="360" w:lineRule="auto"/>
        <w:jc w:val="left"/>
        <w:outlineLvl w:val="0"/>
        <w:rPr>
          <w:rFonts w:ascii="宋体" w:hAnsi="宋体"/>
          <w:b/>
          <w:szCs w:val="21"/>
        </w:rPr>
      </w:pPr>
      <w:r>
        <w:rPr>
          <w:rFonts w:hint="eastAsia" w:ascii="宋体" w:hAnsi="宋体"/>
          <w:b/>
          <w:szCs w:val="21"/>
        </w:rPr>
        <w:t>（备注：</w:t>
      </w:r>
      <w:r>
        <w:rPr>
          <w:rFonts w:hint="eastAsia" w:ascii="宋体" w:hAnsi="宋体"/>
          <w:b/>
          <w:color w:val="FF0000"/>
          <w:szCs w:val="21"/>
          <w:lang w:val="en-US" w:eastAsia="zh-CN"/>
        </w:rPr>
        <w:t>除</w:t>
      </w:r>
      <w:r>
        <w:rPr>
          <w:rFonts w:hint="eastAsia" w:ascii="宋体" w:hAnsi="宋体"/>
          <w:b/>
          <w:color w:val="FF0000"/>
          <w:szCs w:val="21"/>
          <w:lang w:eastAsia="zh-CN"/>
        </w:rPr>
        <w:t>本表</w:t>
      </w:r>
      <w:r>
        <w:rPr>
          <w:rFonts w:hint="eastAsia" w:ascii="宋体" w:hAnsi="宋体"/>
          <w:b/>
          <w:color w:val="FF0000"/>
          <w:szCs w:val="21"/>
          <w:lang w:val="en-US" w:eastAsia="zh-CN"/>
        </w:rPr>
        <w:t>所</w:t>
      </w:r>
      <w:r>
        <w:rPr>
          <w:rFonts w:hint="eastAsia" w:ascii="宋体" w:hAnsi="宋体"/>
          <w:b/>
          <w:color w:val="FF0000"/>
          <w:szCs w:val="21"/>
          <w:lang w:eastAsia="zh-CN"/>
        </w:rPr>
        <w:t>列明</w:t>
      </w:r>
      <w:r>
        <w:rPr>
          <w:rFonts w:hint="eastAsia" w:ascii="宋体" w:hAnsi="宋体"/>
          <w:b/>
          <w:color w:val="FF0000"/>
          <w:szCs w:val="21"/>
          <w:lang w:val="en-US" w:eastAsia="zh-CN"/>
        </w:rPr>
        <w:t>的7类配件外，其余超过500元的各类配件</w:t>
      </w:r>
      <w:r>
        <w:rPr>
          <w:rFonts w:hint="eastAsia" w:ascii="宋体" w:hAnsi="宋体"/>
          <w:b/>
          <w:color w:val="FF0000"/>
          <w:szCs w:val="21"/>
          <w:lang w:eastAsia="zh-CN"/>
        </w:rPr>
        <w:t>投标人应列尽列。</w:t>
      </w:r>
      <w:r>
        <w:rPr>
          <w:rFonts w:hint="eastAsia" w:ascii="宋体" w:hAnsi="宋体"/>
          <w:b/>
          <w:color w:val="FF0000"/>
          <w:szCs w:val="21"/>
        </w:rPr>
        <w:t>该清单</w:t>
      </w:r>
      <w:r>
        <w:rPr>
          <w:rFonts w:hint="eastAsia" w:ascii="宋体" w:hAnsi="宋体"/>
          <w:b/>
          <w:color w:val="FF0000"/>
          <w:szCs w:val="21"/>
          <w:lang w:val="en-US" w:eastAsia="zh-CN"/>
        </w:rPr>
        <w:t>所列7项</w:t>
      </w:r>
      <w:r>
        <w:rPr>
          <w:rFonts w:hint="eastAsia" w:ascii="宋体" w:hAnsi="宋体"/>
          <w:b/>
          <w:color w:val="FF0000"/>
          <w:szCs w:val="21"/>
        </w:rPr>
        <w:t>配件</w:t>
      </w:r>
      <w:r>
        <w:rPr>
          <w:rFonts w:hint="eastAsia" w:ascii="宋体" w:hAnsi="宋体"/>
          <w:b/>
          <w:color w:val="FF0000"/>
          <w:szCs w:val="21"/>
          <w:lang w:val="en-US" w:eastAsia="zh-CN"/>
        </w:rPr>
        <w:t>将会</w:t>
      </w:r>
      <w:r>
        <w:rPr>
          <w:rFonts w:hint="eastAsia" w:ascii="宋体" w:hAnsi="宋体"/>
          <w:b/>
          <w:color w:val="FF0000"/>
          <w:szCs w:val="21"/>
        </w:rPr>
        <w:t>用于</w:t>
      </w:r>
      <w:r>
        <w:rPr>
          <w:rFonts w:hint="eastAsia" w:ascii="宋体" w:hAnsi="宋体"/>
          <w:b/>
          <w:color w:val="FF0000"/>
          <w:szCs w:val="21"/>
          <w:lang w:val="en-US" w:eastAsia="zh-CN"/>
        </w:rPr>
        <w:t>评分</w:t>
      </w:r>
      <w:r>
        <w:rPr>
          <w:rFonts w:hint="eastAsia" w:ascii="宋体" w:hAnsi="宋体"/>
          <w:b/>
          <w:szCs w:val="21"/>
        </w:rPr>
        <w:t>）</w:t>
      </w:r>
    </w:p>
    <w:p>
      <w:pPr>
        <w:spacing w:after="80" w:line="360" w:lineRule="auto"/>
        <w:rPr>
          <w:rFonts w:ascii="宋体" w:hAnsi="宋体"/>
          <w:szCs w:val="21"/>
        </w:rPr>
      </w:pPr>
      <w:r>
        <w:rPr>
          <w:rFonts w:hint="eastAsia" w:ascii="宋体" w:hAnsi="宋体"/>
          <w:szCs w:val="21"/>
        </w:rPr>
        <w:t>币种：人民币         税率：</w:t>
      </w:r>
      <w:r>
        <w:rPr>
          <w:rFonts w:hint="eastAsia" w:ascii="宋体" w:hAnsi="宋体"/>
          <w:szCs w:val="21"/>
          <w:u w:val="single"/>
        </w:rPr>
        <w:t xml:space="preserve">         </w:t>
      </w:r>
      <w:r>
        <w:rPr>
          <w:rFonts w:hint="eastAsia" w:ascii="宋体" w:hAnsi="宋体"/>
          <w:szCs w:val="21"/>
        </w:rPr>
        <w:t xml:space="preserve">%           单位：元 </w:t>
      </w:r>
    </w:p>
    <w:p>
      <w:pPr>
        <w:pStyle w:val="2"/>
      </w:pPr>
    </w:p>
    <w:tbl>
      <w:tblPr>
        <w:tblStyle w:val="15"/>
        <w:tblpPr w:leftFromText="180" w:rightFromText="180" w:vertAnchor="text" w:horzAnchor="page" w:tblpXSpec="center" w:tblpY="506"/>
        <w:tblOverlap w:val="never"/>
        <w:tblW w:w="10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956"/>
        <w:gridCol w:w="1195"/>
        <w:gridCol w:w="1001"/>
        <w:gridCol w:w="674"/>
        <w:gridCol w:w="1168"/>
        <w:gridCol w:w="1213"/>
        <w:gridCol w:w="129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2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序号</w:t>
            </w:r>
          </w:p>
        </w:tc>
        <w:tc>
          <w:tcPr>
            <w:tcW w:w="1956"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配件名称</w:t>
            </w:r>
          </w:p>
        </w:tc>
        <w:tc>
          <w:tcPr>
            <w:tcW w:w="1195"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配件型号</w:t>
            </w:r>
          </w:p>
        </w:tc>
        <w:tc>
          <w:tcPr>
            <w:tcW w:w="100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品牌</w:t>
            </w:r>
          </w:p>
        </w:tc>
        <w:tc>
          <w:tcPr>
            <w:tcW w:w="674"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数量</w:t>
            </w:r>
          </w:p>
        </w:tc>
        <w:tc>
          <w:tcPr>
            <w:tcW w:w="1168"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单价（含税）</w:t>
            </w:r>
          </w:p>
        </w:tc>
        <w:tc>
          <w:tcPr>
            <w:tcW w:w="1213"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总价（含税）</w:t>
            </w:r>
          </w:p>
        </w:tc>
        <w:tc>
          <w:tcPr>
            <w:tcW w:w="1296"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原厂质保期</w:t>
            </w:r>
          </w:p>
        </w:tc>
        <w:tc>
          <w:tcPr>
            <w:tcW w:w="1272"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承诺质保期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w:t>
            </w:r>
          </w:p>
        </w:tc>
        <w:tc>
          <w:tcPr>
            <w:tcW w:w="1956"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GS-3232</w:t>
            </w:r>
          </w:p>
          <w:p>
            <w:pPr>
              <w:pStyle w:val="2"/>
              <w:spacing w:after="0" w:line="240" w:lineRule="auto"/>
              <w:ind w:left="0"/>
              <w:jc w:val="center"/>
              <w:rPr>
                <w:rFonts w:ascii="宋体" w:hAnsi="宋体"/>
                <w:b/>
                <w:sz w:val="21"/>
                <w:szCs w:val="21"/>
              </w:rPr>
            </w:pPr>
            <w:r>
              <w:rPr>
                <w:rFonts w:hint="eastAsia" w:ascii="宋体" w:hAnsi="宋体"/>
                <w:b/>
                <w:sz w:val="21"/>
                <w:szCs w:val="21"/>
              </w:rPr>
              <w:t>手柄</w:t>
            </w:r>
          </w:p>
        </w:tc>
        <w:tc>
          <w:tcPr>
            <w:tcW w:w="1195"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1256727</w:t>
            </w:r>
          </w:p>
        </w:tc>
        <w:tc>
          <w:tcPr>
            <w:tcW w:w="1001" w:type="dxa"/>
            <w:vAlign w:val="center"/>
          </w:tcPr>
          <w:p>
            <w:pPr>
              <w:widowControl/>
              <w:jc w:val="center"/>
              <w:rPr>
                <w:rFonts w:ascii="宋体" w:hAnsi="宋体"/>
                <w:b/>
                <w:szCs w:val="21"/>
              </w:rPr>
            </w:pPr>
            <w:r>
              <w:rPr>
                <w:rFonts w:hint="eastAsia" w:ascii="宋体" w:hAnsi="宋体"/>
                <w:b/>
                <w:szCs w:val="21"/>
              </w:rPr>
              <w:t>Genie</w:t>
            </w:r>
          </w:p>
        </w:tc>
        <w:tc>
          <w:tcPr>
            <w:tcW w:w="674"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w:t>
            </w: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6个月</w:t>
            </w: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2</w:t>
            </w:r>
          </w:p>
        </w:tc>
        <w:tc>
          <w:tcPr>
            <w:tcW w:w="1956"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GS-3232</w:t>
            </w:r>
          </w:p>
          <w:p>
            <w:pPr>
              <w:pStyle w:val="2"/>
              <w:spacing w:after="0" w:line="240" w:lineRule="auto"/>
              <w:ind w:left="0"/>
              <w:jc w:val="center"/>
              <w:rPr>
                <w:rFonts w:ascii="宋体" w:hAnsi="宋体"/>
                <w:b/>
                <w:sz w:val="21"/>
                <w:szCs w:val="21"/>
              </w:rPr>
            </w:pPr>
            <w:r>
              <w:rPr>
                <w:rFonts w:hint="eastAsia" w:ascii="宋体" w:hAnsi="宋体"/>
                <w:b/>
                <w:sz w:val="21"/>
                <w:szCs w:val="21"/>
              </w:rPr>
              <w:t xml:space="preserve"> ECM地面控制总成</w:t>
            </w:r>
          </w:p>
        </w:tc>
        <w:tc>
          <w:tcPr>
            <w:tcW w:w="1195"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1256721</w:t>
            </w:r>
          </w:p>
        </w:tc>
        <w:tc>
          <w:tcPr>
            <w:tcW w:w="1001" w:type="dxa"/>
            <w:vAlign w:val="center"/>
          </w:tcPr>
          <w:p>
            <w:pPr>
              <w:widowControl/>
              <w:jc w:val="center"/>
              <w:rPr>
                <w:rFonts w:ascii="宋体" w:hAnsi="宋体"/>
                <w:b/>
                <w:szCs w:val="21"/>
              </w:rPr>
            </w:pPr>
            <w:r>
              <w:rPr>
                <w:rFonts w:hint="eastAsia" w:ascii="宋体" w:hAnsi="宋体"/>
                <w:b/>
                <w:szCs w:val="21"/>
              </w:rPr>
              <w:t>Genie</w:t>
            </w:r>
          </w:p>
        </w:tc>
        <w:tc>
          <w:tcPr>
            <w:tcW w:w="674"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w:t>
            </w: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jc w:val="center"/>
            </w:pPr>
            <w:r>
              <w:rPr>
                <w:rFonts w:hint="eastAsia" w:ascii="宋体" w:hAnsi="宋体"/>
                <w:b/>
                <w:szCs w:val="21"/>
              </w:rPr>
              <w:t>6个月</w:t>
            </w: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3</w:t>
            </w:r>
          </w:p>
        </w:tc>
        <w:tc>
          <w:tcPr>
            <w:tcW w:w="1956"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GS-3246</w:t>
            </w:r>
          </w:p>
          <w:p>
            <w:pPr>
              <w:pStyle w:val="2"/>
              <w:spacing w:after="0" w:line="240" w:lineRule="auto"/>
              <w:ind w:left="0"/>
              <w:jc w:val="center"/>
              <w:rPr>
                <w:rFonts w:ascii="宋体" w:hAnsi="宋体"/>
                <w:b/>
                <w:sz w:val="21"/>
                <w:szCs w:val="21"/>
              </w:rPr>
            </w:pPr>
            <w:r>
              <w:rPr>
                <w:rFonts w:hint="eastAsia" w:ascii="宋体" w:hAnsi="宋体"/>
                <w:b/>
                <w:sz w:val="21"/>
                <w:szCs w:val="21"/>
              </w:rPr>
              <w:t>手柄</w:t>
            </w:r>
          </w:p>
        </w:tc>
        <w:tc>
          <w:tcPr>
            <w:tcW w:w="1195"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100840</w:t>
            </w:r>
          </w:p>
        </w:tc>
        <w:tc>
          <w:tcPr>
            <w:tcW w:w="1001" w:type="dxa"/>
            <w:vAlign w:val="center"/>
          </w:tcPr>
          <w:p>
            <w:pPr>
              <w:widowControl/>
              <w:jc w:val="center"/>
              <w:rPr>
                <w:rFonts w:ascii="宋体" w:hAnsi="宋体"/>
                <w:b/>
                <w:szCs w:val="21"/>
              </w:rPr>
            </w:pPr>
            <w:r>
              <w:rPr>
                <w:rFonts w:hint="eastAsia" w:ascii="宋体" w:hAnsi="宋体"/>
                <w:b/>
                <w:szCs w:val="21"/>
              </w:rPr>
              <w:t>Genie</w:t>
            </w:r>
          </w:p>
        </w:tc>
        <w:tc>
          <w:tcPr>
            <w:tcW w:w="674"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w:t>
            </w: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jc w:val="center"/>
            </w:pPr>
            <w:r>
              <w:rPr>
                <w:rFonts w:hint="eastAsia" w:ascii="宋体" w:hAnsi="宋体"/>
                <w:b/>
                <w:szCs w:val="21"/>
              </w:rPr>
              <w:t>6个月</w:t>
            </w: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4</w:t>
            </w:r>
          </w:p>
        </w:tc>
        <w:tc>
          <w:tcPr>
            <w:tcW w:w="1956"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GS-3232/GS-3246  充电器</w:t>
            </w:r>
          </w:p>
        </w:tc>
        <w:tc>
          <w:tcPr>
            <w:tcW w:w="1195"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105739</w:t>
            </w:r>
          </w:p>
        </w:tc>
        <w:tc>
          <w:tcPr>
            <w:tcW w:w="100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Genie</w:t>
            </w:r>
          </w:p>
        </w:tc>
        <w:tc>
          <w:tcPr>
            <w:tcW w:w="674"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w:t>
            </w: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jc w:val="center"/>
            </w:pPr>
            <w:r>
              <w:rPr>
                <w:rFonts w:hint="eastAsia" w:ascii="宋体" w:hAnsi="宋体"/>
                <w:b/>
                <w:szCs w:val="21"/>
              </w:rPr>
              <w:t>6个月</w:t>
            </w: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2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5</w:t>
            </w:r>
          </w:p>
        </w:tc>
        <w:tc>
          <w:tcPr>
            <w:tcW w:w="1956" w:type="dxa"/>
            <w:vAlign w:val="center"/>
          </w:tcPr>
          <w:p>
            <w:pPr>
              <w:pStyle w:val="2"/>
              <w:spacing w:after="0" w:line="240" w:lineRule="auto"/>
              <w:ind w:left="0"/>
              <w:jc w:val="center"/>
              <w:rPr>
                <w:rFonts w:ascii="宋体" w:hAnsi="宋体"/>
                <w:b/>
                <w:sz w:val="21"/>
                <w:szCs w:val="21"/>
              </w:rPr>
            </w:pPr>
            <w:bookmarkStart w:id="45" w:name="OLE_LINK2"/>
            <w:r>
              <w:rPr>
                <w:rFonts w:hint="eastAsia" w:ascii="宋体" w:hAnsi="宋体"/>
                <w:b/>
                <w:sz w:val="21"/>
                <w:szCs w:val="21"/>
              </w:rPr>
              <w:t>S-105/S-125</w:t>
            </w:r>
            <w:bookmarkEnd w:id="45"/>
            <w:r>
              <w:rPr>
                <w:rFonts w:hint="eastAsia" w:ascii="宋体" w:hAnsi="宋体"/>
                <w:b/>
                <w:sz w:val="21"/>
                <w:szCs w:val="21"/>
              </w:rPr>
              <w:t xml:space="preserve">     手柄</w:t>
            </w:r>
          </w:p>
        </w:tc>
        <w:tc>
          <w:tcPr>
            <w:tcW w:w="1195"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101174</w:t>
            </w:r>
          </w:p>
        </w:tc>
        <w:tc>
          <w:tcPr>
            <w:tcW w:w="1001" w:type="dxa"/>
            <w:vAlign w:val="center"/>
          </w:tcPr>
          <w:p>
            <w:pPr>
              <w:widowControl/>
              <w:jc w:val="center"/>
              <w:rPr>
                <w:rFonts w:ascii="宋体" w:hAnsi="宋体"/>
                <w:b/>
                <w:szCs w:val="21"/>
              </w:rPr>
            </w:pPr>
            <w:r>
              <w:rPr>
                <w:rFonts w:hint="eastAsia" w:ascii="宋体" w:hAnsi="宋体"/>
                <w:b/>
                <w:szCs w:val="21"/>
              </w:rPr>
              <w:t>Genie</w:t>
            </w:r>
          </w:p>
        </w:tc>
        <w:tc>
          <w:tcPr>
            <w:tcW w:w="674"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w:t>
            </w: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jc w:val="center"/>
            </w:pPr>
            <w:r>
              <w:rPr>
                <w:rFonts w:hint="eastAsia" w:ascii="宋体" w:hAnsi="宋体"/>
                <w:b/>
                <w:szCs w:val="21"/>
              </w:rPr>
              <w:t>6个月</w:t>
            </w: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2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6</w:t>
            </w:r>
          </w:p>
        </w:tc>
        <w:tc>
          <w:tcPr>
            <w:tcW w:w="1956"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S-105/S-125     行走泵</w:t>
            </w:r>
          </w:p>
        </w:tc>
        <w:tc>
          <w:tcPr>
            <w:tcW w:w="1195"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101068</w:t>
            </w:r>
          </w:p>
        </w:tc>
        <w:tc>
          <w:tcPr>
            <w:tcW w:w="100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丹弗斯</w:t>
            </w:r>
          </w:p>
        </w:tc>
        <w:tc>
          <w:tcPr>
            <w:tcW w:w="674"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w:t>
            </w: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jc w:val="center"/>
            </w:pPr>
            <w:r>
              <w:rPr>
                <w:rFonts w:hint="eastAsia" w:ascii="宋体" w:hAnsi="宋体"/>
                <w:b/>
                <w:szCs w:val="21"/>
              </w:rPr>
              <w:t>6个月</w:t>
            </w: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2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7</w:t>
            </w:r>
          </w:p>
        </w:tc>
        <w:tc>
          <w:tcPr>
            <w:tcW w:w="1956"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S-105/S-125     限位开关</w:t>
            </w:r>
          </w:p>
        </w:tc>
        <w:tc>
          <w:tcPr>
            <w:tcW w:w="1195"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75034</w:t>
            </w:r>
          </w:p>
        </w:tc>
        <w:tc>
          <w:tcPr>
            <w:tcW w:w="1001"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霍尼  韦尔</w:t>
            </w:r>
          </w:p>
        </w:tc>
        <w:tc>
          <w:tcPr>
            <w:tcW w:w="674" w:type="dxa"/>
            <w:vAlign w:val="center"/>
          </w:tcPr>
          <w:p>
            <w:pPr>
              <w:pStyle w:val="2"/>
              <w:spacing w:after="0" w:line="240" w:lineRule="auto"/>
              <w:ind w:left="0"/>
              <w:jc w:val="center"/>
              <w:rPr>
                <w:rFonts w:ascii="宋体" w:hAnsi="宋体"/>
                <w:b/>
                <w:sz w:val="21"/>
                <w:szCs w:val="21"/>
              </w:rPr>
            </w:pPr>
            <w:r>
              <w:rPr>
                <w:rFonts w:hint="eastAsia" w:ascii="宋体" w:hAnsi="宋体"/>
                <w:b/>
                <w:sz w:val="21"/>
                <w:szCs w:val="21"/>
              </w:rPr>
              <w:t>1</w:t>
            </w: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jc w:val="center"/>
            </w:pPr>
            <w:r>
              <w:rPr>
                <w:rFonts w:hint="eastAsia" w:ascii="宋体" w:hAnsi="宋体"/>
                <w:b/>
                <w:szCs w:val="21"/>
              </w:rPr>
              <w:t>6个月</w:t>
            </w: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5" w:type="dxa"/>
            <w:gridSpan w:val="6"/>
            <w:vAlign w:val="center"/>
          </w:tcPr>
          <w:p>
            <w:pPr>
              <w:pStyle w:val="2"/>
              <w:spacing w:after="0" w:line="240" w:lineRule="auto"/>
              <w:jc w:val="right"/>
              <w:rPr>
                <w:rFonts w:hint="eastAsia" w:ascii="宋体" w:hAnsi="宋体" w:eastAsia="宋体"/>
                <w:b/>
                <w:sz w:val="21"/>
                <w:szCs w:val="21"/>
                <w:lang w:val="en-US" w:eastAsia="zh-CN"/>
              </w:rPr>
            </w:pPr>
            <w:r>
              <w:rPr>
                <w:rFonts w:hint="eastAsia" w:ascii="宋体" w:hAnsi="宋体"/>
                <w:b/>
                <w:color w:val="FF0000"/>
                <w:sz w:val="21"/>
                <w:szCs w:val="21"/>
                <w:lang w:val="en-US" w:eastAsia="zh-CN"/>
              </w:rPr>
              <w:t>7项配件</w:t>
            </w:r>
            <w:r>
              <w:rPr>
                <w:rFonts w:hint="eastAsia" w:ascii="宋体" w:hAnsi="宋体"/>
                <w:b/>
                <w:color w:val="FF0000"/>
                <w:sz w:val="21"/>
                <w:szCs w:val="21"/>
              </w:rPr>
              <w:t>合计</w:t>
            </w:r>
            <w:r>
              <w:rPr>
                <w:rFonts w:hint="eastAsia" w:ascii="宋体" w:hAnsi="宋体"/>
                <w:b/>
                <w:color w:val="FF0000"/>
                <w:sz w:val="21"/>
                <w:szCs w:val="21"/>
                <w:lang w:val="en-US" w:eastAsia="zh-CN"/>
              </w:rPr>
              <w:t>价（数量取1）：</w:t>
            </w:r>
          </w:p>
        </w:tc>
        <w:tc>
          <w:tcPr>
            <w:tcW w:w="3781" w:type="dxa"/>
            <w:gridSpan w:val="3"/>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eastAsia" w:ascii="宋体" w:hAnsi="宋体" w:eastAsia="宋体"/>
                <w:b/>
                <w:sz w:val="21"/>
                <w:szCs w:val="21"/>
                <w:lang w:val="en-US" w:eastAsia="zh-CN"/>
              </w:rPr>
            </w:pPr>
            <w:r>
              <w:rPr>
                <w:rFonts w:hint="eastAsia" w:ascii="宋体" w:hAnsi="宋体"/>
                <w:b/>
                <w:sz w:val="21"/>
                <w:szCs w:val="21"/>
                <w:lang w:val="en-US" w:eastAsia="zh-CN"/>
              </w:rPr>
              <w:t>8</w:t>
            </w:r>
          </w:p>
        </w:tc>
        <w:tc>
          <w:tcPr>
            <w:tcW w:w="1956" w:type="dxa"/>
            <w:vAlign w:val="center"/>
          </w:tcPr>
          <w:p>
            <w:pPr>
              <w:pStyle w:val="2"/>
              <w:spacing w:after="0" w:line="240" w:lineRule="auto"/>
              <w:ind w:left="16" w:leftChars="0" w:hanging="16" w:hangingChars="8"/>
              <w:jc w:val="left"/>
              <w:rPr>
                <w:rFonts w:hint="eastAsia" w:ascii="宋体" w:hAnsi="宋体" w:eastAsia="宋体"/>
                <w:b/>
                <w:sz w:val="21"/>
                <w:szCs w:val="21"/>
                <w:lang w:eastAsia="zh-CN"/>
              </w:rPr>
            </w:pPr>
            <w:r>
              <w:rPr>
                <w:rFonts w:hint="eastAsia" w:ascii="宋体" w:hAnsi="宋体"/>
                <w:b/>
                <w:color w:val="FF0000"/>
                <w:sz w:val="21"/>
                <w:szCs w:val="21"/>
                <w:lang w:eastAsia="zh-CN"/>
              </w:rPr>
              <w:t>（</w:t>
            </w:r>
            <w:r>
              <w:rPr>
                <w:rFonts w:hint="eastAsia" w:ascii="宋体" w:hAnsi="宋体"/>
                <w:b/>
                <w:color w:val="FF0000"/>
                <w:sz w:val="21"/>
                <w:szCs w:val="21"/>
                <w:lang w:val="en-US" w:eastAsia="zh-CN"/>
              </w:rPr>
              <w:t>配件种类由投标人提供，下同</w:t>
            </w:r>
            <w:r>
              <w:rPr>
                <w:rFonts w:hint="eastAsia" w:ascii="宋体" w:hAnsi="宋体"/>
                <w:b/>
                <w:color w:val="FF0000"/>
                <w:sz w:val="21"/>
                <w:szCs w:val="21"/>
                <w:lang w:eastAsia="zh-CN"/>
              </w:rPr>
              <w:t>）</w:t>
            </w: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eastAsia" w:ascii="宋体" w:hAnsi="宋体" w:eastAsia="宋体"/>
                <w:b/>
                <w:sz w:val="21"/>
                <w:szCs w:val="21"/>
                <w:lang w:val="en-US" w:eastAsia="zh-CN"/>
              </w:rPr>
            </w:pPr>
            <w:r>
              <w:rPr>
                <w:rFonts w:hint="eastAsia" w:ascii="宋体" w:hAnsi="宋体"/>
                <w:b/>
                <w:sz w:val="21"/>
                <w:szCs w:val="21"/>
                <w:lang w:val="en-US" w:eastAsia="zh-CN"/>
              </w:rPr>
              <w:t>9</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default" w:ascii="宋体" w:hAnsi="宋体" w:eastAsia="宋体"/>
                <w:b/>
                <w:sz w:val="21"/>
                <w:szCs w:val="21"/>
                <w:lang w:val="en-US" w:eastAsia="zh-CN"/>
              </w:rPr>
            </w:pPr>
            <w:r>
              <w:rPr>
                <w:rFonts w:hint="eastAsia" w:ascii="宋体" w:hAnsi="宋体"/>
                <w:b/>
                <w:sz w:val="21"/>
                <w:szCs w:val="21"/>
                <w:lang w:val="en-US" w:eastAsia="zh-CN"/>
              </w:rPr>
              <w:t>10</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default" w:ascii="宋体" w:hAnsi="宋体" w:eastAsia="宋体"/>
                <w:b/>
                <w:sz w:val="21"/>
                <w:szCs w:val="21"/>
                <w:lang w:val="en-US" w:eastAsia="zh-CN"/>
              </w:rPr>
            </w:pPr>
            <w:r>
              <w:rPr>
                <w:rFonts w:hint="eastAsia" w:ascii="宋体" w:hAnsi="宋体"/>
                <w:b/>
                <w:sz w:val="21"/>
                <w:szCs w:val="21"/>
                <w:lang w:val="en-US" w:eastAsia="zh-CN"/>
              </w:rPr>
              <w:t>11</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default" w:ascii="宋体" w:hAnsi="宋体" w:eastAsia="宋体"/>
                <w:b/>
                <w:sz w:val="21"/>
                <w:szCs w:val="21"/>
                <w:lang w:val="en-US" w:eastAsia="zh-CN"/>
              </w:rPr>
            </w:pPr>
            <w:r>
              <w:rPr>
                <w:rFonts w:hint="eastAsia" w:ascii="宋体" w:hAnsi="宋体"/>
                <w:b/>
                <w:sz w:val="21"/>
                <w:szCs w:val="21"/>
                <w:lang w:val="en-US" w:eastAsia="zh-CN"/>
              </w:rPr>
              <w:t>12</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default" w:ascii="宋体" w:hAnsi="宋体" w:eastAsia="宋体"/>
                <w:b/>
                <w:sz w:val="21"/>
                <w:szCs w:val="21"/>
                <w:lang w:val="en-US" w:eastAsia="zh-CN"/>
              </w:rPr>
            </w:pPr>
            <w:r>
              <w:rPr>
                <w:rFonts w:hint="eastAsia" w:ascii="宋体" w:hAnsi="宋体"/>
                <w:b/>
                <w:sz w:val="21"/>
                <w:szCs w:val="21"/>
                <w:lang w:val="en-US" w:eastAsia="zh-CN"/>
              </w:rPr>
              <w:t>13</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default" w:ascii="宋体" w:hAnsi="宋体" w:eastAsia="宋体"/>
                <w:b/>
                <w:sz w:val="21"/>
                <w:szCs w:val="21"/>
                <w:lang w:val="en-US" w:eastAsia="zh-CN"/>
              </w:rPr>
            </w:pPr>
            <w:r>
              <w:rPr>
                <w:rFonts w:hint="eastAsia" w:ascii="宋体" w:hAnsi="宋体"/>
                <w:b/>
                <w:sz w:val="21"/>
                <w:szCs w:val="21"/>
                <w:lang w:val="en-US" w:eastAsia="zh-CN"/>
              </w:rPr>
              <w:t>14</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default" w:ascii="宋体" w:hAnsi="宋体" w:eastAsia="宋体"/>
                <w:b/>
                <w:sz w:val="21"/>
                <w:szCs w:val="21"/>
                <w:lang w:val="en-US" w:eastAsia="zh-CN"/>
              </w:rPr>
            </w:pPr>
            <w:r>
              <w:rPr>
                <w:rFonts w:hint="eastAsia" w:ascii="宋体" w:hAnsi="宋体"/>
                <w:b/>
                <w:sz w:val="21"/>
                <w:szCs w:val="21"/>
                <w:lang w:val="en-US" w:eastAsia="zh-CN"/>
              </w:rPr>
              <w:t>15</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default" w:ascii="宋体" w:hAnsi="宋体"/>
                <w:b/>
                <w:sz w:val="21"/>
                <w:szCs w:val="21"/>
                <w:lang w:val="en-US" w:eastAsia="zh-CN"/>
              </w:rPr>
            </w:pPr>
            <w:r>
              <w:rPr>
                <w:rFonts w:hint="eastAsia" w:ascii="宋体" w:hAnsi="宋体"/>
                <w:b/>
                <w:sz w:val="21"/>
                <w:szCs w:val="21"/>
                <w:lang w:val="en-US" w:eastAsia="zh-CN"/>
              </w:rPr>
              <w:t>16</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default" w:ascii="宋体" w:hAnsi="宋体"/>
                <w:b/>
                <w:sz w:val="21"/>
                <w:szCs w:val="21"/>
                <w:lang w:val="en-US" w:eastAsia="zh-CN"/>
              </w:rPr>
            </w:pPr>
            <w:r>
              <w:rPr>
                <w:rFonts w:hint="eastAsia" w:ascii="宋体" w:hAnsi="宋体"/>
                <w:b/>
                <w:sz w:val="21"/>
                <w:szCs w:val="21"/>
                <w:lang w:val="en-US" w:eastAsia="zh-CN"/>
              </w:rPr>
              <w:t>17</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pStyle w:val="2"/>
              <w:spacing w:after="0" w:line="240" w:lineRule="auto"/>
              <w:ind w:left="0"/>
              <w:jc w:val="center"/>
              <w:rPr>
                <w:rFonts w:hint="default" w:ascii="宋体" w:hAnsi="宋体"/>
                <w:b/>
                <w:sz w:val="21"/>
                <w:szCs w:val="21"/>
                <w:lang w:val="en-US" w:eastAsia="zh-CN"/>
              </w:rPr>
            </w:pPr>
            <w:r>
              <w:rPr>
                <w:rFonts w:hint="eastAsia" w:ascii="宋体" w:hAnsi="宋体"/>
                <w:b/>
                <w:sz w:val="21"/>
                <w:szCs w:val="21"/>
                <w:lang w:val="en-US" w:eastAsia="zh-CN"/>
              </w:rPr>
              <w:t>18</w:t>
            </w:r>
          </w:p>
        </w:tc>
        <w:tc>
          <w:tcPr>
            <w:tcW w:w="1956" w:type="dxa"/>
            <w:vAlign w:val="center"/>
          </w:tcPr>
          <w:p>
            <w:pPr>
              <w:pStyle w:val="2"/>
              <w:spacing w:after="0" w:line="240" w:lineRule="auto"/>
              <w:jc w:val="center"/>
              <w:rPr>
                <w:rFonts w:ascii="宋体" w:hAnsi="宋体"/>
                <w:b/>
                <w:sz w:val="21"/>
                <w:szCs w:val="21"/>
              </w:rPr>
            </w:pPr>
          </w:p>
        </w:tc>
        <w:tc>
          <w:tcPr>
            <w:tcW w:w="1195" w:type="dxa"/>
            <w:vAlign w:val="center"/>
          </w:tcPr>
          <w:p>
            <w:pPr>
              <w:pStyle w:val="2"/>
              <w:spacing w:after="0" w:line="240" w:lineRule="auto"/>
              <w:jc w:val="center"/>
              <w:rPr>
                <w:rFonts w:ascii="宋体" w:hAnsi="宋体"/>
                <w:b/>
                <w:sz w:val="21"/>
                <w:szCs w:val="21"/>
              </w:rPr>
            </w:pPr>
          </w:p>
        </w:tc>
        <w:tc>
          <w:tcPr>
            <w:tcW w:w="1001" w:type="dxa"/>
            <w:vAlign w:val="center"/>
          </w:tcPr>
          <w:p>
            <w:pPr>
              <w:pStyle w:val="2"/>
              <w:spacing w:after="0" w:line="240" w:lineRule="auto"/>
              <w:jc w:val="center"/>
              <w:rPr>
                <w:rFonts w:ascii="宋体" w:hAnsi="宋体"/>
                <w:b/>
                <w:sz w:val="21"/>
                <w:szCs w:val="21"/>
              </w:rPr>
            </w:pPr>
          </w:p>
        </w:tc>
        <w:tc>
          <w:tcPr>
            <w:tcW w:w="674" w:type="dxa"/>
            <w:vAlign w:val="center"/>
          </w:tcPr>
          <w:p>
            <w:pPr>
              <w:pStyle w:val="2"/>
              <w:spacing w:after="0" w:line="240" w:lineRule="auto"/>
              <w:jc w:val="center"/>
              <w:rPr>
                <w:rFonts w:ascii="宋体" w:hAnsi="宋体"/>
                <w:b/>
                <w:sz w:val="21"/>
                <w:szCs w:val="21"/>
              </w:rPr>
            </w:pPr>
          </w:p>
        </w:tc>
        <w:tc>
          <w:tcPr>
            <w:tcW w:w="1168" w:type="dxa"/>
            <w:vAlign w:val="center"/>
          </w:tcPr>
          <w:p>
            <w:pPr>
              <w:pStyle w:val="2"/>
              <w:spacing w:after="0" w:line="240" w:lineRule="auto"/>
              <w:jc w:val="center"/>
              <w:rPr>
                <w:rFonts w:ascii="宋体" w:hAnsi="宋体"/>
                <w:b/>
                <w:sz w:val="21"/>
                <w:szCs w:val="21"/>
              </w:rPr>
            </w:pPr>
          </w:p>
        </w:tc>
        <w:tc>
          <w:tcPr>
            <w:tcW w:w="1213" w:type="dxa"/>
            <w:vAlign w:val="center"/>
          </w:tcPr>
          <w:p>
            <w:pPr>
              <w:pStyle w:val="2"/>
              <w:spacing w:after="0" w:line="240" w:lineRule="auto"/>
              <w:jc w:val="center"/>
              <w:rPr>
                <w:rFonts w:ascii="宋体" w:hAnsi="宋体"/>
                <w:b/>
                <w:sz w:val="21"/>
                <w:szCs w:val="21"/>
              </w:rPr>
            </w:pPr>
          </w:p>
        </w:tc>
        <w:tc>
          <w:tcPr>
            <w:tcW w:w="1296" w:type="dxa"/>
            <w:vAlign w:val="center"/>
          </w:tcPr>
          <w:p>
            <w:pPr>
              <w:widowControl/>
              <w:jc w:val="center"/>
              <w:rPr>
                <w:rFonts w:ascii="宋体" w:hAnsi="宋体"/>
                <w:b/>
                <w:szCs w:val="21"/>
              </w:rPr>
            </w:pPr>
          </w:p>
        </w:tc>
        <w:tc>
          <w:tcPr>
            <w:tcW w:w="1272" w:type="dxa"/>
            <w:vAlign w:val="center"/>
          </w:tcPr>
          <w:p>
            <w:pPr>
              <w:pStyle w:val="2"/>
              <w:spacing w:after="0" w:line="240" w:lineRule="auto"/>
              <w:jc w:val="center"/>
              <w:rPr>
                <w:rFonts w:ascii="宋体" w:hAnsi="宋体"/>
                <w:b/>
                <w:sz w:val="21"/>
                <w:szCs w:val="21"/>
              </w:rPr>
            </w:pPr>
          </w:p>
        </w:tc>
      </w:tr>
    </w:tbl>
    <w:p>
      <w:pPr>
        <w:pStyle w:val="2"/>
        <w:rPr>
          <w:rFonts w:ascii="宋体" w:hAnsi="宋体"/>
          <w:b/>
          <w:sz w:val="24"/>
        </w:rPr>
      </w:pPr>
    </w:p>
    <w:p>
      <w:pPr>
        <w:pStyle w:val="2"/>
        <w:ind w:left="14" w:leftChars="0" w:hanging="14" w:hangingChars="6"/>
        <w:rPr>
          <w:rFonts w:ascii="宋体" w:hAnsi="宋体"/>
          <w:b/>
          <w:sz w:val="24"/>
        </w:rPr>
        <w:sectPr>
          <w:pgSz w:w="11906" w:h="16838"/>
          <w:pgMar w:top="1134" w:right="1800" w:bottom="993" w:left="1800" w:header="851" w:footer="409" w:gutter="0"/>
          <w:cols w:space="425" w:num="1"/>
          <w:docGrid w:type="lines" w:linePitch="312" w:charSpace="0"/>
        </w:sectPr>
      </w:pPr>
    </w:p>
    <w:p>
      <w:pPr>
        <w:spacing w:line="360" w:lineRule="auto"/>
        <w:jc w:val="center"/>
        <w:outlineLvl w:val="0"/>
        <w:rPr>
          <w:rFonts w:ascii="宋体" w:hAnsi="宋体"/>
          <w:b/>
          <w:sz w:val="32"/>
          <w:szCs w:val="32"/>
        </w:rPr>
      </w:pPr>
      <w:r>
        <w:rPr>
          <w:rFonts w:hint="eastAsia" w:ascii="宋体" w:hAnsi="宋体"/>
          <w:b/>
          <w:sz w:val="32"/>
          <w:szCs w:val="32"/>
        </w:rPr>
        <w:t>第二部分：开标评标流程</w:t>
      </w:r>
      <w:bookmarkEnd w:id="44"/>
    </w:p>
    <w:p>
      <w:pPr>
        <w:numPr>
          <w:ilvl w:val="0"/>
          <w:numId w:val="1"/>
        </w:numPr>
        <w:spacing w:line="360" w:lineRule="auto"/>
        <w:outlineLvl w:val="1"/>
        <w:rPr>
          <w:b/>
        </w:rPr>
      </w:pPr>
      <w:bookmarkStart w:id="46" w:name="_Toc104994641"/>
      <w:bookmarkStart w:id="47" w:name="_Toc106791260"/>
      <w:bookmarkStart w:id="48" w:name="_Hlk104908581"/>
      <w:bookmarkStart w:id="49" w:name="_Hlk104908397"/>
      <w:r>
        <w:rPr>
          <w:rFonts w:hint="eastAsia"/>
          <w:b/>
        </w:rPr>
        <w:t>开标阶段</w:t>
      </w:r>
      <w:bookmarkEnd w:id="46"/>
      <w:bookmarkEnd w:id="47"/>
    </w:p>
    <w:bookmarkEnd w:id="48"/>
    <w:p>
      <w:pPr>
        <w:pStyle w:val="22"/>
        <w:numPr>
          <w:ilvl w:val="0"/>
          <w:numId w:val="3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投标人按要求准时进入视频会议室。</w:t>
      </w:r>
    </w:p>
    <w:p>
      <w:pPr>
        <w:pStyle w:val="22"/>
        <w:numPr>
          <w:ilvl w:val="0"/>
          <w:numId w:val="3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招标人宣布开标工作开始，并介绍开标、评标工作的主要流程。</w:t>
      </w:r>
    </w:p>
    <w:p>
      <w:pPr>
        <w:pStyle w:val="22"/>
        <w:numPr>
          <w:ilvl w:val="0"/>
          <w:numId w:val="3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投标人按招标人指令上传投标文件解密密码至招标文件中指定地址。</w:t>
      </w:r>
    </w:p>
    <w:p>
      <w:pPr>
        <w:pStyle w:val="22"/>
        <w:numPr>
          <w:ilvl w:val="0"/>
          <w:numId w:val="3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招标人解密投标文件。</w:t>
      </w:r>
    </w:p>
    <w:p>
      <w:pPr>
        <w:pStyle w:val="22"/>
        <w:numPr>
          <w:ilvl w:val="0"/>
          <w:numId w:val="3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招标评标小组确认开标一览表。</w:t>
      </w:r>
    </w:p>
    <w:p>
      <w:pPr>
        <w:pStyle w:val="22"/>
        <w:numPr>
          <w:ilvl w:val="0"/>
          <w:numId w:val="3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招标人现场公开唱标。</w:t>
      </w:r>
    </w:p>
    <w:p>
      <w:pPr>
        <w:pStyle w:val="22"/>
        <w:numPr>
          <w:ilvl w:val="0"/>
          <w:numId w:val="3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投标人确认唱标结果。</w:t>
      </w:r>
    </w:p>
    <w:p>
      <w:pPr>
        <w:pStyle w:val="22"/>
        <w:numPr>
          <w:ilvl w:val="0"/>
          <w:numId w:val="3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招标人宣布开标工作结束，投标人退出会议室。</w:t>
      </w:r>
    </w:p>
    <w:p>
      <w:pPr>
        <w:numPr>
          <w:ilvl w:val="0"/>
          <w:numId w:val="1"/>
        </w:numPr>
        <w:spacing w:line="360" w:lineRule="auto"/>
        <w:outlineLvl w:val="1"/>
        <w:rPr>
          <w:b/>
        </w:rPr>
      </w:pPr>
      <w:bookmarkStart w:id="50" w:name="_Toc104994642"/>
      <w:bookmarkStart w:id="51" w:name="_Toc106791261"/>
      <w:r>
        <w:rPr>
          <w:rFonts w:hint="eastAsia"/>
          <w:b/>
        </w:rPr>
        <w:t>评标阶段</w:t>
      </w:r>
      <w:bookmarkEnd w:id="50"/>
      <w:bookmarkEnd w:id="51"/>
    </w:p>
    <w:p>
      <w:pPr>
        <w:pStyle w:val="22"/>
        <w:numPr>
          <w:ilvl w:val="0"/>
          <w:numId w:val="35"/>
        </w:numPr>
        <w:spacing w:line="360" w:lineRule="auto"/>
        <w:ind w:left="416" w:firstLine="2" w:firstLineChars="0"/>
        <w:jc w:val="left"/>
        <w:rPr>
          <w:rFonts w:ascii="宋体" w:hAnsi="宋体" w:eastAsia="宋体"/>
          <w:szCs w:val="21"/>
        </w:rPr>
      </w:pPr>
      <w:r>
        <w:rPr>
          <w:rFonts w:hint="eastAsia" w:ascii="宋体" w:hAnsi="宋体" w:eastAsia="宋体"/>
          <w:szCs w:val="21"/>
        </w:rPr>
        <w:t>主持人宣布评标工作开始，并播放《招标评标工作守则》。</w:t>
      </w:r>
    </w:p>
    <w:p>
      <w:pPr>
        <w:pStyle w:val="22"/>
        <w:numPr>
          <w:ilvl w:val="0"/>
          <w:numId w:val="3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招标评标小组签字承诺遵守《招标评标工作守则》。</w:t>
      </w:r>
    </w:p>
    <w:p>
      <w:pPr>
        <w:pStyle w:val="22"/>
        <w:numPr>
          <w:ilvl w:val="0"/>
          <w:numId w:val="3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招标评标小组成员推选组长主持评标。</w:t>
      </w:r>
    </w:p>
    <w:p>
      <w:pPr>
        <w:pStyle w:val="22"/>
        <w:numPr>
          <w:ilvl w:val="0"/>
          <w:numId w:val="3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投标文件的完整性检验和符合性审查。</w:t>
      </w:r>
    </w:p>
    <w:p>
      <w:pPr>
        <w:pStyle w:val="22"/>
        <w:numPr>
          <w:ilvl w:val="0"/>
          <w:numId w:val="3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商务及技术/服务需求不可偏离项检查。</w:t>
      </w:r>
    </w:p>
    <w:p>
      <w:pPr>
        <w:pStyle w:val="22"/>
        <w:numPr>
          <w:ilvl w:val="0"/>
          <w:numId w:val="3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招标评标小组成员采用记名方式按照招标文件中规定的评标办法进行评分；</w:t>
      </w:r>
    </w:p>
    <w:p>
      <w:pPr>
        <w:pStyle w:val="22"/>
        <w:numPr>
          <w:ilvl w:val="0"/>
          <w:numId w:val="3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综合评分的统计、排序；</w:t>
      </w:r>
    </w:p>
    <w:p>
      <w:pPr>
        <w:pStyle w:val="22"/>
        <w:numPr>
          <w:ilvl w:val="0"/>
          <w:numId w:val="3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本项目招标第一候选供应商、第二候选供应商的确定及评标报告的出具。</w:t>
      </w:r>
    </w:p>
    <w:bookmarkEnd w:id="49"/>
    <w:p>
      <w:pPr>
        <w:widowControl/>
        <w:jc w:val="left"/>
        <w:rPr>
          <w:rFonts w:ascii="仿宋_GB2312" w:hAnsi="宋体" w:eastAsia="仿宋_GB2312"/>
        </w:rPr>
      </w:pPr>
      <w:r>
        <w:br w:type="page"/>
      </w:r>
    </w:p>
    <w:p>
      <w:pPr>
        <w:pStyle w:val="11"/>
        <w:rPr>
          <w:rFonts w:ascii="宋体"/>
          <w:b/>
          <w:sz w:val="28"/>
          <w:highlight w:val="none"/>
        </w:rPr>
      </w:pPr>
    </w:p>
    <w:p>
      <w:pPr>
        <w:spacing w:line="360" w:lineRule="auto"/>
        <w:jc w:val="center"/>
        <w:outlineLvl w:val="0"/>
        <w:rPr>
          <w:rFonts w:ascii="宋体" w:hAnsi="宋体"/>
          <w:b/>
          <w:sz w:val="32"/>
          <w:szCs w:val="32"/>
          <w:highlight w:val="none"/>
        </w:rPr>
      </w:pPr>
      <w:bookmarkStart w:id="52" w:name="_Toc106791262"/>
      <w:r>
        <w:rPr>
          <w:rFonts w:hint="eastAsia" w:ascii="宋体" w:hAnsi="宋体"/>
          <w:b/>
          <w:sz w:val="32"/>
          <w:szCs w:val="32"/>
          <w:highlight w:val="none"/>
        </w:rPr>
        <w:t>第三部分：评审办法</w:t>
      </w:r>
      <w:bookmarkEnd w:id="52"/>
    </w:p>
    <w:p>
      <w:pPr>
        <w:numPr>
          <w:ilvl w:val="0"/>
          <w:numId w:val="1"/>
        </w:numPr>
        <w:spacing w:line="360" w:lineRule="auto"/>
        <w:outlineLvl w:val="1"/>
        <w:rPr>
          <w:rFonts w:ascii="宋体" w:hAnsi="宋体"/>
          <w:szCs w:val="21"/>
          <w:highlight w:val="none"/>
        </w:rPr>
      </w:pPr>
      <w:bookmarkStart w:id="53" w:name="_Toc106791263"/>
      <w:r>
        <w:rPr>
          <w:rFonts w:hint="eastAsia" w:ascii="宋体" w:hAnsi="宋体"/>
          <w:b/>
          <w:bCs/>
          <w:szCs w:val="21"/>
          <w:highlight w:val="none"/>
        </w:rPr>
        <w:t>评审办法</w:t>
      </w:r>
      <w:bookmarkEnd w:id="53"/>
    </w:p>
    <w:p>
      <w:pPr>
        <w:spacing w:line="360" w:lineRule="auto"/>
        <w:ind w:firstLine="420" w:firstLineChars="200"/>
        <w:rPr>
          <w:rFonts w:ascii="宋体" w:hAnsi="宋体"/>
          <w:szCs w:val="21"/>
          <w:highlight w:val="none"/>
        </w:rPr>
      </w:pPr>
      <w:r>
        <w:rPr>
          <w:rFonts w:hint="eastAsia" w:ascii="宋体" w:hAnsi="宋体"/>
          <w:szCs w:val="21"/>
          <w:highlight w:val="none"/>
        </w:rPr>
        <w:t>首先对各投标人进行符合性审查。对通过符合性审查的投标人，采用</w:t>
      </w:r>
      <w:r>
        <w:rPr>
          <w:rFonts w:hint="eastAsia" w:ascii="宋体" w:hAnsi="宋体"/>
          <w:b/>
          <w:szCs w:val="21"/>
          <w:highlight w:val="none"/>
        </w:rPr>
        <w:t>100分制综合评分法</w:t>
      </w:r>
      <w:r>
        <w:rPr>
          <w:rFonts w:hint="eastAsia" w:ascii="宋体" w:hAnsi="宋体"/>
          <w:szCs w:val="21"/>
          <w:highlight w:val="none"/>
        </w:rPr>
        <w:t>进行评分。</w:t>
      </w:r>
    </w:p>
    <w:tbl>
      <w:tblPr>
        <w:tblStyle w:val="15"/>
        <w:tblW w:w="9490"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4"/>
            <w:vAlign w:val="center"/>
          </w:tcPr>
          <w:p>
            <w:pPr>
              <w:pStyle w:val="2"/>
              <w:jc w:val="center"/>
              <w:rPr>
                <w:highlight w:val="none"/>
              </w:rPr>
            </w:pPr>
            <w:r>
              <w:rPr>
                <w:rFonts w:hint="eastAsia" w:ascii="宋体" w:hAnsi="宋体" w:cs="仿宋"/>
                <w:szCs w:val="21"/>
                <w:highlight w:val="none"/>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44" w:type="dxa"/>
            <w:vAlign w:val="center"/>
          </w:tcPr>
          <w:p>
            <w:pPr>
              <w:autoSpaceDE w:val="0"/>
              <w:autoSpaceDN w:val="0"/>
              <w:adjustRightInd w:val="0"/>
              <w:snapToGrid w:val="0"/>
              <w:jc w:val="center"/>
              <w:rPr>
                <w:rFonts w:ascii="宋体" w:hAnsi="宋体"/>
                <w:b/>
                <w:highlight w:val="none"/>
              </w:rPr>
            </w:pPr>
            <w:r>
              <w:rPr>
                <w:rFonts w:hint="eastAsia" w:ascii="宋体" w:hAnsi="宋体"/>
                <w:b/>
                <w:highlight w:val="none"/>
              </w:rPr>
              <w:t>权重名称</w:t>
            </w:r>
          </w:p>
        </w:tc>
        <w:tc>
          <w:tcPr>
            <w:tcW w:w="2130" w:type="dxa"/>
            <w:vAlign w:val="center"/>
          </w:tcPr>
          <w:p>
            <w:pPr>
              <w:autoSpaceDE w:val="0"/>
              <w:autoSpaceDN w:val="0"/>
              <w:adjustRightInd w:val="0"/>
              <w:snapToGrid w:val="0"/>
              <w:jc w:val="center"/>
              <w:rPr>
                <w:rFonts w:ascii="宋体" w:hAnsi="宋体"/>
                <w:b/>
                <w:highlight w:val="none"/>
              </w:rPr>
            </w:pPr>
            <w:r>
              <w:rPr>
                <w:rFonts w:hint="eastAsia" w:ascii="宋体" w:hAnsi="宋体"/>
                <w:b/>
                <w:highlight w:val="none"/>
              </w:rPr>
              <w:t>商务标权重</w:t>
            </w:r>
          </w:p>
        </w:tc>
        <w:tc>
          <w:tcPr>
            <w:tcW w:w="2131" w:type="dxa"/>
            <w:vAlign w:val="center"/>
          </w:tcPr>
          <w:p>
            <w:pPr>
              <w:autoSpaceDE w:val="0"/>
              <w:autoSpaceDN w:val="0"/>
              <w:adjustRightInd w:val="0"/>
              <w:snapToGrid w:val="0"/>
              <w:jc w:val="center"/>
              <w:rPr>
                <w:rFonts w:ascii="宋体" w:hAnsi="宋体"/>
                <w:b/>
                <w:highlight w:val="none"/>
              </w:rPr>
            </w:pPr>
            <w:r>
              <w:rPr>
                <w:rFonts w:hint="eastAsia" w:ascii="宋体" w:hAnsi="宋体"/>
                <w:b/>
                <w:highlight w:val="none"/>
              </w:rPr>
              <w:t>技术标权重</w:t>
            </w:r>
          </w:p>
        </w:tc>
        <w:tc>
          <w:tcPr>
            <w:tcW w:w="2585" w:type="dxa"/>
            <w:vAlign w:val="center"/>
          </w:tcPr>
          <w:p>
            <w:pPr>
              <w:autoSpaceDE w:val="0"/>
              <w:autoSpaceDN w:val="0"/>
              <w:adjustRightInd w:val="0"/>
              <w:snapToGrid w:val="0"/>
              <w:jc w:val="center"/>
              <w:rPr>
                <w:rFonts w:ascii="宋体" w:hAnsi="宋体"/>
                <w:b/>
                <w:highlight w:val="none"/>
              </w:rPr>
            </w:pPr>
            <w:r>
              <w:rPr>
                <w:rFonts w:hint="eastAsia" w:ascii="宋体" w:hAnsi="宋体"/>
                <w:b/>
                <w:highlight w:val="none"/>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highlight w:val="none"/>
              </w:rPr>
              <w:t>权重</w:t>
            </w:r>
          </w:p>
        </w:tc>
        <w:tc>
          <w:tcPr>
            <w:tcW w:w="2130"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rPr>
              <w:t>25</w:t>
            </w:r>
            <w:r>
              <w:rPr>
                <w:rFonts w:hint="eastAsia" w:ascii="宋体" w:hAnsi="宋体"/>
                <w:color w:val="auto"/>
                <w:highlight w:val="none"/>
              </w:rPr>
              <w:t>%</w:t>
            </w:r>
          </w:p>
        </w:tc>
        <w:tc>
          <w:tcPr>
            <w:tcW w:w="2131"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lang w:val="en-US" w:eastAsia="zh-CN"/>
              </w:rPr>
              <w:t>35</w:t>
            </w:r>
            <w:r>
              <w:rPr>
                <w:rFonts w:hint="eastAsia" w:ascii="宋体" w:hAnsi="宋体"/>
                <w:color w:val="auto"/>
                <w:highlight w:val="none"/>
              </w:rPr>
              <w:t>%</w:t>
            </w:r>
          </w:p>
        </w:tc>
        <w:tc>
          <w:tcPr>
            <w:tcW w:w="2585"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lang w:val="en-US" w:eastAsia="zh-CN"/>
              </w:rPr>
              <w:t>40</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dxa"/>
            <w:vAlign w:val="center"/>
          </w:tcPr>
          <w:p>
            <w:pPr>
              <w:pStyle w:val="2"/>
              <w:ind w:left="0"/>
              <w:jc w:val="center"/>
              <w:rPr>
                <w:color w:val="auto"/>
                <w:highlight w:val="none"/>
              </w:rPr>
            </w:pPr>
            <w:r>
              <w:rPr>
                <w:rFonts w:hint="eastAsia" w:ascii="宋体" w:hAnsi="宋体"/>
                <w:color w:val="auto"/>
                <w:highlight w:val="none"/>
              </w:rPr>
              <w:t>投标人综合得分</w:t>
            </w:r>
          </w:p>
        </w:tc>
        <w:tc>
          <w:tcPr>
            <w:tcW w:w="6846" w:type="dxa"/>
            <w:gridSpan w:val="3"/>
            <w:vAlign w:val="center"/>
          </w:tcPr>
          <w:p>
            <w:pPr>
              <w:pStyle w:val="2"/>
              <w:jc w:val="center"/>
              <w:rPr>
                <w:color w:val="auto"/>
                <w:highlight w:val="none"/>
              </w:rPr>
            </w:pPr>
            <w:r>
              <w:rPr>
                <w:rFonts w:hint="eastAsia" w:ascii="宋体" w:hAnsi="宋体"/>
                <w:color w:val="auto"/>
                <w:highlight w:val="none"/>
              </w:rPr>
              <w:t>商务标得分+技术标得分+价格标得分=100</w:t>
            </w:r>
          </w:p>
        </w:tc>
      </w:tr>
    </w:tbl>
    <w:p>
      <w:pPr>
        <w:pStyle w:val="11"/>
        <w:rPr>
          <w:highlight w:val="none"/>
        </w:rPr>
      </w:pPr>
    </w:p>
    <w:p>
      <w:pPr>
        <w:numPr>
          <w:ilvl w:val="0"/>
          <w:numId w:val="36"/>
        </w:numPr>
        <w:spacing w:line="360" w:lineRule="auto"/>
        <w:jc w:val="left"/>
        <w:outlineLvl w:val="2"/>
        <w:rPr>
          <w:rStyle w:val="29"/>
          <w:rFonts w:ascii="宋体" w:hAnsi="宋体"/>
          <w:b/>
          <w:szCs w:val="21"/>
          <w:highlight w:val="none"/>
        </w:rPr>
      </w:pPr>
      <w:bookmarkStart w:id="54" w:name="_Toc106791264"/>
      <w:r>
        <w:rPr>
          <w:rStyle w:val="29"/>
          <w:rFonts w:hint="eastAsia" w:ascii="宋体" w:hAnsi="宋体"/>
          <w:b/>
          <w:bCs/>
          <w:szCs w:val="21"/>
          <w:highlight w:val="none"/>
        </w:rPr>
        <w:t>符合性检查</w:t>
      </w:r>
      <w:bookmarkEnd w:id="54"/>
    </w:p>
    <w:tbl>
      <w:tblPr>
        <w:tblStyle w:val="14"/>
        <w:tblW w:w="9516"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jc w:val="center"/>
        </w:trPr>
        <w:tc>
          <w:tcPr>
            <w:tcW w:w="1881" w:type="dxa"/>
            <w:tcBorders>
              <w:tl2br w:val="nil"/>
              <w:tr2bl w:val="nil"/>
            </w:tcBorders>
            <w:shd w:val="clear" w:color="auto" w:fill="EEEEEE"/>
            <w:vAlign w:val="center"/>
          </w:tcPr>
          <w:p>
            <w:pPr>
              <w:spacing w:line="360" w:lineRule="auto"/>
              <w:jc w:val="center"/>
              <w:rPr>
                <w:rFonts w:ascii="宋体" w:hAnsi="宋体" w:cs="仿宋"/>
                <w:szCs w:val="21"/>
                <w:highlight w:val="none"/>
              </w:rPr>
            </w:pPr>
            <w:r>
              <w:rPr>
                <w:rFonts w:hint="eastAsia" w:ascii="宋体" w:hAnsi="宋体" w:cs="仿宋"/>
                <w:szCs w:val="21"/>
                <w:highlight w:val="none"/>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szCs w:val="21"/>
                <w:highlight w:val="none"/>
              </w:rPr>
            </w:pPr>
            <w:r>
              <w:rPr>
                <w:rFonts w:hint="eastAsia" w:ascii="宋体" w:hAnsi="宋体" w:cs="仿宋"/>
                <w:szCs w:val="21"/>
                <w:highlight w:val="none"/>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szCs w:val="21"/>
                <w:highlight w:val="none"/>
              </w:rPr>
            </w:pPr>
            <w:r>
              <w:rPr>
                <w:rFonts w:hint="eastAsia" w:ascii="宋体" w:hAnsi="宋体" w:cs="仿宋"/>
                <w:szCs w:val="21"/>
                <w:highlight w:val="none"/>
              </w:rPr>
              <w:t>响应文件</w:t>
            </w:r>
          </w:p>
        </w:tc>
        <w:tc>
          <w:tcPr>
            <w:tcW w:w="7635" w:type="dxa"/>
            <w:tcBorders>
              <w:tl2br w:val="nil"/>
              <w:tr2bl w:val="nil"/>
            </w:tcBorders>
            <w:vAlign w:val="center"/>
          </w:tcPr>
          <w:p>
            <w:pPr>
              <w:spacing w:line="360" w:lineRule="auto"/>
              <w:rPr>
                <w:rFonts w:ascii="宋体" w:hAnsi="宋体" w:cs="仿宋"/>
                <w:szCs w:val="21"/>
                <w:highlight w:val="none"/>
              </w:rPr>
            </w:pPr>
            <w:r>
              <w:rPr>
                <w:rFonts w:hint="eastAsia" w:ascii="宋体" w:hAnsi="宋体" w:cs="仿宋"/>
                <w:bCs/>
                <w:szCs w:val="21"/>
                <w:highlight w:val="none"/>
              </w:rPr>
              <w:t>投标人提交的投标文件是否按要求编制目录、加密；投标文件的加密密码按要求发送至招标人</w:t>
            </w:r>
            <w:r>
              <w:rPr>
                <w:rFonts w:ascii="宋体" w:hAnsi="宋体" w:cs="仿宋"/>
                <w:bCs/>
                <w:szCs w:val="21"/>
                <w:highlight w:val="none"/>
              </w:rPr>
              <w:t>且</w:t>
            </w:r>
            <w:r>
              <w:rPr>
                <w:rFonts w:hint="eastAsia" w:ascii="宋体" w:hAnsi="宋体" w:cs="仿宋"/>
                <w:bCs/>
                <w:szCs w:val="21"/>
                <w:highlight w:val="none"/>
              </w:rPr>
              <w:t>保证</w:t>
            </w:r>
            <w:r>
              <w:rPr>
                <w:rFonts w:ascii="宋体" w:hAnsi="宋体" w:cs="仿宋"/>
                <w:bCs/>
                <w:szCs w:val="21"/>
                <w:highlight w:val="none"/>
              </w:rPr>
              <w:t>文件完整可正常打开；</w:t>
            </w:r>
            <w:r>
              <w:rPr>
                <w:rFonts w:hint="eastAsia" w:ascii="宋体" w:hAnsi="宋体" w:cs="仿宋"/>
                <w:bCs/>
                <w:szCs w:val="21"/>
                <w:highlight w:val="none"/>
              </w:rPr>
              <w:t>投标人必须提供由法人代表或其书面授权人签署并加盖投标人公章的投标响应文件</w:t>
            </w:r>
            <w:r>
              <w:rPr>
                <w:rFonts w:hint="eastAsia" w:ascii="宋体" w:hAnsi="宋体" w:cs="仿宋"/>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cs="仿宋"/>
                <w:szCs w:val="21"/>
                <w:highlight w:val="none"/>
              </w:rPr>
            </w:pPr>
            <w:r>
              <w:rPr>
                <w:rFonts w:hint="eastAsia" w:ascii="宋体" w:hAnsi="宋体" w:cs="仿宋"/>
                <w:szCs w:val="21"/>
                <w:highlight w:val="none"/>
              </w:rPr>
              <w:t>法定代表人证明书及授权委托证明书</w:t>
            </w:r>
          </w:p>
        </w:tc>
        <w:tc>
          <w:tcPr>
            <w:tcW w:w="763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cs="仿宋"/>
                <w:szCs w:val="21"/>
                <w:highlight w:val="none"/>
              </w:rPr>
            </w:pPr>
            <w:r>
              <w:rPr>
                <w:rFonts w:hint="eastAsia" w:ascii="宋体" w:hAnsi="宋体" w:cs="仿宋"/>
                <w:szCs w:val="21"/>
                <w:highlight w:val="none"/>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ind w:left="63" w:leftChars="30"/>
              <w:rPr>
                <w:rFonts w:ascii="宋体" w:hAnsi="宋体" w:cs="仿宋"/>
                <w:szCs w:val="21"/>
              </w:rPr>
            </w:pPr>
            <w:r>
              <w:rPr>
                <w:rFonts w:hint="eastAsia" w:ascii="宋体" w:hAnsi="宋体" w:cs="仿宋"/>
                <w:szCs w:val="21"/>
              </w:rPr>
              <w:t>投标人是否提供以下证明文件：</w:t>
            </w:r>
          </w:p>
          <w:p>
            <w:pPr>
              <w:pStyle w:val="22"/>
              <w:numPr>
                <w:ilvl w:val="0"/>
                <w:numId w:val="37"/>
              </w:numPr>
              <w:tabs>
                <w:tab w:val="left" w:pos="531"/>
              </w:tabs>
              <w:snapToGrid w:val="0"/>
              <w:ind w:left="425" w:leftChars="0" w:hanging="425" w:firstLineChars="0"/>
            </w:pPr>
            <w:r>
              <w:t>投标人应为中华人民共和国境内注册且合法运作独立法人或具有独立承</w:t>
            </w:r>
            <w:r>
              <w:rPr>
                <w:rFonts w:hint="eastAsia"/>
              </w:rPr>
              <w:t xml:space="preserve">   </w:t>
            </w:r>
            <w:r>
              <w:t>担民事责任能力的其它组织，未被列入经营异常名录及严重失信名单。（提供企业营业执照或法人证明材料或登记证书扫描件及“信用中国”网站www.creditchina.gov.cn“信用服务”栏查询</w:t>
            </w:r>
            <w:r>
              <w:rPr>
                <w:rFonts w:hint="eastAsia"/>
              </w:rPr>
              <w:t>“重大税收违法案件当事人名单”“失信被执行人”信用记录查询网页截图</w:t>
            </w:r>
            <w:r>
              <w:t>并加盖投标人公章。被列入失信主体、经营异常的，将被拒绝参与本项目的投标活动</w:t>
            </w:r>
            <w:r>
              <w:rPr>
                <w:rFonts w:hint="eastAsia"/>
              </w:rPr>
              <w:t>。</w:t>
            </w:r>
          </w:p>
          <w:p>
            <w:pPr>
              <w:pStyle w:val="22"/>
              <w:numPr>
                <w:ilvl w:val="0"/>
                <w:numId w:val="37"/>
              </w:numPr>
              <w:tabs>
                <w:tab w:val="left" w:pos="531"/>
              </w:tabs>
              <w:snapToGrid w:val="0"/>
              <w:ind w:left="425" w:leftChars="0" w:hanging="425" w:firstLineChars="0"/>
            </w:pPr>
            <w:r>
              <w:rPr>
                <w:rFonts w:hint="eastAsia"/>
              </w:rPr>
              <w:t>投标人需具备美国吉尼设备生产厂家售后服务授权资质，，须提供美国吉尼设备生产厂家所授权售后服务的相关授权证书（提供授权证书扫描件并加盖投标人公章）。</w:t>
            </w:r>
          </w:p>
          <w:p>
            <w:pPr>
              <w:pStyle w:val="22"/>
              <w:numPr>
                <w:ilvl w:val="0"/>
                <w:numId w:val="37"/>
              </w:numPr>
              <w:tabs>
                <w:tab w:val="left" w:pos="531"/>
              </w:tabs>
              <w:snapToGrid w:val="0"/>
              <w:ind w:left="425" w:leftChars="0" w:hanging="425" w:firstLineChars="0"/>
              <w:rPr>
                <w:rFonts w:eastAsiaTheme="majorEastAsia" w:cstheme="majorBidi"/>
                <w:b/>
                <w:bCs/>
              </w:rPr>
            </w:pPr>
            <w:r>
              <w:rPr>
                <w:rFonts w:hint="eastAsia"/>
              </w:rPr>
              <w:t>参加本项目投标的代表，必须是参加单位的法定代表人或持有法定代表人亲自签署的法人授权委托证明书的人员。（提供法定代表人证明书、法人授权委托证明书，如单位法定代表人为本项目授权投标代表的，则仅需提供法定代表人证明书及身份证扫描件，身份证原件备查。所有证明文件均需加盖投标人公章）</w:t>
            </w:r>
          </w:p>
          <w:p>
            <w:pPr>
              <w:pStyle w:val="22"/>
              <w:numPr>
                <w:ilvl w:val="0"/>
                <w:numId w:val="37"/>
              </w:numPr>
              <w:tabs>
                <w:tab w:val="left" w:pos="531"/>
              </w:tabs>
              <w:snapToGrid w:val="0"/>
              <w:ind w:left="425" w:leftChars="0" w:hanging="425" w:firstLineChars="0"/>
              <w:rPr>
                <w:rFonts w:ascii="宋体" w:hAnsi="宋体" w:eastAsia="宋体"/>
              </w:rPr>
            </w:pPr>
            <w:r>
              <w:rPr>
                <w:rFonts w:hint="eastAsia" w:ascii="宋体" w:hAnsi="宋体" w:cs="宋体"/>
                <w:szCs w:val="21"/>
              </w:rPr>
              <w:t>本项目不接受联合体投标，严禁转包或非法分包。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2" w:hRule="atLeast"/>
          <w:tblCellSpacing w:w="0" w:type="dxa"/>
          <w:jc w:val="center"/>
        </w:trPr>
        <w:tc>
          <w:tcPr>
            <w:tcW w:w="188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cs="仿宋"/>
                <w:szCs w:val="21"/>
              </w:rPr>
            </w:pPr>
            <w:r>
              <w:rPr>
                <w:rFonts w:hint="eastAsia" w:ascii="宋体" w:hAnsi="宋体" w:cs="仿宋"/>
                <w:szCs w:val="21"/>
              </w:rPr>
              <w:t>本项目报价是否高于</w:t>
            </w:r>
            <w:r>
              <w:rPr>
                <w:rFonts w:hint="eastAsia" w:ascii="宋体" w:hAnsi="宋体"/>
                <w:szCs w:val="21"/>
              </w:rPr>
              <w:t>28.23</w:t>
            </w:r>
            <w:r>
              <w:rPr>
                <w:rFonts w:ascii="宋体" w:hAnsi="宋体" w:cs="仿宋"/>
                <w:szCs w:val="21"/>
              </w:rPr>
              <w:t>万元（含税）</w:t>
            </w:r>
            <w:r>
              <w:rPr>
                <w:rFonts w:hint="eastAsia" w:ascii="宋体" w:hAnsi="宋体" w:cs="仿宋"/>
                <w:szCs w:val="21"/>
              </w:rPr>
              <w:t>，超过上述控制金额的视为无效报价。</w:t>
            </w:r>
          </w:p>
        </w:tc>
      </w:tr>
    </w:tbl>
    <w:tbl>
      <w:tblPr>
        <w:tblStyle w:val="14"/>
        <w:tblpPr w:leftFromText="180" w:rightFromText="180" w:vertAnchor="text" w:horzAnchor="page" w:tblpX="1367" w:tblpY="463"/>
        <w:tblOverlap w:val="never"/>
        <w:tblW w:w="9351"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0" w:type="dxa"/>
        </w:trPr>
        <w:tc>
          <w:tcPr>
            <w:tcW w:w="704" w:type="dxa"/>
            <w:shd w:val="clear" w:color="auto" w:fill="EEEEEE"/>
          </w:tcPr>
          <w:p>
            <w:pPr>
              <w:keepNext/>
              <w:spacing w:line="360" w:lineRule="auto"/>
              <w:jc w:val="center"/>
              <w:rPr>
                <w:rFonts w:ascii="宋体" w:hAnsi="宋体"/>
                <w:b/>
                <w:szCs w:val="21"/>
              </w:rPr>
            </w:pPr>
            <w:r>
              <w:rPr>
                <w:rFonts w:hint="eastAsia" w:ascii="宋体" w:hAnsi="宋体"/>
                <w:b/>
                <w:szCs w:val="21"/>
              </w:rPr>
              <w:t>序号</w:t>
            </w:r>
          </w:p>
        </w:tc>
        <w:tc>
          <w:tcPr>
            <w:tcW w:w="1134" w:type="dxa"/>
            <w:shd w:val="clear" w:color="auto" w:fill="EEEEEE"/>
            <w:tcMar>
              <w:top w:w="15" w:type="dxa"/>
              <w:left w:w="15" w:type="dxa"/>
              <w:bottom w:w="15" w:type="dxa"/>
              <w:right w:w="15" w:type="dxa"/>
            </w:tcMar>
            <w:vAlign w:val="center"/>
          </w:tcPr>
          <w:p>
            <w:pPr>
              <w:keepNext/>
              <w:spacing w:line="360" w:lineRule="auto"/>
              <w:jc w:val="center"/>
              <w:rPr>
                <w:rFonts w:ascii="宋体" w:hAnsi="宋体"/>
                <w:b/>
                <w:szCs w:val="21"/>
              </w:rPr>
            </w:pPr>
            <w:r>
              <w:rPr>
                <w:rFonts w:hint="eastAsia" w:ascii="宋体" w:hAnsi="宋体"/>
                <w:b/>
                <w:szCs w:val="21"/>
              </w:rPr>
              <w:t>评议内容</w:t>
            </w:r>
          </w:p>
        </w:tc>
        <w:tc>
          <w:tcPr>
            <w:tcW w:w="709" w:type="dxa"/>
            <w:shd w:val="clear" w:color="auto" w:fill="EEEEEE"/>
            <w:tcMar>
              <w:top w:w="15" w:type="dxa"/>
              <w:left w:w="15" w:type="dxa"/>
              <w:bottom w:w="15" w:type="dxa"/>
              <w:right w:w="15" w:type="dxa"/>
            </w:tcMar>
            <w:vAlign w:val="center"/>
          </w:tcPr>
          <w:p>
            <w:pPr>
              <w:keepNext/>
              <w:spacing w:line="360" w:lineRule="auto"/>
              <w:jc w:val="center"/>
              <w:rPr>
                <w:rFonts w:ascii="宋体" w:hAnsi="宋体"/>
                <w:b/>
                <w:szCs w:val="21"/>
              </w:rPr>
            </w:pPr>
            <w:r>
              <w:rPr>
                <w:rFonts w:ascii="宋体" w:hAnsi="宋体"/>
                <w:b/>
                <w:szCs w:val="21"/>
              </w:rPr>
              <w:t>分值</w:t>
            </w:r>
          </w:p>
        </w:tc>
        <w:tc>
          <w:tcPr>
            <w:tcW w:w="6804" w:type="dxa"/>
            <w:gridSpan w:val="2"/>
            <w:shd w:val="clear" w:color="auto" w:fill="EEEEEE"/>
            <w:vAlign w:val="center"/>
          </w:tcPr>
          <w:p>
            <w:pPr>
              <w:keepNext/>
              <w:spacing w:line="360" w:lineRule="auto"/>
              <w:jc w:val="center"/>
              <w:rPr>
                <w:rFonts w:ascii="宋体" w:hAnsi="宋体"/>
                <w:b/>
                <w:szCs w:val="21"/>
              </w:rPr>
            </w:pPr>
            <w:r>
              <w:rPr>
                <w:rFonts w:hint="eastAsia" w:ascii="宋体" w:hAnsi="宋体"/>
                <w:b/>
                <w:szCs w:val="21"/>
              </w:rPr>
              <w:t>评议标准及权重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0" w:type="dxa"/>
        </w:trPr>
        <w:tc>
          <w:tcPr>
            <w:tcW w:w="9351" w:type="dxa"/>
            <w:gridSpan w:val="5"/>
            <w:shd w:val="clear" w:color="auto" w:fill="EEEEEE"/>
          </w:tcPr>
          <w:p>
            <w:pPr>
              <w:keepNext/>
              <w:spacing w:line="360" w:lineRule="auto"/>
              <w:jc w:val="center"/>
              <w:rPr>
                <w:rFonts w:ascii="宋体" w:hAnsi="宋体"/>
                <w:b/>
                <w:szCs w:val="21"/>
              </w:rPr>
            </w:pPr>
            <w:r>
              <w:rPr>
                <w:rFonts w:hint="eastAsia" w:ascii="宋体" w:hAnsi="宋体"/>
                <w:b/>
                <w:szCs w:val="21"/>
              </w:rPr>
              <w:t>商务评议项（</w:t>
            </w:r>
            <w:r>
              <w:rPr>
                <w:rFonts w:hint="eastAsia" w:ascii="宋体" w:hAnsi="宋体"/>
                <w:szCs w:val="21"/>
              </w:rPr>
              <w:t>25</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blCellSpacing w:w="0" w:type="dxa"/>
        </w:trPr>
        <w:tc>
          <w:tcPr>
            <w:tcW w:w="704" w:type="dxa"/>
            <w:vAlign w:val="center"/>
          </w:tcPr>
          <w:p>
            <w:pPr>
              <w:pStyle w:val="22"/>
              <w:keepNext/>
              <w:numPr>
                <w:ilvl w:val="0"/>
                <w:numId w:val="38"/>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keepNext/>
              <w:rPr>
                <w:rFonts w:ascii="宋体" w:hAnsi="宋体"/>
              </w:rPr>
            </w:pPr>
          </w:p>
          <w:p>
            <w:pPr>
              <w:keepNext/>
            </w:pPr>
            <w:r>
              <w:rPr>
                <w:rFonts w:hint="eastAsia" w:ascii="宋体" w:hAnsi="宋体"/>
              </w:rPr>
              <w:t>公司实力</w:t>
            </w:r>
          </w:p>
          <w:p>
            <w:pPr>
              <w:keepNext/>
              <w:spacing w:line="320" w:lineRule="exact"/>
              <w:jc w:val="center"/>
              <w:rPr>
                <w:rFonts w:ascii="宋体" w:hAnsi="宋体"/>
                <w:color w:val="FF0000"/>
                <w:szCs w:val="21"/>
              </w:rPr>
            </w:pPr>
          </w:p>
        </w:tc>
        <w:tc>
          <w:tcPr>
            <w:tcW w:w="709" w:type="dxa"/>
            <w:tcMar>
              <w:top w:w="15" w:type="dxa"/>
              <w:left w:w="15" w:type="dxa"/>
              <w:bottom w:w="15" w:type="dxa"/>
              <w:right w:w="15" w:type="dxa"/>
            </w:tcMar>
            <w:vAlign w:val="center"/>
          </w:tcPr>
          <w:p>
            <w:pPr>
              <w:keepNext/>
              <w:spacing w:line="360" w:lineRule="auto"/>
              <w:jc w:val="center"/>
              <w:rPr>
                <w:rFonts w:ascii="宋体" w:hAnsi="宋体"/>
                <w:szCs w:val="21"/>
              </w:rPr>
            </w:pPr>
            <w:r>
              <w:rPr>
                <w:rFonts w:hint="eastAsia" w:ascii="宋体" w:hAnsi="宋体"/>
                <w:szCs w:val="21"/>
              </w:rPr>
              <w:t>10分</w:t>
            </w:r>
          </w:p>
        </w:tc>
        <w:tc>
          <w:tcPr>
            <w:tcW w:w="6804" w:type="dxa"/>
            <w:gridSpan w:val="2"/>
            <w:tcMar>
              <w:top w:w="15" w:type="dxa"/>
              <w:left w:w="15" w:type="dxa"/>
              <w:bottom w:w="15" w:type="dxa"/>
              <w:right w:w="15" w:type="dxa"/>
            </w:tcMar>
            <w:vAlign w:val="center"/>
          </w:tcPr>
          <w:p>
            <w:pPr>
              <w:pStyle w:val="22"/>
              <w:widowControl/>
              <w:numPr>
                <w:ilvl w:val="0"/>
                <w:numId w:val="39"/>
              </w:numPr>
              <w:tabs>
                <w:tab w:val="left" w:pos="432"/>
              </w:tabs>
              <w:ind w:left="0" w:firstLineChars="0"/>
              <w:rPr>
                <w:rFonts w:ascii="宋体" w:hAnsi="宋体" w:eastAsia="宋体" w:cs="宋体"/>
                <w:szCs w:val="21"/>
              </w:rPr>
            </w:pPr>
            <w:r>
              <w:rPr>
                <w:rFonts w:hint="eastAsia" w:ascii="宋体" w:hAnsi="宋体" w:eastAsia="宋体" w:cs="宋体"/>
                <w:szCs w:val="21"/>
              </w:rPr>
              <w:t>（1）依据投标人自身具有的吉尼高空作业平台维修人员《拥有美国</w:t>
            </w:r>
            <w:r>
              <w:rPr>
                <w:rFonts w:hint="eastAsia" w:ascii="宋体" w:hAnsi="宋体" w:eastAsia="宋体"/>
              </w:rPr>
              <w:t>吉尼高空作业平台资质证件（培训师证）</w:t>
            </w:r>
            <w:r>
              <w:rPr>
                <w:rFonts w:hint="eastAsia" w:ascii="宋体" w:hAnsi="宋体" w:eastAsia="宋体" w:cs="宋体"/>
                <w:szCs w:val="21"/>
              </w:rPr>
              <w:t>》数量越多得分越高，优得</w:t>
            </w:r>
            <w:r>
              <w:rPr>
                <w:rFonts w:hint="eastAsia" w:ascii="宋体" w:hAnsi="宋体" w:eastAsia="宋体" w:cs="宋体"/>
                <w:szCs w:val="21"/>
                <w:lang w:val="en-US" w:eastAsia="zh-CN"/>
              </w:rPr>
              <w:t>10</w:t>
            </w:r>
            <w:r>
              <w:rPr>
                <w:rFonts w:hint="eastAsia" w:ascii="宋体" w:hAnsi="宋体" w:eastAsia="宋体" w:cs="宋体"/>
                <w:szCs w:val="21"/>
              </w:rPr>
              <w:t>分、</w:t>
            </w:r>
            <w:r>
              <w:rPr>
                <w:rFonts w:ascii="宋体" w:hAnsi="宋体" w:eastAsia="宋体" w:cs="Arial"/>
                <w:color w:val="111111"/>
                <w:szCs w:val="21"/>
                <w:shd w:val="clear" w:color="auto" w:fill="FFFFFF"/>
              </w:rPr>
              <w:t>良</w:t>
            </w:r>
            <w:r>
              <w:rPr>
                <w:rFonts w:hint="eastAsia" w:ascii="宋体" w:hAnsi="宋体" w:eastAsia="宋体" w:cs="Arial"/>
                <w:color w:val="111111"/>
                <w:szCs w:val="21"/>
                <w:shd w:val="clear" w:color="auto" w:fill="FFFFFF"/>
              </w:rPr>
              <w:t>得</w:t>
            </w:r>
            <w:r>
              <w:rPr>
                <w:rFonts w:hint="eastAsia" w:ascii="宋体" w:hAnsi="宋体" w:eastAsia="宋体" w:cs="Arial"/>
                <w:color w:val="111111"/>
                <w:szCs w:val="21"/>
                <w:shd w:val="clear" w:color="auto" w:fill="FFFFFF"/>
                <w:lang w:val="en-US" w:eastAsia="zh-CN"/>
              </w:rPr>
              <w:t>5</w:t>
            </w:r>
            <w:r>
              <w:rPr>
                <w:rFonts w:ascii="宋体" w:hAnsi="宋体" w:eastAsia="宋体" w:cs="Arial"/>
                <w:color w:val="111111"/>
                <w:szCs w:val="21"/>
                <w:shd w:val="clear" w:color="auto" w:fill="FFFFFF"/>
              </w:rPr>
              <w:t>分、一般</w:t>
            </w:r>
            <w:r>
              <w:rPr>
                <w:rFonts w:hint="eastAsia" w:ascii="宋体" w:hAnsi="宋体" w:eastAsia="宋体" w:cs="Arial"/>
                <w:color w:val="111111"/>
                <w:szCs w:val="21"/>
                <w:shd w:val="clear" w:color="auto" w:fill="FFFFFF"/>
              </w:rPr>
              <w:t>得</w:t>
            </w:r>
            <w:r>
              <w:rPr>
                <w:rFonts w:hint="eastAsia" w:ascii="宋体" w:hAnsi="宋体" w:eastAsia="宋体" w:cs="Arial"/>
                <w:color w:val="111111"/>
                <w:szCs w:val="21"/>
                <w:shd w:val="clear" w:color="auto" w:fill="FFFFFF"/>
                <w:lang w:val="en-US" w:eastAsia="zh-CN"/>
              </w:rPr>
              <w:t>2</w:t>
            </w:r>
            <w:r>
              <w:rPr>
                <w:rFonts w:ascii="宋体" w:hAnsi="宋体" w:eastAsia="宋体" w:cs="Arial"/>
                <w:color w:val="111111"/>
                <w:szCs w:val="21"/>
                <w:shd w:val="clear" w:color="auto" w:fill="FFFFFF"/>
              </w:rPr>
              <w:t>分</w:t>
            </w:r>
            <w:r>
              <w:rPr>
                <w:rFonts w:hint="eastAsia" w:ascii="宋体" w:hAnsi="宋体" w:eastAsia="宋体" w:cs="宋体"/>
                <w:szCs w:val="21"/>
              </w:rPr>
              <w:t>。提供投标人所属社保机构出具的由投标人为以上人员在招标公告发布当日之前连续3个月缴纳社保的有效证明材料(如公告日上一个月的社保材料因社保部门原因暂时无法取得，则可以往前顺延一个月)，并加盖社保机构及投标人公章。未按要求提供或提供不清晰导致专家无法判断的证明材料的不得分。</w:t>
            </w:r>
          </w:p>
          <w:p>
            <w:pPr>
              <w:numPr>
                <w:ilvl w:val="-1"/>
                <w:numId w:val="0"/>
              </w:numPr>
              <w:snapToGrid w:val="0"/>
              <w:ind w:left="0" w:firstLine="0"/>
              <w:rPr>
                <w:rFonts w:ascii="宋体" w:hAnsi="宋体" w:cs="宋体" w:eastAsiaTheme="majorEastAsia"/>
                <w:b/>
                <w:bCs/>
                <w:kern w:val="0"/>
                <w:sz w:val="32"/>
                <w:szCs w:val="21"/>
              </w:rPr>
            </w:pPr>
            <w:r>
              <w:rPr>
                <w:rFonts w:hint="eastAsia" w:ascii="宋体" w:hAnsi="宋体" w:cs="宋体"/>
                <w:color w:val="000000"/>
                <w:szCs w:val="21"/>
              </w:rPr>
              <w:t>评审依</w:t>
            </w:r>
            <w:r>
              <w:rPr>
                <w:rFonts w:hint="eastAsia" w:ascii="宋体" w:hAnsi="宋体" w:cs="宋体"/>
                <w:szCs w:val="21"/>
              </w:rPr>
              <w:t>据</w:t>
            </w:r>
            <w:r>
              <w:rPr>
                <w:rFonts w:hint="eastAsia" w:ascii="宋体" w:hAnsi="宋体" w:cs="宋体"/>
                <w:kern w:val="0"/>
                <w:szCs w:val="21"/>
              </w:rPr>
              <w:t>根据投标人提供的美国吉尼设备人员证件资质内容为准进行评议。</w:t>
            </w:r>
          </w:p>
          <w:p>
            <w:pPr>
              <w:pStyle w:val="11"/>
              <w:numPr>
                <w:ilvl w:val="0"/>
                <w:numId w:val="0"/>
              </w:numPr>
              <w:ind w:left="-420" w:leftChars="0"/>
              <w:jc w:val="both"/>
              <w:rPr>
                <w:rFonts w:asci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CellSpacing w:w="0" w:type="dxa"/>
        </w:trPr>
        <w:tc>
          <w:tcPr>
            <w:tcW w:w="704" w:type="dxa"/>
            <w:vAlign w:val="center"/>
          </w:tcPr>
          <w:p>
            <w:pPr>
              <w:pStyle w:val="22"/>
              <w:keepNext/>
              <w:numPr>
                <w:ilvl w:val="0"/>
                <w:numId w:val="38"/>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jc w:val="center"/>
              <w:rPr>
                <w:color w:val="FF0000"/>
              </w:rPr>
            </w:pPr>
            <w:r>
              <w:rPr>
                <w:rFonts w:hint="eastAsia" w:ascii="宋体" w:hAnsi="宋体" w:cs="宋体"/>
                <w:kern w:val="0"/>
                <w:szCs w:val="21"/>
              </w:rPr>
              <w:t>维保业绩</w:t>
            </w:r>
          </w:p>
        </w:tc>
        <w:tc>
          <w:tcPr>
            <w:tcW w:w="709" w:type="dxa"/>
            <w:tcMar>
              <w:top w:w="15" w:type="dxa"/>
              <w:left w:w="15" w:type="dxa"/>
              <w:bottom w:w="15" w:type="dxa"/>
              <w:right w:w="15" w:type="dxa"/>
            </w:tcMar>
            <w:vAlign w:val="center"/>
          </w:tcPr>
          <w:p>
            <w:pPr>
              <w:jc w:val="center"/>
              <w:rPr>
                <w:rFonts w:ascii="宋体" w:hAnsi="宋体"/>
                <w:color w:val="FF0000"/>
                <w:szCs w:val="21"/>
              </w:rPr>
            </w:pPr>
            <w:r>
              <w:rPr>
                <w:rFonts w:hint="eastAsia" w:ascii="宋体" w:hAnsi="宋体"/>
                <w:szCs w:val="21"/>
              </w:rPr>
              <w:t>15分</w:t>
            </w:r>
          </w:p>
        </w:tc>
        <w:tc>
          <w:tcPr>
            <w:tcW w:w="6804" w:type="dxa"/>
            <w:gridSpan w:val="2"/>
            <w:tcMar>
              <w:top w:w="15" w:type="dxa"/>
              <w:left w:w="15" w:type="dxa"/>
              <w:bottom w:w="15" w:type="dxa"/>
              <w:right w:w="15" w:type="dxa"/>
            </w:tcMar>
            <w:vAlign w:val="center"/>
          </w:tcPr>
          <w:p>
            <w:pPr>
              <w:snapToGrid w:val="0"/>
              <w:rPr>
                <w:rFonts w:ascii="宋体" w:hAnsi="宋体" w:cs="宋体"/>
                <w:szCs w:val="21"/>
              </w:rPr>
            </w:pPr>
            <w:r>
              <w:rPr>
                <w:rFonts w:hint="eastAsia" w:ascii="宋体" w:hAnsi="宋体" w:cs="宋体"/>
                <w:szCs w:val="21"/>
              </w:rPr>
              <w:t>依据投标人所提供</w:t>
            </w:r>
            <w:r>
              <w:rPr>
                <w:rFonts w:hint="eastAsia" w:ascii="宋体" w:hAnsi="宋体" w:cs="仿宋"/>
                <w:szCs w:val="21"/>
              </w:rPr>
              <w:t>2019年1月1日至本项目招标公告发布日期间（以合同签订时间为准）</w:t>
            </w:r>
            <w:r>
              <w:rPr>
                <w:rFonts w:hint="eastAsia" w:ascii="宋体" w:hAnsi="宋体" w:cs="宋体"/>
                <w:szCs w:val="21"/>
              </w:rPr>
              <w:t>的高空作业平台（高空车）售后服务或维保合同金额最高的三份合同（提供合同关键页复印件或扫描件并加盖投标人公章），依据三份合同加总金额评分，所签订的合同总金额越高得分越高，第一名</w:t>
            </w:r>
            <w:r>
              <w:rPr>
                <w:rFonts w:hint="eastAsia" w:ascii="宋体" w:hAnsi="宋体" w:cs="Arial"/>
                <w:color w:val="111111"/>
                <w:szCs w:val="21"/>
                <w:shd w:val="clear" w:color="auto" w:fill="FFFFFF"/>
              </w:rPr>
              <w:t>得</w:t>
            </w:r>
            <w:r>
              <w:rPr>
                <w:rFonts w:ascii="宋体" w:hAnsi="宋体" w:cs="Arial"/>
                <w:color w:val="111111"/>
                <w:szCs w:val="21"/>
                <w:shd w:val="clear" w:color="auto" w:fill="FFFFFF"/>
              </w:rPr>
              <w:t>1</w:t>
            </w:r>
            <w:r>
              <w:rPr>
                <w:rFonts w:hint="eastAsia" w:ascii="宋体" w:hAnsi="宋体" w:cs="Arial"/>
                <w:color w:val="111111"/>
                <w:szCs w:val="21"/>
                <w:shd w:val="clear" w:color="auto" w:fill="FFFFFF"/>
              </w:rPr>
              <w:t>5</w:t>
            </w:r>
            <w:r>
              <w:rPr>
                <w:rFonts w:ascii="宋体" w:hAnsi="宋体" w:cs="Arial"/>
                <w:color w:val="111111"/>
                <w:szCs w:val="21"/>
                <w:shd w:val="clear" w:color="auto" w:fill="FFFFFF"/>
              </w:rPr>
              <w:t>分、</w:t>
            </w:r>
            <w:r>
              <w:rPr>
                <w:rFonts w:hint="eastAsia" w:ascii="宋体" w:hAnsi="宋体" w:cs="Arial"/>
                <w:color w:val="111111"/>
                <w:szCs w:val="21"/>
                <w:shd w:val="clear" w:color="auto" w:fill="FFFFFF"/>
              </w:rPr>
              <w:t>第二名得10</w:t>
            </w:r>
            <w:r>
              <w:rPr>
                <w:rFonts w:ascii="宋体" w:hAnsi="宋体" w:cs="Arial"/>
                <w:color w:val="111111"/>
                <w:szCs w:val="21"/>
                <w:shd w:val="clear" w:color="auto" w:fill="FFFFFF"/>
              </w:rPr>
              <w:t>分、</w:t>
            </w:r>
            <w:r>
              <w:rPr>
                <w:rFonts w:hint="eastAsia" w:ascii="宋体" w:hAnsi="宋体" w:cs="Arial"/>
                <w:color w:val="111111"/>
                <w:szCs w:val="21"/>
                <w:shd w:val="clear" w:color="auto" w:fill="FFFFFF"/>
              </w:rPr>
              <w:t>第三名得5</w:t>
            </w:r>
            <w:r>
              <w:rPr>
                <w:rFonts w:ascii="宋体" w:hAnsi="宋体" w:cs="Arial"/>
                <w:color w:val="111111"/>
                <w:szCs w:val="21"/>
                <w:shd w:val="clear" w:color="auto" w:fill="FFFFFF"/>
              </w:rPr>
              <w:t>分</w:t>
            </w:r>
            <w:r>
              <w:rPr>
                <w:rFonts w:hint="eastAsia" w:ascii="宋体" w:hAnsi="宋体" w:cs="Arial"/>
                <w:color w:val="111111"/>
                <w:szCs w:val="21"/>
                <w:shd w:val="clear" w:color="auto" w:fill="FFFFFF"/>
                <w:lang w:val="en-US" w:eastAsia="zh-CN"/>
              </w:rPr>
              <w:t>,</w:t>
            </w:r>
            <w:r>
              <w:rPr>
                <w:rFonts w:hint="eastAsia" w:ascii="宋体" w:hAnsi="宋体" w:cs="Arial"/>
                <w:color w:val="111111"/>
                <w:szCs w:val="21"/>
                <w:shd w:val="clear" w:color="auto" w:fill="FFFFFF"/>
              </w:rPr>
              <w:t>其他情况不得分</w:t>
            </w:r>
            <w:r>
              <w:rPr>
                <w:rFonts w:hint="eastAsia" w:ascii="宋体" w:hAnsi="宋体" w:cs="宋体"/>
                <w:szCs w:val="21"/>
              </w:rPr>
              <w:t>。</w:t>
            </w:r>
          </w:p>
          <w:p>
            <w:pPr>
              <w:widowControl/>
              <w:tabs>
                <w:tab w:val="left" w:pos="432"/>
              </w:tabs>
              <w:rPr>
                <w:rFonts w:hint="default" w:ascii="宋体" w:hAnsi="宋体" w:eastAsia="宋体" w:cs="宋体"/>
                <w:szCs w:val="21"/>
                <w:lang w:val="en-US" w:eastAsia="zh-CN"/>
              </w:rPr>
            </w:pPr>
            <w:r>
              <w:rPr>
                <w:rFonts w:hint="eastAsia" w:ascii="宋体" w:cs="宋体"/>
                <w:color w:val="000000"/>
                <w:szCs w:val="21"/>
              </w:rPr>
              <w:t>评审依</w:t>
            </w:r>
            <w:r>
              <w:rPr>
                <w:rFonts w:hint="eastAsia" w:ascii="宋体" w:cs="宋体"/>
                <w:szCs w:val="21"/>
              </w:rPr>
              <w:t>据：</w:t>
            </w:r>
            <w:r>
              <w:rPr>
                <w:rFonts w:hint="eastAsia" w:ascii="宋体" w:cs="宋体"/>
                <w:kern w:val="0"/>
                <w:szCs w:val="21"/>
              </w:rPr>
              <w:t>以投标人提供的高空作业平台售后服务或维保合同关键页内容为准进行评议。合同关键页内无法体现甲乙方名字、合同签订时间、合同金额以及甲乙方公章的该份合同不得</w:t>
            </w:r>
            <w:r>
              <w:rPr>
                <w:rFonts w:hint="eastAsia" w:ascii="宋体" w:cs="宋体"/>
                <w:color w:val="auto"/>
                <w:kern w:val="0"/>
                <w:szCs w:val="21"/>
              </w:rPr>
              <w:t>分。</w:t>
            </w:r>
            <w:r>
              <w:rPr>
                <w:rFonts w:hint="eastAsia" w:ascii="宋体" w:cs="宋体"/>
                <w:color w:val="auto"/>
                <w:kern w:val="0"/>
                <w:szCs w:val="21"/>
                <w:lang w:val="en-US" w:eastAsia="zh-CN"/>
              </w:rPr>
              <w:t>投标人需提供合同清单并自行汇总合同金额。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CellSpacing w:w="0" w:type="dxa"/>
        </w:trPr>
        <w:tc>
          <w:tcPr>
            <w:tcW w:w="704" w:type="dxa"/>
          </w:tcPr>
          <w:p>
            <w:pPr>
              <w:keepNext/>
              <w:spacing w:line="360" w:lineRule="auto"/>
              <w:jc w:val="center"/>
              <w:rPr>
                <w:rFonts w:ascii="宋体" w:hAnsi="宋体"/>
                <w:b/>
                <w:szCs w:val="21"/>
              </w:rPr>
            </w:pPr>
          </w:p>
        </w:tc>
        <w:tc>
          <w:tcPr>
            <w:tcW w:w="8647" w:type="dxa"/>
            <w:gridSpan w:val="4"/>
            <w:tcMar>
              <w:top w:w="15" w:type="dxa"/>
              <w:left w:w="15" w:type="dxa"/>
              <w:bottom w:w="15" w:type="dxa"/>
              <w:right w:w="15" w:type="dxa"/>
            </w:tcMar>
            <w:vAlign w:val="center"/>
          </w:tcPr>
          <w:p>
            <w:pPr>
              <w:keepNext/>
              <w:spacing w:line="360" w:lineRule="auto"/>
              <w:jc w:val="center"/>
              <w:rPr>
                <w:rFonts w:ascii="宋体" w:hAnsi="宋体"/>
                <w:b/>
                <w:color w:val="FF0000"/>
                <w:szCs w:val="21"/>
                <w:highlight w:val="yellow"/>
              </w:rPr>
            </w:pPr>
            <w:r>
              <w:rPr>
                <w:rFonts w:hint="eastAsia" w:ascii="宋体" w:hAnsi="宋体"/>
                <w:b/>
                <w:szCs w:val="21"/>
              </w:rPr>
              <w:t>技术服务评议项（</w:t>
            </w:r>
            <w:r>
              <w:rPr>
                <w:rFonts w:hint="eastAsia" w:ascii="宋体" w:hAnsi="宋体"/>
                <w:b/>
                <w:szCs w:val="21"/>
                <w:lang w:val="en-US" w:eastAsia="zh-CN"/>
              </w:rPr>
              <w:t>35</w:t>
            </w:r>
            <w:r>
              <w:rPr>
                <w:rFonts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blCellSpacing w:w="0" w:type="dxa"/>
        </w:trPr>
        <w:tc>
          <w:tcPr>
            <w:tcW w:w="704" w:type="dxa"/>
            <w:vAlign w:val="center"/>
          </w:tcPr>
          <w:p>
            <w:pPr>
              <w:pStyle w:val="22"/>
              <w:keepNext/>
              <w:numPr>
                <w:ilvl w:val="0"/>
                <w:numId w:val="40"/>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r>
              <w:rPr>
                <w:rFonts w:hint="eastAsia" w:ascii="宋体" w:hAnsi="宋体"/>
              </w:rPr>
              <w:t>维保方案</w:t>
            </w:r>
          </w:p>
          <w:p>
            <w:pPr>
              <w:keepNext/>
              <w:spacing w:line="320" w:lineRule="exact"/>
              <w:jc w:val="center"/>
              <w:rPr>
                <w:color w:val="FF0000"/>
                <w:highlight w:val="yellow"/>
              </w:rPr>
            </w:pPr>
          </w:p>
        </w:tc>
        <w:tc>
          <w:tcPr>
            <w:tcW w:w="709" w:type="dxa"/>
            <w:tcMar>
              <w:top w:w="15" w:type="dxa"/>
              <w:left w:w="15" w:type="dxa"/>
              <w:bottom w:w="15" w:type="dxa"/>
              <w:right w:w="15" w:type="dxa"/>
            </w:tcMar>
            <w:vAlign w:val="center"/>
          </w:tcPr>
          <w:p>
            <w:pPr>
              <w:keepNext/>
              <w:spacing w:line="360" w:lineRule="auto"/>
              <w:jc w:val="center"/>
              <w:rPr>
                <w:rFonts w:ascii="宋体" w:hAnsi="宋体"/>
                <w:color w:val="FF0000"/>
                <w:szCs w:val="21"/>
              </w:rPr>
            </w:pPr>
            <w:r>
              <w:rPr>
                <w:rFonts w:hint="eastAsia" w:ascii="宋体" w:hAnsi="宋体"/>
                <w:szCs w:val="21"/>
                <w:lang w:val="en-US" w:eastAsia="zh-CN"/>
              </w:rPr>
              <w:t>15</w:t>
            </w:r>
            <w:r>
              <w:rPr>
                <w:rFonts w:hint="eastAsia" w:ascii="宋体" w:hAnsi="宋体"/>
                <w:szCs w:val="21"/>
              </w:rPr>
              <w:t>分</w:t>
            </w:r>
          </w:p>
        </w:tc>
        <w:tc>
          <w:tcPr>
            <w:tcW w:w="6804" w:type="dxa"/>
            <w:gridSpan w:val="2"/>
            <w:tcMar>
              <w:top w:w="15" w:type="dxa"/>
              <w:left w:w="15" w:type="dxa"/>
              <w:bottom w:w="15" w:type="dxa"/>
              <w:right w:w="15" w:type="dxa"/>
            </w:tcMar>
            <w:vAlign w:val="center"/>
          </w:tcPr>
          <w:p>
            <w:r>
              <w:rPr>
                <w:rFonts w:hint="eastAsia" w:ascii="宋体" w:hAnsi="宋体" w:cs="宋体"/>
                <w:szCs w:val="21"/>
              </w:rPr>
              <w:t>依据投标人所提供的维保方案，对日常及定期维护保养项目的全面性、技术性、综合评议，优得</w:t>
            </w:r>
            <w:r>
              <w:rPr>
                <w:rFonts w:ascii="宋体" w:hAnsi="宋体" w:cs="宋体"/>
                <w:szCs w:val="21"/>
              </w:rPr>
              <w:t>15</w:t>
            </w:r>
            <w:r>
              <w:rPr>
                <w:rFonts w:hint="eastAsia" w:ascii="宋体" w:hAnsi="宋体" w:cs="宋体"/>
                <w:szCs w:val="21"/>
              </w:rPr>
              <w:t>分，良得10分，一般得5分，其他情况及未提供不得分。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blCellSpacing w:w="0" w:type="dxa"/>
        </w:trPr>
        <w:tc>
          <w:tcPr>
            <w:tcW w:w="704" w:type="dxa"/>
            <w:vAlign w:val="center"/>
          </w:tcPr>
          <w:p>
            <w:pPr>
              <w:pStyle w:val="22"/>
              <w:keepNext/>
              <w:numPr>
                <w:ilvl w:val="0"/>
                <w:numId w:val="40"/>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r>
              <w:rPr>
                <w:rFonts w:hint="eastAsia" w:ascii="宋体" w:hAnsi="宋体"/>
                <w:color w:val="000000"/>
              </w:rPr>
              <w:t>应急响应服务</w:t>
            </w:r>
          </w:p>
          <w:p>
            <w:pPr>
              <w:keepNext/>
              <w:spacing w:line="320" w:lineRule="exact"/>
              <w:jc w:val="center"/>
              <w:rPr>
                <w:color w:val="FF0000"/>
                <w:highlight w:val="yellow"/>
              </w:rPr>
            </w:pPr>
          </w:p>
        </w:tc>
        <w:tc>
          <w:tcPr>
            <w:tcW w:w="709" w:type="dxa"/>
            <w:tcMar>
              <w:top w:w="15" w:type="dxa"/>
              <w:left w:w="15" w:type="dxa"/>
              <w:bottom w:w="15" w:type="dxa"/>
              <w:right w:w="15" w:type="dxa"/>
            </w:tcMar>
            <w:vAlign w:val="center"/>
          </w:tcPr>
          <w:p>
            <w:pPr>
              <w:keepNext/>
              <w:spacing w:line="360" w:lineRule="auto"/>
              <w:jc w:val="center"/>
              <w:rPr>
                <w:rFonts w:ascii="宋体" w:hAnsi="宋体"/>
                <w:szCs w:val="21"/>
              </w:rPr>
            </w:pPr>
            <w:r>
              <w:rPr>
                <w:rFonts w:hint="eastAsia" w:ascii="宋体" w:hAnsi="宋体"/>
                <w:szCs w:val="21"/>
                <w:lang w:val="en-US" w:eastAsia="zh-CN"/>
              </w:rPr>
              <w:t>5</w:t>
            </w:r>
            <w:r>
              <w:rPr>
                <w:rFonts w:hint="eastAsia" w:ascii="宋体" w:hAnsi="宋体"/>
                <w:szCs w:val="21"/>
              </w:rPr>
              <w:t>分</w:t>
            </w:r>
          </w:p>
        </w:tc>
        <w:tc>
          <w:tcPr>
            <w:tcW w:w="6804" w:type="dxa"/>
            <w:gridSpan w:val="2"/>
            <w:tcMar>
              <w:top w:w="15" w:type="dxa"/>
              <w:left w:w="15" w:type="dxa"/>
              <w:bottom w:w="15" w:type="dxa"/>
              <w:right w:w="15" w:type="dxa"/>
            </w:tcMar>
            <w:vAlign w:val="center"/>
          </w:tcPr>
          <w:p>
            <w:pPr>
              <w:widowControl/>
              <w:ind w:right="30"/>
              <w:jc w:val="left"/>
              <w:rPr>
                <w:rFonts w:ascii="宋体" w:hAnsi="宋体" w:cs="宋体"/>
                <w:szCs w:val="21"/>
              </w:rPr>
            </w:pPr>
            <w:r>
              <w:rPr>
                <w:rFonts w:hint="eastAsia" w:ascii="宋体" w:hAnsi="宋体" w:cs="宋体"/>
                <w:szCs w:val="21"/>
              </w:rPr>
              <w:t>依据投标</w:t>
            </w:r>
            <w:r>
              <w:rPr>
                <w:rFonts w:hint="eastAsia" w:ascii="宋体" w:hAnsi="宋体" w:cs="宋体"/>
                <w:color w:val="auto"/>
                <w:szCs w:val="21"/>
              </w:rPr>
              <w:t>人所承诺的应急维修响应服务时间评判，时间安排越合理，响应越及时得分越高，优得</w:t>
            </w:r>
            <w:r>
              <w:rPr>
                <w:rFonts w:hint="eastAsia" w:ascii="宋体" w:hAnsi="宋体" w:cs="宋体"/>
                <w:color w:val="auto"/>
                <w:szCs w:val="21"/>
                <w:lang w:val="en-US" w:eastAsia="zh-CN"/>
              </w:rPr>
              <w:t>5</w:t>
            </w:r>
            <w:r>
              <w:rPr>
                <w:rFonts w:hint="eastAsia" w:ascii="宋体" w:hAnsi="宋体" w:cs="宋体"/>
                <w:color w:val="auto"/>
                <w:szCs w:val="21"/>
              </w:rPr>
              <w:t>分，良得</w:t>
            </w:r>
            <w:r>
              <w:rPr>
                <w:rFonts w:hint="eastAsia" w:ascii="宋体" w:hAnsi="宋体" w:cs="宋体"/>
                <w:color w:val="auto"/>
                <w:szCs w:val="21"/>
                <w:lang w:val="en-US" w:eastAsia="zh-CN"/>
              </w:rPr>
              <w:t>3</w:t>
            </w:r>
            <w:r>
              <w:rPr>
                <w:rFonts w:hint="eastAsia" w:ascii="宋体" w:hAnsi="宋体" w:cs="宋体"/>
                <w:color w:val="auto"/>
                <w:szCs w:val="21"/>
              </w:rPr>
              <w:t>分，一般得</w:t>
            </w:r>
            <w:r>
              <w:rPr>
                <w:rFonts w:hint="eastAsia" w:ascii="宋体" w:hAnsi="宋体" w:cs="宋体"/>
                <w:color w:val="auto"/>
                <w:szCs w:val="21"/>
                <w:lang w:val="en-US" w:eastAsia="zh-CN"/>
              </w:rPr>
              <w:t>1</w:t>
            </w:r>
            <w:r>
              <w:rPr>
                <w:rFonts w:hint="eastAsia" w:ascii="宋体" w:hAnsi="宋体" w:cs="宋体"/>
                <w:color w:val="auto"/>
                <w:szCs w:val="21"/>
              </w:rPr>
              <w:t>分，</w:t>
            </w:r>
            <w:r>
              <w:rPr>
                <w:rFonts w:hint="eastAsia" w:ascii="宋体" w:hAnsi="宋体" w:cs="宋体"/>
                <w:szCs w:val="21"/>
              </w:rPr>
              <w:t>其他情况及未提供不得分。</w:t>
            </w:r>
          </w:p>
          <w:p>
            <w:r>
              <w:rPr>
                <w:rFonts w:hint="eastAsia" w:ascii="宋体" w:cs="宋体"/>
                <w:color w:val="000000"/>
                <w:szCs w:val="21"/>
              </w:rPr>
              <w:t>评审依</w:t>
            </w:r>
            <w:r>
              <w:rPr>
                <w:rFonts w:hint="eastAsia" w:ascii="宋体" w:cs="宋体"/>
                <w:szCs w:val="21"/>
              </w:rPr>
              <w:t>据：</w:t>
            </w:r>
            <w:r>
              <w:rPr>
                <w:rFonts w:hint="eastAsia" w:ascii="宋体" w:cs="宋体"/>
                <w:kern w:val="0"/>
                <w:szCs w:val="21"/>
              </w:rPr>
              <w:t>以投标人提供的维保方案内容为准进行评议。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blCellSpacing w:w="0" w:type="dxa"/>
        </w:trPr>
        <w:tc>
          <w:tcPr>
            <w:tcW w:w="704" w:type="dxa"/>
            <w:vAlign w:val="center"/>
          </w:tcPr>
          <w:p>
            <w:pPr>
              <w:pStyle w:val="22"/>
              <w:keepNext/>
              <w:numPr>
                <w:ilvl w:val="0"/>
                <w:numId w:val="40"/>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r>
              <w:rPr>
                <w:rFonts w:hint="eastAsia" w:ascii="宋体" w:hAnsi="宋体"/>
              </w:rPr>
              <w:t>维修实力</w:t>
            </w:r>
          </w:p>
          <w:p/>
        </w:tc>
        <w:tc>
          <w:tcPr>
            <w:tcW w:w="709" w:type="dxa"/>
            <w:tcMar>
              <w:top w:w="15" w:type="dxa"/>
              <w:left w:w="15" w:type="dxa"/>
              <w:bottom w:w="15" w:type="dxa"/>
              <w:right w:w="15" w:type="dxa"/>
            </w:tcMar>
            <w:vAlign w:val="center"/>
          </w:tcPr>
          <w:p>
            <w:pPr>
              <w:keepNext/>
              <w:spacing w:line="360" w:lineRule="auto"/>
              <w:jc w:val="center"/>
              <w:rPr>
                <w:rFonts w:ascii="宋体" w:hAnsi="宋体"/>
                <w:szCs w:val="21"/>
              </w:rPr>
            </w:pPr>
            <w:r>
              <w:rPr>
                <w:rFonts w:hint="eastAsia" w:ascii="宋体" w:hAnsi="宋体"/>
                <w:szCs w:val="21"/>
              </w:rPr>
              <w:t>5分</w:t>
            </w:r>
          </w:p>
        </w:tc>
        <w:tc>
          <w:tcPr>
            <w:tcW w:w="6804" w:type="dxa"/>
            <w:gridSpan w:val="2"/>
            <w:tcMar>
              <w:top w:w="15" w:type="dxa"/>
              <w:left w:w="15" w:type="dxa"/>
              <w:bottom w:w="15" w:type="dxa"/>
              <w:right w:w="15" w:type="dxa"/>
            </w:tcMar>
            <w:vAlign w:val="center"/>
          </w:tcPr>
          <w:p>
            <w:r>
              <w:rPr>
                <w:rFonts w:hint="eastAsia" w:ascii="宋体" w:hAnsi="宋体" w:cs="宋体"/>
                <w:szCs w:val="21"/>
              </w:rPr>
              <w:t>依据投标人所</w:t>
            </w:r>
            <w:r>
              <w:rPr>
                <w:rFonts w:hint="eastAsia" w:ascii="宋体" w:hAnsi="宋体"/>
                <w:color w:val="000000"/>
              </w:rPr>
              <w:t>提供的</w:t>
            </w:r>
            <w:r>
              <w:rPr>
                <w:rFonts w:hint="eastAsia" w:ascii="宋体" w:hAnsi="宋体"/>
              </w:rPr>
              <w:t>维保机构（团队）各类维修人员架构配置越齐全，针对本项目所配备的维保人员数量</w:t>
            </w:r>
            <w:r>
              <w:rPr>
                <w:rFonts w:hint="eastAsia" w:ascii="宋体" w:hAnsi="宋体"/>
                <w:color w:val="000000"/>
              </w:rPr>
              <w:t>越多得分越高，</w:t>
            </w:r>
            <w:r>
              <w:rPr>
                <w:rFonts w:hint="eastAsia" w:ascii="宋体" w:hAnsi="宋体" w:cs="宋体"/>
                <w:szCs w:val="21"/>
              </w:rPr>
              <w:t>优得5分，良得3分，一般得1分，其他情况及未提供不得分。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blCellSpacing w:w="0" w:type="dxa"/>
        </w:trPr>
        <w:tc>
          <w:tcPr>
            <w:tcW w:w="704" w:type="dxa"/>
            <w:vAlign w:val="center"/>
          </w:tcPr>
          <w:p>
            <w:pPr>
              <w:pStyle w:val="22"/>
              <w:keepNext/>
              <w:numPr>
                <w:ilvl w:val="0"/>
                <w:numId w:val="40"/>
              </w:numPr>
              <w:spacing w:line="360" w:lineRule="auto"/>
              <w:ind w:firstLineChars="0"/>
              <w:jc w:val="center"/>
              <w:rPr>
                <w:rFonts w:ascii="宋体" w:hAnsi="宋体" w:eastAsia="宋体"/>
                <w:szCs w:val="21"/>
                <w:highlight w:val="none"/>
              </w:rPr>
            </w:pPr>
          </w:p>
        </w:tc>
        <w:tc>
          <w:tcPr>
            <w:tcW w:w="1134" w:type="dxa"/>
            <w:tcMar>
              <w:top w:w="15" w:type="dxa"/>
              <w:left w:w="15" w:type="dxa"/>
              <w:bottom w:w="15" w:type="dxa"/>
              <w:right w:w="15" w:type="dxa"/>
            </w:tcMar>
            <w:vAlign w:val="center"/>
          </w:tcPr>
          <w:p>
            <w:pPr>
              <w:rPr>
                <w:rFonts w:ascii="宋体" w:hAnsi="宋体"/>
                <w:highlight w:val="none"/>
              </w:rPr>
            </w:pPr>
            <w:r>
              <w:rPr>
                <w:rFonts w:hint="eastAsia" w:ascii="宋体" w:hAnsi="宋体"/>
                <w:highlight w:val="none"/>
              </w:rPr>
              <w:t>设定零配件价格与质保期</w:t>
            </w:r>
          </w:p>
        </w:tc>
        <w:tc>
          <w:tcPr>
            <w:tcW w:w="709" w:type="dxa"/>
            <w:tcMar>
              <w:top w:w="15" w:type="dxa"/>
              <w:left w:w="15" w:type="dxa"/>
              <w:bottom w:w="15" w:type="dxa"/>
              <w:right w:w="15" w:type="dxa"/>
            </w:tcMar>
            <w:vAlign w:val="center"/>
          </w:tcPr>
          <w:p>
            <w:pPr>
              <w:keepNext/>
              <w:spacing w:line="360" w:lineRule="auto"/>
              <w:jc w:val="center"/>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0</w:t>
            </w:r>
            <w:r>
              <w:rPr>
                <w:rFonts w:hint="eastAsia" w:ascii="宋体" w:hAnsi="宋体"/>
                <w:szCs w:val="21"/>
                <w:highlight w:val="none"/>
              </w:rPr>
              <w:t>分</w:t>
            </w:r>
          </w:p>
        </w:tc>
        <w:tc>
          <w:tcPr>
            <w:tcW w:w="6804" w:type="dxa"/>
            <w:gridSpan w:val="2"/>
            <w:tcMar>
              <w:top w:w="15" w:type="dxa"/>
              <w:left w:w="15" w:type="dxa"/>
              <w:bottom w:w="15" w:type="dxa"/>
              <w:right w:w="15" w:type="dxa"/>
            </w:tcMar>
            <w:vAlign w:val="center"/>
          </w:tcPr>
          <w:p>
            <w:pPr>
              <w:rPr>
                <w:highlight w:val="none"/>
              </w:rPr>
            </w:pPr>
            <w:r>
              <w:rPr>
                <w:rFonts w:hint="eastAsia"/>
                <w:highlight w:val="none"/>
              </w:rPr>
              <w:t>1、依据投标人所提供的《美国吉尼高空作业平台设定零配件报价清单表）</w:t>
            </w:r>
            <w:r>
              <w:rPr>
                <w:rFonts w:hint="eastAsia"/>
                <w:highlight w:val="none"/>
                <w:lang w:eastAsia="zh-CN"/>
              </w:rPr>
              <w:t>（表格</w:t>
            </w:r>
            <w:r>
              <w:rPr>
                <w:rFonts w:hint="eastAsia"/>
                <w:highlight w:val="none"/>
                <w:lang w:val="en-US" w:eastAsia="zh-CN"/>
              </w:rPr>
              <w:t>2</w:t>
            </w:r>
            <w:r>
              <w:rPr>
                <w:rFonts w:hint="eastAsia"/>
                <w:highlight w:val="none"/>
                <w:lang w:eastAsia="zh-CN"/>
              </w:rPr>
              <w:t>）</w:t>
            </w:r>
            <w:r>
              <w:rPr>
                <w:rFonts w:hint="eastAsia"/>
                <w:highlight w:val="none"/>
              </w:rPr>
              <w:t>》内容评议，按零配件承诺质保期从长至短排序取前三名，四名以后不得分，零配件承诺质保期越长得分越高， 第一名得5分，第二名3分，第三名得1分；</w:t>
            </w:r>
          </w:p>
          <w:p>
            <w:pPr>
              <w:pStyle w:val="2"/>
              <w:ind w:left="0"/>
              <w:rPr>
                <w:rFonts w:hint="default" w:eastAsia="宋体"/>
                <w:highlight w:val="none"/>
                <w:lang w:val="en-US" w:eastAsia="zh-CN"/>
              </w:rPr>
            </w:pPr>
            <w:r>
              <w:rPr>
                <w:rFonts w:hint="eastAsia"/>
                <w:highlight w:val="none"/>
              </w:rPr>
              <w:t>2、根据500元以上零配件报价</w:t>
            </w:r>
            <w:r>
              <w:rPr>
                <w:rFonts w:hint="eastAsia"/>
                <w:highlight w:val="none"/>
                <w:lang w:eastAsia="zh-CN"/>
              </w:rPr>
              <w:t>表模板内</w:t>
            </w:r>
            <w:r>
              <w:rPr>
                <w:rFonts w:hint="eastAsia"/>
                <w:highlight w:val="none"/>
                <w:lang w:val="en-US" w:eastAsia="zh-CN"/>
              </w:rPr>
              <w:t>我司所列</w:t>
            </w:r>
            <w:r>
              <w:rPr>
                <w:rFonts w:hint="eastAsia"/>
                <w:highlight w:val="none"/>
                <w:lang w:eastAsia="zh-CN"/>
              </w:rPr>
              <w:t>七项配件单价</w:t>
            </w:r>
            <w:r>
              <w:rPr>
                <w:rFonts w:hint="eastAsia"/>
                <w:highlight w:val="none"/>
              </w:rPr>
              <w:t>合计价</w:t>
            </w:r>
            <w:r>
              <w:rPr>
                <w:rFonts w:hint="eastAsia"/>
                <w:highlight w:val="none"/>
                <w:lang w:eastAsia="zh-CN"/>
              </w:rPr>
              <w:t>评议，</w:t>
            </w:r>
            <w:r>
              <w:rPr>
                <w:rFonts w:hint="eastAsia"/>
                <w:highlight w:val="none"/>
              </w:rPr>
              <w:t>从低至高排序取前三名，四名以后不得分，零配件合计价格最低得分越高，第一名得5分，第二名得3分，第三名得1分。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blCellSpacing w:w="0" w:type="dxa"/>
        </w:trPr>
        <w:tc>
          <w:tcPr>
            <w:tcW w:w="9351" w:type="dxa"/>
            <w:gridSpan w:val="5"/>
          </w:tcPr>
          <w:p>
            <w:pPr>
              <w:keepNext/>
              <w:ind w:left="247" w:hanging="247" w:hangingChars="117"/>
              <w:jc w:val="center"/>
              <w:rPr>
                <w:rFonts w:ascii="宋体" w:hAnsi="宋体"/>
                <w:b/>
                <w:szCs w:val="21"/>
                <w:highlight w:val="none"/>
              </w:rPr>
            </w:pPr>
            <w:r>
              <w:rPr>
                <w:rFonts w:hint="eastAsia" w:ascii="宋体" w:hAnsi="宋体"/>
                <w:b/>
                <w:szCs w:val="21"/>
                <w:highlight w:val="none"/>
              </w:rPr>
              <w:t>价格评议项（</w:t>
            </w:r>
            <w:r>
              <w:rPr>
                <w:rFonts w:hint="eastAsia" w:ascii="宋体" w:hAnsi="宋体"/>
                <w:b/>
                <w:szCs w:val="21"/>
                <w:highlight w:val="none"/>
                <w:lang w:val="en-US" w:eastAsia="zh-CN"/>
              </w:rPr>
              <w:t>40</w:t>
            </w:r>
            <w:r>
              <w:rPr>
                <w:rFonts w:ascii="宋体" w:hAnsi="宋体"/>
                <w:b/>
                <w:szCs w:val="21"/>
                <w:highlight w:val="none"/>
              </w:rPr>
              <w:t>分）</w:t>
            </w:r>
          </w:p>
          <w:p>
            <w:pPr>
              <w:pStyle w:val="2"/>
              <w:spacing w:after="0" w:line="240" w:lineRule="auto"/>
              <w:ind w:left="0"/>
              <w:jc w:val="center"/>
              <w:rPr>
                <w:sz w:val="21"/>
                <w:szCs w:val="21"/>
                <w:highlight w:val="none"/>
              </w:rPr>
            </w:pPr>
            <w:r>
              <w:rPr>
                <w:rFonts w:hint="eastAsia" w:ascii="宋体" w:hAnsi="宋体"/>
                <w:b/>
                <w:color w:val="FF0000"/>
                <w:sz w:val="21"/>
                <w:szCs w:val="21"/>
                <w:highlight w:val="none"/>
              </w:rPr>
              <w:t>（说明：以下所称的“投标报价”均是指税前总金额，即净价）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trPr>
        <w:tc>
          <w:tcPr>
            <w:tcW w:w="704" w:type="dxa"/>
            <w:vMerge w:val="restart"/>
            <w:vAlign w:val="center"/>
          </w:tcPr>
          <w:p>
            <w:pPr>
              <w:keepNext/>
              <w:spacing w:line="360" w:lineRule="auto"/>
              <w:jc w:val="center"/>
              <w:rPr>
                <w:rFonts w:ascii="宋体" w:hAnsi="宋体"/>
                <w:szCs w:val="21"/>
                <w:highlight w:val="none"/>
              </w:rPr>
            </w:pPr>
            <w:r>
              <w:rPr>
                <w:rFonts w:hint="eastAsia" w:ascii="宋体" w:hAnsi="宋体"/>
                <w:szCs w:val="21"/>
                <w:highlight w:val="none"/>
              </w:rPr>
              <w:t>价格评议</w:t>
            </w:r>
          </w:p>
        </w:tc>
        <w:tc>
          <w:tcPr>
            <w:tcW w:w="8647" w:type="dxa"/>
            <w:gridSpan w:val="4"/>
            <w:tcMar>
              <w:top w:w="15" w:type="dxa"/>
              <w:left w:w="15" w:type="dxa"/>
              <w:bottom w:w="15" w:type="dxa"/>
              <w:right w:w="15" w:type="dxa"/>
            </w:tcMar>
            <w:vAlign w:val="center"/>
          </w:tcPr>
          <w:p>
            <w:pPr>
              <w:keepNext/>
              <w:spacing w:line="240" w:lineRule="atLeast"/>
              <w:jc w:val="center"/>
              <w:rPr>
                <w:rFonts w:ascii="宋体" w:hAnsi="宋体"/>
                <w:szCs w:val="21"/>
                <w:highlight w:val="none"/>
              </w:rPr>
            </w:pPr>
            <w:r>
              <w:rPr>
                <w:rFonts w:hint="eastAsia" w:ascii="宋体" w:hAnsi="宋体"/>
                <w:b/>
                <w:szCs w:val="21"/>
                <w:highlight w:val="none"/>
              </w:rPr>
              <w:t>基准价</w:t>
            </w:r>
            <w:r>
              <w:rPr>
                <w:rFonts w:ascii="宋体" w:hAnsi="宋体"/>
                <w:b/>
                <w:szCs w:val="21"/>
                <w:highlight w:val="none"/>
              </w:rPr>
              <w:t>和算法类型选择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trPr>
        <w:tc>
          <w:tcPr>
            <w:tcW w:w="704" w:type="dxa"/>
            <w:vMerge w:val="continue"/>
          </w:tcPr>
          <w:p>
            <w:pPr>
              <w:keepNext/>
              <w:spacing w:line="360" w:lineRule="auto"/>
              <w:jc w:val="center"/>
              <w:rPr>
                <w:rFonts w:ascii="宋体" w:hAnsi="宋体"/>
                <w:szCs w:val="21"/>
                <w:highlight w:val="none"/>
              </w:rPr>
            </w:pPr>
          </w:p>
        </w:tc>
        <w:tc>
          <w:tcPr>
            <w:tcW w:w="1134" w:type="dxa"/>
            <w:vMerge w:val="restart"/>
            <w:vAlign w:val="center"/>
          </w:tcPr>
          <w:p>
            <w:pPr>
              <w:keepNext/>
              <w:spacing w:line="360" w:lineRule="auto"/>
              <w:jc w:val="center"/>
              <w:rPr>
                <w:rFonts w:ascii="宋体" w:hAnsi="宋体"/>
                <w:szCs w:val="21"/>
                <w:highlight w:val="none"/>
              </w:rPr>
            </w:pPr>
            <w:r>
              <w:rPr>
                <w:rFonts w:hint="eastAsia" w:ascii="宋体" w:hAnsi="宋体"/>
                <w:bCs/>
                <w:szCs w:val="21"/>
                <w:highlight w:val="none"/>
              </w:rPr>
              <w:t>基准价</w:t>
            </w:r>
          </w:p>
        </w:tc>
        <w:tc>
          <w:tcPr>
            <w:tcW w:w="7513" w:type="dxa"/>
            <w:gridSpan w:val="3"/>
            <w:vAlign w:val="center"/>
          </w:tcPr>
          <w:p>
            <w:pPr>
              <w:keepNext/>
              <w:autoSpaceDE w:val="0"/>
              <w:autoSpaceDN w:val="0"/>
              <w:adjustRightInd w:val="0"/>
              <w:snapToGrid w:val="0"/>
              <w:jc w:val="left"/>
              <w:rPr>
                <w:rFonts w:ascii="宋体" w:hAnsi="宋体"/>
                <w:szCs w:val="21"/>
                <w:highlight w:val="none"/>
              </w:rPr>
            </w:pPr>
            <w:r>
              <w:rPr>
                <w:rFonts w:hint="eastAsia" w:ascii="宋体" w:hAnsi="宋体"/>
                <w:szCs w:val="21"/>
                <w:highlight w:val="none"/>
              </w:rPr>
              <w:t>□各+有效</w:t>
            </w:r>
            <w:r>
              <w:rPr>
                <w:rFonts w:ascii="宋体" w:hAnsi="宋体"/>
                <w:szCs w:val="21"/>
                <w:highlight w:val="none"/>
              </w:rPr>
              <w:t>投</w:t>
            </w:r>
            <w:r>
              <w:rPr>
                <w:rFonts w:hint="eastAsia" w:ascii="宋体" w:hAnsi="宋体"/>
                <w:szCs w:val="21"/>
                <w:highlight w:val="none"/>
              </w:rPr>
              <w:t>标报价大于n家时，去掉一个最高和最低报价后的算术平均值乘以</w:t>
            </w:r>
            <w:r>
              <w:rPr>
                <w:rFonts w:ascii="宋体" w:hAnsi="宋体"/>
                <w:szCs w:val="21"/>
                <w:highlight w:val="none"/>
                <w:u w:val="single"/>
              </w:rPr>
              <w:t xml:space="preserve">    </w:t>
            </w:r>
            <w:r>
              <w:rPr>
                <w:rFonts w:hint="eastAsia" w:ascii="宋体" w:hAnsi="宋体"/>
                <w:szCs w:val="21"/>
                <w:highlight w:val="none"/>
              </w:rPr>
              <w:t>％。当有效投标报价少于n（含）家时，则以所有有效投标报价的算术平均值乘以</w:t>
            </w:r>
            <w:r>
              <w:rPr>
                <w:rFonts w:ascii="宋体" w:hAnsi="宋体"/>
                <w:szCs w:val="21"/>
                <w:highlight w:val="none"/>
                <w:u w:val="single"/>
              </w:rPr>
              <w:t xml:space="preserve">    </w:t>
            </w:r>
            <w:r>
              <w:rPr>
                <w:rFonts w:hint="eastAsia" w:ascii="宋体" w:hAnsi="宋体"/>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trPr>
        <w:tc>
          <w:tcPr>
            <w:tcW w:w="704" w:type="dxa"/>
            <w:vMerge w:val="continue"/>
          </w:tcPr>
          <w:p>
            <w:pPr>
              <w:keepNext/>
              <w:spacing w:line="360" w:lineRule="auto"/>
              <w:jc w:val="center"/>
              <w:rPr>
                <w:rFonts w:ascii="宋体" w:hAnsi="宋体"/>
                <w:szCs w:val="21"/>
                <w:highlight w:val="none"/>
              </w:rPr>
            </w:pPr>
          </w:p>
        </w:tc>
        <w:tc>
          <w:tcPr>
            <w:tcW w:w="1134" w:type="dxa"/>
            <w:vMerge w:val="continue"/>
            <w:vAlign w:val="center"/>
          </w:tcPr>
          <w:p>
            <w:pPr>
              <w:keepNext/>
              <w:spacing w:line="360" w:lineRule="auto"/>
              <w:jc w:val="center"/>
              <w:rPr>
                <w:rFonts w:ascii="宋体" w:hAnsi="宋体"/>
                <w:szCs w:val="21"/>
                <w:highlight w:val="none"/>
              </w:rPr>
            </w:pPr>
          </w:p>
        </w:tc>
        <w:tc>
          <w:tcPr>
            <w:tcW w:w="7513" w:type="dxa"/>
            <w:gridSpan w:val="3"/>
            <w:vAlign w:val="center"/>
          </w:tcPr>
          <w:p>
            <w:pPr>
              <w:keepNext/>
              <w:spacing w:line="240" w:lineRule="atLeast"/>
              <w:jc w:val="left"/>
              <w:rPr>
                <w:rFonts w:ascii="宋体" w:hAnsi="宋体"/>
                <w:szCs w:val="21"/>
                <w:highlight w:val="none"/>
              </w:rPr>
            </w:pPr>
            <w:r>
              <w:rPr>
                <w:rFonts w:ascii="宋体" w:hAnsi="宋体" w:cs="Segoe UI Symbol"/>
                <w:kern w:val="0"/>
                <w:szCs w:val="21"/>
                <w:highlight w:val="none"/>
              </w:rPr>
              <w:sym w:font="Wingdings 2" w:char="0052"/>
            </w:r>
            <w:r>
              <w:rPr>
                <w:rFonts w:hint="eastAsia" w:ascii="宋体" w:hAnsi="宋体"/>
                <w:szCs w:val="21"/>
                <w:highlight w:val="none"/>
              </w:rPr>
              <w:t>取有效投标报价算术平均值。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trPr>
        <w:tc>
          <w:tcPr>
            <w:tcW w:w="704" w:type="dxa"/>
            <w:vMerge w:val="continue"/>
          </w:tcPr>
          <w:p>
            <w:pPr>
              <w:keepNext/>
              <w:spacing w:line="360" w:lineRule="auto"/>
              <w:jc w:val="center"/>
              <w:rPr>
                <w:rFonts w:ascii="宋体" w:hAnsi="宋体"/>
                <w:szCs w:val="21"/>
                <w:highlight w:val="none"/>
              </w:rPr>
            </w:pPr>
          </w:p>
        </w:tc>
        <w:tc>
          <w:tcPr>
            <w:tcW w:w="1134" w:type="dxa"/>
            <w:vMerge w:val="continue"/>
            <w:vAlign w:val="center"/>
          </w:tcPr>
          <w:p>
            <w:pPr>
              <w:keepNext/>
              <w:spacing w:line="360" w:lineRule="auto"/>
              <w:jc w:val="center"/>
              <w:rPr>
                <w:rFonts w:ascii="宋体" w:hAnsi="宋体"/>
                <w:szCs w:val="21"/>
                <w:highlight w:val="none"/>
              </w:rPr>
            </w:pPr>
          </w:p>
        </w:tc>
        <w:tc>
          <w:tcPr>
            <w:tcW w:w="7513" w:type="dxa"/>
            <w:gridSpan w:val="3"/>
            <w:vAlign w:val="center"/>
          </w:tcPr>
          <w:p>
            <w:pPr>
              <w:keepNext/>
              <w:spacing w:line="240" w:lineRule="atLeast"/>
              <w:jc w:val="left"/>
              <w:rPr>
                <w:rFonts w:ascii="宋体" w:hAnsi="宋体"/>
                <w:szCs w:val="21"/>
                <w:highlight w:val="none"/>
              </w:rPr>
            </w:pPr>
            <w:r>
              <w:rPr>
                <w:rFonts w:hint="eastAsia" w:ascii="宋体" w:hAnsi="宋体"/>
                <w:szCs w:val="21"/>
                <w:highlight w:val="none"/>
              </w:rPr>
              <w:t>□有效投标报价的最低价为基价。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trPr>
        <w:tc>
          <w:tcPr>
            <w:tcW w:w="704" w:type="dxa"/>
            <w:vMerge w:val="continue"/>
          </w:tcPr>
          <w:p>
            <w:pPr>
              <w:keepNext/>
              <w:spacing w:line="360" w:lineRule="auto"/>
              <w:jc w:val="center"/>
              <w:rPr>
                <w:rFonts w:ascii="宋体" w:hAnsi="宋体"/>
                <w:szCs w:val="21"/>
                <w:highlight w:val="none"/>
              </w:rPr>
            </w:pPr>
          </w:p>
        </w:tc>
        <w:tc>
          <w:tcPr>
            <w:tcW w:w="1134" w:type="dxa"/>
            <w:vMerge w:val="continue"/>
            <w:vAlign w:val="center"/>
          </w:tcPr>
          <w:p>
            <w:pPr>
              <w:keepNext/>
              <w:spacing w:line="360" w:lineRule="auto"/>
              <w:jc w:val="center"/>
              <w:rPr>
                <w:rFonts w:ascii="宋体" w:hAnsi="宋体"/>
                <w:szCs w:val="21"/>
                <w:highlight w:val="none"/>
              </w:rPr>
            </w:pPr>
          </w:p>
        </w:tc>
        <w:tc>
          <w:tcPr>
            <w:tcW w:w="7513" w:type="dxa"/>
            <w:gridSpan w:val="3"/>
            <w:vAlign w:val="center"/>
          </w:tcPr>
          <w:p>
            <w:pPr>
              <w:keepNext/>
              <w:spacing w:line="240" w:lineRule="atLeast"/>
              <w:jc w:val="left"/>
              <w:rPr>
                <w:rFonts w:ascii="宋体" w:hAnsi="宋体"/>
                <w:szCs w:val="21"/>
                <w:highlight w:val="none"/>
              </w:rPr>
            </w:pPr>
            <w:r>
              <w:rPr>
                <w:rFonts w:hint="eastAsia" w:ascii="宋体" w:hAnsi="宋体"/>
                <w:color w:val="FF0000"/>
                <w:szCs w:val="21"/>
                <w:highlight w:val="none"/>
              </w:rPr>
              <w:t>投标人报价是指投标净价金额。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trPr>
        <w:tc>
          <w:tcPr>
            <w:tcW w:w="704" w:type="dxa"/>
            <w:vMerge w:val="continue"/>
          </w:tcPr>
          <w:p>
            <w:pPr>
              <w:spacing w:line="360" w:lineRule="auto"/>
              <w:jc w:val="center"/>
              <w:rPr>
                <w:rFonts w:ascii="宋体" w:hAnsi="宋体"/>
                <w:szCs w:val="21"/>
                <w:highlight w:val="none"/>
              </w:rPr>
            </w:pPr>
          </w:p>
        </w:tc>
        <w:tc>
          <w:tcPr>
            <w:tcW w:w="1134" w:type="dxa"/>
            <w:vMerge w:val="restart"/>
            <w:vAlign w:val="center"/>
          </w:tcPr>
          <w:p>
            <w:pPr>
              <w:spacing w:line="360" w:lineRule="auto"/>
              <w:jc w:val="center"/>
              <w:rPr>
                <w:rFonts w:ascii="宋体" w:hAnsi="宋体"/>
                <w:szCs w:val="21"/>
                <w:highlight w:val="none"/>
              </w:rPr>
            </w:pPr>
            <w:r>
              <w:rPr>
                <w:rFonts w:hint="eastAsia" w:ascii="宋体" w:hAnsi="宋体"/>
                <w:bCs/>
                <w:szCs w:val="21"/>
                <w:highlight w:val="none"/>
              </w:rPr>
              <w:t>算</w:t>
            </w:r>
            <w:r>
              <w:rPr>
                <w:rFonts w:ascii="宋体" w:hAnsi="宋体"/>
                <w:bCs/>
                <w:szCs w:val="21"/>
                <w:highlight w:val="none"/>
              </w:rPr>
              <w:t>法类型</w:t>
            </w:r>
          </w:p>
        </w:tc>
        <w:tc>
          <w:tcPr>
            <w:tcW w:w="1563" w:type="dxa"/>
            <w:gridSpan w:val="2"/>
            <w:vAlign w:val="center"/>
          </w:tcPr>
          <w:p>
            <w:pPr>
              <w:spacing w:line="240" w:lineRule="atLeast"/>
              <w:jc w:val="center"/>
              <w:rPr>
                <w:rFonts w:ascii="宋体" w:cs="宋体"/>
                <w:kern w:val="0"/>
                <w:szCs w:val="21"/>
                <w:highlight w:val="none"/>
              </w:rPr>
            </w:pPr>
            <w:r>
              <w:rPr>
                <w:rFonts w:hint="eastAsia" w:ascii="宋体" w:hAnsi="宋体"/>
                <w:szCs w:val="21"/>
                <w:highlight w:val="none"/>
              </w:rPr>
              <w:t>□固定</w:t>
            </w:r>
            <w:r>
              <w:rPr>
                <w:rFonts w:ascii="宋体" w:hAnsi="宋体"/>
                <w:szCs w:val="21"/>
                <w:highlight w:val="none"/>
              </w:rPr>
              <w:t>比例</w:t>
            </w:r>
            <w:r>
              <w:rPr>
                <w:rFonts w:hint="eastAsia" w:ascii="宋体" w:hAnsi="宋体"/>
                <w:szCs w:val="21"/>
                <w:highlight w:val="none"/>
              </w:rPr>
              <w:t>法</w:t>
            </w:r>
          </w:p>
        </w:tc>
        <w:tc>
          <w:tcPr>
            <w:tcW w:w="5950" w:type="dxa"/>
            <w:vAlign w:val="center"/>
          </w:tcPr>
          <w:p>
            <w:pPr>
              <w:autoSpaceDE w:val="0"/>
              <w:autoSpaceDN w:val="0"/>
              <w:adjustRightInd w:val="0"/>
              <w:snapToGrid w:val="0"/>
              <w:jc w:val="left"/>
              <w:rPr>
                <w:rFonts w:ascii="宋体" w:hAnsi="宋体"/>
                <w:szCs w:val="21"/>
                <w:highlight w:val="none"/>
              </w:rPr>
            </w:pPr>
            <w:r>
              <w:rPr>
                <w:rFonts w:hint="eastAsia" w:ascii="宋体" w:hAnsi="宋体"/>
                <w:szCs w:val="21"/>
                <w:highlight w:val="none"/>
              </w:rPr>
              <w:t>价格得分=M-[（｜投标价格-基准价｜/基准价）*100/</w:t>
            </w:r>
            <w:r>
              <w:rPr>
                <w:rFonts w:ascii="宋体" w:hAnsi="宋体"/>
                <w:szCs w:val="21"/>
                <w:highlight w:val="none"/>
              </w:rPr>
              <w:t>N]*</w:t>
            </w:r>
            <w:r>
              <w:rPr>
                <w:rFonts w:hint="eastAsia" w:ascii="宋体" w:hAnsi="宋体"/>
                <w:szCs w:val="21"/>
                <w:highlight w:val="none"/>
              </w:rPr>
              <w:t>扣分值</w:t>
            </w:r>
          </w:p>
          <w:p>
            <w:pPr>
              <w:autoSpaceDE w:val="0"/>
              <w:autoSpaceDN w:val="0"/>
              <w:adjustRightInd w:val="0"/>
              <w:snapToGrid w:val="0"/>
              <w:jc w:val="left"/>
              <w:rPr>
                <w:rFonts w:ascii="宋体" w:hAnsi="宋体"/>
                <w:szCs w:val="21"/>
                <w:highlight w:val="none"/>
              </w:rPr>
            </w:pPr>
            <w:r>
              <w:rPr>
                <w:rFonts w:hint="eastAsia" w:ascii="宋体" w:hAnsi="宋体"/>
                <w:szCs w:val="21"/>
                <w:highlight w:val="none"/>
              </w:rPr>
              <w:t>M=</w:t>
            </w:r>
            <w:r>
              <w:rPr>
                <w:rFonts w:ascii="宋体" w:hAnsi="宋体"/>
                <w:szCs w:val="21"/>
                <w:highlight w:val="none"/>
                <w:u w:val="single"/>
              </w:rPr>
              <w:t xml:space="preserve">    </w:t>
            </w:r>
            <w:r>
              <w:rPr>
                <w:rFonts w:hint="eastAsia" w:ascii="宋体" w:hAnsi="宋体"/>
                <w:szCs w:val="21"/>
                <w:highlight w:val="none"/>
              </w:rPr>
              <w:t>（价格评价分项满分值），N=</w:t>
            </w:r>
            <w:r>
              <w:rPr>
                <w:rFonts w:ascii="宋体" w:hAnsi="宋体"/>
                <w:szCs w:val="21"/>
                <w:highlight w:val="none"/>
                <w:u w:val="single"/>
              </w:rPr>
              <w:t xml:space="preserve">    </w:t>
            </w:r>
            <w:r>
              <w:rPr>
                <w:rFonts w:hint="eastAsia" w:ascii="宋体" w:hAnsi="宋体"/>
                <w:szCs w:val="21"/>
                <w:highlight w:val="none"/>
              </w:rPr>
              <w:t>，投标价格每高于N％时，扣</w:t>
            </w:r>
            <w:r>
              <w:rPr>
                <w:rFonts w:ascii="宋体" w:hAnsi="宋体"/>
                <w:szCs w:val="21"/>
                <w:highlight w:val="none"/>
                <w:u w:val="single"/>
              </w:rPr>
              <w:t xml:space="preserve">    </w:t>
            </w:r>
            <w:r>
              <w:rPr>
                <w:rFonts w:hint="eastAsia" w:ascii="宋体" w:hAnsi="宋体"/>
                <w:szCs w:val="21"/>
                <w:highlight w:val="none"/>
              </w:rPr>
              <w:t>分；每低于N％时，扣</w:t>
            </w:r>
            <w:r>
              <w:rPr>
                <w:rFonts w:ascii="宋体" w:hAnsi="宋体"/>
                <w:szCs w:val="21"/>
                <w:highlight w:val="none"/>
                <w:u w:val="single"/>
              </w:rPr>
              <w:t xml:space="preserve">    </w:t>
            </w:r>
            <w:r>
              <w:rPr>
                <w:rFonts w:hint="eastAsia" w:ascii="宋体" w:hAnsi="宋体"/>
                <w:szCs w:val="21"/>
                <w:highlight w:val="none"/>
              </w:rPr>
              <w:t>分；</w:t>
            </w:r>
          </w:p>
          <w:p>
            <w:pPr>
              <w:spacing w:line="240" w:lineRule="atLeast"/>
              <w:jc w:val="left"/>
              <w:rPr>
                <w:rFonts w:ascii="宋体" w:cs="宋体"/>
                <w:kern w:val="0"/>
                <w:szCs w:val="21"/>
                <w:highlight w:val="none"/>
              </w:rPr>
            </w:pPr>
            <w:r>
              <w:rPr>
                <w:rFonts w:hint="eastAsia" w:ascii="宋体" w:hAnsi="宋体"/>
                <w:szCs w:val="21"/>
                <w:highlight w:val="none"/>
              </w:rPr>
              <w:t>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trPr>
        <w:tc>
          <w:tcPr>
            <w:tcW w:w="704" w:type="dxa"/>
            <w:vMerge w:val="continue"/>
          </w:tcPr>
          <w:p>
            <w:pPr>
              <w:spacing w:line="360" w:lineRule="auto"/>
              <w:jc w:val="center"/>
              <w:rPr>
                <w:rFonts w:ascii="宋体" w:hAnsi="宋体"/>
                <w:szCs w:val="21"/>
                <w:highlight w:val="none"/>
              </w:rPr>
            </w:pPr>
          </w:p>
        </w:tc>
        <w:tc>
          <w:tcPr>
            <w:tcW w:w="1134" w:type="dxa"/>
            <w:vMerge w:val="continue"/>
            <w:vAlign w:val="center"/>
          </w:tcPr>
          <w:p>
            <w:pPr>
              <w:spacing w:line="360" w:lineRule="auto"/>
              <w:jc w:val="center"/>
              <w:rPr>
                <w:rFonts w:ascii="宋体" w:hAnsi="宋体"/>
                <w:szCs w:val="21"/>
                <w:highlight w:val="none"/>
              </w:rPr>
            </w:pPr>
          </w:p>
        </w:tc>
        <w:tc>
          <w:tcPr>
            <w:tcW w:w="1563" w:type="dxa"/>
            <w:gridSpan w:val="2"/>
            <w:vAlign w:val="center"/>
          </w:tcPr>
          <w:p>
            <w:pPr>
              <w:spacing w:line="240" w:lineRule="atLeast"/>
              <w:jc w:val="center"/>
              <w:rPr>
                <w:rFonts w:ascii="宋体" w:cs="宋体"/>
                <w:kern w:val="0"/>
                <w:szCs w:val="21"/>
                <w:highlight w:val="none"/>
              </w:rPr>
            </w:pPr>
            <w:r>
              <w:rPr>
                <w:rFonts w:ascii="宋体" w:hAnsi="宋体" w:cs="Segoe UI Symbol"/>
                <w:kern w:val="0"/>
                <w:szCs w:val="21"/>
                <w:highlight w:val="none"/>
              </w:rPr>
              <w:sym w:font="Wingdings 2" w:char="0052"/>
            </w:r>
            <w:r>
              <w:rPr>
                <w:rFonts w:hint="eastAsia" w:ascii="宋体" w:hAnsi="宋体"/>
                <w:szCs w:val="21"/>
                <w:highlight w:val="none"/>
              </w:rPr>
              <w:t>固定乘积法</w:t>
            </w:r>
          </w:p>
        </w:tc>
        <w:tc>
          <w:tcPr>
            <w:tcW w:w="5950" w:type="dxa"/>
            <w:vAlign w:val="center"/>
          </w:tcPr>
          <w:p>
            <w:pPr>
              <w:autoSpaceDE w:val="0"/>
              <w:autoSpaceDN w:val="0"/>
              <w:adjustRightInd w:val="0"/>
              <w:snapToGrid w:val="0"/>
              <w:jc w:val="left"/>
              <w:rPr>
                <w:rStyle w:val="19"/>
                <w:rFonts w:ascii="宋体" w:hAnsi="宋体"/>
                <w:highlight w:val="none"/>
              </w:rPr>
            </w:pPr>
            <w:r>
              <w:rPr>
                <w:rStyle w:val="19"/>
                <w:rFonts w:hint="eastAsia" w:ascii="宋体" w:hAnsi="宋体"/>
                <w:highlight w:val="none"/>
              </w:rPr>
              <w:t>价格得分=（1-A×｜1-投标报价/Z｜）×M</w:t>
            </w:r>
          </w:p>
          <w:p>
            <w:pPr>
              <w:numPr>
                <w:ilvl w:val="0"/>
                <w:numId w:val="41"/>
              </w:numPr>
              <w:autoSpaceDE w:val="0"/>
              <w:autoSpaceDN w:val="0"/>
              <w:adjustRightInd w:val="0"/>
              <w:snapToGrid w:val="0"/>
              <w:jc w:val="left"/>
              <w:rPr>
                <w:rStyle w:val="19"/>
                <w:rFonts w:ascii="宋体" w:hAnsi="宋体"/>
                <w:highlight w:val="none"/>
              </w:rPr>
            </w:pPr>
            <w:r>
              <w:rPr>
                <w:rStyle w:val="19"/>
                <w:rFonts w:hint="eastAsia" w:ascii="宋体" w:hAnsi="宋体"/>
                <w:highlight w:val="none"/>
              </w:rPr>
              <w:t xml:space="preserve">M= </w:t>
            </w:r>
            <w:r>
              <w:rPr>
                <w:rStyle w:val="19"/>
                <w:rFonts w:hint="eastAsia" w:ascii="宋体" w:hAnsi="宋体"/>
                <w:color w:val="FF0000"/>
                <w:highlight w:val="none"/>
                <w:lang w:val="en-US" w:eastAsia="zh-CN"/>
              </w:rPr>
              <w:t>40</w:t>
            </w:r>
            <w:r>
              <w:rPr>
                <w:rStyle w:val="19"/>
                <w:rFonts w:hint="eastAsia" w:ascii="宋体" w:hAnsi="宋体"/>
                <w:highlight w:val="none"/>
              </w:rPr>
              <w:t>（价格评价分项满分值），Z为本次招标最佳报价（即基准价）；</w:t>
            </w:r>
          </w:p>
          <w:p>
            <w:pPr>
              <w:numPr>
                <w:ilvl w:val="0"/>
                <w:numId w:val="41"/>
              </w:numPr>
              <w:autoSpaceDE w:val="0"/>
              <w:autoSpaceDN w:val="0"/>
              <w:adjustRightInd w:val="0"/>
              <w:snapToGrid w:val="0"/>
              <w:jc w:val="left"/>
              <w:rPr>
                <w:rStyle w:val="19"/>
                <w:rFonts w:ascii="宋体" w:hAnsi="宋体"/>
                <w:highlight w:val="none"/>
              </w:rPr>
            </w:pPr>
            <w:r>
              <w:rPr>
                <w:rStyle w:val="19"/>
                <w:rFonts w:hint="eastAsia" w:ascii="宋体" w:hAnsi="宋体"/>
                <w:highlight w:val="none"/>
              </w:rPr>
              <w:t>A为价格调整系数，当投标报价低于本次招标最佳报价（即基准价）时，A=0.5；当投标报价高于次招标最佳报价时，取A=1；</w:t>
            </w:r>
          </w:p>
          <w:p>
            <w:pPr>
              <w:numPr>
                <w:ilvl w:val="0"/>
                <w:numId w:val="41"/>
              </w:numPr>
              <w:jc w:val="left"/>
              <w:rPr>
                <w:rFonts w:ascii="宋体" w:cs="宋体"/>
                <w:kern w:val="0"/>
                <w:szCs w:val="21"/>
                <w:highlight w:val="none"/>
              </w:rPr>
            </w:pPr>
            <w:r>
              <w:rPr>
                <w:rStyle w:val="19"/>
                <w:rFonts w:hint="eastAsia" w:ascii="宋体" w:hAnsi="宋体"/>
                <w:highlight w:val="none"/>
              </w:rPr>
              <w:t>计算分数时四舍五入取小数点后两位，当价格分＜0时，取0。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trPr>
        <w:tc>
          <w:tcPr>
            <w:tcW w:w="704" w:type="dxa"/>
            <w:vMerge w:val="continue"/>
          </w:tcPr>
          <w:p>
            <w:pPr>
              <w:spacing w:line="360" w:lineRule="auto"/>
              <w:jc w:val="center"/>
              <w:rPr>
                <w:rFonts w:ascii="宋体" w:hAnsi="宋体"/>
                <w:szCs w:val="21"/>
                <w:highlight w:val="none"/>
              </w:rPr>
            </w:pPr>
          </w:p>
        </w:tc>
        <w:tc>
          <w:tcPr>
            <w:tcW w:w="1134" w:type="dxa"/>
            <w:vMerge w:val="continue"/>
            <w:vAlign w:val="center"/>
          </w:tcPr>
          <w:p>
            <w:pPr>
              <w:spacing w:line="360" w:lineRule="auto"/>
              <w:jc w:val="center"/>
              <w:rPr>
                <w:rFonts w:ascii="宋体" w:hAnsi="宋体"/>
                <w:szCs w:val="21"/>
                <w:highlight w:val="none"/>
              </w:rPr>
            </w:pPr>
          </w:p>
        </w:tc>
        <w:tc>
          <w:tcPr>
            <w:tcW w:w="1563" w:type="dxa"/>
            <w:gridSpan w:val="2"/>
            <w:vAlign w:val="center"/>
          </w:tcPr>
          <w:p>
            <w:pPr>
              <w:spacing w:line="240" w:lineRule="atLeast"/>
              <w:jc w:val="center"/>
              <w:rPr>
                <w:rFonts w:ascii="宋体" w:hAnsi="宋体"/>
                <w:szCs w:val="21"/>
                <w:highlight w:val="none"/>
              </w:rPr>
            </w:pPr>
            <w:r>
              <w:rPr>
                <w:rFonts w:hint="eastAsia" w:ascii="宋体" w:hAnsi="宋体"/>
                <w:szCs w:val="21"/>
                <w:highlight w:val="none"/>
              </w:rPr>
              <w:t>□其他</w:t>
            </w:r>
            <w:r>
              <w:rPr>
                <w:rFonts w:ascii="宋体" w:hAnsi="宋体"/>
                <w:szCs w:val="21"/>
                <w:highlight w:val="none"/>
              </w:rPr>
              <w:t>方法</w:t>
            </w:r>
          </w:p>
        </w:tc>
        <w:tc>
          <w:tcPr>
            <w:tcW w:w="5950" w:type="dxa"/>
            <w:vAlign w:val="center"/>
          </w:tcPr>
          <w:p>
            <w:pPr>
              <w:spacing w:line="240" w:lineRule="atLeast"/>
              <w:jc w:val="center"/>
              <w:rPr>
                <w:rFonts w:ascii="宋体" w:cs="宋体"/>
                <w:kern w:val="0"/>
                <w:szCs w:val="21"/>
                <w:highlight w:val="none"/>
              </w:rPr>
            </w:pPr>
          </w:p>
        </w:tc>
      </w:tr>
    </w:tbl>
    <w:p>
      <w:pPr>
        <w:numPr>
          <w:ilvl w:val="0"/>
          <w:numId w:val="36"/>
        </w:numPr>
        <w:spacing w:beforeLines="300" w:line="360" w:lineRule="auto"/>
        <w:ind w:left="720" w:hanging="720"/>
        <w:jc w:val="left"/>
        <w:outlineLvl w:val="2"/>
        <w:rPr>
          <w:rStyle w:val="29"/>
          <w:rFonts w:ascii="宋体" w:hAnsi="宋体"/>
          <w:b/>
          <w:bCs/>
          <w:szCs w:val="21"/>
          <w:highlight w:val="none"/>
        </w:rPr>
      </w:pPr>
      <w:bookmarkStart w:id="55" w:name="_Toc106791265"/>
      <w:r>
        <w:rPr>
          <w:rStyle w:val="29"/>
          <w:rFonts w:hint="eastAsia" w:ascii="宋体" w:hAnsi="宋体"/>
          <w:b/>
          <w:bCs/>
          <w:szCs w:val="21"/>
          <w:highlight w:val="none"/>
        </w:rPr>
        <w:t>综合评议指标</w:t>
      </w:r>
      <w:bookmarkEnd w:id="55"/>
      <w:r>
        <w:rPr>
          <w:rStyle w:val="29"/>
          <w:rFonts w:hint="eastAsia" w:ascii="宋体" w:hAnsi="宋体"/>
          <w:b/>
          <w:bCs/>
          <w:szCs w:val="21"/>
          <w:highlight w:val="none"/>
        </w:rPr>
        <w:t>表</w:t>
      </w:r>
    </w:p>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42"/>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42"/>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宋体" w:hAnsi="宋体"/>
          <w:b/>
          <w:sz w:val="32"/>
          <w:szCs w:val="32"/>
        </w:rPr>
      </w:pPr>
      <w:bookmarkStart w:id="56" w:name="_Toc106791266"/>
      <w:r>
        <w:rPr>
          <w:rFonts w:hint="eastAsia" w:ascii="宋体" w:hAnsi="宋体"/>
          <w:b/>
          <w:sz w:val="32"/>
          <w:szCs w:val="32"/>
        </w:rPr>
        <w:t>第四部分：合同条款及格式</w:t>
      </w:r>
      <w:bookmarkEnd w:id="56"/>
    </w:p>
    <w:p>
      <w:pPr>
        <w:shd w:val="clear" w:color="auto" w:fill="FFFFFF"/>
        <w:spacing w:line="360" w:lineRule="auto"/>
        <w:ind w:left="420" w:leftChars="200" w:firstLine="723" w:firstLineChars="200"/>
        <w:rPr>
          <w:rFonts w:hint="eastAsia" w:ascii="宋体" w:hAnsi="宋体"/>
          <w:b/>
          <w:bCs/>
          <w:sz w:val="36"/>
          <w:szCs w:val="36"/>
        </w:rPr>
      </w:pPr>
      <w:r>
        <w:rPr>
          <w:rFonts w:hint="eastAsia" w:ascii="宋体" w:hAnsi="宋体"/>
          <w:b/>
          <w:bCs/>
          <w:sz w:val="36"/>
          <w:szCs w:val="36"/>
        </w:rPr>
        <w:t>美国吉尼高空作业平台维修保养合同</w:t>
      </w:r>
    </w:p>
    <w:p>
      <w:pPr>
        <w:shd w:val="clear" w:color="auto" w:fill="FFFFFF"/>
        <w:spacing w:line="360" w:lineRule="auto"/>
        <w:ind w:left="420" w:leftChars="200" w:firstLine="2168" w:firstLineChars="600"/>
        <w:rPr>
          <w:rFonts w:ascii="宋体" w:hAnsi="宋体"/>
          <w:b/>
          <w:bCs/>
          <w:sz w:val="36"/>
          <w:szCs w:val="36"/>
        </w:rPr>
      </w:pPr>
      <w:r>
        <w:rPr>
          <w:rFonts w:hint="eastAsia" w:ascii="宋体" w:hAnsi="宋体"/>
          <w:b/>
          <w:bCs/>
          <w:sz w:val="36"/>
          <w:szCs w:val="36"/>
        </w:rPr>
        <w:t>（本合同模板仅供参考）</w:t>
      </w:r>
    </w:p>
    <w:p>
      <w:pPr>
        <w:shd w:val="clear" w:color="auto" w:fill="FFFFFF"/>
        <w:spacing w:line="360" w:lineRule="auto"/>
        <w:ind w:left="480" w:hanging="480" w:hangingChars="200"/>
        <w:rPr>
          <w:rFonts w:ascii="宋体" w:hAnsi="宋体" w:cs="宋体"/>
          <w:kern w:val="0"/>
          <w:sz w:val="24"/>
        </w:rPr>
      </w:pPr>
      <w:r>
        <w:rPr>
          <w:rFonts w:hint="eastAsia" w:ascii="宋体" w:hAnsi="宋体" w:cs="宋体"/>
          <w:kern w:val="0"/>
          <w:sz w:val="24"/>
        </w:rPr>
        <w:t xml:space="preserve"> </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合同编号： </w:t>
      </w:r>
    </w:p>
    <w:p>
      <w:pPr>
        <w:shd w:val="clear" w:color="auto" w:fill="FFFFFF"/>
        <w:spacing w:line="360" w:lineRule="auto"/>
        <w:ind w:left="482" w:hanging="482" w:hangingChars="200"/>
        <w:rPr>
          <w:rFonts w:hint="eastAsia" w:ascii="宋体" w:hAnsi="宋体" w:eastAsia="宋体" w:cs="宋体"/>
          <w:b/>
          <w:bCs/>
          <w:kern w:val="0"/>
          <w:sz w:val="24"/>
          <w:szCs w:val="24"/>
        </w:rPr>
      </w:pPr>
      <w:r>
        <w:rPr>
          <w:rFonts w:hint="eastAsia" w:ascii="宋体" w:hAnsi="宋体" w:eastAsia="宋体" w:cs="宋体"/>
          <w:b/>
          <w:bCs/>
          <w:kern w:val="0"/>
          <w:sz w:val="24"/>
          <w:szCs w:val="24"/>
        </w:rPr>
        <w:t>甲方: 深圳会展中心管理有限责任公司</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公司地址:深圳市福华三路会展中心</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法定代表人: </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联系人:</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联系电话:</w:t>
      </w:r>
    </w:p>
    <w:p>
      <w:pPr>
        <w:shd w:val="clear" w:color="auto" w:fill="FFFFFF"/>
        <w:spacing w:line="360" w:lineRule="auto"/>
        <w:ind w:left="482" w:hanging="482" w:hangingChars="200"/>
        <w:rPr>
          <w:rFonts w:hint="eastAsia" w:ascii="宋体" w:hAnsi="宋体" w:eastAsia="宋体" w:cs="宋体"/>
          <w:b/>
          <w:bCs/>
          <w:kern w:val="0"/>
          <w:sz w:val="24"/>
          <w:szCs w:val="24"/>
        </w:rPr>
      </w:pPr>
      <w:r>
        <w:rPr>
          <w:rFonts w:hint="eastAsia" w:ascii="宋体" w:hAnsi="宋体" w:eastAsia="宋体" w:cs="宋体"/>
          <w:b/>
          <w:bCs/>
          <w:kern w:val="0"/>
          <w:sz w:val="24"/>
          <w:szCs w:val="24"/>
        </w:rPr>
        <w:t>乙方:有限公司</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公司地址: </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联系人: </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联系电话: </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账号: </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开户银行： </w:t>
      </w:r>
    </w:p>
    <w:p>
      <w:pPr>
        <w:shd w:val="clear" w:color="auto" w:fill="FFFFFF"/>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双方协商一致，甲方全权委托乙方对甲方所有美国吉尼高空作业平台进行定期的设备维修和日常维护保养，从而有效保证甲方该设备保持良好的运行状况，根据《中华人民共和国民典法》有关规定，按照平等互利的原则，签订本合同。</w:t>
      </w:r>
    </w:p>
    <w:p>
      <w:pPr>
        <w:pStyle w:val="22"/>
        <w:numPr>
          <w:ilvl w:val="0"/>
          <w:numId w:val="43"/>
        </w:numPr>
        <w:shd w:val="clear" w:color="auto" w:fill="FFFFFF"/>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标的设备名称、型号、保养频次、数量及金额：</w:t>
      </w:r>
    </w:p>
    <w:tbl>
      <w:tblPr>
        <w:tblStyle w:val="14"/>
        <w:tblpPr w:leftFromText="180" w:rightFromText="180" w:vertAnchor="text" w:horzAnchor="margin" w:tblpXSpec="center" w:tblpY="367"/>
        <w:tblW w:w="9817" w:type="dxa"/>
        <w:tblInd w:w="0" w:type="dxa"/>
        <w:tblLayout w:type="fixed"/>
        <w:tblCellMar>
          <w:top w:w="0" w:type="dxa"/>
          <w:left w:w="42" w:type="dxa"/>
          <w:bottom w:w="0" w:type="dxa"/>
          <w:right w:w="42" w:type="dxa"/>
        </w:tblCellMar>
      </w:tblPr>
      <w:tblGrid>
        <w:gridCol w:w="583"/>
        <w:gridCol w:w="1869"/>
        <w:gridCol w:w="1559"/>
        <w:gridCol w:w="1559"/>
        <w:gridCol w:w="709"/>
        <w:gridCol w:w="709"/>
        <w:gridCol w:w="1412"/>
        <w:gridCol w:w="1417"/>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型号</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保养频次/年</w:t>
            </w:r>
          </w:p>
        </w:tc>
        <w:tc>
          <w:tcPr>
            <w:tcW w:w="70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单位</w:t>
            </w:r>
          </w:p>
        </w:tc>
        <w:tc>
          <w:tcPr>
            <w:tcW w:w="709"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12"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单价（元/年）</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总价/年（元）</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86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color w:val="000000"/>
                <w:kern w:val="0"/>
                <w:sz w:val="24"/>
                <w:szCs w:val="24"/>
              </w:rPr>
              <w:t>32米直臂式高空作业平台</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S-105</w:t>
            </w:r>
          </w:p>
        </w:tc>
        <w:tc>
          <w:tcPr>
            <w:tcW w:w="1559" w:type="dxa"/>
            <w:tcBorders>
              <w:top w:val="single" w:color="auto" w:sz="6" w:space="0"/>
              <w:left w:val="single" w:color="auto" w:sz="6" w:space="0"/>
              <w:bottom w:val="single" w:color="auto" w:sz="6" w:space="0"/>
              <w:right w:val="single" w:color="auto" w:sz="6" w:space="0"/>
            </w:tcBorders>
            <w:vAlign w:val="center"/>
          </w:tcPr>
          <w:p>
            <w:pPr>
              <w:ind w:firstLine="120" w:firstLineChars="50"/>
              <w:jc w:val="center"/>
              <w:rPr>
                <w:rFonts w:hint="eastAsia" w:ascii="宋体" w:hAnsi="宋体" w:eastAsia="宋体" w:cs="宋体"/>
                <w:sz w:val="24"/>
                <w:szCs w:val="24"/>
              </w:rPr>
            </w:pPr>
            <w:r>
              <w:rPr>
                <w:rFonts w:hint="eastAsia" w:ascii="宋体" w:hAnsi="宋体" w:eastAsia="宋体" w:cs="宋体"/>
                <w:color w:val="000000"/>
                <w:sz w:val="24"/>
                <w:szCs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86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38米直臂式高空作业平台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S-125</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color w:val="000000"/>
                <w:sz w:val="24"/>
                <w:szCs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86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32米+38米保养包</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套：机油滤 49924*1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柴油滤 29560*1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空气滤 62425*1</w:t>
            </w:r>
          </w:p>
        </w:tc>
        <w:tc>
          <w:tcPr>
            <w:tcW w:w="1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宋体" w:hAnsi="宋体" w:eastAsia="宋体" w:cs="宋体"/>
                <w:color w:val="000000"/>
                <w:kern w:val="0"/>
                <w:sz w:val="24"/>
                <w:szCs w:val="24"/>
              </w:rPr>
            </w:pP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4套/年</w:t>
            </w:r>
          </w:p>
          <w:p>
            <w:pPr>
              <w:jc w:val="center"/>
              <w:rPr>
                <w:rFonts w:hint="eastAsia" w:ascii="宋体" w:hAnsi="宋体" w:eastAsia="宋体" w:cs="宋体"/>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套</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86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专用柴油发动机机油</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美孚超级黑霸王CI</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72升/年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升</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72</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86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12米单桅杆式高空作业平台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AWP-40S</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86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color w:val="000000"/>
                <w:sz w:val="24"/>
                <w:szCs w:val="24"/>
              </w:rPr>
              <w:t>12米剪型高空作业平台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GS-3246</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color w:val="000000"/>
                <w:sz w:val="24"/>
                <w:szCs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86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color w:val="000000"/>
                <w:sz w:val="24"/>
                <w:szCs w:val="24"/>
              </w:rPr>
              <w:t>12米剪型高空作业平台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GS-3232</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color w:val="000000"/>
                <w:sz w:val="24"/>
                <w:szCs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186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color w:val="000000"/>
                <w:sz w:val="24"/>
                <w:szCs w:val="24"/>
              </w:rPr>
              <w:t>剪型高空作业平台保养包（含回油滤1个/套）</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套;回油滤44788*1</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color w:val="000000"/>
                <w:sz w:val="24"/>
                <w:szCs w:val="24"/>
              </w:rPr>
              <w:t>4套/年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套</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p>
        </w:tc>
        <w:tc>
          <w:tcPr>
            <w:tcW w:w="6405" w:type="dxa"/>
            <w:gridSpan w:val="5"/>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合计（元）</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p>
        </w:tc>
        <w:tc>
          <w:tcPr>
            <w:tcW w:w="6405" w:type="dxa"/>
            <w:gridSpan w:val="5"/>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1+1+1三年总计（元）</w:t>
            </w:r>
          </w:p>
        </w:tc>
        <w:tc>
          <w:tcPr>
            <w:tcW w:w="2829" w:type="dxa"/>
            <w:gridSpan w:val="2"/>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 w:val="24"/>
                <w:szCs w:val="24"/>
              </w:rPr>
            </w:pPr>
          </w:p>
        </w:tc>
      </w:tr>
    </w:tbl>
    <w:p>
      <w:pPr>
        <w:pStyle w:val="2"/>
        <w:ind w:left="0"/>
        <w:rPr>
          <w:rFonts w:hint="eastAsia" w:ascii="宋体" w:hAnsi="宋体" w:eastAsia="宋体" w:cs="宋体"/>
          <w:sz w:val="24"/>
          <w:szCs w:val="24"/>
        </w:rPr>
      </w:pPr>
    </w:p>
    <w:p>
      <w:pPr>
        <w:shd w:val="clear" w:color="auto" w:fill="FFFFFF"/>
        <w:spacing w:line="360" w:lineRule="auto"/>
        <w:ind w:left="-140" w:leftChars="-67" w:hanging="1"/>
        <w:rPr>
          <w:rFonts w:hint="eastAsia" w:ascii="宋体" w:hAnsi="宋体" w:eastAsia="宋体" w:cs="宋体"/>
          <w:sz w:val="24"/>
          <w:szCs w:val="24"/>
        </w:rPr>
      </w:pPr>
      <w:r>
        <w:rPr>
          <w:rFonts w:hint="eastAsia" w:ascii="宋体" w:hAnsi="宋体" w:eastAsia="宋体" w:cs="宋体"/>
          <w:b/>
          <w:bCs/>
          <w:kern w:val="0"/>
          <w:sz w:val="24"/>
          <w:szCs w:val="24"/>
        </w:rPr>
        <w:t>第2条</w:t>
      </w:r>
      <w:r>
        <w:rPr>
          <w:rFonts w:hint="eastAsia" w:ascii="宋体" w:hAnsi="宋体" w:eastAsia="宋体" w:cs="宋体"/>
          <w:kern w:val="0"/>
          <w:sz w:val="24"/>
          <w:szCs w:val="24"/>
        </w:rPr>
        <w:t xml:space="preserve"> 合同</w:t>
      </w:r>
      <w:r>
        <w:rPr>
          <w:rFonts w:hint="eastAsia" w:ascii="宋体" w:hAnsi="宋体" w:eastAsia="宋体" w:cs="宋体"/>
          <w:sz w:val="24"/>
          <w:szCs w:val="24"/>
        </w:rPr>
        <w:t>金额</w:t>
      </w:r>
    </w:p>
    <w:p>
      <w:pPr>
        <w:shd w:val="clear" w:color="auto" w:fill="FFFFFF"/>
        <w:spacing w:line="360" w:lineRule="auto"/>
        <w:ind w:left="-141" w:leftChars="-67" w:firstLine="480" w:firstLineChars="200"/>
        <w:rPr>
          <w:rFonts w:hint="eastAsia" w:ascii="宋体" w:hAnsi="宋体" w:eastAsia="宋体" w:cs="宋体"/>
          <w:kern w:val="0"/>
          <w:sz w:val="24"/>
          <w:szCs w:val="24"/>
        </w:rPr>
      </w:pPr>
      <w:r>
        <w:rPr>
          <w:rFonts w:hint="eastAsia" w:ascii="宋体" w:hAnsi="宋体" w:eastAsia="宋体" w:cs="宋体"/>
          <w:sz w:val="24"/>
          <w:szCs w:val="24"/>
        </w:rPr>
        <w:t>三年维保费用合计</w:t>
      </w:r>
      <w:r>
        <w:rPr>
          <w:rFonts w:hint="eastAsia" w:ascii="宋体" w:hAnsi="宋体" w:eastAsia="宋体" w:cs="宋体"/>
          <w:sz w:val="24"/>
          <w:szCs w:val="24"/>
          <w:u w:val="single"/>
        </w:rPr>
        <w:t>人民币元整</w:t>
      </w:r>
      <w:r>
        <w:rPr>
          <w:rFonts w:hint="eastAsia" w:ascii="宋体" w:hAnsi="宋体" w:eastAsia="宋体" w:cs="宋体"/>
          <w:sz w:val="24"/>
          <w:szCs w:val="24"/>
        </w:rPr>
        <w:t>（</w:t>
      </w:r>
      <w:r>
        <w:rPr>
          <w:rFonts w:hint="eastAsia" w:ascii="宋体" w:hAnsi="宋体" w:eastAsia="宋体" w:cs="宋体"/>
          <w:sz w:val="24"/>
          <w:szCs w:val="24"/>
          <w:u w:val="single"/>
        </w:rPr>
        <w:t>￥</w:t>
      </w:r>
      <w:r>
        <w:rPr>
          <w:rFonts w:hint="eastAsia" w:ascii="宋体" w:hAnsi="宋体" w:eastAsia="宋体" w:cs="宋体"/>
          <w:sz w:val="24"/>
          <w:szCs w:val="24"/>
        </w:rPr>
        <w:t>）。年度费用标准：第一年</w:t>
      </w:r>
      <w:r>
        <w:rPr>
          <w:rFonts w:hint="eastAsia" w:ascii="宋体" w:hAnsi="宋体" w:eastAsia="宋体" w:cs="宋体"/>
          <w:color w:val="000000"/>
          <w:sz w:val="24"/>
          <w:szCs w:val="24"/>
        </w:rPr>
        <w:t>（</w:t>
      </w:r>
      <w:r>
        <w:rPr>
          <w:rFonts w:hint="eastAsia" w:ascii="宋体" w:hAnsi="宋体" w:eastAsia="宋体" w:cs="宋体"/>
          <w:sz w:val="24"/>
          <w:szCs w:val="24"/>
        </w:rPr>
        <w:t>二○二二年月日起至二○二三年月）维保合同金额为：</w:t>
      </w:r>
      <w:r>
        <w:rPr>
          <w:rFonts w:hint="eastAsia" w:ascii="宋体" w:hAnsi="宋体" w:eastAsia="宋体" w:cs="宋体"/>
          <w:kern w:val="10"/>
          <w:sz w:val="24"/>
          <w:szCs w:val="24"/>
        </w:rPr>
        <w:t>人民币</w:t>
      </w:r>
      <w:r>
        <w:rPr>
          <w:rFonts w:hint="eastAsia" w:ascii="宋体" w:hAnsi="宋体" w:eastAsia="宋体" w:cs="宋体"/>
          <w:kern w:val="10"/>
          <w:sz w:val="24"/>
          <w:szCs w:val="24"/>
          <w:u w:val="single"/>
        </w:rPr>
        <w:t>元整</w:t>
      </w:r>
      <w:r>
        <w:rPr>
          <w:rFonts w:hint="eastAsia" w:ascii="宋体" w:hAnsi="宋体" w:eastAsia="宋体" w:cs="宋体"/>
          <w:sz w:val="24"/>
          <w:szCs w:val="24"/>
        </w:rPr>
        <w:t>（￥），第二年</w:t>
      </w:r>
      <w:r>
        <w:rPr>
          <w:rFonts w:hint="eastAsia" w:ascii="宋体" w:hAnsi="宋体" w:eastAsia="宋体" w:cs="宋体"/>
          <w:color w:val="000000"/>
          <w:sz w:val="24"/>
          <w:szCs w:val="24"/>
        </w:rPr>
        <w:t>（</w:t>
      </w:r>
      <w:r>
        <w:rPr>
          <w:rFonts w:hint="eastAsia" w:ascii="宋体" w:hAnsi="宋体" w:eastAsia="宋体" w:cs="宋体"/>
          <w:sz w:val="24"/>
          <w:szCs w:val="24"/>
        </w:rPr>
        <w:t>二○二三年月日起至二○二四年月日）维保合同金额为：</w:t>
      </w:r>
      <w:r>
        <w:rPr>
          <w:rFonts w:hint="eastAsia" w:ascii="宋体" w:hAnsi="宋体" w:eastAsia="宋体" w:cs="宋体"/>
          <w:kern w:val="10"/>
          <w:sz w:val="24"/>
          <w:szCs w:val="24"/>
        </w:rPr>
        <w:t>人民币</w:t>
      </w:r>
      <w:r>
        <w:rPr>
          <w:rFonts w:hint="eastAsia" w:ascii="宋体" w:hAnsi="宋体" w:eastAsia="宋体" w:cs="宋体"/>
          <w:kern w:val="10"/>
          <w:sz w:val="24"/>
          <w:szCs w:val="24"/>
          <w:u w:val="single"/>
        </w:rPr>
        <w:t>元整</w:t>
      </w:r>
      <w:r>
        <w:rPr>
          <w:rFonts w:hint="eastAsia" w:ascii="宋体" w:hAnsi="宋体" w:eastAsia="宋体" w:cs="宋体"/>
          <w:sz w:val="24"/>
          <w:szCs w:val="24"/>
        </w:rPr>
        <w:t>（￥），第三年</w:t>
      </w:r>
      <w:r>
        <w:rPr>
          <w:rFonts w:hint="eastAsia" w:ascii="宋体" w:hAnsi="宋体" w:eastAsia="宋体" w:cs="宋体"/>
          <w:color w:val="000000"/>
          <w:sz w:val="24"/>
          <w:szCs w:val="24"/>
        </w:rPr>
        <w:t>（</w:t>
      </w:r>
      <w:r>
        <w:rPr>
          <w:rFonts w:hint="eastAsia" w:ascii="宋体" w:hAnsi="宋体" w:eastAsia="宋体" w:cs="宋体"/>
          <w:sz w:val="24"/>
          <w:szCs w:val="24"/>
        </w:rPr>
        <w:t>二○二四月日起至二○二五年月日）维保合同金额为：</w:t>
      </w:r>
      <w:r>
        <w:rPr>
          <w:rFonts w:hint="eastAsia" w:ascii="宋体" w:hAnsi="宋体" w:eastAsia="宋体" w:cs="宋体"/>
          <w:kern w:val="10"/>
          <w:sz w:val="24"/>
          <w:szCs w:val="24"/>
        </w:rPr>
        <w:t>人民币</w:t>
      </w:r>
      <w:r>
        <w:rPr>
          <w:rFonts w:hint="eastAsia" w:ascii="宋体" w:hAnsi="宋体" w:eastAsia="宋体" w:cs="宋体"/>
          <w:kern w:val="10"/>
          <w:sz w:val="24"/>
          <w:szCs w:val="24"/>
          <w:u w:val="single"/>
        </w:rPr>
        <w:t>元整</w:t>
      </w:r>
      <w:r>
        <w:rPr>
          <w:rFonts w:hint="eastAsia" w:ascii="宋体" w:hAnsi="宋体" w:eastAsia="宋体" w:cs="宋体"/>
          <w:sz w:val="24"/>
          <w:szCs w:val="24"/>
        </w:rPr>
        <w:t>（￥），</w:t>
      </w:r>
      <w:r>
        <w:rPr>
          <w:rFonts w:hint="eastAsia" w:ascii="宋体" w:hAnsi="宋体" w:eastAsia="宋体" w:cs="宋体"/>
          <w:kern w:val="0"/>
          <w:sz w:val="24"/>
          <w:szCs w:val="24"/>
        </w:rPr>
        <w:t>该合同金额</w:t>
      </w:r>
      <w:r>
        <w:rPr>
          <w:rFonts w:hint="eastAsia" w:ascii="宋体" w:hAnsi="宋体" w:eastAsia="宋体" w:cs="宋体"/>
          <w:sz w:val="24"/>
          <w:szCs w:val="24"/>
        </w:rPr>
        <w:t>包含维护检测费、人工费、交通费、差旅费、加班费、安全措施费、管理费及</w:t>
      </w:r>
      <w:r>
        <w:rPr>
          <w:rFonts w:hint="eastAsia" w:ascii="宋体" w:hAnsi="宋体" w:eastAsia="宋体" w:cs="宋体"/>
          <w:color w:val="000000"/>
          <w:sz w:val="24"/>
          <w:szCs w:val="24"/>
        </w:rPr>
        <w:t>单件价值人民币≤</w:t>
      </w:r>
      <w:r>
        <w:rPr>
          <w:rFonts w:hint="eastAsia" w:ascii="宋体" w:hAnsi="宋体" w:eastAsia="宋体" w:cs="宋体"/>
          <w:color w:val="000000"/>
          <w:sz w:val="24"/>
          <w:szCs w:val="24"/>
          <w:u w:val="single"/>
        </w:rPr>
        <w:t>500</w:t>
      </w:r>
      <w:r>
        <w:rPr>
          <w:rFonts w:hint="eastAsia" w:ascii="宋体" w:hAnsi="宋体" w:eastAsia="宋体" w:cs="宋体"/>
          <w:color w:val="000000"/>
          <w:sz w:val="24"/>
          <w:szCs w:val="24"/>
        </w:rPr>
        <w:t>元的零配件</w:t>
      </w:r>
      <w:r>
        <w:rPr>
          <w:rFonts w:hint="eastAsia" w:ascii="宋体" w:hAnsi="宋体" w:eastAsia="宋体" w:cs="宋体"/>
          <w:sz w:val="24"/>
          <w:szCs w:val="24"/>
        </w:rPr>
        <w:t>费等全部费用。</w:t>
      </w:r>
      <w:r>
        <w:rPr>
          <w:rFonts w:hint="eastAsia" w:ascii="宋体" w:hAnsi="宋体" w:eastAsia="宋体" w:cs="宋体"/>
          <w:kern w:val="0"/>
          <w:sz w:val="24"/>
          <w:szCs w:val="24"/>
        </w:rPr>
        <w:t>②</w:t>
      </w:r>
    </w:p>
    <w:p>
      <w:pPr>
        <w:shd w:val="clear" w:color="auto" w:fill="FFFFFF"/>
        <w:spacing w:line="360" w:lineRule="auto"/>
        <w:ind w:left="562" w:hanging="482" w:hangingChars="20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第3条 </w:t>
      </w:r>
      <w:r>
        <w:rPr>
          <w:rFonts w:hint="eastAsia" w:ascii="宋体" w:hAnsi="宋体" w:eastAsia="宋体" w:cs="宋体"/>
          <w:kern w:val="0"/>
          <w:sz w:val="24"/>
          <w:szCs w:val="24"/>
        </w:rPr>
        <w:t>合同期限</w:t>
      </w:r>
    </w:p>
    <w:p>
      <w:pPr>
        <w:spacing w:line="360" w:lineRule="auto"/>
        <w:ind w:left="1" w:firstLine="480" w:firstLineChars="200"/>
        <w:rPr>
          <w:rFonts w:hint="eastAsia" w:ascii="宋体" w:hAnsi="宋体" w:eastAsia="宋体" w:cs="宋体"/>
          <w:sz w:val="24"/>
          <w:szCs w:val="24"/>
        </w:rPr>
      </w:pPr>
      <w:r>
        <w:rPr>
          <w:rFonts w:hint="eastAsia" w:ascii="宋体" w:hAnsi="宋体" w:eastAsia="宋体" w:cs="宋体"/>
          <w:color w:val="000000"/>
          <w:sz w:val="24"/>
          <w:szCs w:val="24"/>
        </w:rPr>
        <w:t>本合同采取1+1+1模式，合同期限为3年，每年12个月，第一</w:t>
      </w:r>
      <w:r>
        <w:rPr>
          <w:rFonts w:hint="eastAsia" w:ascii="宋体" w:hAnsi="宋体" w:eastAsia="宋体" w:cs="宋体"/>
          <w:sz w:val="24"/>
          <w:szCs w:val="24"/>
        </w:rPr>
        <w:t>在第一年度结束前1个月，甲方根据乙方的服务质量、各项承诺兑现情况等因素进行考核评审，如考核达到优良（即考核评分达到80分或以上），则继续执行第二年度合同，如考核未达到优良，甲方有权在第一年服务期满时终止合同。下一年度合同以此类推。考核评审要求详见《深圳会展中心服务机构履约评价表（服务类）》</w:t>
      </w:r>
      <w:r>
        <w:rPr>
          <w:rFonts w:hint="eastAsia" w:ascii="宋体" w:hAnsi="宋体" w:eastAsia="宋体" w:cs="宋体"/>
          <w:sz w:val="24"/>
          <w:szCs w:val="24"/>
          <w:lang w:eastAsia="zh-CN"/>
        </w:rPr>
        <w:t>（此表内容以实际情况调整后为准）</w:t>
      </w:r>
      <w:r>
        <w:rPr>
          <w:rFonts w:hint="eastAsia" w:ascii="宋体" w:hAnsi="宋体" w:eastAsia="宋体" w:cs="宋体"/>
          <w:sz w:val="24"/>
          <w:szCs w:val="24"/>
        </w:rPr>
        <w:t>。如当年验收不合格则等同为考核不合格，甲方有权直接终止合同。</w:t>
      </w:r>
    </w:p>
    <w:p>
      <w:pPr>
        <w:shd w:val="clear" w:color="auto" w:fill="FFFFFF"/>
        <w:spacing w:line="360" w:lineRule="auto"/>
        <w:ind w:left="562" w:hanging="482" w:hangingChars="200"/>
        <w:rPr>
          <w:rFonts w:hint="eastAsia" w:ascii="宋体" w:hAnsi="宋体" w:eastAsia="宋体" w:cs="宋体"/>
          <w:color w:val="000000"/>
          <w:kern w:val="0"/>
          <w:sz w:val="24"/>
          <w:szCs w:val="24"/>
        </w:rPr>
      </w:pPr>
      <w:r>
        <w:rPr>
          <w:rFonts w:hint="eastAsia" w:ascii="宋体" w:hAnsi="宋体" w:eastAsia="宋体" w:cs="宋体"/>
          <w:b/>
          <w:bCs/>
          <w:sz w:val="24"/>
          <w:szCs w:val="24"/>
        </w:rPr>
        <w:t>第4条</w:t>
      </w:r>
      <w:r>
        <w:rPr>
          <w:rFonts w:hint="eastAsia" w:ascii="宋体" w:hAnsi="宋体" w:eastAsia="宋体" w:cs="宋体"/>
          <w:sz w:val="24"/>
          <w:szCs w:val="24"/>
        </w:rPr>
        <w:t xml:space="preserve"> </w:t>
      </w:r>
      <w:r>
        <w:rPr>
          <w:rFonts w:hint="eastAsia" w:ascii="宋体" w:hAnsi="宋体" w:eastAsia="宋体" w:cs="宋体"/>
          <w:kern w:val="0"/>
          <w:sz w:val="24"/>
          <w:szCs w:val="24"/>
        </w:rPr>
        <w:t>合同付款方式</w:t>
      </w:r>
    </w:p>
    <w:p>
      <w:pPr>
        <w:snapToGrid w:val="0"/>
        <w:spacing w:line="360" w:lineRule="auto"/>
        <w:ind w:left="-99" w:leftChars="-333" w:hanging="600" w:hangingChars="25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vanish/>
          <w:sz w:val="24"/>
          <w:szCs w:val="24"/>
        </w:rPr>
        <w:t>涨单价车80</w:t>
      </w:r>
      <w:r>
        <w:rPr>
          <w:rFonts w:hint="eastAsia" w:ascii="宋体" w:hAnsi="宋体" w:eastAsia="宋体" w:cs="宋体"/>
          <w:vanish/>
          <w:sz w:val="24"/>
          <w:szCs w:val="24"/>
        </w:rPr>
        <w:pgNum/>
      </w:r>
      <w:r>
        <w:rPr>
          <w:rFonts w:hint="eastAsia" w:ascii="宋体" w:hAnsi="宋体" w:eastAsia="宋体" w:cs="宋体"/>
          <w:sz w:val="24"/>
          <w:szCs w:val="24"/>
        </w:rPr>
        <w:t>合同约定的维修和日常保养费支付方式:</w:t>
      </w:r>
      <w:r>
        <w:rPr>
          <w:rFonts w:hint="eastAsia" w:ascii="宋体" w:hAnsi="宋体" w:eastAsia="宋体" w:cs="宋体"/>
          <w:color w:val="000000"/>
          <w:sz w:val="24"/>
          <w:szCs w:val="24"/>
        </w:rPr>
        <w:t xml:space="preserve"> </w:t>
      </w:r>
      <w:r>
        <w:rPr>
          <w:rFonts w:hint="eastAsia" w:ascii="宋体" w:hAnsi="宋体" w:eastAsia="宋体" w:cs="宋体"/>
          <w:sz w:val="24"/>
          <w:szCs w:val="24"/>
        </w:rPr>
        <w:t>在乙方按照维保工作计划并按时、保质的完成计划工作量的前提下，甲方按照维保工作进度每年分两次付款，即每满六个月付一次。</w:t>
      </w:r>
      <w:r>
        <w:rPr>
          <w:rFonts w:hint="eastAsia" w:ascii="宋体" w:hAnsi="宋体" w:eastAsia="宋体" w:cs="宋体"/>
          <w:color w:val="000000"/>
          <w:sz w:val="24"/>
          <w:szCs w:val="24"/>
        </w:rPr>
        <w:t>乙方向甲方提供有效的增值税发票，</w:t>
      </w:r>
      <w:r>
        <w:rPr>
          <w:rFonts w:hint="eastAsia" w:ascii="宋体" w:hAnsi="宋体" w:eastAsia="宋体" w:cs="宋体"/>
          <w:sz w:val="24"/>
          <w:szCs w:val="24"/>
        </w:rPr>
        <w:t>甲方凭乙方开出的有效发票，审核确认后，甲方向乙方支付年度合同金额的50%费用(即大写人民币</w:t>
      </w:r>
      <w:r>
        <w:rPr>
          <w:rFonts w:hint="eastAsia" w:ascii="宋体" w:hAnsi="宋体" w:eastAsia="宋体" w:cs="宋体"/>
          <w:sz w:val="24"/>
          <w:szCs w:val="24"/>
          <w:u w:val="single"/>
        </w:rPr>
        <w:t>元整</w:t>
      </w:r>
      <w:r>
        <w:rPr>
          <w:rFonts w:hint="eastAsia" w:ascii="宋体" w:hAnsi="宋体" w:eastAsia="宋体" w:cs="宋体"/>
          <w:sz w:val="24"/>
          <w:szCs w:val="24"/>
        </w:rPr>
        <w:t>,计:</w:t>
      </w:r>
      <w:r>
        <w:rPr>
          <w:rFonts w:hint="eastAsia" w:ascii="宋体" w:hAnsi="宋体" w:eastAsia="宋体" w:cs="宋体"/>
          <w:sz w:val="24"/>
          <w:szCs w:val="24"/>
          <w:u w:val="single"/>
        </w:rPr>
        <w:t>￥</w:t>
      </w:r>
      <w:r>
        <w:rPr>
          <w:rFonts w:hint="eastAsia" w:ascii="宋体" w:hAnsi="宋体" w:eastAsia="宋体" w:cs="宋体"/>
          <w:sz w:val="24"/>
          <w:szCs w:val="24"/>
        </w:rPr>
        <w:t>)；</w:t>
      </w:r>
      <w:r>
        <w:rPr>
          <w:rFonts w:hint="eastAsia" w:ascii="宋体" w:hAnsi="宋体" w:eastAsia="宋体" w:cs="宋体"/>
          <w:color w:val="000000"/>
          <w:sz w:val="24"/>
          <w:szCs w:val="24"/>
        </w:rPr>
        <w:t>第二年和第三年</w:t>
      </w:r>
      <w:r>
        <w:rPr>
          <w:rFonts w:hint="eastAsia" w:ascii="宋体" w:hAnsi="宋体" w:eastAsia="宋体" w:cs="宋体"/>
          <w:sz w:val="24"/>
          <w:szCs w:val="24"/>
        </w:rPr>
        <w:t>合同开始履行之后将按照第一年合同付款方式执行。</w:t>
      </w:r>
    </w:p>
    <w:p>
      <w:pPr>
        <w:spacing w:line="360" w:lineRule="auto"/>
        <w:ind w:left="562" w:hanging="482" w:hangingChars="200"/>
        <w:rPr>
          <w:rFonts w:hint="eastAsia" w:ascii="宋体" w:hAnsi="宋体" w:eastAsia="宋体" w:cs="宋体"/>
          <w:kern w:val="0"/>
          <w:sz w:val="24"/>
          <w:szCs w:val="24"/>
        </w:rPr>
      </w:pPr>
      <w:r>
        <w:rPr>
          <w:rFonts w:hint="eastAsia" w:ascii="宋体" w:hAnsi="宋体" w:eastAsia="宋体" w:cs="宋体"/>
          <w:b/>
          <w:bCs/>
          <w:kern w:val="0"/>
          <w:sz w:val="24"/>
          <w:szCs w:val="24"/>
        </w:rPr>
        <w:t>第5条</w:t>
      </w:r>
      <w:r>
        <w:rPr>
          <w:rFonts w:hint="eastAsia" w:ascii="宋体" w:hAnsi="宋体" w:eastAsia="宋体" w:cs="宋体"/>
          <w:kern w:val="0"/>
          <w:sz w:val="24"/>
          <w:szCs w:val="24"/>
        </w:rPr>
        <w:t xml:space="preserve"> 合同约定设备维修和日常维护保养相关条款和内容</w:t>
      </w:r>
    </w:p>
    <w:p>
      <w:pPr>
        <w:shd w:val="clear" w:color="auto" w:fill="FFFFFF"/>
        <w:spacing w:line="360" w:lineRule="auto"/>
        <w:ind w:left="560" w:hanging="560"/>
        <w:rPr>
          <w:rFonts w:hint="eastAsia" w:ascii="宋体" w:hAnsi="宋体" w:eastAsia="宋体" w:cs="宋体"/>
          <w:kern w:val="0"/>
          <w:sz w:val="24"/>
          <w:szCs w:val="24"/>
        </w:rPr>
      </w:pPr>
      <w:r>
        <w:rPr>
          <w:rFonts w:hint="eastAsia" w:ascii="宋体" w:hAnsi="宋体" w:eastAsia="宋体" w:cs="宋体"/>
          <w:sz w:val="24"/>
          <w:szCs w:val="24"/>
        </w:rPr>
        <w:t xml:space="preserve">5.1 </w:t>
      </w:r>
      <w:r>
        <w:rPr>
          <w:rFonts w:hint="eastAsia" w:ascii="宋体" w:hAnsi="宋体" w:eastAsia="宋体" w:cs="宋体"/>
          <w:kern w:val="0"/>
          <w:sz w:val="24"/>
          <w:szCs w:val="24"/>
        </w:rPr>
        <w:t>在合同期限内，乙方严格按照约定（附件2-维保项目及内容）的设备日常维护保养项目检查内容,对设备进行每2个月1次的设备日常维护保养，另外每年须要对所有设备进行1次全方面的大保检查和保养，每一年度6次常规保养、1次大保养，共计7次；免费应急维修次数不限（注：不包含</w:t>
      </w:r>
      <w:r>
        <w:rPr>
          <w:rFonts w:hint="eastAsia" w:ascii="宋体" w:hAnsi="宋体" w:eastAsia="宋体" w:cs="宋体"/>
          <w:sz w:val="24"/>
          <w:szCs w:val="24"/>
        </w:rPr>
        <w:t>单件价值</w:t>
      </w:r>
      <w:r>
        <w:rPr>
          <w:rFonts w:hint="eastAsia" w:ascii="宋体" w:hAnsi="宋体" w:eastAsia="宋体" w:cs="宋体"/>
          <w:sz w:val="24"/>
          <w:szCs w:val="24"/>
          <w:u w:val="single"/>
        </w:rPr>
        <w:t>500</w:t>
      </w:r>
      <w:r>
        <w:rPr>
          <w:rFonts w:hint="eastAsia" w:ascii="宋体" w:hAnsi="宋体" w:eastAsia="宋体" w:cs="宋体"/>
          <w:sz w:val="24"/>
          <w:szCs w:val="24"/>
        </w:rPr>
        <w:t>元以上常规</w:t>
      </w:r>
      <w:r>
        <w:rPr>
          <w:rFonts w:hint="eastAsia" w:ascii="宋体" w:hAnsi="宋体" w:eastAsia="宋体" w:cs="宋体"/>
          <w:kern w:val="0"/>
          <w:sz w:val="24"/>
          <w:szCs w:val="24"/>
        </w:rPr>
        <w:t>维修配件费用）。</w:t>
      </w:r>
    </w:p>
    <w:p>
      <w:pPr>
        <w:shd w:val="clear" w:color="auto" w:fill="FFFFFF"/>
        <w:spacing w:line="360" w:lineRule="auto"/>
        <w:ind w:left="560" w:hanging="560"/>
        <w:rPr>
          <w:rFonts w:hint="eastAsia" w:ascii="宋体" w:hAnsi="宋体" w:eastAsia="宋体" w:cs="宋体"/>
          <w:kern w:val="0"/>
          <w:sz w:val="24"/>
          <w:szCs w:val="24"/>
        </w:rPr>
      </w:pPr>
      <w:r>
        <w:rPr>
          <w:rFonts w:hint="eastAsia" w:ascii="宋体" w:hAnsi="宋体" w:eastAsia="宋体" w:cs="宋体"/>
          <w:kern w:val="0"/>
          <w:sz w:val="24"/>
          <w:szCs w:val="24"/>
        </w:rPr>
        <w:t>5.2 在合同期限内，乙方在甲方每年举办的几个重要展会（如：高交会、文博会）前对合同约定的高空作业平台，特别是32米直臂式高空作业平台进行全面的设备检查，发现有故障隐患进行排除，并及时把需要更换的配件名单递交甲方审批，以最快的速度订购配件，及时替换，以确保高空作业平台在重要展会上保持有效的运行状态，并在展会期间做到24小时应急响应服务，确保标的设备使用万无一失。</w:t>
      </w:r>
    </w:p>
    <w:p>
      <w:pPr>
        <w:spacing w:line="360" w:lineRule="auto"/>
        <w:ind w:left="560" w:hanging="560"/>
        <w:rPr>
          <w:rFonts w:hint="eastAsia" w:ascii="宋体" w:hAnsi="宋体" w:eastAsia="宋体" w:cs="宋体"/>
          <w:sz w:val="24"/>
          <w:szCs w:val="24"/>
        </w:rPr>
      </w:pPr>
      <w:r>
        <w:rPr>
          <w:rFonts w:hint="eastAsia" w:ascii="宋体" w:hAnsi="宋体" w:eastAsia="宋体" w:cs="宋体"/>
          <w:kern w:val="0"/>
          <w:sz w:val="24"/>
          <w:szCs w:val="24"/>
        </w:rPr>
        <w:t xml:space="preserve">5.3 </w:t>
      </w:r>
      <w:r>
        <w:rPr>
          <w:rFonts w:hint="eastAsia" w:ascii="宋体" w:hAnsi="宋体" w:eastAsia="宋体" w:cs="宋体"/>
          <w:sz w:val="24"/>
          <w:szCs w:val="24"/>
        </w:rPr>
        <w:t>在合同期限内，乙方应根据标的设备的运行码表数,严格按照设备厂家提供的设备保养手册的要求,对设备进行定期保养,维修保养服务由乙方具有资格的专业技术维修人员进行。</w:t>
      </w:r>
    </w:p>
    <w:p>
      <w:pPr>
        <w:shd w:val="clear" w:color="auto" w:fill="FFFFFF"/>
        <w:spacing w:line="360" w:lineRule="auto"/>
        <w:ind w:left="560" w:hanging="560"/>
        <w:rPr>
          <w:rFonts w:hint="eastAsia" w:ascii="宋体" w:hAnsi="宋体" w:eastAsia="宋体" w:cs="宋体"/>
          <w:kern w:val="0"/>
          <w:sz w:val="24"/>
          <w:szCs w:val="24"/>
        </w:rPr>
      </w:pPr>
      <w:r>
        <w:rPr>
          <w:rFonts w:hint="eastAsia" w:ascii="宋体" w:hAnsi="宋体" w:eastAsia="宋体" w:cs="宋体"/>
          <w:sz w:val="24"/>
          <w:szCs w:val="24"/>
        </w:rPr>
        <w:t xml:space="preserve">5.4 </w:t>
      </w:r>
      <w:r>
        <w:rPr>
          <w:rFonts w:hint="eastAsia" w:ascii="宋体" w:hAnsi="宋体" w:eastAsia="宋体" w:cs="宋体"/>
          <w:kern w:val="0"/>
          <w:sz w:val="24"/>
          <w:szCs w:val="24"/>
        </w:rPr>
        <w:t>乙方上门服务前，必须提前以电话或传真的形式正式通知，以便甲方预先做好准备和安排相关人员配合乙方的技师对设备进行维修和保养，如无提前通知，所造成的不便和相关费用由乙方自行负责。</w:t>
      </w:r>
    </w:p>
    <w:p>
      <w:pPr>
        <w:shd w:val="clear" w:color="auto" w:fill="FFFFFF"/>
        <w:spacing w:line="360" w:lineRule="auto"/>
        <w:ind w:left="560" w:hanging="560"/>
        <w:rPr>
          <w:rFonts w:hint="eastAsia" w:ascii="宋体" w:hAnsi="宋体" w:eastAsia="宋体" w:cs="宋体"/>
          <w:kern w:val="0"/>
          <w:sz w:val="24"/>
          <w:szCs w:val="24"/>
        </w:rPr>
      </w:pPr>
      <w:r>
        <w:rPr>
          <w:rFonts w:hint="eastAsia" w:ascii="宋体" w:hAnsi="宋体" w:eastAsia="宋体" w:cs="宋体"/>
          <w:kern w:val="0"/>
          <w:sz w:val="24"/>
          <w:szCs w:val="24"/>
        </w:rPr>
        <w:t>5.5 乙方每次上门服务，必须根据标的设备的运行状况所存在的问题，对甲方安排的专业的人员进行技术培训，纠正错误的操作行为。</w:t>
      </w:r>
    </w:p>
    <w:p>
      <w:pPr>
        <w:shd w:val="clear" w:color="auto" w:fill="FFFFFF"/>
        <w:spacing w:line="360" w:lineRule="auto"/>
        <w:ind w:left="560" w:hanging="560"/>
        <w:rPr>
          <w:rFonts w:hint="eastAsia" w:ascii="宋体" w:hAnsi="宋体" w:eastAsia="宋体" w:cs="宋体"/>
          <w:kern w:val="0"/>
          <w:sz w:val="24"/>
          <w:szCs w:val="24"/>
        </w:rPr>
      </w:pPr>
      <w:r>
        <w:rPr>
          <w:rFonts w:hint="eastAsia" w:ascii="宋体" w:hAnsi="宋体" w:eastAsia="宋体" w:cs="宋体"/>
          <w:kern w:val="0"/>
          <w:sz w:val="24"/>
          <w:szCs w:val="24"/>
        </w:rPr>
        <w:t xml:space="preserve">5.6 </w:t>
      </w:r>
      <w:r>
        <w:rPr>
          <w:rFonts w:hint="eastAsia" w:ascii="宋体" w:hAnsi="宋体" w:eastAsia="宋体" w:cs="宋体"/>
          <w:sz w:val="24"/>
          <w:szCs w:val="24"/>
        </w:rPr>
        <w:t>乙方必须严格按照合同的约定上门服务，如果各项服务不及时到位，甲方有权利扣减当次维修保养费用（年保养总额费分摊至每次维保为元）</w:t>
      </w:r>
      <w:r>
        <w:rPr>
          <w:rFonts w:hint="eastAsia" w:ascii="宋体" w:hAnsi="宋体" w:eastAsia="宋体" w:cs="宋体"/>
          <w:kern w:val="0"/>
          <w:sz w:val="24"/>
          <w:szCs w:val="24"/>
        </w:rPr>
        <w:t>。</w:t>
      </w:r>
    </w:p>
    <w:p>
      <w:pPr>
        <w:shd w:val="clear" w:color="auto" w:fill="FFFFFF"/>
        <w:spacing w:line="360" w:lineRule="auto"/>
        <w:ind w:left="560" w:hanging="560"/>
        <w:rPr>
          <w:rFonts w:hint="eastAsia" w:ascii="宋体" w:hAnsi="宋体" w:eastAsia="宋体" w:cs="宋体"/>
          <w:sz w:val="24"/>
          <w:szCs w:val="24"/>
        </w:rPr>
      </w:pPr>
      <w:r>
        <w:rPr>
          <w:rFonts w:hint="eastAsia" w:ascii="宋体" w:hAnsi="宋体" w:eastAsia="宋体" w:cs="宋体"/>
          <w:kern w:val="0"/>
          <w:sz w:val="24"/>
          <w:szCs w:val="24"/>
        </w:rPr>
        <w:t>5.7乙方提供标的设备发动机常规保养易损件（保养包及专用机油），发动机每300小时保养须更换机油、柴油滤、机油滤和空气滤，所有液压油滤清器每1000小时或每年更换一次（先到为准）。</w:t>
      </w:r>
      <w:r>
        <w:rPr>
          <w:rFonts w:hint="eastAsia" w:ascii="宋体" w:hAnsi="宋体" w:eastAsia="宋体" w:cs="宋体"/>
          <w:sz w:val="24"/>
          <w:szCs w:val="24"/>
        </w:rPr>
        <w:t>为了保证维修质量，乙方保证所提供的零配件均为原厂供应，维修配件材料单件价值</w:t>
      </w:r>
      <w:r>
        <w:rPr>
          <w:rFonts w:hint="eastAsia" w:ascii="宋体" w:hAnsi="宋体" w:eastAsia="宋体" w:cs="宋体"/>
          <w:sz w:val="24"/>
          <w:szCs w:val="24"/>
          <w:u w:val="single"/>
        </w:rPr>
        <w:t>500</w:t>
      </w:r>
      <w:r>
        <w:rPr>
          <w:rFonts w:hint="eastAsia" w:ascii="宋体" w:hAnsi="宋体" w:eastAsia="宋体" w:cs="宋体"/>
          <w:sz w:val="24"/>
          <w:szCs w:val="24"/>
        </w:rPr>
        <w:t>元人民币及以下的（附件3-配件清单），由乙方承担费用，高于</w:t>
      </w:r>
      <w:r>
        <w:rPr>
          <w:rFonts w:hint="eastAsia" w:ascii="宋体" w:hAnsi="宋体" w:eastAsia="宋体" w:cs="宋体"/>
          <w:sz w:val="24"/>
          <w:szCs w:val="24"/>
          <w:u w:val="single"/>
        </w:rPr>
        <w:t>500</w:t>
      </w:r>
      <w:r>
        <w:rPr>
          <w:rFonts w:hint="eastAsia" w:ascii="宋体" w:hAnsi="宋体" w:eastAsia="宋体" w:cs="宋体"/>
          <w:sz w:val="24"/>
          <w:szCs w:val="24"/>
        </w:rPr>
        <w:t>元人民币的单件价值配件材料费用由甲方负责，同时乙方以优惠的价格供应甲方相应的原装配件（需经甲方同意）。标的设备每次规定的维护保养时间未到，设备出现故障，乙方承诺接到甲方电话或传真通知后24小时内给予维修。</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sz w:val="24"/>
          <w:szCs w:val="24"/>
        </w:rPr>
        <w:t xml:space="preserve">5.8 </w:t>
      </w:r>
      <w:r>
        <w:rPr>
          <w:rFonts w:hint="eastAsia" w:ascii="宋体" w:hAnsi="宋体" w:eastAsia="宋体" w:cs="宋体"/>
          <w:kern w:val="0"/>
          <w:sz w:val="24"/>
          <w:szCs w:val="24"/>
        </w:rPr>
        <w:t>乙方上门服务，食宿由乙方自行解决。</w:t>
      </w:r>
    </w:p>
    <w:p>
      <w:pPr>
        <w:shd w:val="clear" w:color="auto" w:fill="FFFFFF"/>
        <w:spacing w:line="360" w:lineRule="auto"/>
        <w:ind w:left="562" w:hanging="482" w:hangingChars="200"/>
        <w:rPr>
          <w:rFonts w:hint="eastAsia" w:ascii="宋体" w:hAnsi="宋体" w:eastAsia="宋体" w:cs="宋体"/>
          <w:kern w:val="0"/>
          <w:sz w:val="24"/>
          <w:szCs w:val="24"/>
        </w:rPr>
      </w:pPr>
      <w:r>
        <w:rPr>
          <w:rFonts w:hint="eastAsia" w:ascii="宋体" w:hAnsi="宋体" w:eastAsia="宋体" w:cs="宋体"/>
          <w:b/>
          <w:bCs/>
          <w:kern w:val="0"/>
          <w:sz w:val="24"/>
          <w:szCs w:val="24"/>
        </w:rPr>
        <w:t>第6条</w:t>
      </w:r>
      <w:r>
        <w:rPr>
          <w:rFonts w:hint="eastAsia" w:ascii="宋体" w:hAnsi="宋体" w:eastAsia="宋体" w:cs="宋体"/>
          <w:kern w:val="0"/>
          <w:sz w:val="24"/>
          <w:szCs w:val="24"/>
        </w:rPr>
        <w:t xml:space="preserve"> 本合同解除的条件：</w:t>
      </w:r>
    </w:p>
    <w:p>
      <w:pPr>
        <w:shd w:val="clear" w:color="auto" w:fill="FFFFFF"/>
        <w:spacing w:line="360" w:lineRule="auto"/>
        <w:ind w:left="560" w:hanging="560"/>
        <w:rPr>
          <w:rFonts w:hint="eastAsia" w:ascii="宋体" w:hAnsi="宋体" w:eastAsia="宋体" w:cs="宋体"/>
          <w:kern w:val="0"/>
          <w:sz w:val="24"/>
          <w:szCs w:val="24"/>
        </w:rPr>
      </w:pPr>
      <w:r>
        <w:rPr>
          <w:rFonts w:hint="eastAsia" w:ascii="宋体" w:hAnsi="宋体" w:eastAsia="宋体" w:cs="宋体"/>
          <w:kern w:val="0"/>
          <w:sz w:val="24"/>
          <w:szCs w:val="24"/>
        </w:rPr>
        <w:t>6.1 双方一致同意解除；</w:t>
      </w:r>
    </w:p>
    <w:p>
      <w:pPr>
        <w:shd w:val="clear" w:color="auto" w:fill="FFFFFF"/>
        <w:spacing w:line="360" w:lineRule="auto"/>
        <w:ind w:left="560" w:hanging="560"/>
        <w:rPr>
          <w:rFonts w:hint="eastAsia" w:ascii="宋体" w:hAnsi="宋体" w:eastAsia="宋体" w:cs="宋体"/>
          <w:kern w:val="0"/>
          <w:sz w:val="24"/>
          <w:szCs w:val="24"/>
        </w:rPr>
      </w:pPr>
      <w:r>
        <w:rPr>
          <w:rFonts w:hint="eastAsia" w:ascii="宋体" w:hAnsi="宋体" w:eastAsia="宋体" w:cs="宋体"/>
          <w:kern w:val="0"/>
          <w:sz w:val="24"/>
          <w:szCs w:val="24"/>
        </w:rPr>
        <w:t>6.2 双方约定期限届满；</w:t>
      </w:r>
    </w:p>
    <w:p>
      <w:pPr>
        <w:shd w:val="clear" w:color="auto" w:fill="FFFFFF"/>
        <w:spacing w:line="360" w:lineRule="auto"/>
        <w:ind w:left="560" w:hanging="560"/>
        <w:rPr>
          <w:rFonts w:hint="eastAsia" w:ascii="宋体" w:hAnsi="宋体" w:eastAsia="宋体" w:cs="宋体"/>
          <w:kern w:val="0"/>
          <w:sz w:val="24"/>
          <w:szCs w:val="24"/>
        </w:rPr>
      </w:pPr>
      <w:r>
        <w:rPr>
          <w:rFonts w:hint="eastAsia" w:ascii="宋体" w:hAnsi="宋体" w:eastAsia="宋体" w:cs="宋体"/>
          <w:kern w:val="0"/>
          <w:sz w:val="24"/>
          <w:szCs w:val="24"/>
        </w:rPr>
        <w:t>6.3 因不可抗力因素（如地震、水灾、火灾等）致使合同目的不能实现，双方均不承担违约责任；</w:t>
      </w:r>
    </w:p>
    <w:p>
      <w:pPr>
        <w:shd w:val="clear" w:color="auto" w:fill="FFFFFF"/>
        <w:spacing w:line="360" w:lineRule="auto"/>
        <w:ind w:left="560" w:hanging="560"/>
        <w:rPr>
          <w:rFonts w:hint="eastAsia" w:ascii="宋体" w:hAnsi="宋体" w:eastAsia="宋体" w:cs="宋体"/>
          <w:kern w:val="0"/>
          <w:sz w:val="24"/>
          <w:szCs w:val="24"/>
        </w:rPr>
      </w:pPr>
      <w:r>
        <w:rPr>
          <w:rFonts w:hint="eastAsia" w:ascii="宋体" w:hAnsi="宋体" w:eastAsia="宋体" w:cs="宋体"/>
          <w:kern w:val="0"/>
          <w:sz w:val="24"/>
          <w:szCs w:val="24"/>
        </w:rPr>
        <w:t>6.4 当人一方明确表示或自己行为表明不履行合同，构成违约时，另一方有权单方解除合同。</w:t>
      </w:r>
    </w:p>
    <w:p>
      <w:pPr>
        <w:shd w:val="clear" w:color="auto" w:fill="FFFFFF"/>
        <w:spacing w:line="360" w:lineRule="auto"/>
        <w:ind w:left="-36" w:leftChars="-17" w:firstLine="1"/>
        <w:rPr>
          <w:rFonts w:hint="eastAsia" w:ascii="宋体" w:hAnsi="宋体" w:eastAsia="宋体" w:cs="宋体"/>
          <w:kern w:val="0"/>
          <w:sz w:val="24"/>
          <w:szCs w:val="24"/>
        </w:rPr>
      </w:pPr>
      <w:r>
        <w:rPr>
          <w:rFonts w:hint="eastAsia" w:ascii="宋体" w:hAnsi="宋体" w:eastAsia="宋体" w:cs="宋体"/>
          <w:b/>
          <w:bCs/>
          <w:kern w:val="0"/>
          <w:sz w:val="24"/>
          <w:szCs w:val="24"/>
        </w:rPr>
        <w:t>第7条</w:t>
      </w:r>
      <w:r>
        <w:rPr>
          <w:rFonts w:hint="eastAsia" w:ascii="宋体" w:hAnsi="宋体" w:eastAsia="宋体" w:cs="宋体"/>
          <w:kern w:val="0"/>
          <w:sz w:val="24"/>
          <w:szCs w:val="24"/>
        </w:rPr>
        <w:t xml:space="preserve">  合同未尽事宜,双方可协商解决,对本合同所做的任何修改或补充必须经双方协商认可,并以书面形式由双方签字确认作为合同的补充协议；本合同在履行的过程中发生的争议，由双方人协商解决，协商不成的，依法向甲方所在地的人民法院起诉。</w:t>
      </w:r>
    </w:p>
    <w:p>
      <w:pPr>
        <w:shd w:val="clear" w:color="auto" w:fill="FFFFFF"/>
        <w:spacing w:line="360" w:lineRule="auto"/>
        <w:ind w:left="562" w:hanging="482" w:hangingChars="20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第8条 </w:t>
      </w:r>
      <w:r>
        <w:rPr>
          <w:rFonts w:hint="eastAsia" w:ascii="宋体" w:hAnsi="宋体" w:eastAsia="宋体" w:cs="宋体"/>
          <w:kern w:val="0"/>
          <w:sz w:val="24"/>
          <w:szCs w:val="24"/>
        </w:rPr>
        <w:t xml:space="preserve"> 在本合同到期后，同等条件情况下乙方有优先续签的权利。</w:t>
      </w:r>
    </w:p>
    <w:p>
      <w:pPr>
        <w:shd w:val="clear" w:color="auto" w:fill="FFFFFF"/>
        <w:spacing w:line="360" w:lineRule="auto"/>
        <w:ind w:left="-36" w:leftChars="-17" w:firstLine="1"/>
        <w:rPr>
          <w:rFonts w:hint="eastAsia" w:ascii="宋体" w:hAnsi="宋体" w:eastAsia="宋体" w:cs="宋体"/>
          <w:kern w:val="0"/>
          <w:sz w:val="24"/>
          <w:szCs w:val="24"/>
        </w:rPr>
      </w:pPr>
      <w:r>
        <w:rPr>
          <w:rFonts w:hint="eastAsia" w:ascii="宋体" w:hAnsi="宋体" w:eastAsia="宋体" w:cs="宋体"/>
          <w:b/>
          <w:bCs/>
          <w:kern w:val="0"/>
          <w:sz w:val="24"/>
          <w:szCs w:val="24"/>
        </w:rPr>
        <w:t>第9条</w:t>
      </w:r>
      <w:r>
        <w:rPr>
          <w:rFonts w:hint="eastAsia" w:ascii="宋体" w:hAnsi="宋体" w:eastAsia="宋体" w:cs="宋体"/>
          <w:kern w:val="0"/>
          <w:sz w:val="24"/>
          <w:szCs w:val="24"/>
        </w:rPr>
        <w:t xml:space="preserve">  本合同一式伍份，甲方四份，乙方一份，自合同正式签订之日起生效。本合同附件都是合同的组成部分，与合同具有同等法律效力。</w:t>
      </w:r>
    </w:p>
    <w:p>
      <w:pPr>
        <w:shd w:val="clear" w:color="auto" w:fill="FFFFFF"/>
        <w:spacing w:line="360" w:lineRule="auto"/>
        <w:ind w:left="480" w:hanging="480" w:hangingChars="200"/>
        <w:rPr>
          <w:rFonts w:hint="eastAsia" w:ascii="宋体" w:hAnsi="宋体" w:eastAsia="宋体" w:cs="宋体"/>
          <w:kern w:val="0"/>
          <w:sz w:val="24"/>
          <w:szCs w:val="24"/>
        </w:rPr>
      </w:pP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 附件：1.</w:t>
      </w:r>
      <w:r>
        <w:rPr>
          <w:rFonts w:hint="eastAsia" w:ascii="宋体" w:hAnsi="宋体" w:eastAsia="宋体" w:cs="宋体"/>
          <w:sz w:val="24"/>
          <w:szCs w:val="24"/>
        </w:rPr>
        <w:t>《深圳会展中心高空作业平台维保服务考核评分表》</w:t>
      </w:r>
    </w:p>
    <w:p>
      <w:pPr>
        <w:spacing w:line="360" w:lineRule="auto"/>
        <w:rPr>
          <w:rFonts w:hint="eastAsia" w:ascii="宋体" w:hAnsi="宋体" w:eastAsia="宋体" w:cs="宋体"/>
          <w:sz w:val="24"/>
          <w:szCs w:val="24"/>
        </w:rPr>
      </w:pPr>
      <w:r>
        <w:rPr>
          <w:rFonts w:hint="eastAsia" w:ascii="宋体" w:hAnsi="宋体" w:eastAsia="宋体" w:cs="宋体"/>
          <w:kern w:val="0"/>
          <w:sz w:val="24"/>
          <w:szCs w:val="24"/>
        </w:rPr>
        <w:t xml:space="preserve">      2. </w:t>
      </w:r>
      <w:r>
        <w:rPr>
          <w:rFonts w:hint="eastAsia" w:ascii="宋体" w:hAnsi="宋体" w:eastAsia="宋体" w:cs="宋体"/>
          <w:sz w:val="24"/>
          <w:szCs w:val="24"/>
        </w:rPr>
        <w:t>美国吉尼高空设备每次维保项目及内容</w:t>
      </w:r>
    </w:p>
    <w:p>
      <w:pPr>
        <w:shd w:val="clear" w:color="auto" w:fill="FFFFFF"/>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3.</w:t>
      </w:r>
      <w:r>
        <w:rPr>
          <w:rFonts w:hint="eastAsia" w:ascii="宋体" w:hAnsi="宋体" w:eastAsia="宋体" w:cs="宋体"/>
          <w:sz w:val="24"/>
          <w:szCs w:val="24"/>
        </w:rPr>
        <w:t xml:space="preserve"> </w:t>
      </w:r>
      <w:r>
        <w:rPr>
          <w:rFonts w:hint="eastAsia" w:ascii="宋体" w:hAnsi="宋体" w:eastAsia="宋体" w:cs="宋体"/>
          <w:color w:val="000000"/>
          <w:sz w:val="24"/>
          <w:szCs w:val="24"/>
        </w:rPr>
        <w:t>Genie高空作业平台配件清单</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hd w:val="clear" w:color="auto" w:fill="FFFFFF"/>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甲方（章）：深圳会展中心管理      乙方（章）： </w:t>
      </w:r>
    </w:p>
    <w:p>
      <w:pPr>
        <w:shd w:val="clear" w:color="auto" w:fill="FFFFFF"/>
        <w:spacing w:line="360" w:lineRule="auto"/>
        <w:ind w:left="420" w:leftChars="200" w:firstLine="1080" w:firstLineChars="450"/>
        <w:rPr>
          <w:rFonts w:hint="eastAsia" w:ascii="宋体" w:hAnsi="宋体" w:eastAsia="宋体" w:cs="宋体"/>
          <w:kern w:val="0"/>
          <w:sz w:val="24"/>
          <w:szCs w:val="24"/>
        </w:rPr>
      </w:pPr>
      <w:r>
        <w:rPr>
          <w:rFonts w:hint="eastAsia" w:ascii="宋体" w:hAnsi="宋体" w:eastAsia="宋体" w:cs="宋体"/>
          <w:kern w:val="0"/>
          <w:sz w:val="24"/>
          <w:szCs w:val="24"/>
        </w:rPr>
        <w:t xml:space="preserve">有限责任公司                      有限公司                               </w:t>
      </w:r>
    </w:p>
    <w:p>
      <w:pPr>
        <w:shd w:val="clear" w:color="auto" w:fill="FFFFFF"/>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hd w:val="clear" w:color="auto" w:fill="FFFFFF"/>
        <w:spacing w:line="360" w:lineRule="auto"/>
        <w:rPr>
          <w:rFonts w:hint="eastAsia" w:ascii="宋体" w:hAnsi="宋体" w:eastAsia="宋体" w:cs="宋体"/>
          <w:sz w:val="24"/>
          <w:szCs w:val="24"/>
        </w:rPr>
      </w:pPr>
      <w:r>
        <w:rPr>
          <w:rFonts w:hint="eastAsia" w:ascii="宋体" w:hAnsi="宋体" w:eastAsia="宋体" w:cs="宋体"/>
          <w:sz w:val="24"/>
          <w:szCs w:val="24"/>
        </w:rPr>
        <w:t>代表人（签字）：</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代表人（签字）： </w:t>
      </w:r>
    </w:p>
    <w:p>
      <w:pPr>
        <w:shd w:val="clear" w:color="auto" w:fill="FFFFFF"/>
        <w:spacing w:line="360" w:lineRule="auto"/>
        <w:ind w:left="48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hd w:val="clear" w:color="auto" w:fill="FFFFFF"/>
        <w:spacing w:line="360" w:lineRule="auto"/>
        <w:ind w:left="56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日  期：2022年    月   日</w:t>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 xml:space="preserve"> 日  期：2022年    月   日</w:t>
      </w:r>
    </w:p>
    <w:p>
      <w:pPr>
        <w:widowControl/>
        <w:jc w:val="left"/>
        <w:rPr>
          <w:b/>
          <w:sz w:val="32"/>
          <w:szCs w:val="32"/>
        </w:rPr>
      </w:pPr>
      <w:r>
        <w:rPr>
          <w:b/>
          <w:sz w:val="32"/>
          <w:szCs w:val="32"/>
        </w:rPr>
        <w:br w:type="page"/>
      </w:r>
    </w:p>
    <w:p>
      <w:pPr>
        <w:spacing w:beforeLines="100" w:afterLines="100" w:line="360" w:lineRule="auto"/>
        <w:jc w:val="center"/>
        <w:outlineLvl w:val="0"/>
        <w:rPr>
          <w:rFonts w:ascii="仿宋" w:hAnsi="仿宋" w:eastAsia="仿宋"/>
          <w:sz w:val="32"/>
          <w:szCs w:val="32"/>
        </w:rPr>
      </w:pPr>
      <w:bookmarkStart w:id="57" w:name="_Toc106791267"/>
      <w:r>
        <w:rPr>
          <w:rFonts w:hint="eastAsia"/>
          <w:b/>
          <w:sz w:val="32"/>
          <w:szCs w:val="32"/>
        </w:rPr>
        <w:t>第五部分：参考附件</w:t>
      </w:r>
      <w:bookmarkEnd w:id="57"/>
    </w:p>
    <w:p>
      <w:pPr>
        <w:spacing w:line="0" w:lineRule="atLeast"/>
        <w:outlineLvl w:val="1"/>
        <w:rPr>
          <w:rFonts w:ascii="宋体" w:hAnsi="宋体"/>
        </w:rPr>
      </w:pPr>
      <w:bookmarkStart w:id="58" w:name="_Toc106791268"/>
      <w:r>
        <w:rPr>
          <w:rFonts w:hint="eastAsia" w:ascii="宋体" w:hAnsi="宋体"/>
          <w:szCs w:val="21"/>
        </w:rPr>
        <w:t>附件1：</w:t>
      </w:r>
      <w:r>
        <w:rPr>
          <w:rFonts w:hint="eastAsia" w:ascii="宋体" w:hAnsi="宋体"/>
        </w:rPr>
        <w:t>报名回函</w:t>
      </w:r>
      <w:bookmarkEnd w:id="58"/>
    </w:p>
    <w:p>
      <w:pPr>
        <w:pStyle w:val="11"/>
      </w:pPr>
    </w:p>
    <w:p>
      <w:pPr>
        <w:pStyle w:val="12"/>
        <w:jc w:val="center"/>
        <w:rPr>
          <w:rFonts w:ascii="方正小标宋简体" w:hAnsi="方正小标宋_GBK" w:eastAsia="方正小标宋简体"/>
          <w:sz w:val="32"/>
          <w:szCs w:val="32"/>
        </w:rPr>
      </w:pPr>
      <w:r>
        <w:rPr>
          <w:rStyle w:val="17"/>
          <w:rFonts w:hint="eastAsia" w:ascii="方正小标宋简体" w:hAnsi="方正小标宋_GBK" w:eastAsia="方正小标宋简体"/>
          <w:sz w:val="32"/>
          <w:szCs w:val="32"/>
        </w:rPr>
        <w:t>关于确认参加_________________项目投标的回函</w:t>
      </w:r>
    </w:p>
    <w:p>
      <w:pPr>
        <w:pStyle w:val="12"/>
        <w:rPr>
          <w:rFonts w:ascii="微软雅黑" w:hAnsi="微软雅黑" w:eastAsia="微软雅黑"/>
          <w:sz w:val="18"/>
          <w:szCs w:val="18"/>
        </w:rPr>
      </w:pPr>
    </w:p>
    <w:p>
      <w:pPr>
        <w:pStyle w:val="12"/>
        <w:rPr>
          <w:rFonts w:ascii="微软雅黑" w:hAnsi="微软雅黑" w:eastAsia="微软雅黑"/>
          <w:sz w:val="18"/>
          <w:szCs w:val="18"/>
        </w:rPr>
      </w:pPr>
    </w:p>
    <w:p>
      <w:pPr>
        <w:pStyle w:val="12"/>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2"/>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2"/>
        <w:spacing w:after="240"/>
        <w:ind w:firstLine="616" w:firstLineChars="220"/>
        <w:rPr>
          <w:rFonts w:ascii="仿宋" w:hAnsi="仿宋" w:eastAsia="仿宋"/>
          <w:sz w:val="28"/>
          <w:szCs w:val="28"/>
        </w:rPr>
      </w:pPr>
    </w:p>
    <w:p>
      <w:pPr>
        <w:pStyle w:val="12"/>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1"/>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rFonts w:ascii="宋体" w:hAnsi="宋体"/>
          <w:b/>
          <w:sz w:val="21"/>
          <w:szCs w:val="21"/>
        </w:rPr>
      </w:pPr>
    </w:p>
    <w:p>
      <w:pPr>
        <w:pStyle w:val="6"/>
        <w:rPr>
          <w:rFonts w:ascii="宋体" w:hAnsi="宋体"/>
          <w:b/>
          <w:sz w:val="21"/>
          <w:szCs w:val="21"/>
        </w:rPr>
      </w:pPr>
      <w:r>
        <w:rPr>
          <w:rFonts w:hint="eastAsia" w:ascii="宋体" w:hAnsi="宋体"/>
          <w:b/>
          <w:sz w:val="21"/>
          <w:szCs w:val="21"/>
        </w:rPr>
        <w:t>注：1.本件电子档及盖章后的扫描件按要求上传至指定地址；</w:t>
      </w:r>
    </w:p>
    <w:p>
      <w:pPr>
        <w:pStyle w:val="6"/>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widowControl/>
        <w:jc w:val="left"/>
        <w:rPr>
          <w:b/>
          <w:szCs w:val="21"/>
        </w:rPr>
      </w:pPr>
      <w:r>
        <w:rPr>
          <w:b/>
          <w:szCs w:val="21"/>
        </w:rPr>
        <w:br w:type="page"/>
      </w:r>
    </w:p>
    <w:p>
      <w:pPr>
        <w:pStyle w:val="6"/>
        <w:rPr>
          <w:b/>
          <w:sz w:val="21"/>
          <w:szCs w:val="21"/>
        </w:rPr>
      </w:pPr>
    </w:p>
    <w:p>
      <w:pPr>
        <w:spacing w:line="0" w:lineRule="atLeast"/>
        <w:outlineLvl w:val="1"/>
        <w:rPr>
          <w:rFonts w:ascii="宋体" w:hAnsi="宋体"/>
          <w:szCs w:val="21"/>
        </w:rPr>
      </w:pPr>
      <w:bookmarkStart w:id="59" w:name="_Toc106791269"/>
      <w:r>
        <w:rPr>
          <w:rFonts w:hint="eastAsia" w:ascii="宋体" w:hAnsi="宋体"/>
          <w:szCs w:val="21"/>
        </w:rPr>
        <w:t>附件2：投标函</w:t>
      </w:r>
      <w:bookmarkEnd w:id="59"/>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hint="eastAsia" w:ascii="仿宋" w:hAnsi="仿宋" w:eastAsia="仿宋"/>
          <w:bCs/>
          <w:color w:val="FF0000"/>
          <w:sz w:val="24"/>
        </w:rPr>
        <w:t>（如有）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60" w:name="_Toc106791270"/>
      <w:r>
        <w:rPr>
          <w:rFonts w:hint="eastAsia" w:ascii="宋体" w:hAnsi="宋体"/>
          <w:szCs w:val="21"/>
        </w:rPr>
        <w:t>附件3：投标一览表</w:t>
      </w:r>
      <w:bookmarkEnd w:id="60"/>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tbl>
      <w:tblPr>
        <w:tblStyle w:val="15"/>
        <w:tblW w:w="949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770"/>
        <w:gridCol w:w="930"/>
        <w:gridCol w:w="1380"/>
        <w:gridCol w:w="1330"/>
        <w:gridCol w:w="159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pStyle w:val="2"/>
              <w:ind w:left="0"/>
              <w:jc w:val="center"/>
            </w:pPr>
            <w:r>
              <w:rPr>
                <w:rFonts w:hint="eastAsia"/>
              </w:rPr>
              <w:t>税前总金额</w:t>
            </w:r>
          </w:p>
          <w:p>
            <w:pPr>
              <w:pStyle w:val="2"/>
              <w:ind w:left="0"/>
              <w:jc w:val="center"/>
            </w:pPr>
            <w:r>
              <w:rPr>
                <w:rFonts w:hint="eastAsia"/>
              </w:rPr>
              <w:t>（净价）</w:t>
            </w:r>
          </w:p>
        </w:tc>
        <w:tc>
          <w:tcPr>
            <w:tcW w:w="770" w:type="dxa"/>
            <w:vAlign w:val="center"/>
          </w:tcPr>
          <w:p>
            <w:pPr>
              <w:spacing w:line="360" w:lineRule="auto"/>
              <w:jc w:val="center"/>
              <w:rPr>
                <w:rFonts w:ascii="宋体" w:hAnsi="宋体"/>
                <w:szCs w:val="21"/>
              </w:rPr>
            </w:pPr>
            <w:r>
              <w:rPr>
                <w:rFonts w:hint="eastAsia" w:ascii="宋体" w:hAnsi="宋体"/>
                <w:szCs w:val="21"/>
              </w:rPr>
              <w:t>税率</w:t>
            </w:r>
          </w:p>
        </w:tc>
        <w:tc>
          <w:tcPr>
            <w:tcW w:w="930" w:type="dxa"/>
            <w:vAlign w:val="center"/>
          </w:tcPr>
          <w:p>
            <w:pPr>
              <w:spacing w:line="360" w:lineRule="auto"/>
              <w:jc w:val="center"/>
              <w:rPr>
                <w:rFonts w:ascii="宋体" w:hAnsi="宋体"/>
                <w:szCs w:val="21"/>
              </w:rPr>
            </w:pPr>
            <w:r>
              <w:rPr>
                <w:rFonts w:hint="eastAsia" w:ascii="宋体" w:hAnsi="宋体"/>
                <w:szCs w:val="21"/>
              </w:rPr>
              <w:t>税额</w:t>
            </w:r>
          </w:p>
        </w:tc>
        <w:tc>
          <w:tcPr>
            <w:tcW w:w="1380" w:type="dxa"/>
            <w:vAlign w:val="center"/>
          </w:tcPr>
          <w:p>
            <w:pPr>
              <w:spacing w:line="360" w:lineRule="auto"/>
              <w:jc w:val="center"/>
              <w:rPr>
                <w:rFonts w:ascii="宋体" w:hAnsi="宋体"/>
                <w:szCs w:val="21"/>
              </w:rPr>
            </w:pPr>
            <w:r>
              <w:rPr>
                <w:rFonts w:hint="eastAsia" w:ascii="宋体" w:hAnsi="宋体"/>
                <w:szCs w:val="21"/>
              </w:rPr>
              <w:t>含税总金额</w:t>
            </w:r>
          </w:p>
        </w:tc>
        <w:tc>
          <w:tcPr>
            <w:tcW w:w="1330" w:type="dxa"/>
            <w:vAlign w:val="center"/>
          </w:tcPr>
          <w:p>
            <w:pPr>
              <w:spacing w:line="360" w:lineRule="auto"/>
              <w:jc w:val="center"/>
              <w:rPr>
                <w:rFonts w:ascii="宋体" w:hAnsi="宋体"/>
                <w:szCs w:val="21"/>
              </w:rPr>
            </w:pPr>
            <w:r>
              <w:rPr>
                <w:rFonts w:hint="eastAsia" w:ascii="宋体" w:hAnsi="宋体"/>
                <w:szCs w:val="21"/>
              </w:rPr>
              <w:t>工期/服务期（自然日）</w:t>
            </w:r>
          </w:p>
        </w:tc>
        <w:tc>
          <w:tcPr>
            <w:tcW w:w="1590" w:type="dxa"/>
            <w:vAlign w:val="center"/>
          </w:tcPr>
          <w:p>
            <w:pPr>
              <w:spacing w:line="360" w:lineRule="auto"/>
              <w:jc w:val="center"/>
              <w:rPr>
                <w:rFonts w:ascii="宋体" w:hAnsi="宋体"/>
                <w:szCs w:val="21"/>
              </w:rPr>
            </w:pPr>
            <w:r>
              <w:rPr>
                <w:rFonts w:hint="eastAsia" w:ascii="宋体" w:hAnsi="宋体"/>
                <w:szCs w:val="21"/>
              </w:rPr>
              <w:t>项目负责人</w:t>
            </w:r>
          </w:p>
          <w:p>
            <w:pPr>
              <w:spacing w:line="360" w:lineRule="auto"/>
              <w:jc w:val="center"/>
              <w:rPr>
                <w:rFonts w:ascii="宋体" w:hAnsi="宋体"/>
                <w:szCs w:val="21"/>
              </w:rPr>
            </w:pPr>
            <w:r>
              <w:rPr>
                <w:rFonts w:hint="eastAsia" w:ascii="宋体" w:hAnsi="宋体"/>
                <w:szCs w:val="21"/>
              </w:rPr>
              <w:t>（资质证书）</w:t>
            </w:r>
          </w:p>
        </w:tc>
        <w:tc>
          <w:tcPr>
            <w:tcW w:w="1850" w:type="dxa"/>
            <w:vAlign w:val="center"/>
          </w:tcPr>
          <w:p>
            <w:pPr>
              <w:spacing w:line="360" w:lineRule="auto"/>
              <w:jc w:val="center"/>
              <w:rPr>
                <w:rFonts w:ascii="宋体" w:hAnsi="宋体"/>
                <w:szCs w:val="21"/>
              </w:rPr>
            </w:pPr>
            <w:r>
              <w:rPr>
                <w:rFonts w:hint="eastAsia" w:ascii="宋体" w:hAnsi="宋体"/>
                <w:szCs w:val="21"/>
              </w:rPr>
              <w:t>安全管理员</w:t>
            </w:r>
          </w:p>
          <w:p>
            <w:pPr>
              <w:spacing w:line="360" w:lineRule="auto"/>
              <w:jc w:val="center"/>
              <w:rPr>
                <w:rFonts w:ascii="宋体" w:hAnsi="宋体"/>
                <w:szCs w:val="21"/>
              </w:rPr>
            </w:pPr>
            <w:r>
              <w:rPr>
                <w:rFonts w:hint="eastAsia" w:ascii="宋体" w:hAnsi="宋体"/>
                <w:szCs w:val="21"/>
              </w:rPr>
              <w:t>（资质证书）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spacing w:line="360" w:lineRule="auto"/>
              <w:jc w:val="center"/>
              <w:rPr>
                <w:rFonts w:ascii="宋体" w:hAnsi="宋体"/>
                <w:szCs w:val="21"/>
              </w:rPr>
            </w:pPr>
          </w:p>
        </w:tc>
        <w:tc>
          <w:tcPr>
            <w:tcW w:w="770" w:type="dxa"/>
          </w:tcPr>
          <w:p>
            <w:pPr>
              <w:spacing w:line="360" w:lineRule="auto"/>
              <w:jc w:val="center"/>
              <w:rPr>
                <w:rFonts w:ascii="宋体" w:hAnsi="宋体"/>
                <w:szCs w:val="21"/>
              </w:rPr>
            </w:pPr>
          </w:p>
        </w:tc>
        <w:tc>
          <w:tcPr>
            <w:tcW w:w="930" w:type="dxa"/>
          </w:tcPr>
          <w:p>
            <w:pPr>
              <w:spacing w:line="360" w:lineRule="auto"/>
              <w:jc w:val="center"/>
              <w:rPr>
                <w:rFonts w:ascii="宋体" w:hAnsi="宋体"/>
                <w:szCs w:val="21"/>
              </w:rPr>
            </w:pPr>
          </w:p>
        </w:tc>
        <w:tc>
          <w:tcPr>
            <w:tcW w:w="1380" w:type="dxa"/>
          </w:tcPr>
          <w:p>
            <w:pPr>
              <w:spacing w:line="360" w:lineRule="auto"/>
              <w:jc w:val="center"/>
              <w:rPr>
                <w:rFonts w:ascii="宋体" w:hAnsi="宋体"/>
                <w:szCs w:val="21"/>
              </w:rPr>
            </w:pPr>
          </w:p>
        </w:tc>
        <w:tc>
          <w:tcPr>
            <w:tcW w:w="1330" w:type="dxa"/>
          </w:tcPr>
          <w:p>
            <w:pPr>
              <w:spacing w:line="360" w:lineRule="auto"/>
              <w:jc w:val="center"/>
              <w:rPr>
                <w:rFonts w:ascii="宋体" w:hAnsi="宋体"/>
                <w:szCs w:val="21"/>
              </w:rPr>
            </w:pPr>
          </w:p>
        </w:tc>
        <w:tc>
          <w:tcPr>
            <w:tcW w:w="1590" w:type="dxa"/>
          </w:tcPr>
          <w:p>
            <w:pPr>
              <w:spacing w:line="360" w:lineRule="auto"/>
              <w:jc w:val="center"/>
              <w:rPr>
                <w:rFonts w:ascii="宋体" w:hAnsi="宋体"/>
                <w:szCs w:val="21"/>
              </w:rPr>
            </w:pPr>
          </w:p>
        </w:tc>
        <w:tc>
          <w:tcPr>
            <w:tcW w:w="185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7"/>
          </w:tcPr>
          <w:p>
            <w:pPr>
              <w:spacing w:line="360" w:lineRule="auto"/>
              <w:rPr>
                <w:rFonts w:ascii="宋体" w:hAnsi="宋体"/>
                <w:szCs w:val="21"/>
              </w:rPr>
            </w:pPr>
            <w:r>
              <w:rPr>
                <w:rFonts w:hint="eastAsia" w:ascii="宋体" w:hAnsi="宋体"/>
                <w:szCs w:val="21"/>
              </w:rPr>
              <w:t>投标人备注：</w:t>
            </w: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说明：表中安全管理员（资质证书）项为选填项，根据具体项目要求填写。</w:t>
      </w: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widowControl/>
        <w:jc w:val="left"/>
        <w:rPr>
          <w:rFonts w:ascii="宋体" w:hAnsi="宋体"/>
          <w:szCs w:val="21"/>
        </w:rPr>
      </w:pPr>
      <w:r>
        <w:rPr>
          <w:rFonts w:ascii="宋体" w:hAnsi="宋体"/>
          <w:szCs w:val="21"/>
        </w:rPr>
        <w:br w:type="page"/>
      </w:r>
    </w:p>
    <w:p>
      <w:pPr>
        <w:spacing w:line="0" w:lineRule="atLeast"/>
        <w:outlineLvl w:val="1"/>
        <w:rPr>
          <w:rFonts w:ascii="宋体" w:hAnsi="宋体"/>
          <w:szCs w:val="21"/>
        </w:rPr>
      </w:pPr>
      <w:bookmarkStart w:id="61" w:name="_Toc106791271"/>
      <w:r>
        <w:rPr>
          <w:rFonts w:hint="eastAsia" w:ascii="宋体" w:hAnsi="宋体"/>
          <w:szCs w:val="21"/>
        </w:rPr>
        <w:t>附件4：考察证明</w:t>
      </w:r>
      <w:bookmarkEnd w:id="61"/>
      <w:r>
        <w:rPr>
          <w:rFonts w:hint="eastAsia" w:ascii="宋体" w:hAnsi="宋体"/>
          <w:color w:val="FF0000"/>
          <w:szCs w:val="21"/>
        </w:rPr>
        <w:t>（本项目不适用）</w:t>
      </w:r>
    </w:p>
    <w:p>
      <w:pPr>
        <w:spacing w:line="0" w:lineRule="atLeast"/>
        <w:outlineLvl w:val="1"/>
        <w:rPr>
          <w:rFonts w:ascii="宋体" w:hAnsi="宋体"/>
          <w:szCs w:val="21"/>
        </w:rPr>
      </w:pP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highlight w:val="yellow"/>
        </w:rPr>
        <w:t>202*年*月21日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highlight w:val="yellow"/>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62" w:name="_Toc106791272"/>
      <w:r>
        <w:rPr>
          <w:rFonts w:hint="eastAsia" w:ascii="宋体" w:hAnsi="宋体"/>
          <w:szCs w:val="21"/>
        </w:rPr>
        <w:t>附件5：技术服务响应/偏离表</w:t>
      </w:r>
      <w:bookmarkEnd w:id="62"/>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3" w:name="_Toc211248418"/>
      <w:r>
        <w:rPr>
          <w:rFonts w:hint="eastAsia" w:ascii="方正小标宋_GBK" w:hAnsi="方正小标宋_GBK" w:eastAsia="方正小标宋_GBK"/>
          <w:b/>
          <w:sz w:val="32"/>
          <w:szCs w:val="32"/>
        </w:rPr>
        <w:t>技术服务响应/偏离表</w:t>
      </w:r>
      <w:bookmarkEnd w:id="63"/>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4"/>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4"/>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4"/>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4"/>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4"/>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64"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64"/>
      <w:bookmarkStart w:id="65" w:name="_Toc236803114"/>
      <w:bookmarkStart w:id="66" w:name="_Toc246480945"/>
      <w:r>
        <w:rPr>
          <w:rFonts w:ascii="仿宋" w:hAnsi="仿宋" w:eastAsia="仿宋"/>
          <w:sz w:val="28"/>
          <w:szCs w:val="28"/>
        </w:rPr>
        <w:br w:type="page"/>
      </w:r>
    </w:p>
    <w:p>
      <w:pPr>
        <w:spacing w:line="0" w:lineRule="atLeast"/>
        <w:outlineLvl w:val="1"/>
        <w:rPr>
          <w:rFonts w:ascii="宋体" w:hAnsi="宋体"/>
          <w:szCs w:val="21"/>
        </w:rPr>
      </w:pPr>
      <w:bookmarkStart w:id="67" w:name="_Toc106791273"/>
      <w:r>
        <w:rPr>
          <w:rFonts w:hint="eastAsia" w:ascii="宋体" w:hAnsi="宋体"/>
          <w:szCs w:val="21"/>
        </w:rPr>
        <w:t>附件6：商务条款响应/偏离表</w:t>
      </w:r>
      <w:bookmarkEnd w:id="65"/>
      <w:bookmarkEnd w:id="66"/>
      <w:bookmarkEnd w:id="67"/>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8" w:name="_Toc211248420"/>
      <w:r>
        <w:rPr>
          <w:rFonts w:hint="eastAsia" w:ascii="方正小标宋_GBK" w:hAnsi="方正小标宋_GBK" w:eastAsia="方正小标宋_GBK"/>
          <w:b/>
          <w:sz w:val="32"/>
          <w:szCs w:val="32"/>
        </w:rPr>
        <w:t>商务条款响应/偏离表</w:t>
      </w:r>
      <w:bookmarkEnd w:id="68"/>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4"/>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5"/>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5"/>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5"/>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5"/>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9" w:name="_Toc395883088"/>
      <w:bookmarkStart w:id="70" w:name="_Toc236803111"/>
      <w:bookmarkStart w:id="71" w:name="_Toc478387764"/>
      <w:r>
        <w:rPr>
          <w:rFonts w:ascii="仿宋" w:hAnsi="仿宋" w:eastAsia="仿宋"/>
          <w:sz w:val="28"/>
          <w:szCs w:val="28"/>
        </w:rPr>
        <w:br w:type="page"/>
      </w:r>
    </w:p>
    <w:p>
      <w:pPr>
        <w:spacing w:line="0" w:lineRule="atLeast"/>
        <w:outlineLvl w:val="1"/>
        <w:rPr>
          <w:rFonts w:ascii="宋体" w:hAnsi="宋体"/>
          <w:szCs w:val="21"/>
        </w:rPr>
      </w:pPr>
      <w:bookmarkStart w:id="72" w:name="_Toc106791274"/>
      <w:r>
        <w:rPr>
          <w:rFonts w:hint="eastAsia" w:ascii="宋体" w:hAnsi="宋体"/>
          <w:szCs w:val="21"/>
        </w:rPr>
        <w:t>附件7：报价一览表（货物）</w:t>
      </w:r>
      <w:r>
        <w:rPr>
          <w:rFonts w:hint="eastAsia" w:ascii="宋体" w:hAnsi="宋体"/>
          <w:color w:val="FF0000"/>
          <w:szCs w:val="21"/>
        </w:rPr>
        <w:t>（本项目不适用）</w:t>
      </w:r>
      <w:bookmarkEnd w:id="72"/>
    </w:p>
    <w:bookmarkEnd w:id="69"/>
    <w:bookmarkEnd w:id="70"/>
    <w:bookmarkEnd w:id="71"/>
    <w:p>
      <w:pPr>
        <w:spacing w:before="120" w:after="240"/>
        <w:jc w:val="center"/>
        <w:rPr>
          <w:rFonts w:ascii="宋体" w:hAnsi="宋体"/>
          <w:b/>
          <w:sz w:val="32"/>
          <w:szCs w:val="32"/>
        </w:rPr>
      </w:pPr>
      <w:bookmarkStart w:id="73" w:name="_Toc211248412"/>
      <w:r>
        <w:rPr>
          <w:rFonts w:hint="eastAsia" w:ascii="方正小标宋_GBK" w:hAnsi="方正小标宋_GBK" w:eastAsia="方正小标宋_GBK"/>
          <w:b/>
          <w:sz w:val="32"/>
          <w:szCs w:val="32"/>
        </w:rPr>
        <w:t>报价一览表</w:t>
      </w:r>
      <w:bookmarkEnd w:id="73"/>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4"/>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2"/>
        <w:numPr>
          <w:ilvl w:val="1"/>
          <w:numId w:val="46"/>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6"/>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2"/>
        <w:numPr>
          <w:ilvl w:val="1"/>
          <w:numId w:val="46"/>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2"/>
        <w:numPr>
          <w:ilvl w:val="1"/>
          <w:numId w:val="46"/>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74" w:name="_Toc82095917"/>
      <w:bookmarkStart w:id="75" w:name="_Toc82359026"/>
      <w:r>
        <w:rPr>
          <w:rFonts w:hint="eastAsia" w:ascii="仿宋" w:hAnsi="仿宋" w:eastAsia="仿宋"/>
          <w:sz w:val="28"/>
          <w:szCs w:val="28"/>
        </w:rPr>
        <w:t>报价日期：_________年____月____日</w:t>
      </w:r>
      <w:r>
        <w:rPr>
          <w:rFonts w:ascii="仿宋" w:hAnsi="仿宋" w:eastAsia="仿宋"/>
          <w:sz w:val="28"/>
          <w:szCs w:val="28"/>
        </w:rPr>
        <w:br w:type="page"/>
      </w:r>
    </w:p>
    <w:bookmarkEnd w:id="74"/>
    <w:bookmarkEnd w:id="75"/>
    <w:p>
      <w:pPr>
        <w:spacing w:line="0" w:lineRule="atLeast"/>
        <w:outlineLvl w:val="1"/>
        <w:rPr>
          <w:rFonts w:ascii="宋体" w:hAnsi="宋体"/>
          <w:szCs w:val="21"/>
        </w:rPr>
      </w:pPr>
      <w:bookmarkStart w:id="76" w:name="_Toc106791275"/>
      <w:r>
        <w:rPr>
          <w:rFonts w:hint="eastAsia" w:ascii="宋体" w:hAnsi="宋体"/>
          <w:szCs w:val="21"/>
        </w:rPr>
        <w:t>附件8：报价一览表（服务）</w:t>
      </w:r>
      <w:bookmarkEnd w:id="76"/>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after="80" w:line="360" w:lineRule="auto"/>
        <w:rPr>
          <w:rFonts w:ascii="仿宋" w:hAnsi="仿宋" w:eastAsia="仿宋"/>
          <w:sz w:val="24"/>
          <w:u w:val="single"/>
        </w:rPr>
      </w:pPr>
      <w:r>
        <w:rPr>
          <w:rFonts w:hint="eastAsia" w:ascii="仿宋" w:hAnsi="仿宋" w:eastAsia="仿宋"/>
          <w:sz w:val="24"/>
        </w:rPr>
        <w:t>币种：人民币         税率：</w:t>
      </w:r>
      <w:r>
        <w:rPr>
          <w:rFonts w:hint="eastAsia" w:ascii="仿宋" w:hAnsi="仿宋" w:eastAsia="仿宋"/>
          <w:sz w:val="24"/>
          <w:u w:val="single"/>
        </w:rPr>
        <w:t xml:space="preserve">         </w:t>
      </w:r>
      <w:r>
        <w:rPr>
          <w:rFonts w:hint="eastAsia" w:ascii="仿宋" w:hAnsi="仿宋" w:eastAsia="仿宋"/>
          <w:sz w:val="24"/>
        </w:rPr>
        <w:t xml:space="preserve">%          单位：元 </w:t>
      </w:r>
    </w:p>
    <w:tbl>
      <w:tblPr>
        <w:tblStyle w:val="14"/>
        <w:tblpPr w:leftFromText="180" w:rightFromText="180" w:vertAnchor="text" w:horzAnchor="margin" w:tblpXSpec="center" w:tblpY="367"/>
        <w:tblW w:w="9817" w:type="dxa"/>
        <w:tblInd w:w="0" w:type="dxa"/>
        <w:tblLayout w:type="fixed"/>
        <w:tblCellMar>
          <w:top w:w="0" w:type="dxa"/>
          <w:left w:w="42" w:type="dxa"/>
          <w:bottom w:w="0" w:type="dxa"/>
          <w:right w:w="42" w:type="dxa"/>
        </w:tblCellMar>
      </w:tblPr>
      <w:tblGrid>
        <w:gridCol w:w="583"/>
        <w:gridCol w:w="1586"/>
        <w:gridCol w:w="1842"/>
        <w:gridCol w:w="1559"/>
        <w:gridCol w:w="709"/>
        <w:gridCol w:w="709"/>
        <w:gridCol w:w="1412"/>
        <w:gridCol w:w="1417"/>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24"/>
              </w:rPr>
            </w:pPr>
            <w:r>
              <w:rPr>
                <w:rFonts w:hint="eastAsia" w:ascii="仿宋" w:hAnsi="仿宋" w:eastAsia="仿宋"/>
                <w:sz w:val="24"/>
              </w:rPr>
              <w:t>序号</w:t>
            </w:r>
          </w:p>
        </w:tc>
        <w:tc>
          <w:tcPr>
            <w:tcW w:w="158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24"/>
              </w:rPr>
            </w:pPr>
            <w:r>
              <w:rPr>
                <w:rFonts w:hint="eastAsia" w:ascii="仿宋" w:hAnsi="仿宋" w:eastAsia="仿宋"/>
                <w:sz w:val="24"/>
              </w:rPr>
              <w:t>设备名称</w:t>
            </w:r>
          </w:p>
        </w:tc>
        <w:tc>
          <w:tcPr>
            <w:tcW w:w="184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24"/>
              </w:rPr>
            </w:pPr>
            <w:r>
              <w:rPr>
                <w:rFonts w:hint="eastAsia" w:ascii="仿宋" w:hAnsi="仿宋" w:eastAsia="仿宋"/>
                <w:sz w:val="24"/>
              </w:rPr>
              <w:t>型号</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24"/>
              </w:rPr>
            </w:pPr>
            <w:r>
              <w:rPr>
                <w:rFonts w:hint="eastAsia" w:ascii="仿宋" w:hAnsi="仿宋" w:eastAsia="仿宋"/>
                <w:sz w:val="24"/>
              </w:rPr>
              <w:t>保养频次/年</w:t>
            </w:r>
          </w:p>
        </w:tc>
        <w:tc>
          <w:tcPr>
            <w:tcW w:w="70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24"/>
              </w:rPr>
            </w:pPr>
            <w:r>
              <w:rPr>
                <w:rFonts w:hint="eastAsia" w:ascii="仿宋" w:hAnsi="仿宋" w:eastAsia="仿宋"/>
                <w:sz w:val="24"/>
              </w:rPr>
              <w:t>单位</w:t>
            </w:r>
          </w:p>
        </w:tc>
        <w:tc>
          <w:tcPr>
            <w:tcW w:w="709"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数量</w:t>
            </w:r>
          </w:p>
        </w:tc>
        <w:tc>
          <w:tcPr>
            <w:tcW w:w="1412"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color w:val="FF0000"/>
                <w:sz w:val="24"/>
                <w:lang w:val="en-US" w:eastAsia="zh-CN"/>
              </w:rPr>
              <w:t>含税</w:t>
            </w:r>
            <w:r>
              <w:rPr>
                <w:rFonts w:hint="eastAsia" w:ascii="仿宋" w:hAnsi="仿宋" w:eastAsia="仿宋"/>
                <w:sz w:val="24"/>
              </w:rPr>
              <w:t>单价（元/年）</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color w:val="FF0000"/>
                <w:sz w:val="24"/>
                <w:lang w:val="en-US" w:eastAsia="zh-CN"/>
              </w:rPr>
              <w:t>含税</w:t>
            </w:r>
            <w:r>
              <w:rPr>
                <w:rFonts w:hint="eastAsia" w:ascii="仿宋" w:hAnsi="仿宋" w:eastAsia="仿宋"/>
                <w:sz w:val="24"/>
              </w:rPr>
              <w:t>总价/年（元）</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1</w:t>
            </w:r>
          </w:p>
        </w:tc>
        <w:tc>
          <w:tcPr>
            <w:tcW w:w="158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cs="宋体"/>
                <w:color w:val="000000"/>
                <w:kern w:val="0"/>
                <w:sz w:val="24"/>
              </w:rPr>
              <w:t>32米直臂式高空作业平台</w:t>
            </w:r>
          </w:p>
        </w:tc>
        <w:tc>
          <w:tcPr>
            <w:tcW w:w="184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cs="宋体"/>
                <w:color w:val="000000"/>
                <w:sz w:val="24"/>
              </w:rPr>
              <w:t>S-105</w:t>
            </w:r>
          </w:p>
        </w:tc>
        <w:tc>
          <w:tcPr>
            <w:tcW w:w="1559" w:type="dxa"/>
            <w:tcBorders>
              <w:top w:val="single" w:color="auto" w:sz="6" w:space="0"/>
              <w:left w:val="single" w:color="auto" w:sz="6" w:space="0"/>
              <w:bottom w:val="single" w:color="auto" w:sz="6" w:space="0"/>
              <w:right w:val="single" w:color="auto" w:sz="6" w:space="0"/>
            </w:tcBorders>
            <w:vAlign w:val="center"/>
          </w:tcPr>
          <w:p>
            <w:pPr>
              <w:ind w:firstLine="120" w:firstLineChars="50"/>
              <w:jc w:val="center"/>
              <w:rPr>
                <w:rFonts w:ascii="仿宋" w:hAnsi="仿宋" w:eastAsia="仿宋"/>
                <w:sz w:val="24"/>
              </w:rPr>
            </w:pPr>
            <w:r>
              <w:rPr>
                <w:rFonts w:hint="eastAsia" w:ascii="仿宋" w:hAnsi="仿宋" w:eastAsia="仿宋" w:cs="宋体"/>
                <w:color w:val="000000"/>
                <w:sz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2</w:t>
            </w:r>
          </w:p>
        </w:tc>
        <w:tc>
          <w:tcPr>
            <w:tcW w:w="158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38米直臂式高空作业平台</w:t>
            </w:r>
          </w:p>
        </w:tc>
        <w:tc>
          <w:tcPr>
            <w:tcW w:w="184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S-125</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kern w:val="0"/>
                <w:sz w:val="24"/>
              </w:rPr>
            </w:pPr>
            <w:r>
              <w:rPr>
                <w:rFonts w:hint="eastAsia" w:ascii="仿宋" w:hAnsi="仿宋" w:eastAsia="仿宋" w:cs="宋体"/>
                <w:color w:val="000000"/>
                <w:sz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3</w:t>
            </w:r>
          </w:p>
        </w:tc>
        <w:tc>
          <w:tcPr>
            <w:tcW w:w="158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cs="宋体"/>
                <w:color w:val="000000"/>
                <w:sz w:val="24"/>
              </w:rPr>
              <w:t>32米+38米保养包</w:t>
            </w:r>
          </w:p>
        </w:tc>
        <w:tc>
          <w:tcPr>
            <w:tcW w:w="184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cs="宋体"/>
                <w:color w:val="000000"/>
                <w:sz w:val="24"/>
              </w:rPr>
              <w:t>套：机油滤 49924*1</w:t>
            </w:r>
            <w:r>
              <w:rPr>
                <w:rFonts w:hint="eastAsia" w:ascii="仿宋" w:hAnsi="仿宋" w:eastAsia="仿宋" w:cs="宋体"/>
                <w:color w:val="000000"/>
                <w:sz w:val="24"/>
              </w:rPr>
              <w:br w:type="textWrapping"/>
            </w:r>
            <w:r>
              <w:rPr>
                <w:rFonts w:hint="eastAsia" w:ascii="仿宋" w:hAnsi="仿宋" w:eastAsia="仿宋" w:cs="宋体"/>
                <w:color w:val="000000"/>
                <w:sz w:val="24"/>
              </w:rPr>
              <w:t>柴油滤 29560*1</w:t>
            </w:r>
            <w:r>
              <w:rPr>
                <w:rFonts w:hint="eastAsia" w:ascii="仿宋" w:hAnsi="仿宋" w:eastAsia="仿宋" w:cs="宋体"/>
                <w:color w:val="000000"/>
                <w:sz w:val="24"/>
              </w:rPr>
              <w:br w:type="textWrapping"/>
            </w:r>
            <w:r>
              <w:rPr>
                <w:rFonts w:hint="eastAsia" w:ascii="仿宋" w:hAnsi="仿宋" w:eastAsia="仿宋" w:cs="宋体"/>
                <w:color w:val="000000"/>
                <w:sz w:val="24"/>
              </w:rPr>
              <w:t>空气滤 62425*1</w:t>
            </w:r>
          </w:p>
        </w:tc>
        <w:tc>
          <w:tcPr>
            <w:tcW w:w="1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 w:hAnsi="仿宋" w:eastAsia="仿宋" w:cs="宋体"/>
                <w:color w:val="000000"/>
                <w:kern w:val="0"/>
                <w:sz w:val="24"/>
              </w:rPr>
            </w:pP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4套/年</w:t>
            </w:r>
          </w:p>
          <w:p>
            <w:pPr>
              <w:jc w:val="center"/>
              <w:rPr>
                <w:rFonts w:ascii="仿宋" w:hAnsi="仿宋" w:eastAsia="仿宋"/>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套</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4</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4</w:t>
            </w:r>
          </w:p>
        </w:tc>
        <w:tc>
          <w:tcPr>
            <w:tcW w:w="158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专用柴油发动机机油</w:t>
            </w:r>
          </w:p>
        </w:tc>
        <w:tc>
          <w:tcPr>
            <w:tcW w:w="184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美孚超级黑霸王CI</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72升/年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升</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72</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5</w:t>
            </w:r>
          </w:p>
        </w:tc>
        <w:tc>
          <w:tcPr>
            <w:tcW w:w="158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12米单桅杆式高空作业平台</w:t>
            </w:r>
          </w:p>
        </w:tc>
        <w:tc>
          <w:tcPr>
            <w:tcW w:w="184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AWP-40S</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6</w:t>
            </w:r>
          </w:p>
        </w:tc>
        <w:tc>
          <w:tcPr>
            <w:tcW w:w="158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kern w:val="0"/>
                <w:sz w:val="24"/>
              </w:rPr>
            </w:pPr>
            <w:r>
              <w:rPr>
                <w:rFonts w:hint="eastAsia" w:ascii="仿宋" w:hAnsi="仿宋" w:eastAsia="仿宋" w:cs="宋体"/>
                <w:color w:val="000000"/>
                <w:sz w:val="24"/>
              </w:rPr>
              <w:t>12米剪型高空作业平台</w:t>
            </w:r>
          </w:p>
        </w:tc>
        <w:tc>
          <w:tcPr>
            <w:tcW w:w="184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GS-3246</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kern w:val="0"/>
                <w:sz w:val="24"/>
              </w:rPr>
            </w:pPr>
            <w:r>
              <w:rPr>
                <w:rFonts w:hint="eastAsia" w:ascii="仿宋" w:hAnsi="仿宋" w:eastAsia="仿宋" w:cs="宋体"/>
                <w:color w:val="000000"/>
                <w:sz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7</w:t>
            </w:r>
          </w:p>
        </w:tc>
        <w:tc>
          <w:tcPr>
            <w:tcW w:w="158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kern w:val="0"/>
                <w:sz w:val="24"/>
              </w:rPr>
            </w:pPr>
            <w:r>
              <w:rPr>
                <w:rFonts w:hint="eastAsia" w:ascii="仿宋" w:hAnsi="仿宋" w:eastAsia="仿宋" w:cs="宋体"/>
                <w:color w:val="000000"/>
                <w:sz w:val="24"/>
              </w:rPr>
              <w:t>12米剪型高空作业平台</w:t>
            </w:r>
          </w:p>
        </w:tc>
        <w:tc>
          <w:tcPr>
            <w:tcW w:w="184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GS-3232</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kern w:val="0"/>
                <w:sz w:val="24"/>
              </w:rPr>
            </w:pPr>
            <w:r>
              <w:rPr>
                <w:rFonts w:hint="eastAsia" w:ascii="仿宋" w:hAnsi="仿宋" w:eastAsia="仿宋" w:cs="宋体"/>
                <w:color w:val="000000"/>
                <w:sz w:val="24"/>
              </w:rPr>
              <w:t>7次/年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8</w:t>
            </w:r>
          </w:p>
        </w:tc>
        <w:tc>
          <w:tcPr>
            <w:tcW w:w="158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kern w:val="0"/>
                <w:sz w:val="24"/>
              </w:rPr>
            </w:pPr>
            <w:r>
              <w:rPr>
                <w:rFonts w:hint="eastAsia" w:ascii="仿宋" w:hAnsi="仿宋" w:eastAsia="仿宋" w:cs="宋体"/>
                <w:color w:val="000000"/>
                <w:sz w:val="24"/>
              </w:rPr>
              <w:t>12米保养包（含回油滤1个/套）</w:t>
            </w:r>
          </w:p>
        </w:tc>
        <w:tc>
          <w:tcPr>
            <w:tcW w:w="184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color w:val="000000"/>
                <w:sz w:val="24"/>
              </w:rPr>
            </w:pPr>
            <w:r>
              <w:rPr>
                <w:rFonts w:hint="eastAsia" w:ascii="仿宋" w:hAnsi="仿宋" w:eastAsia="仿宋" w:cs="宋体"/>
                <w:color w:val="000000"/>
                <w:sz w:val="24"/>
              </w:rPr>
              <w:t>套;回油滤44788*1</w:t>
            </w:r>
          </w:p>
        </w:tc>
        <w:tc>
          <w:tcPr>
            <w:tcW w:w="1559"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仿宋" w:hAnsi="仿宋" w:eastAsia="仿宋"/>
                <w:kern w:val="0"/>
                <w:sz w:val="24"/>
              </w:rPr>
            </w:pPr>
            <w:r>
              <w:rPr>
                <w:rFonts w:hint="eastAsia" w:ascii="仿宋" w:hAnsi="仿宋" w:eastAsia="仿宋" w:cs="宋体"/>
                <w:color w:val="000000"/>
                <w:sz w:val="24"/>
              </w:rPr>
              <w:t>4套/年</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套</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4</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p>
        </w:tc>
        <w:tc>
          <w:tcPr>
            <w:tcW w:w="6405"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合计（元）</w:t>
            </w:r>
          </w:p>
        </w:tc>
        <w:tc>
          <w:tcPr>
            <w:tcW w:w="141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p>
        </w:tc>
        <w:tc>
          <w:tcPr>
            <w:tcW w:w="6405"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1+1+1三年总计（元）</w:t>
            </w:r>
          </w:p>
        </w:tc>
        <w:tc>
          <w:tcPr>
            <w:tcW w:w="2829"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p>
        </w:tc>
      </w:tr>
    </w:tbl>
    <w:p>
      <w:pPr>
        <w:spacing w:line="400" w:lineRule="exact"/>
        <w:rPr>
          <w:rFonts w:ascii="仿宋" w:hAnsi="仿宋" w:eastAsia="仿宋"/>
          <w:bCs/>
          <w:sz w:val="24"/>
          <w:u w:val="single"/>
        </w:rPr>
      </w:pPr>
      <w:r>
        <w:rPr>
          <w:rFonts w:hint="eastAsia" w:ascii="仿宋" w:hAnsi="仿宋" w:eastAsia="仿宋"/>
          <w:sz w:val="24"/>
          <w:lang w:val="en-US" w:eastAsia="zh-CN"/>
        </w:rPr>
        <w:t>备注</w:t>
      </w:r>
      <w:r>
        <w:rPr>
          <w:rFonts w:hint="eastAsia" w:ascii="仿宋" w:hAnsi="仿宋" w:eastAsia="仿宋"/>
          <w:sz w:val="24"/>
        </w:rPr>
        <w:t>：</w:t>
      </w:r>
    </w:p>
    <w:p>
      <w:pPr>
        <w:pStyle w:val="22"/>
        <w:numPr>
          <w:ilvl w:val="1"/>
          <w:numId w:val="47"/>
        </w:numPr>
        <w:spacing w:line="400" w:lineRule="exact"/>
        <w:ind w:left="851" w:hanging="425" w:firstLineChars="0"/>
        <w:rPr>
          <w:rFonts w:ascii="仿宋" w:hAnsi="仿宋" w:eastAsia="仿宋"/>
          <w:bCs/>
          <w:sz w:val="24"/>
        </w:rPr>
      </w:pPr>
      <w:r>
        <w:rPr>
          <w:rFonts w:hint="eastAsia" w:ascii="仿宋" w:hAnsi="仿宋" w:eastAsia="仿宋"/>
          <w:sz w:val="24"/>
        </w:rPr>
        <w:t>投标人</w:t>
      </w:r>
      <w:r>
        <w:rPr>
          <w:rFonts w:hint="eastAsia" w:ascii="仿宋" w:hAnsi="仿宋" w:eastAsia="仿宋"/>
          <w:bCs/>
          <w:sz w:val="24"/>
        </w:rPr>
        <w:t>如果需要对报价或其它内容加以说明，可在备注一栏中填写。</w:t>
      </w:r>
    </w:p>
    <w:p>
      <w:pPr>
        <w:pStyle w:val="22"/>
        <w:numPr>
          <w:ilvl w:val="1"/>
          <w:numId w:val="47"/>
        </w:numPr>
        <w:spacing w:line="400" w:lineRule="exact"/>
        <w:ind w:left="851" w:hanging="425" w:firstLineChars="0"/>
        <w:rPr>
          <w:rFonts w:ascii="仿宋" w:hAnsi="仿宋" w:eastAsia="仿宋"/>
          <w:bCs/>
          <w:sz w:val="24"/>
        </w:rPr>
      </w:pPr>
      <w:r>
        <w:rPr>
          <w:rFonts w:hint="eastAsia" w:ascii="仿宋" w:hAnsi="仿宋" w:eastAsia="仿宋"/>
          <w:sz w:val="24"/>
        </w:rPr>
        <w:t>投标人</w:t>
      </w:r>
      <w:r>
        <w:rPr>
          <w:rFonts w:hint="eastAsia" w:ascii="仿宋" w:hAnsi="仿宋" w:eastAsia="仿宋"/>
          <w:bCs/>
          <w:sz w:val="24"/>
        </w:rPr>
        <w:t>使用本表或自由报价单格式报价均可，但应能清晰体现总报价及分项报价信息。</w:t>
      </w:r>
    </w:p>
    <w:p>
      <w:pPr>
        <w:pStyle w:val="22"/>
        <w:numPr>
          <w:ilvl w:val="1"/>
          <w:numId w:val="47"/>
        </w:numPr>
        <w:spacing w:line="400" w:lineRule="exact"/>
        <w:ind w:left="851" w:hanging="425" w:firstLineChars="0"/>
        <w:rPr>
          <w:rFonts w:ascii="仿宋" w:hAnsi="仿宋" w:eastAsia="仿宋"/>
          <w:bCs/>
          <w:sz w:val="24"/>
        </w:rPr>
      </w:pPr>
      <w:r>
        <w:rPr>
          <w:rFonts w:hint="eastAsia" w:ascii="仿宋" w:hAnsi="仿宋" w:eastAsia="仿宋"/>
          <w:bCs/>
          <w:sz w:val="24"/>
        </w:rPr>
        <w:t>如果分项报价与总价不一致，以总价为准。</w:t>
      </w:r>
    </w:p>
    <w:p>
      <w:pPr>
        <w:spacing w:line="400" w:lineRule="exact"/>
        <w:rPr>
          <w:rFonts w:ascii="仿宋" w:hAnsi="仿宋" w:eastAsia="仿宋"/>
          <w:sz w:val="24"/>
        </w:rPr>
      </w:pPr>
      <w:r>
        <w:rPr>
          <w:rFonts w:hint="eastAsia" w:ascii="仿宋" w:hAnsi="仿宋" w:eastAsia="仿宋"/>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4"/>
        </w:rPr>
      </w:pPr>
      <w:r>
        <w:rPr>
          <w:rFonts w:hint="eastAsia" w:ascii="仿宋" w:hAnsi="仿宋" w:eastAsia="仿宋"/>
          <w:sz w:val="24"/>
        </w:rPr>
        <w:t>法定代表人或委托授权人（签字或盖章）：</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4"/>
          <w:u w:val="single"/>
        </w:rPr>
      </w:pPr>
      <w:r>
        <w:rPr>
          <w:rFonts w:hint="eastAsia" w:ascii="仿宋" w:hAnsi="仿宋" w:eastAsia="仿宋"/>
          <w:sz w:val="24"/>
        </w:rPr>
        <w:t>投标人名称及盖章：</w:t>
      </w:r>
      <w:r>
        <w:rPr>
          <w:rFonts w:hint="eastAsia" w:ascii="仿宋" w:hAnsi="仿宋" w:eastAsia="仿宋"/>
          <w:sz w:val="24"/>
          <w:u w:val="single"/>
        </w:rPr>
        <w:t xml:space="preserve">                        </w:t>
      </w:r>
    </w:p>
    <w:p>
      <w:pPr>
        <w:widowControl/>
        <w:jc w:val="left"/>
        <w:rPr>
          <w:rFonts w:ascii="仿宋" w:hAnsi="仿宋" w:eastAsia="仿宋"/>
          <w:sz w:val="30"/>
          <w:szCs w:val="30"/>
        </w:rPr>
      </w:pPr>
      <w:r>
        <w:rPr>
          <w:rFonts w:hint="eastAsia" w:ascii="仿宋" w:hAnsi="仿宋" w:eastAsia="仿宋"/>
          <w:sz w:val="24"/>
        </w:rPr>
        <w:t>报价日期：_______年____月____日</w:t>
      </w:r>
      <w:r>
        <w:rPr>
          <w:rFonts w:ascii="仿宋" w:hAnsi="仿宋" w:eastAsia="仿宋"/>
          <w:sz w:val="30"/>
          <w:szCs w:val="30"/>
        </w:rPr>
        <w:br w:type="page"/>
      </w:r>
    </w:p>
    <w:p>
      <w:pPr>
        <w:spacing w:line="0" w:lineRule="atLeast"/>
        <w:outlineLvl w:val="1"/>
        <w:rPr>
          <w:rFonts w:ascii="宋体" w:hAnsi="宋体"/>
          <w:szCs w:val="21"/>
        </w:rPr>
      </w:pPr>
      <w:bookmarkStart w:id="77" w:name="_Toc106791276"/>
      <w:r>
        <w:rPr>
          <w:rFonts w:hint="eastAsia" w:ascii="宋体" w:hAnsi="宋体"/>
          <w:szCs w:val="21"/>
        </w:rPr>
        <w:t>附件9：报价一览表（工程）</w:t>
      </w:r>
      <w:bookmarkEnd w:id="77"/>
      <w:r>
        <w:rPr>
          <w:rFonts w:hint="eastAsia" w:ascii="宋体" w:hAnsi="宋体"/>
          <w:color w:val="FF0000"/>
          <w:szCs w:val="21"/>
        </w:rPr>
        <w:t>（本项目不适用）</w:t>
      </w:r>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2"/>
        <w:numPr>
          <w:ilvl w:val="1"/>
          <w:numId w:val="48"/>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8"/>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2"/>
        <w:numPr>
          <w:ilvl w:val="1"/>
          <w:numId w:val="48"/>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2"/>
        <w:numPr>
          <w:ilvl w:val="1"/>
          <w:numId w:val="48"/>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8" w:name="_Toc106791277"/>
      <w:r>
        <w:rPr>
          <w:rFonts w:hint="eastAsia" w:ascii="宋体" w:hAnsi="宋体"/>
          <w:szCs w:val="21"/>
        </w:rPr>
        <w:t>附件10：法定代表人证明书</w:t>
      </w:r>
      <w:bookmarkEnd w:id="78"/>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4445" t="4445" r="11430" b="508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Al/z/FGwIAAEc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gFRxImd6w30BcYm7vxYjbMcFdTPSKSFaZrx9+GhA/uN&#10;kgEnuaTu65FZQYl6r1GMTbZchtGPxnK1ztGwl57q0sM0R6iSekqm495P3+VorGw7zDTJr+EWBWxk&#10;pDaUOlU1y47TGhmff1b4Dpd2jPrx/3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ByXLzaAAAA&#10;CgEAAA8AAAAAAAAAAQAgAAAAIgAAAGRycy9kb3ducmV2LnhtbFBLAQIUABQAAAAIAIdO4kAl/z/F&#10;GwIAAEcEAAAOAAAAAAAAAAEAIAAAACkBAABkcnMvZTJvRG9jLnhtbFBLBQYAAAAABgAGAFkBAAC2&#10;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4445" t="4445" r="11430" b="508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xOYMtsAAAAK&#10;AQAADwAAAAAAAAABACAAAAAiAAAAZHJzL2Rvd25yZXYueG1sUEsBAhQAFAAAAAgAh07iQOCP/fcZ&#10;AgAARwQAAA4AAAAAAAAAAQAgAAAAKgEAAGRycy9lMm9Eb2MueG1sUEsFBgAAAAAGAAYAWQEAALUF&#10;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79" w:name="_Toc106791278"/>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9"/>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80" w:name="_Toc106791279"/>
      <w:r>
        <w:rPr>
          <w:rFonts w:hint="eastAsia" w:ascii="宋体" w:hAnsi="宋体"/>
          <w:szCs w:val="21"/>
        </w:rPr>
        <w:t>附件</w:t>
      </w:r>
      <w:r>
        <w:rPr>
          <w:rFonts w:ascii="宋体" w:hAnsi="宋体"/>
          <w:szCs w:val="21"/>
        </w:rPr>
        <w:t>1</w:t>
      </w:r>
      <w:r>
        <w:rPr>
          <w:rFonts w:hint="eastAsia" w:ascii="宋体" w:hAnsi="宋体"/>
          <w:szCs w:val="21"/>
        </w:rPr>
        <w:t>2：经营业绩一览表</w:t>
      </w:r>
      <w:bookmarkEnd w:id="80"/>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4"/>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81" w:name="_Toc106791280"/>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81"/>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4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4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4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4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4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4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82" w:name="_Toc32341"/>
      <w:r>
        <w:rPr>
          <w:rFonts w:ascii="仿宋" w:hAnsi="仿宋" w:eastAsia="仿宋"/>
          <w:sz w:val="28"/>
          <w:szCs w:val="28"/>
        </w:rPr>
        <w:br w:type="page"/>
      </w:r>
    </w:p>
    <w:p>
      <w:pPr>
        <w:spacing w:line="0" w:lineRule="atLeast"/>
        <w:outlineLvl w:val="1"/>
        <w:rPr>
          <w:rFonts w:ascii="宋体" w:hAnsi="宋体"/>
          <w:szCs w:val="21"/>
        </w:rPr>
      </w:pPr>
      <w:bookmarkStart w:id="83" w:name="_Toc106791281"/>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82"/>
      <w:bookmarkEnd w:id="83"/>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50"/>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50"/>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50"/>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11"/>
      </w:pPr>
    </w:p>
    <w:p>
      <w:pPr>
        <w:spacing w:line="0" w:lineRule="atLeast"/>
        <w:outlineLvl w:val="1"/>
        <w:rPr>
          <w:rFonts w:ascii="宋体" w:hAnsi="宋体"/>
        </w:rPr>
      </w:pPr>
      <w:bookmarkStart w:id="84" w:name="_Toc100848654"/>
      <w:bookmarkStart w:id="85" w:name="_Toc106791282"/>
      <w:r>
        <w:rPr>
          <w:rFonts w:hint="eastAsia" w:ascii="宋体" w:hAnsi="宋体"/>
        </w:rPr>
        <w:t>附件15：投标文件密码</w:t>
      </w:r>
      <w:bookmarkEnd w:id="84"/>
      <w:r>
        <w:rPr>
          <w:rFonts w:hint="eastAsia" w:ascii="宋体" w:hAnsi="宋体"/>
        </w:rPr>
        <w:t>单</w:t>
      </w:r>
      <w:bookmarkEnd w:id="85"/>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86"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86"/>
    </w:p>
    <w:p>
      <w:pPr>
        <w:jc w:val="center"/>
        <w:rPr>
          <w:rFonts w:ascii="宋体" w:hAnsi="宋体"/>
          <w:b/>
          <w:sz w:val="32"/>
          <w:szCs w:val="32"/>
        </w:rPr>
      </w:pPr>
      <w:r>
        <w:rPr>
          <w:rFonts w:hint="eastAsia" w:ascii="宋体" w:hAnsi="宋体"/>
          <w:b/>
          <w:sz w:val="32"/>
          <w:szCs w:val="32"/>
        </w:rPr>
        <w:t>投标文件密码单</w:t>
      </w:r>
    </w:p>
    <w:p>
      <w:pPr>
        <w:pStyle w:val="11"/>
        <w:rPr>
          <w:rFonts w:ascii="仿宋" w:hAnsi="仿宋" w:eastAsia="仿宋"/>
          <w:b/>
          <w:sz w:val="28"/>
          <w:szCs w:val="28"/>
        </w:rPr>
      </w:pPr>
    </w:p>
    <w:p>
      <w:pPr>
        <w:pStyle w:val="11"/>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1"/>
        <w:rPr>
          <w:rFonts w:ascii="仿宋" w:hAnsi="仿宋" w:eastAsia="仿宋"/>
          <w:b/>
          <w:sz w:val="28"/>
          <w:szCs w:val="28"/>
        </w:rPr>
      </w:pPr>
    </w:p>
    <w:p>
      <w:pPr>
        <w:pStyle w:val="11"/>
        <w:rPr>
          <w:rFonts w:ascii="仿宋" w:hAnsi="仿宋" w:eastAsia="仿宋"/>
          <w:b/>
          <w:color w:val="FF0000"/>
          <w:sz w:val="24"/>
        </w:rPr>
      </w:pPr>
      <w:r>
        <w:rPr>
          <w:rFonts w:hint="eastAsia" w:ascii="仿宋" w:hAnsi="仿宋" w:eastAsia="仿宋"/>
          <w:b/>
          <w:color w:val="FF0000"/>
          <w:sz w:val="24"/>
        </w:rPr>
        <w:t>【特别注意】</w:t>
      </w:r>
    </w:p>
    <w:p>
      <w:pPr>
        <w:pStyle w:val="11"/>
        <w:numPr>
          <w:ilvl w:val="0"/>
          <w:numId w:val="51"/>
        </w:numPr>
        <w:rPr>
          <w:rFonts w:ascii="仿宋" w:hAnsi="仿宋" w:eastAsia="仿宋"/>
          <w:sz w:val="24"/>
        </w:rPr>
      </w:pPr>
      <w:r>
        <w:rPr>
          <w:rFonts w:hint="eastAsia" w:ascii="仿宋" w:hAnsi="仿宋" w:eastAsia="仿宋"/>
          <w:color w:val="000000" w:themeColor="text1"/>
          <w:sz w:val="24"/>
          <w14:textFill>
            <w14:solidFill>
              <w14:schemeClr w14:val="tx1"/>
            </w14:solidFill>
          </w14:textFill>
        </w:rPr>
        <w:t>密码</w:t>
      </w:r>
      <w:r>
        <w:rPr>
          <w:rFonts w:hint="eastAsia" w:ascii="仿宋" w:hAnsi="仿宋" w:eastAsia="仿宋"/>
          <w:sz w:val="24"/>
        </w:rPr>
        <w:t>区分大小写，且不得使用易与数字混淆的</w:t>
      </w:r>
      <w:r>
        <w:rPr>
          <w:rFonts w:ascii="仿宋" w:hAnsi="仿宋" w:eastAsia="仿宋"/>
          <w:sz w:val="24"/>
        </w:rPr>
        <w:t>I</w:t>
      </w:r>
      <w:r>
        <w:rPr>
          <w:rFonts w:hint="eastAsia" w:ascii="仿宋" w:hAnsi="仿宋" w:eastAsia="仿宋"/>
          <w:sz w:val="24"/>
        </w:rPr>
        <w:t>、l、O（或</w:t>
      </w:r>
      <w:r>
        <w:rPr>
          <w:rFonts w:ascii="仿宋" w:hAnsi="仿宋" w:eastAsia="仿宋"/>
          <w:sz w:val="24"/>
        </w:rPr>
        <w:t>o</w:t>
      </w:r>
      <w:r>
        <w:rPr>
          <w:rFonts w:hint="eastAsia" w:ascii="仿宋" w:hAnsi="仿宋" w:eastAsia="仿宋"/>
          <w:sz w:val="24"/>
        </w:rPr>
        <w:t>）等字母。</w:t>
      </w:r>
    </w:p>
    <w:p>
      <w:pPr>
        <w:pStyle w:val="11"/>
        <w:numPr>
          <w:ilvl w:val="0"/>
          <w:numId w:val="51"/>
        </w:numPr>
        <w:rPr>
          <w:rFonts w:ascii="仿宋" w:hAnsi="仿宋" w:eastAsia="仿宋"/>
          <w:b/>
          <w:sz w:val="24"/>
        </w:rPr>
      </w:pPr>
      <w:r>
        <w:rPr>
          <w:rFonts w:hint="eastAsia" w:ascii="仿宋" w:hAnsi="仿宋" w:eastAsia="仿宋"/>
          <w:sz w:val="24"/>
        </w:rPr>
        <w:t>本单请严格按招标文件要求的时间和方式提交（</w:t>
      </w:r>
      <w:r>
        <w:rPr>
          <w:rFonts w:hint="eastAsia" w:ascii="仿宋" w:hAnsi="仿宋" w:eastAsia="仿宋"/>
          <w:color w:val="FF0000"/>
          <w:sz w:val="24"/>
        </w:rPr>
        <w:t>切勿</w:t>
      </w:r>
      <w:r>
        <w:rPr>
          <w:rFonts w:hint="eastAsia" w:ascii="仿宋" w:hAnsi="仿宋" w:eastAsia="仿宋"/>
          <w:sz w:val="24"/>
        </w:rPr>
        <w:t>同投标文件一起提交）。</w:t>
      </w:r>
    </w:p>
    <w:p>
      <w:pPr>
        <w:pStyle w:val="11"/>
      </w:pPr>
    </w:p>
    <w:sectPr>
      <w:pgSz w:w="11906" w:h="16838"/>
      <w:pgMar w:top="1134" w:right="1800" w:bottom="993" w:left="1800" w:header="851" w:footer="409"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93626"/>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93625"/>
    </w:sdtPr>
    <w:sdtContent>
      <w:p>
        <w:pPr>
          <w:pStyle w:val="6"/>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3ED66"/>
    <w:multiLevelType w:val="singleLevel"/>
    <w:tmpl w:val="9333ED66"/>
    <w:lvl w:ilvl="0" w:tentative="0">
      <w:start w:val="1"/>
      <w:numFmt w:val="decimal"/>
      <w:lvlText w:val="%1."/>
      <w:lvlJc w:val="left"/>
      <w:pPr>
        <w:ind w:left="425" w:hanging="425"/>
      </w:pPr>
      <w:rPr>
        <w:rFonts w:hint="default"/>
      </w:rPr>
    </w:lvl>
  </w:abstractNum>
  <w:abstractNum w:abstractNumId="1">
    <w:nsid w:val="97F730E1"/>
    <w:multiLevelType w:val="singleLevel"/>
    <w:tmpl w:val="97F730E1"/>
    <w:lvl w:ilvl="0" w:tentative="0">
      <w:start w:val="1"/>
      <w:numFmt w:val="decimal"/>
      <w:lvlText w:val="%1."/>
      <w:lvlJc w:val="left"/>
      <w:pPr>
        <w:ind w:left="425" w:hanging="425"/>
      </w:pPr>
      <w:rPr>
        <w:rFonts w:hint="default"/>
      </w:rPr>
    </w:lvl>
  </w:abstractNum>
  <w:abstractNum w:abstractNumId="2">
    <w:nsid w:val="A2281775"/>
    <w:multiLevelType w:val="singleLevel"/>
    <w:tmpl w:val="A2281775"/>
    <w:lvl w:ilvl="0" w:tentative="0">
      <w:start w:val="1"/>
      <w:numFmt w:val="decimal"/>
      <w:suff w:val="space"/>
      <w:lvlText w:val="%1."/>
      <w:lvlJc w:val="left"/>
    </w:lvl>
  </w:abstractNum>
  <w:abstractNum w:abstractNumId="3">
    <w:nsid w:val="A845EF14"/>
    <w:multiLevelType w:val="singleLevel"/>
    <w:tmpl w:val="A845EF14"/>
    <w:lvl w:ilvl="0" w:tentative="0">
      <w:start w:val="1"/>
      <w:numFmt w:val="decimal"/>
      <w:lvlText w:val="%1."/>
      <w:lvlJc w:val="left"/>
      <w:pPr>
        <w:ind w:left="425" w:hanging="425"/>
      </w:pPr>
      <w:rPr>
        <w:rFonts w:hint="default"/>
      </w:rPr>
    </w:lvl>
  </w:abstractNum>
  <w:abstractNum w:abstractNumId="4">
    <w:nsid w:val="AB35CAF4"/>
    <w:multiLevelType w:val="singleLevel"/>
    <w:tmpl w:val="AB35CAF4"/>
    <w:lvl w:ilvl="0" w:tentative="0">
      <w:start w:val="1"/>
      <w:numFmt w:val="decimal"/>
      <w:lvlText w:val="(%1)"/>
      <w:lvlJc w:val="left"/>
      <w:pPr>
        <w:ind w:left="425" w:hanging="425"/>
      </w:pPr>
      <w:rPr>
        <w:rFonts w:hint="default"/>
      </w:rPr>
    </w:lvl>
  </w:abstractNum>
  <w:abstractNum w:abstractNumId="5">
    <w:nsid w:val="AFC567B3"/>
    <w:multiLevelType w:val="singleLevel"/>
    <w:tmpl w:val="AFC567B3"/>
    <w:lvl w:ilvl="0" w:tentative="0">
      <w:start w:val="1"/>
      <w:numFmt w:val="decimal"/>
      <w:lvlText w:val="(%1)"/>
      <w:lvlJc w:val="left"/>
      <w:pPr>
        <w:ind w:left="425" w:hanging="425"/>
      </w:pPr>
      <w:rPr>
        <w:rFonts w:hint="default"/>
      </w:rPr>
    </w:lvl>
  </w:abstractNum>
  <w:abstractNum w:abstractNumId="6">
    <w:nsid w:val="B6C37783"/>
    <w:multiLevelType w:val="singleLevel"/>
    <w:tmpl w:val="B6C37783"/>
    <w:lvl w:ilvl="0" w:tentative="0">
      <w:start w:val="1"/>
      <w:numFmt w:val="decimal"/>
      <w:lvlText w:val="%1."/>
      <w:lvlJc w:val="left"/>
      <w:pPr>
        <w:ind w:left="425" w:hanging="425"/>
      </w:pPr>
      <w:rPr>
        <w:rFonts w:hint="default"/>
      </w:rPr>
    </w:lvl>
  </w:abstractNum>
  <w:abstractNum w:abstractNumId="7">
    <w:nsid w:val="BE17F3EC"/>
    <w:multiLevelType w:val="singleLevel"/>
    <w:tmpl w:val="BE17F3EC"/>
    <w:lvl w:ilvl="0" w:tentative="0">
      <w:start w:val="1"/>
      <w:numFmt w:val="decimal"/>
      <w:lvlText w:val="%1."/>
      <w:lvlJc w:val="left"/>
      <w:pPr>
        <w:ind w:left="425" w:hanging="425"/>
      </w:pPr>
      <w:rPr>
        <w:rFonts w:hint="default"/>
      </w:rPr>
    </w:lvl>
  </w:abstractNum>
  <w:abstractNum w:abstractNumId="8">
    <w:nsid w:val="C4A79D02"/>
    <w:multiLevelType w:val="singleLevel"/>
    <w:tmpl w:val="C4A79D02"/>
    <w:lvl w:ilvl="0" w:tentative="0">
      <w:start w:val="1"/>
      <w:numFmt w:val="decimal"/>
      <w:lvlText w:val="%1."/>
      <w:lvlJc w:val="left"/>
      <w:pPr>
        <w:ind w:left="425" w:hanging="425"/>
      </w:pPr>
      <w:rPr>
        <w:rFonts w:hint="default"/>
      </w:rPr>
    </w:lvl>
  </w:abstractNum>
  <w:abstractNum w:abstractNumId="9">
    <w:nsid w:val="CA690857"/>
    <w:multiLevelType w:val="singleLevel"/>
    <w:tmpl w:val="CA690857"/>
    <w:lvl w:ilvl="0" w:tentative="0">
      <w:start w:val="1"/>
      <w:numFmt w:val="decimal"/>
      <w:lvlText w:val="（%1）"/>
      <w:lvlJc w:val="left"/>
      <w:pPr>
        <w:ind w:left="420" w:hanging="420"/>
      </w:pPr>
      <w:rPr>
        <w:rFonts w:hint="eastAsia"/>
      </w:rPr>
    </w:lvl>
  </w:abstractNum>
  <w:abstractNum w:abstractNumId="10">
    <w:nsid w:val="D1490768"/>
    <w:multiLevelType w:val="singleLevel"/>
    <w:tmpl w:val="D1490768"/>
    <w:lvl w:ilvl="0" w:tentative="0">
      <w:start w:val="1"/>
      <w:numFmt w:val="decimal"/>
      <w:lvlText w:val="%1."/>
      <w:lvlJc w:val="left"/>
      <w:pPr>
        <w:ind w:left="425" w:hanging="425"/>
      </w:pPr>
      <w:rPr>
        <w:rFonts w:hint="default"/>
      </w:rPr>
    </w:lvl>
  </w:abstractNum>
  <w:abstractNum w:abstractNumId="11">
    <w:nsid w:val="D3051835"/>
    <w:multiLevelType w:val="singleLevel"/>
    <w:tmpl w:val="D3051835"/>
    <w:lvl w:ilvl="0" w:tentative="0">
      <w:start w:val="1"/>
      <w:numFmt w:val="decimal"/>
      <w:suff w:val="space"/>
      <w:lvlText w:val="%1."/>
      <w:lvlJc w:val="left"/>
    </w:lvl>
  </w:abstractNum>
  <w:abstractNum w:abstractNumId="12">
    <w:nsid w:val="DA557EDF"/>
    <w:multiLevelType w:val="singleLevel"/>
    <w:tmpl w:val="DA557EDF"/>
    <w:lvl w:ilvl="0" w:tentative="0">
      <w:start w:val="1"/>
      <w:numFmt w:val="decimal"/>
      <w:lvlText w:val="%1."/>
      <w:lvlJc w:val="left"/>
      <w:pPr>
        <w:ind w:left="425" w:hanging="425"/>
      </w:pPr>
      <w:rPr>
        <w:rFonts w:hint="default"/>
      </w:rPr>
    </w:lvl>
  </w:abstractNum>
  <w:abstractNum w:abstractNumId="13">
    <w:nsid w:val="DAA5A57F"/>
    <w:multiLevelType w:val="singleLevel"/>
    <w:tmpl w:val="DAA5A57F"/>
    <w:lvl w:ilvl="0" w:tentative="0">
      <w:start w:val="1"/>
      <w:numFmt w:val="decimal"/>
      <w:suff w:val="space"/>
      <w:lvlText w:val="%1."/>
      <w:lvlJc w:val="left"/>
    </w:lvl>
  </w:abstractNum>
  <w:abstractNum w:abstractNumId="14">
    <w:nsid w:val="E8294E09"/>
    <w:multiLevelType w:val="singleLevel"/>
    <w:tmpl w:val="E8294E09"/>
    <w:lvl w:ilvl="0" w:tentative="0">
      <w:start w:val="1"/>
      <w:numFmt w:val="decimal"/>
      <w:lvlText w:val="%1."/>
      <w:lvlJc w:val="left"/>
      <w:pPr>
        <w:ind w:left="425" w:hanging="425"/>
      </w:pPr>
      <w:rPr>
        <w:rFonts w:hint="default"/>
      </w:rPr>
    </w:lvl>
  </w:abstractNum>
  <w:abstractNum w:abstractNumId="15">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13"/>
    <w:multiLevelType w:val="singleLevel"/>
    <w:tmpl w:val="00000013"/>
    <w:lvl w:ilvl="0" w:tentative="0">
      <w:start w:val="1"/>
      <w:numFmt w:val="decimal"/>
      <w:lvlText w:val="%1."/>
      <w:lvlJc w:val="left"/>
      <w:pPr>
        <w:ind w:left="420" w:hanging="420"/>
      </w:pPr>
    </w:lvl>
  </w:abstractNum>
  <w:abstractNum w:abstractNumId="19">
    <w:nsid w:val="0024A068"/>
    <w:multiLevelType w:val="singleLevel"/>
    <w:tmpl w:val="0024A068"/>
    <w:lvl w:ilvl="0" w:tentative="0">
      <w:start w:val="1"/>
      <w:numFmt w:val="decimal"/>
      <w:lvlText w:val="%1."/>
      <w:lvlJc w:val="left"/>
      <w:pPr>
        <w:ind w:left="425" w:hanging="425"/>
      </w:pPr>
      <w:rPr>
        <w:rFonts w:hint="default"/>
      </w:rPr>
    </w:lvl>
  </w:abstractNum>
  <w:abstractNum w:abstractNumId="20">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EB3FBC7"/>
    <w:multiLevelType w:val="singleLevel"/>
    <w:tmpl w:val="1EB3FBC7"/>
    <w:lvl w:ilvl="0" w:tentative="0">
      <w:start w:val="1"/>
      <w:numFmt w:val="decimal"/>
      <w:lvlText w:val="%1."/>
      <w:lvlJc w:val="left"/>
      <w:pPr>
        <w:ind w:left="425" w:hanging="425"/>
      </w:pPr>
      <w:rPr>
        <w:rFonts w:hint="default"/>
      </w:rPr>
    </w:lvl>
  </w:abstractNum>
  <w:abstractNum w:abstractNumId="24">
    <w:nsid w:val="25B71C83"/>
    <w:multiLevelType w:val="multilevel"/>
    <w:tmpl w:val="25B71C83"/>
    <w:lvl w:ilvl="0" w:tentative="0">
      <w:start w:val="1"/>
      <w:numFmt w:val="decimal"/>
      <w:lvlText w:val="（%1）"/>
      <w:lvlJc w:val="left"/>
      <w:pPr>
        <w:ind w:left="720" w:hanging="7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8E10C89"/>
    <w:multiLevelType w:val="singleLevel"/>
    <w:tmpl w:val="28E10C89"/>
    <w:lvl w:ilvl="0" w:tentative="0">
      <w:start w:val="1"/>
      <w:numFmt w:val="decimal"/>
      <w:suff w:val="space"/>
      <w:lvlText w:val="%1."/>
      <w:lvlJc w:val="left"/>
    </w:lvl>
  </w:abstractNum>
  <w:abstractNum w:abstractNumId="27">
    <w:nsid w:val="2E0D9147"/>
    <w:multiLevelType w:val="singleLevel"/>
    <w:tmpl w:val="2E0D9147"/>
    <w:lvl w:ilvl="0" w:tentative="0">
      <w:start w:val="1"/>
      <w:numFmt w:val="decimal"/>
      <w:lvlText w:val="%1."/>
      <w:lvlJc w:val="left"/>
      <w:pPr>
        <w:ind w:left="425" w:hanging="425"/>
      </w:pPr>
      <w:rPr>
        <w:rFonts w:hint="default"/>
      </w:rPr>
    </w:lvl>
  </w:abstractNum>
  <w:abstractNum w:abstractNumId="28">
    <w:nsid w:val="319A20A0"/>
    <w:multiLevelType w:val="multilevel"/>
    <w:tmpl w:val="319A20A0"/>
    <w:lvl w:ilvl="0" w:tentative="0">
      <w:start w:val="1"/>
      <w:numFmt w:val="decimal"/>
      <w:lvlText w:val="(%1)"/>
      <w:lvlJc w:val="left"/>
      <w:pPr>
        <w:ind w:left="420" w:hanging="420"/>
      </w:pPr>
      <w:rPr>
        <w:rFonts w:hint="eastAsia"/>
        <w:b w:val="0"/>
        <w:sz w:val="21"/>
        <w:szCs w:val="21"/>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4">
    <w:nsid w:val="41B1D99D"/>
    <w:multiLevelType w:val="singleLevel"/>
    <w:tmpl w:val="41B1D99D"/>
    <w:lvl w:ilvl="0" w:tentative="0">
      <w:start w:val="1"/>
      <w:numFmt w:val="decimal"/>
      <w:lvlText w:val="%1."/>
      <w:lvlJc w:val="left"/>
      <w:pPr>
        <w:ind w:left="425" w:hanging="425"/>
      </w:pPr>
      <w:rPr>
        <w:rFonts w:hint="default"/>
      </w:rPr>
    </w:lvl>
  </w:abstractNum>
  <w:abstractNum w:abstractNumId="35">
    <w:nsid w:val="4BA949DC"/>
    <w:multiLevelType w:val="multilevel"/>
    <w:tmpl w:val="4BA949DC"/>
    <w:lvl w:ilvl="0" w:tentative="0">
      <w:start w:val="1"/>
      <w:numFmt w:val="decimal"/>
      <w:lvlText w:val="（%1）"/>
      <w:lvlJc w:val="left"/>
      <w:pPr>
        <w:ind w:left="720" w:hanging="720"/>
      </w:pPr>
      <w:rPr>
        <w:rFonts w:hint="default" w:ascii="宋体" w:hAnsi="宋体" w:eastAsia="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37">
    <w:nsid w:val="562460B2"/>
    <w:multiLevelType w:val="singleLevel"/>
    <w:tmpl w:val="562460B2"/>
    <w:lvl w:ilvl="0" w:tentative="0">
      <w:start w:val="1"/>
      <w:numFmt w:val="chineseCounting"/>
      <w:suff w:val="nothing"/>
      <w:lvlText w:val="%1、"/>
      <w:lvlJc w:val="left"/>
      <w:rPr>
        <w:rFonts w:hint="eastAsia" w:ascii="宋体" w:hAnsi="宋体" w:eastAsia="宋体" w:cs="仿宋"/>
        <w:b w:val="0"/>
        <w:bCs/>
      </w:rPr>
    </w:lvl>
  </w:abstractNum>
  <w:abstractNum w:abstractNumId="38">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3190166"/>
    <w:multiLevelType w:val="multilevel"/>
    <w:tmpl w:val="63190166"/>
    <w:lvl w:ilvl="0" w:tentative="0">
      <w:start w:val="1"/>
      <w:numFmt w:val="decimal"/>
      <w:lvlText w:val="(%1)"/>
      <w:lvlJc w:val="left"/>
      <w:pPr>
        <w:ind w:left="420" w:hanging="420"/>
      </w:pPr>
      <w:rPr>
        <w:rFonts w:hint="eastAsia"/>
        <w:b w:val="0"/>
        <w:sz w:val="21"/>
        <w:szCs w:val="21"/>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51F95A7"/>
    <w:multiLevelType w:val="singleLevel"/>
    <w:tmpl w:val="651F95A7"/>
    <w:lvl w:ilvl="0" w:tentative="0">
      <w:start w:val="1"/>
      <w:numFmt w:val="decimal"/>
      <w:lvlText w:val="%1."/>
      <w:lvlJc w:val="left"/>
      <w:pPr>
        <w:ind w:left="425" w:hanging="425"/>
      </w:pPr>
      <w:rPr>
        <w:rFonts w:hint="default"/>
      </w:rPr>
    </w:lvl>
  </w:abstractNum>
  <w:abstractNum w:abstractNumId="41">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2">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43">
    <w:nsid w:val="6B573324"/>
    <w:multiLevelType w:val="multilevel"/>
    <w:tmpl w:val="6B57332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6CF536B1"/>
    <w:multiLevelType w:val="multilevel"/>
    <w:tmpl w:val="6CF536B1"/>
    <w:lvl w:ilvl="0" w:tentative="0">
      <w:start w:val="1"/>
      <w:numFmt w:val="decimal"/>
      <w:lvlText w:val="第%1条"/>
      <w:lvlJc w:val="left"/>
      <w:pPr>
        <w:ind w:left="1125" w:hanging="112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DCF49A0"/>
    <w:multiLevelType w:val="singleLevel"/>
    <w:tmpl w:val="6DCF49A0"/>
    <w:lvl w:ilvl="0" w:tentative="0">
      <w:start w:val="1"/>
      <w:numFmt w:val="decimal"/>
      <w:lvlText w:val="%1."/>
      <w:lvlJc w:val="left"/>
      <w:pPr>
        <w:ind w:left="425" w:hanging="425"/>
      </w:pPr>
      <w:rPr>
        <w:rFonts w:hint="default"/>
      </w:rPr>
    </w:lvl>
  </w:abstractNum>
  <w:abstractNum w:abstractNumId="46">
    <w:nsid w:val="70F243FD"/>
    <w:multiLevelType w:val="multilevel"/>
    <w:tmpl w:val="70F243FD"/>
    <w:lvl w:ilvl="0" w:tentative="0">
      <w:start w:val="1"/>
      <w:numFmt w:val="decimal"/>
      <w:lvlText w:val="（%1）"/>
      <w:lvlJc w:val="left"/>
      <w:pPr>
        <w:ind w:left="360" w:hanging="360"/>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7">
    <w:nsid w:val="76335F59"/>
    <w:multiLevelType w:val="multilevel"/>
    <w:tmpl w:val="76335F59"/>
    <w:lvl w:ilvl="0" w:tentative="0">
      <w:start w:val="1"/>
      <w:numFmt w:val="decimal"/>
      <w:lvlText w:val="(%1)"/>
      <w:lvlJc w:val="left"/>
      <w:pPr>
        <w:ind w:left="420" w:hanging="420"/>
      </w:pPr>
      <w:rPr>
        <w:rFonts w:hint="eastAsia"/>
        <w:b w:val="0"/>
        <w:sz w:val="21"/>
        <w:szCs w:val="21"/>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B35FD99"/>
    <w:multiLevelType w:val="singleLevel"/>
    <w:tmpl w:val="7B35FD99"/>
    <w:lvl w:ilvl="0" w:tentative="0">
      <w:start w:val="1"/>
      <w:numFmt w:val="decimal"/>
      <w:lvlText w:val="%1."/>
      <w:lvlJc w:val="left"/>
      <w:pPr>
        <w:ind w:left="425" w:hanging="425"/>
      </w:pPr>
      <w:rPr>
        <w:rFonts w:hint="default"/>
      </w:rPr>
    </w:lvl>
  </w:abstractNum>
  <w:abstractNum w:abstractNumId="49">
    <w:nsid w:val="7B4A4E0C"/>
    <w:multiLevelType w:val="singleLevel"/>
    <w:tmpl w:val="7B4A4E0C"/>
    <w:lvl w:ilvl="0" w:tentative="0">
      <w:start w:val="1"/>
      <w:numFmt w:val="decimal"/>
      <w:lvlText w:val="（%1）"/>
      <w:lvlJc w:val="left"/>
      <w:pPr>
        <w:ind w:left="420" w:hanging="420"/>
      </w:pPr>
      <w:rPr>
        <w:rFonts w:hint="eastAsia"/>
        <w:lang w:val="en-US"/>
      </w:rPr>
    </w:lvl>
  </w:abstractNum>
  <w:num w:numId="1">
    <w:abstractNumId w:val="37"/>
  </w:num>
  <w:num w:numId="2">
    <w:abstractNumId w:val="42"/>
  </w:num>
  <w:num w:numId="3">
    <w:abstractNumId w:val="31"/>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8"/>
  </w:num>
  <w:num w:numId="8">
    <w:abstractNumId w:val="32"/>
  </w:num>
  <w:num w:numId="9">
    <w:abstractNumId w:val="20"/>
  </w:num>
  <w:num w:numId="10">
    <w:abstractNumId w:val="49"/>
  </w:num>
  <w:num w:numId="11">
    <w:abstractNumId w:val="47"/>
  </w:num>
  <w:num w:numId="12">
    <w:abstractNumId w:val="39"/>
  </w:num>
  <w:num w:numId="13">
    <w:abstractNumId w:val="28"/>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3"/>
  </w:num>
  <w:num w:numId="17">
    <w:abstractNumId w:val="5"/>
  </w:num>
  <w:num w:numId="18">
    <w:abstractNumId w:val="40"/>
  </w:num>
  <w:num w:numId="19">
    <w:abstractNumId w:val="19"/>
  </w:num>
  <w:num w:numId="20">
    <w:abstractNumId w:val="14"/>
  </w:num>
  <w:num w:numId="21">
    <w:abstractNumId w:val="45"/>
  </w:num>
  <w:num w:numId="22">
    <w:abstractNumId w:val="34"/>
  </w:num>
  <w:num w:numId="23">
    <w:abstractNumId w:val="7"/>
  </w:num>
  <w:num w:numId="24">
    <w:abstractNumId w:val="23"/>
  </w:num>
  <w:num w:numId="25">
    <w:abstractNumId w:val="27"/>
  </w:num>
  <w:num w:numId="26">
    <w:abstractNumId w:val="12"/>
  </w:num>
  <w:num w:numId="27">
    <w:abstractNumId w:val="10"/>
  </w:num>
  <w:num w:numId="28">
    <w:abstractNumId w:val="48"/>
  </w:num>
  <w:num w:numId="29">
    <w:abstractNumId w:val="3"/>
  </w:num>
  <w:num w:numId="30">
    <w:abstractNumId w:val="6"/>
  </w:num>
  <w:num w:numId="31">
    <w:abstractNumId w:val="8"/>
  </w:num>
  <w:num w:numId="32">
    <w:abstractNumId w:val="1"/>
  </w:num>
  <w:num w:numId="33">
    <w:abstractNumId w:val="0"/>
  </w:num>
  <w:num w:numId="34">
    <w:abstractNumId w:val="11"/>
  </w:num>
  <w:num w:numId="35">
    <w:abstractNumId w:val="26"/>
  </w:num>
  <w:num w:numId="36">
    <w:abstractNumId w:val="17"/>
  </w:num>
  <w:num w:numId="37">
    <w:abstractNumId w:val="4"/>
  </w:num>
  <w:num w:numId="38">
    <w:abstractNumId w:val="22"/>
  </w:num>
  <w:num w:numId="39">
    <w:abstractNumId w:val="24"/>
  </w:num>
  <w:num w:numId="40">
    <w:abstractNumId w:val="30"/>
  </w:num>
  <w:num w:numId="41">
    <w:abstractNumId w:val="2"/>
  </w:num>
  <w:num w:numId="42">
    <w:abstractNumId w:val="13"/>
  </w:num>
  <w:num w:numId="43">
    <w:abstractNumId w:val="44"/>
  </w:num>
  <w:num w:numId="44">
    <w:abstractNumId w:val="16"/>
  </w:num>
  <w:num w:numId="45">
    <w:abstractNumId w:val="15"/>
  </w:num>
  <w:num w:numId="46">
    <w:abstractNumId w:val="41"/>
  </w:num>
  <w:num w:numId="47">
    <w:abstractNumId w:val="33"/>
  </w:num>
  <w:num w:numId="48">
    <w:abstractNumId w:val="29"/>
  </w:num>
  <w:num w:numId="49">
    <w:abstractNumId w:val="18"/>
  </w:num>
  <w:num w:numId="50">
    <w:abstractNumId w:val="36"/>
  </w:num>
  <w:num w:numId="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MWNlZDY3ZmQ4NDkyNWVhNjE2NGYyNzQ1ZjI2MTAifQ=="/>
  </w:docVars>
  <w:rsids>
    <w:rsidRoot w:val="007C50B2"/>
    <w:rsid w:val="000071F5"/>
    <w:rsid w:val="000109CF"/>
    <w:rsid w:val="00013EAD"/>
    <w:rsid w:val="0001408F"/>
    <w:rsid w:val="00020D3D"/>
    <w:rsid w:val="0002431D"/>
    <w:rsid w:val="000262A2"/>
    <w:rsid w:val="00030ED4"/>
    <w:rsid w:val="000457DF"/>
    <w:rsid w:val="00052872"/>
    <w:rsid w:val="0005325D"/>
    <w:rsid w:val="00062FDA"/>
    <w:rsid w:val="0006307A"/>
    <w:rsid w:val="00071803"/>
    <w:rsid w:val="00074891"/>
    <w:rsid w:val="00077160"/>
    <w:rsid w:val="00080360"/>
    <w:rsid w:val="00093F3A"/>
    <w:rsid w:val="00095512"/>
    <w:rsid w:val="000A2942"/>
    <w:rsid w:val="000B02A3"/>
    <w:rsid w:val="000B0BD6"/>
    <w:rsid w:val="000C0416"/>
    <w:rsid w:val="000C45B3"/>
    <w:rsid w:val="000C7053"/>
    <w:rsid w:val="000D0096"/>
    <w:rsid w:val="000E3E7C"/>
    <w:rsid w:val="000E6197"/>
    <w:rsid w:val="000F16F8"/>
    <w:rsid w:val="000F23B0"/>
    <w:rsid w:val="000F7AD4"/>
    <w:rsid w:val="001052B4"/>
    <w:rsid w:val="001107A5"/>
    <w:rsid w:val="00122E98"/>
    <w:rsid w:val="001238C4"/>
    <w:rsid w:val="0012732B"/>
    <w:rsid w:val="00131567"/>
    <w:rsid w:val="0013213B"/>
    <w:rsid w:val="001356BD"/>
    <w:rsid w:val="0013663B"/>
    <w:rsid w:val="00137AB2"/>
    <w:rsid w:val="00141B72"/>
    <w:rsid w:val="001427DC"/>
    <w:rsid w:val="0015537D"/>
    <w:rsid w:val="00162AA4"/>
    <w:rsid w:val="0017163D"/>
    <w:rsid w:val="001723D2"/>
    <w:rsid w:val="00174846"/>
    <w:rsid w:val="00180E0D"/>
    <w:rsid w:val="00181729"/>
    <w:rsid w:val="00195244"/>
    <w:rsid w:val="001959E5"/>
    <w:rsid w:val="001978B2"/>
    <w:rsid w:val="001A282A"/>
    <w:rsid w:val="001A4A1B"/>
    <w:rsid w:val="001A6C5B"/>
    <w:rsid w:val="001B14E0"/>
    <w:rsid w:val="001E204B"/>
    <w:rsid w:val="001E44D2"/>
    <w:rsid w:val="001E720B"/>
    <w:rsid w:val="001F14F2"/>
    <w:rsid w:val="001F279E"/>
    <w:rsid w:val="0020628E"/>
    <w:rsid w:val="00206999"/>
    <w:rsid w:val="00210A14"/>
    <w:rsid w:val="00215EEA"/>
    <w:rsid w:val="0022465E"/>
    <w:rsid w:val="002300D0"/>
    <w:rsid w:val="002333D8"/>
    <w:rsid w:val="00233E0E"/>
    <w:rsid w:val="0025034A"/>
    <w:rsid w:val="00252697"/>
    <w:rsid w:val="00253531"/>
    <w:rsid w:val="00292E63"/>
    <w:rsid w:val="002963F2"/>
    <w:rsid w:val="002A144E"/>
    <w:rsid w:val="002A1B14"/>
    <w:rsid w:val="002B743A"/>
    <w:rsid w:val="002B7636"/>
    <w:rsid w:val="002C4975"/>
    <w:rsid w:val="002C49F2"/>
    <w:rsid w:val="002C6658"/>
    <w:rsid w:val="002E67DE"/>
    <w:rsid w:val="002F0F51"/>
    <w:rsid w:val="002F77A1"/>
    <w:rsid w:val="003147BB"/>
    <w:rsid w:val="003158DE"/>
    <w:rsid w:val="0032368E"/>
    <w:rsid w:val="003255E6"/>
    <w:rsid w:val="003300CC"/>
    <w:rsid w:val="0033186C"/>
    <w:rsid w:val="00337D03"/>
    <w:rsid w:val="00340B4F"/>
    <w:rsid w:val="003436BC"/>
    <w:rsid w:val="00354484"/>
    <w:rsid w:val="003545D1"/>
    <w:rsid w:val="00354BC3"/>
    <w:rsid w:val="00356F92"/>
    <w:rsid w:val="0037679F"/>
    <w:rsid w:val="0038152A"/>
    <w:rsid w:val="003823A8"/>
    <w:rsid w:val="00397C1E"/>
    <w:rsid w:val="003A09E6"/>
    <w:rsid w:val="003B01FB"/>
    <w:rsid w:val="003D0358"/>
    <w:rsid w:val="003D761A"/>
    <w:rsid w:val="003E6092"/>
    <w:rsid w:val="003E66A3"/>
    <w:rsid w:val="003E7621"/>
    <w:rsid w:val="003F1E01"/>
    <w:rsid w:val="0040553F"/>
    <w:rsid w:val="00405F5D"/>
    <w:rsid w:val="004235D9"/>
    <w:rsid w:val="00427D5D"/>
    <w:rsid w:val="00432932"/>
    <w:rsid w:val="00441F17"/>
    <w:rsid w:val="00445225"/>
    <w:rsid w:val="004514E6"/>
    <w:rsid w:val="00460C20"/>
    <w:rsid w:val="004707D2"/>
    <w:rsid w:val="00471ED2"/>
    <w:rsid w:val="00474E32"/>
    <w:rsid w:val="00476C96"/>
    <w:rsid w:val="004775EE"/>
    <w:rsid w:val="00484785"/>
    <w:rsid w:val="00491E0B"/>
    <w:rsid w:val="00492F1D"/>
    <w:rsid w:val="00497B98"/>
    <w:rsid w:val="004A0594"/>
    <w:rsid w:val="004A0D6B"/>
    <w:rsid w:val="004A7C1F"/>
    <w:rsid w:val="004B0D64"/>
    <w:rsid w:val="004B24F9"/>
    <w:rsid w:val="004C4D41"/>
    <w:rsid w:val="004D1901"/>
    <w:rsid w:val="004D58FC"/>
    <w:rsid w:val="004D5AC3"/>
    <w:rsid w:val="004D6F70"/>
    <w:rsid w:val="004E3802"/>
    <w:rsid w:val="004E3A19"/>
    <w:rsid w:val="004E40C8"/>
    <w:rsid w:val="004E4541"/>
    <w:rsid w:val="004E5827"/>
    <w:rsid w:val="004E7657"/>
    <w:rsid w:val="004F2952"/>
    <w:rsid w:val="004F2ED2"/>
    <w:rsid w:val="004F63E5"/>
    <w:rsid w:val="004F67F3"/>
    <w:rsid w:val="00506B6D"/>
    <w:rsid w:val="00506DCD"/>
    <w:rsid w:val="00530275"/>
    <w:rsid w:val="005327D9"/>
    <w:rsid w:val="00540C8D"/>
    <w:rsid w:val="00544B6E"/>
    <w:rsid w:val="00550A0A"/>
    <w:rsid w:val="00565EDC"/>
    <w:rsid w:val="0057245C"/>
    <w:rsid w:val="005815FC"/>
    <w:rsid w:val="005A26F8"/>
    <w:rsid w:val="005A480E"/>
    <w:rsid w:val="005B03C2"/>
    <w:rsid w:val="005B1453"/>
    <w:rsid w:val="005B328D"/>
    <w:rsid w:val="005C5034"/>
    <w:rsid w:val="005D123F"/>
    <w:rsid w:val="005D4725"/>
    <w:rsid w:val="005D668E"/>
    <w:rsid w:val="005E43D8"/>
    <w:rsid w:val="005E4792"/>
    <w:rsid w:val="005F0340"/>
    <w:rsid w:val="005F16B3"/>
    <w:rsid w:val="005F71F0"/>
    <w:rsid w:val="00604C0B"/>
    <w:rsid w:val="00606010"/>
    <w:rsid w:val="006115F6"/>
    <w:rsid w:val="00621681"/>
    <w:rsid w:val="00630585"/>
    <w:rsid w:val="006311FC"/>
    <w:rsid w:val="00632039"/>
    <w:rsid w:val="006333BC"/>
    <w:rsid w:val="00637D76"/>
    <w:rsid w:val="00641249"/>
    <w:rsid w:val="0064571A"/>
    <w:rsid w:val="006635D2"/>
    <w:rsid w:val="00664471"/>
    <w:rsid w:val="006747D2"/>
    <w:rsid w:val="00681577"/>
    <w:rsid w:val="006815B1"/>
    <w:rsid w:val="00687753"/>
    <w:rsid w:val="006942FF"/>
    <w:rsid w:val="006A2BD8"/>
    <w:rsid w:val="006A4FED"/>
    <w:rsid w:val="006A5484"/>
    <w:rsid w:val="006B1729"/>
    <w:rsid w:val="006B32B0"/>
    <w:rsid w:val="006B3970"/>
    <w:rsid w:val="006B4923"/>
    <w:rsid w:val="006C4074"/>
    <w:rsid w:val="006C659A"/>
    <w:rsid w:val="006C7266"/>
    <w:rsid w:val="006C7574"/>
    <w:rsid w:val="006D5A9F"/>
    <w:rsid w:val="006D5DE6"/>
    <w:rsid w:val="006E0464"/>
    <w:rsid w:val="006E1772"/>
    <w:rsid w:val="006E42A5"/>
    <w:rsid w:val="006E6992"/>
    <w:rsid w:val="006F0E4A"/>
    <w:rsid w:val="006F3293"/>
    <w:rsid w:val="0070433C"/>
    <w:rsid w:val="007115E1"/>
    <w:rsid w:val="007141D0"/>
    <w:rsid w:val="00714F2D"/>
    <w:rsid w:val="00715AB4"/>
    <w:rsid w:val="007164D8"/>
    <w:rsid w:val="00717FB9"/>
    <w:rsid w:val="007252B9"/>
    <w:rsid w:val="007347D6"/>
    <w:rsid w:val="00740337"/>
    <w:rsid w:val="00746549"/>
    <w:rsid w:val="007542A8"/>
    <w:rsid w:val="007559E5"/>
    <w:rsid w:val="00760715"/>
    <w:rsid w:val="007672EE"/>
    <w:rsid w:val="0076763C"/>
    <w:rsid w:val="00773749"/>
    <w:rsid w:val="007744CB"/>
    <w:rsid w:val="0077621A"/>
    <w:rsid w:val="00781DFA"/>
    <w:rsid w:val="00782E08"/>
    <w:rsid w:val="00790A8A"/>
    <w:rsid w:val="007933D2"/>
    <w:rsid w:val="007A4567"/>
    <w:rsid w:val="007C02CE"/>
    <w:rsid w:val="007C16FA"/>
    <w:rsid w:val="007C3EB8"/>
    <w:rsid w:val="007C50B2"/>
    <w:rsid w:val="007E5072"/>
    <w:rsid w:val="00803FA2"/>
    <w:rsid w:val="008117C1"/>
    <w:rsid w:val="00823E99"/>
    <w:rsid w:val="0084470A"/>
    <w:rsid w:val="00845DE7"/>
    <w:rsid w:val="008507A0"/>
    <w:rsid w:val="008546D1"/>
    <w:rsid w:val="00857F72"/>
    <w:rsid w:val="008664B3"/>
    <w:rsid w:val="00866C0E"/>
    <w:rsid w:val="00867C56"/>
    <w:rsid w:val="00870B22"/>
    <w:rsid w:val="00874BB5"/>
    <w:rsid w:val="00883D78"/>
    <w:rsid w:val="00895D5D"/>
    <w:rsid w:val="00897516"/>
    <w:rsid w:val="008A0193"/>
    <w:rsid w:val="008A7290"/>
    <w:rsid w:val="008B2C67"/>
    <w:rsid w:val="008C44DE"/>
    <w:rsid w:val="008C4762"/>
    <w:rsid w:val="008E05E5"/>
    <w:rsid w:val="008F03B4"/>
    <w:rsid w:val="009033C4"/>
    <w:rsid w:val="0090721F"/>
    <w:rsid w:val="00915BDD"/>
    <w:rsid w:val="00915ED3"/>
    <w:rsid w:val="00921180"/>
    <w:rsid w:val="00921332"/>
    <w:rsid w:val="00926702"/>
    <w:rsid w:val="00927979"/>
    <w:rsid w:val="00937F12"/>
    <w:rsid w:val="00943245"/>
    <w:rsid w:val="0094528D"/>
    <w:rsid w:val="00960B05"/>
    <w:rsid w:val="00963D73"/>
    <w:rsid w:val="00976465"/>
    <w:rsid w:val="009801C1"/>
    <w:rsid w:val="0098029E"/>
    <w:rsid w:val="0098263B"/>
    <w:rsid w:val="00982922"/>
    <w:rsid w:val="00991233"/>
    <w:rsid w:val="009953F9"/>
    <w:rsid w:val="009A37EC"/>
    <w:rsid w:val="009A699B"/>
    <w:rsid w:val="009A6EF3"/>
    <w:rsid w:val="009B2971"/>
    <w:rsid w:val="009B4917"/>
    <w:rsid w:val="009B7189"/>
    <w:rsid w:val="009B7AF4"/>
    <w:rsid w:val="009C0135"/>
    <w:rsid w:val="009C4CD0"/>
    <w:rsid w:val="009D2D84"/>
    <w:rsid w:val="009E25C8"/>
    <w:rsid w:val="009E2781"/>
    <w:rsid w:val="009E3D67"/>
    <w:rsid w:val="009E7342"/>
    <w:rsid w:val="009F07DA"/>
    <w:rsid w:val="00A0064A"/>
    <w:rsid w:val="00A0267F"/>
    <w:rsid w:val="00A30228"/>
    <w:rsid w:val="00A31A55"/>
    <w:rsid w:val="00A32219"/>
    <w:rsid w:val="00A33D66"/>
    <w:rsid w:val="00A3423A"/>
    <w:rsid w:val="00A35983"/>
    <w:rsid w:val="00A35F31"/>
    <w:rsid w:val="00A4407E"/>
    <w:rsid w:val="00A46C1C"/>
    <w:rsid w:val="00A6167F"/>
    <w:rsid w:val="00A639F5"/>
    <w:rsid w:val="00A761F1"/>
    <w:rsid w:val="00A8313A"/>
    <w:rsid w:val="00AA01BF"/>
    <w:rsid w:val="00AA0F85"/>
    <w:rsid w:val="00AA320E"/>
    <w:rsid w:val="00AA38D8"/>
    <w:rsid w:val="00AA56F4"/>
    <w:rsid w:val="00AA6BD5"/>
    <w:rsid w:val="00AB0184"/>
    <w:rsid w:val="00AB0A23"/>
    <w:rsid w:val="00AC1082"/>
    <w:rsid w:val="00AC7FB5"/>
    <w:rsid w:val="00AD0743"/>
    <w:rsid w:val="00AD210E"/>
    <w:rsid w:val="00AD30CB"/>
    <w:rsid w:val="00AE0610"/>
    <w:rsid w:val="00AE1E1D"/>
    <w:rsid w:val="00AF0A7F"/>
    <w:rsid w:val="00AF1254"/>
    <w:rsid w:val="00AF348F"/>
    <w:rsid w:val="00AF730B"/>
    <w:rsid w:val="00B02F8D"/>
    <w:rsid w:val="00B049D6"/>
    <w:rsid w:val="00B1365B"/>
    <w:rsid w:val="00B21864"/>
    <w:rsid w:val="00B30C93"/>
    <w:rsid w:val="00B33E22"/>
    <w:rsid w:val="00B35218"/>
    <w:rsid w:val="00B37A2F"/>
    <w:rsid w:val="00B40F3E"/>
    <w:rsid w:val="00B44E4F"/>
    <w:rsid w:val="00B522B7"/>
    <w:rsid w:val="00B61888"/>
    <w:rsid w:val="00B63E25"/>
    <w:rsid w:val="00B65C5E"/>
    <w:rsid w:val="00B671B8"/>
    <w:rsid w:val="00B75A55"/>
    <w:rsid w:val="00B76BC6"/>
    <w:rsid w:val="00B965AA"/>
    <w:rsid w:val="00BA4080"/>
    <w:rsid w:val="00BA7AC7"/>
    <w:rsid w:val="00BB6D14"/>
    <w:rsid w:val="00BC0C0B"/>
    <w:rsid w:val="00BC40BD"/>
    <w:rsid w:val="00BC6530"/>
    <w:rsid w:val="00BD120A"/>
    <w:rsid w:val="00BD666B"/>
    <w:rsid w:val="00BE5541"/>
    <w:rsid w:val="00BF52E8"/>
    <w:rsid w:val="00C01654"/>
    <w:rsid w:val="00C065F7"/>
    <w:rsid w:val="00C1716A"/>
    <w:rsid w:val="00C22184"/>
    <w:rsid w:val="00C30244"/>
    <w:rsid w:val="00C368EA"/>
    <w:rsid w:val="00C5180D"/>
    <w:rsid w:val="00C53AB0"/>
    <w:rsid w:val="00C53D1D"/>
    <w:rsid w:val="00C61FB2"/>
    <w:rsid w:val="00C6530D"/>
    <w:rsid w:val="00C72E08"/>
    <w:rsid w:val="00C76FD5"/>
    <w:rsid w:val="00C84C10"/>
    <w:rsid w:val="00C90F76"/>
    <w:rsid w:val="00C9460F"/>
    <w:rsid w:val="00C94844"/>
    <w:rsid w:val="00C95195"/>
    <w:rsid w:val="00CB0006"/>
    <w:rsid w:val="00CB17EE"/>
    <w:rsid w:val="00CB1DEF"/>
    <w:rsid w:val="00CC73DA"/>
    <w:rsid w:val="00CD24C8"/>
    <w:rsid w:val="00CD4DCE"/>
    <w:rsid w:val="00CD6CBD"/>
    <w:rsid w:val="00CE24CE"/>
    <w:rsid w:val="00CE34F4"/>
    <w:rsid w:val="00CE5F16"/>
    <w:rsid w:val="00CF1D93"/>
    <w:rsid w:val="00CF3F58"/>
    <w:rsid w:val="00CF3FF1"/>
    <w:rsid w:val="00CF5A72"/>
    <w:rsid w:val="00D042DE"/>
    <w:rsid w:val="00D05934"/>
    <w:rsid w:val="00D13594"/>
    <w:rsid w:val="00D2411A"/>
    <w:rsid w:val="00D27884"/>
    <w:rsid w:val="00D279FD"/>
    <w:rsid w:val="00D35930"/>
    <w:rsid w:val="00D4224E"/>
    <w:rsid w:val="00D43550"/>
    <w:rsid w:val="00D50EC5"/>
    <w:rsid w:val="00D629CE"/>
    <w:rsid w:val="00D66E3D"/>
    <w:rsid w:val="00D74492"/>
    <w:rsid w:val="00D83CA2"/>
    <w:rsid w:val="00D83CC0"/>
    <w:rsid w:val="00D84553"/>
    <w:rsid w:val="00D8470E"/>
    <w:rsid w:val="00D848EF"/>
    <w:rsid w:val="00D85518"/>
    <w:rsid w:val="00D955EB"/>
    <w:rsid w:val="00D964EC"/>
    <w:rsid w:val="00DB1C4E"/>
    <w:rsid w:val="00DB631A"/>
    <w:rsid w:val="00DB7D95"/>
    <w:rsid w:val="00DD544D"/>
    <w:rsid w:val="00DD6419"/>
    <w:rsid w:val="00DE54DF"/>
    <w:rsid w:val="00DE5E4C"/>
    <w:rsid w:val="00DE7DDC"/>
    <w:rsid w:val="00DF0B39"/>
    <w:rsid w:val="00DF428F"/>
    <w:rsid w:val="00E107EC"/>
    <w:rsid w:val="00E11738"/>
    <w:rsid w:val="00E12957"/>
    <w:rsid w:val="00E16BBB"/>
    <w:rsid w:val="00E27F91"/>
    <w:rsid w:val="00E31BD7"/>
    <w:rsid w:val="00E34A59"/>
    <w:rsid w:val="00E37A7B"/>
    <w:rsid w:val="00E45D07"/>
    <w:rsid w:val="00E677C6"/>
    <w:rsid w:val="00E70687"/>
    <w:rsid w:val="00E710FC"/>
    <w:rsid w:val="00E75726"/>
    <w:rsid w:val="00E84F7D"/>
    <w:rsid w:val="00E86CB7"/>
    <w:rsid w:val="00E928C6"/>
    <w:rsid w:val="00EA0513"/>
    <w:rsid w:val="00EA7708"/>
    <w:rsid w:val="00EC3332"/>
    <w:rsid w:val="00EC57A0"/>
    <w:rsid w:val="00ED5337"/>
    <w:rsid w:val="00ED66B3"/>
    <w:rsid w:val="00ED6C44"/>
    <w:rsid w:val="00ED6D11"/>
    <w:rsid w:val="00EE2A92"/>
    <w:rsid w:val="00F00080"/>
    <w:rsid w:val="00F01837"/>
    <w:rsid w:val="00F01D21"/>
    <w:rsid w:val="00F03A68"/>
    <w:rsid w:val="00F04E6A"/>
    <w:rsid w:val="00F112C6"/>
    <w:rsid w:val="00F1499F"/>
    <w:rsid w:val="00F15D7F"/>
    <w:rsid w:val="00F16320"/>
    <w:rsid w:val="00F210DC"/>
    <w:rsid w:val="00F2136A"/>
    <w:rsid w:val="00F256B7"/>
    <w:rsid w:val="00F309E8"/>
    <w:rsid w:val="00F313E2"/>
    <w:rsid w:val="00F36975"/>
    <w:rsid w:val="00F467E3"/>
    <w:rsid w:val="00F47201"/>
    <w:rsid w:val="00F503C2"/>
    <w:rsid w:val="00F525B8"/>
    <w:rsid w:val="00F53D25"/>
    <w:rsid w:val="00F64816"/>
    <w:rsid w:val="00F73354"/>
    <w:rsid w:val="00F95D13"/>
    <w:rsid w:val="00FA092E"/>
    <w:rsid w:val="00FA63B5"/>
    <w:rsid w:val="00FA6D58"/>
    <w:rsid w:val="00FD3934"/>
    <w:rsid w:val="00FD52D3"/>
    <w:rsid w:val="00FE72DF"/>
    <w:rsid w:val="00FF2F91"/>
    <w:rsid w:val="025A42A3"/>
    <w:rsid w:val="02B47C4D"/>
    <w:rsid w:val="02B93E94"/>
    <w:rsid w:val="02FD576B"/>
    <w:rsid w:val="049A5F29"/>
    <w:rsid w:val="04C437DB"/>
    <w:rsid w:val="04D46768"/>
    <w:rsid w:val="053A1CC8"/>
    <w:rsid w:val="06856661"/>
    <w:rsid w:val="070B5124"/>
    <w:rsid w:val="077B4608"/>
    <w:rsid w:val="079D67CB"/>
    <w:rsid w:val="07BB74B6"/>
    <w:rsid w:val="08493DEA"/>
    <w:rsid w:val="085A4D0B"/>
    <w:rsid w:val="086E4EC9"/>
    <w:rsid w:val="0A151E7E"/>
    <w:rsid w:val="0A1E06F8"/>
    <w:rsid w:val="0A345132"/>
    <w:rsid w:val="0B6359B1"/>
    <w:rsid w:val="0B734A64"/>
    <w:rsid w:val="0BEE6636"/>
    <w:rsid w:val="0C0429F9"/>
    <w:rsid w:val="0C3359BE"/>
    <w:rsid w:val="0CE85729"/>
    <w:rsid w:val="0CEC020B"/>
    <w:rsid w:val="0D1156E0"/>
    <w:rsid w:val="0DD201F4"/>
    <w:rsid w:val="0F4526B6"/>
    <w:rsid w:val="12C54941"/>
    <w:rsid w:val="12C75036"/>
    <w:rsid w:val="14B73C3C"/>
    <w:rsid w:val="152B64B8"/>
    <w:rsid w:val="15740DA4"/>
    <w:rsid w:val="17140625"/>
    <w:rsid w:val="17D050E1"/>
    <w:rsid w:val="18504535"/>
    <w:rsid w:val="195A6BC0"/>
    <w:rsid w:val="1B600F16"/>
    <w:rsid w:val="1C9007A7"/>
    <w:rsid w:val="1CAF64E8"/>
    <w:rsid w:val="1D8B0CE9"/>
    <w:rsid w:val="1DDB5D51"/>
    <w:rsid w:val="1DF13384"/>
    <w:rsid w:val="1EEB5056"/>
    <w:rsid w:val="204D5E17"/>
    <w:rsid w:val="20F71A7A"/>
    <w:rsid w:val="215F4BD7"/>
    <w:rsid w:val="21F4466F"/>
    <w:rsid w:val="226E281A"/>
    <w:rsid w:val="227A4EED"/>
    <w:rsid w:val="228D0750"/>
    <w:rsid w:val="249D2BEA"/>
    <w:rsid w:val="254B6C47"/>
    <w:rsid w:val="25A5748F"/>
    <w:rsid w:val="25D85A3C"/>
    <w:rsid w:val="25E060BF"/>
    <w:rsid w:val="26E95967"/>
    <w:rsid w:val="2839632E"/>
    <w:rsid w:val="28B92CB0"/>
    <w:rsid w:val="2B9E3425"/>
    <w:rsid w:val="2BFA4386"/>
    <w:rsid w:val="2CD73EA3"/>
    <w:rsid w:val="2D404D2D"/>
    <w:rsid w:val="2D845ED0"/>
    <w:rsid w:val="2FD25875"/>
    <w:rsid w:val="30306714"/>
    <w:rsid w:val="30381F4F"/>
    <w:rsid w:val="30A45AA7"/>
    <w:rsid w:val="30CD665C"/>
    <w:rsid w:val="32E06CE1"/>
    <w:rsid w:val="32F0373B"/>
    <w:rsid w:val="32FD09B4"/>
    <w:rsid w:val="34A05B77"/>
    <w:rsid w:val="34C204C9"/>
    <w:rsid w:val="36AE000E"/>
    <w:rsid w:val="387274B6"/>
    <w:rsid w:val="38AC36F6"/>
    <w:rsid w:val="396D1125"/>
    <w:rsid w:val="3B32122F"/>
    <w:rsid w:val="3CDB6071"/>
    <w:rsid w:val="3D3679ED"/>
    <w:rsid w:val="3EE53CCA"/>
    <w:rsid w:val="404F0E89"/>
    <w:rsid w:val="408D7227"/>
    <w:rsid w:val="40B801FF"/>
    <w:rsid w:val="416718EC"/>
    <w:rsid w:val="4181596D"/>
    <w:rsid w:val="42595DA0"/>
    <w:rsid w:val="42B320EA"/>
    <w:rsid w:val="439D7A21"/>
    <w:rsid w:val="43D97719"/>
    <w:rsid w:val="44563E03"/>
    <w:rsid w:val="445D396D"/>
    <w:rsid w:val="447267E8"/>
    <w:rsid w:val="44DD06DF"/>
    <w:rsid w:val="44E431E5"/>
    <w:rsid w:val="47886899"/>
    <w:rsid w:val="478A4042"/>
    <w:rsid w:val="48F72D39"/>
    <w:rsid w:val="49124912"/>
    <w:rsid w:val="49237BD7"/>
    <w:rsid w:val="492A4A83"/>
    <w:rsid w:val="495C1F5C"/>
    <w:rsid w:val="4AFB0CF7"/>
    <w:rsid w:val="4B24516F"/>
    <w:rsid w:val="4B250E51"/>
    <w:rsid w:val="4B8B03E4"/>
    <w:rsid w:val="4DDF67CC"/>
    <w:rsid w:val="4EE12BFB"/>
    <w:rsid w:val="50FA6A61"/>
    <w:rsid w:val="51611426"/>
    <w:rsid w:val="51794BC1"/>
    <w:rsid w:val="521E759C"/>
    <w:rsid w:val="53321C97"/>
    <w:rsid w:val="537C4DFC"/>
    <w:rsid w:val="53D25371"/>
    <w:rsid w:val="540F1FD2"/>
    <w:rsid w:val="547B4FDA"/>
    <w:rsid w:val="551113A9"/>
    <w:rsid w:val="55A67280"/>
    <w:rsid w:val="567228EE"/>
    <w:rsid w:val="56825607"/>
    <w:rsid w:val="56B757B4"/>
    <w:rsid w:val="57594B93"/>
    <w:rsid w:val="594A6990"/>
    <w:rsid w:val="5AC247C2"/>
    <w:rsid w:val="5DC866F8"/>
    <w:rsid w:val="5E5C4EB7"/>
    <w:rsid w:val="5EB10835"/>
    <w:rsid w:val="60825213"/>
    <w:rsid w:val="60A60070"/>
    <w:rsid w:val="617F6A69"/>
    <w:rsid w:val="63046A0B"/>
    <w:rsid w:val="63AC3C24"/>
    <w:rsid w:val="63F021DB"/>
    <w:rsid w:val="640C25AF"/>
    <w:rsid w:val="65C34B8E"/>
    <w:rsid w:val="67894E87"/>
    <w:rsid w:val="683A303D"/>
    <w:rsid w:val="68965EBC"/>
    <w:rsid w:val="68E97B63"/>
    <w:rsid w:val="692850F0"/>
    <w:rsid w:val="6A5B2F9C"/>
    <w:rsid w:val="6B1E605C"/>
    <w:rsid w:val="6C5E0507"/>
    <w:rsid w:val="6C85328E"/>
    <w:rsid w:val="6CB71623"/>
    <w:rsid w:val="6CCF7DE2"/>
    <w:rsid w:val="6E3F209B"/>
    <w:rsid w:val="70781947"/>
    <w:rsid w:val="70BB4D68"/>
    <w:rsid w:val="74783A1C"/>
    <w:rsid w:val="74AB354D"/>
    <w:rsid w:val="74B05132"/>
    <w:rsid w:val="76323155"/>
    <w:rsid w:val="76C52AAF"/>
    <w:rsid w:val="772A35DE"/>
    <w:rsid w:val="777C5191"/>
    <w:rsid w:val="781036FE"/>
    <w:rsid w:val="798425C1"/>
    <w:rsid w:val="79BF662E"/>
    <w:rsid w:val="7A4B5B6B"/>
    <w:rsid w:val="7B2952F2"/>
    <w:rsid w:val="7B2D0AB7"/>
    <w:rsid w:val="7C241652"/>
    <w:rsid w:val="7E2677A6"/>
    <w:rsid w:val="7EC046E6"/>
    <w:rsid w:val="7F2F2677"/>
    <w:rsid w:val="7F5E4119"/>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3">
    <w:name w:val="annotation text"/>
    <w:basedOn w:val="1"/>
    <w:link w:val="24"/>
    <w:unhideWhenUsed/>
    <w:qFormat/>
    <w:uiPriority w:val="99"/>
    <w:pPr>
      <w:jc w:val="left"/>
    </w:pPr>
  </w:style>
  <w:style w:type="paragraph" w:styleId="4">
    <w:name w:val="toc 3"/>
    <w:basedOn w:val="1"/>
    <w:next w:val="1"/>
    <w:unhideWhenUsed/>
    <w:qFormat/>
    <w:uiPriority w:val="39"/>
    <w:pPr>
      <w:ind w:left="840" w:leftChars="400"/>
    </w:pPr>
  </w:style>
  <w:style w:type="paragraph" w:styleId="5">
    <w:name w:val="Balloon Text"/>
    <w:basedOn w:val="1"/>
    <w:link w:val="26"/>
    <w:semiHidden/>
    <w:unhideWhenUsed/>
    <w:qFormat/>
    <w:uiPriority w:val="99"/>
    <w:rPr>
      <w:sz w:val="18"/>
      <w:szCs w:val="18"/>
    </w:rPr>
  </w:style>
  <w:style w:type="paragraph" w:styleId="6">
    <w:name w:val="footer"/>
    <w:basedOn w:val="1"/>
    <w:link w:val="28"/>
    <w:unhideWhenUsed/>
    <w:qFormat/>
    <w:uiPriority w:val="99"/>
    <w:pPr>
      <w:tabs>
        <w:tab w:val="center" w:pos="4153"/>
        <w:tab w:val="right" w:pos="8306"/>
      </w:tabs>
      <w:snapToGrid w:val="0"/>
      <w:jc w:val="left"/>
    </w:pPr>
    <w:rPr>
      <w:sz w:val="18"/>
      <w:szCs w:val="18"/>
    </w:rPr>
  </w:style>
  <w:style w:type="paragraph" w:styleId="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footnote text"/>
    <w:basedOn w:val="1"/>
    <w:link w:val="33"/>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style>
  <w:style w:type="paragraph" w:styleId="11">
    <w:name w:val="Body Text 2"/>
    <w:basedOn w:val="1"/>
    <w:link w:val="32"/>
    <w:qFormat/>
    <w:uiPriority w:val="0"/>
    <w:pPr>
      <w:jc w:val="left"/>
    </w:pPr>
    <w:rPr>
      <w:rFonts w:ascii="仿宋_GB2312" w:hAnsi="宋体" w:eastAsia="仿宋_GB2312"/>
    </w:rPr>
  </w:style>
  <w:style w:type="paragraph" w:styleId="12">
    <w:name w:val="Normal (Web)"/>
    <w:basedOn w:val="1"/>
    <w:unhideWhenUsed/>
    <w:qFormat/>
    <w:uiPriority w:val="99"/>
    <w:pPr>
      <w:widowControl/>
      <w:jc w:val="left"/>
    </w:pPr>
    <w:rPr>
      <w:rFonts w:ascii="宋体" w:hAnsi="宋体" w:cs="宋体"/>
      <w:kern w:val="0"/>
      <w:sz w:val="24"/>
    </w:rPr>
  </w:style>
  <w:style w:type="paragraph" w:styleId="13">
    <w:name w:val="annotation subject"/>
    <w:basedOn w:val="3"/>
    <w:next w:val="3"/>
    <w:link w:val="30"/>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unhideWhenUsed/>
    <w:qFormat/>
    <w:uiPriority w:val="99"/>
    <w:rPr>
      <w:color w:val="0000FF"/>
      <w:u w:val="single"/>
    </w:rPr>
  </w:style>
  <w:style w:type="character" w:styleId="19">
    <w:name w:val="annotation reference"/>
    <w:basedOn w:val="16"/>
    <w:unhideWhenUsed/>
    <w:qFormat/>
    <w:uiPriority w:val="99"/>
    <w:rPr>
      <w:sz w:val="21"/>
      <w:szCs w:val="21"/>
    </w:rPr>
  </w:style>
  <w:style w:type="character" w:styleId="20">
    <w:name w:val="footnote reference"/>
    <w:basedOn w:val="16"/>
    <w:semiHidden/>
    <w:unhideWhenUsed/>
    <w:qFormat/>
    <w:uiPriority w:val="99"/>
    <w:rPr>
      <w:vertAlign w:val="superscript"/>
    </w:rPr>
  </w:style>
  <w:style w:type="character" w:customStyle="1" w:styleId="21">
    <w:name w:val="列出段落 Char"/>
    <w:link w:val="22"/>
    <w:qFormat/>
    <w:uiPriority w:val="34"/>
    <w:rPr>
      <w:rFonts w:ascii="Times New Roman" w:hAnsi="Times New Roman"/>
      <w:szCs w:val="24"/>
    </w:rPr>
  </w:style>
  <w:style w:type="paragraph" w:styleId="22">
    <w:name w:val="List Paragraph"/>
    <w:basedOn w:val="1"/>
    <w:link w:val="21"/>
    <w:qFormat/>
    <w:uiPriority w:val="34"/>
    <w:pPr>
      <w:ind w:firstLine="420" w:firstLineChars="200"/>
    </w:pPr>
    <w:rPr>
      <w:rFonts w:eastAsiaTheme="minorEastAsia" w:cstheme="minorBidi"/>
    </w:rPr>
  </w:style>
  <w:style w:type="character" w:customStyle="1" w:styleId="23">
    <w:name w:val="批注文字 字符"/>
    <w:basedOn w:val="16"/>
    <w:semiHidden/>
    <w:qFormat/>
    <w:uiPriority w:val="99"/>
    <w:rPr>
      <w:rFonts w:ascii="Times New Roman" w:hAnsi="Times New Roman" w:eastAsia="宋体" w:cs="Times New Roman"/>
      <w:szCs w:val="24"/>
    </w:rPr>
  </w:style>
  <w:style w:type="character" w:customStyle="1" w:styleId="24">
    <w:name w:val="批注文字 Char"/>
    <w:link w:val="3"/>
    <w:qFormat/>
    <w:uiPriority w:val="99"/>
    <w:rPr>
      <w:rFonts w:ascii="Times New Roman" w:hAnsi="Times New Roman" w:eastAsia="宋体" w:cs="Times New Roman"/>
      <w:szCs w:val="24"/>
    </w:rPr>
  </w:style>
  <w:style w:type="paragraph" w:customStyle="1" w:styleId="2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6">
    <w:name w:val="批注框文本 Char"/>
    <w:basedOn w:val="16"/>
    <w:link w:val="5"/>
    <w:semiHidden/>
    <w:qFormat/>
    <w:uiPriority w:val="99"/>
    <w:rPr>
      <w:rFonts w:ascii="Times New Roman" w:hAnsi="Times New Roman" w:eastAsia="宋体" w:cs="Times New Roman"/>
      <w:sz w:val="18"/>
      <w:szCs w:val="18"/>
    </w:rPr>
  </w:style>
  <w:style w:type="character" w:customStyle="1" w:styleId="27">
    <w:name w:val="页眉 Char"/>
    <w:basedOn w:val="16"/>
    <w:link w:val="7"/>
    <w:qFormat/>
    <w:uiPriority w:val="99"/>
    <w:rPr>
      <w:rFonts w:ascii="Times New Roman" w:hAnsi="Times New Roman" w:eastAsia="宋体" w:cs="Times New Roman"/>
      <w:sz w:val="18"/>
      <w:szCs w:val="18"/>
    </w:rPr>
  </w:style>
  <w:style w:type="character" w:customStyle="1" w:styleId="28">
    <w:name w:val="页脚 Char"/>
    <w:basedOn w:val="16"/>
    <w:link w:val="6"/>
    <w:qFormat/>
    <w:uiPriority w:val="99"/>
    <w:rPr>
      <w:rFonts w:ascii="Times New Roman" w:hAnsi="Times New Roman" w:eastAsia="宋体" w:cs="Times New Roman"/>
      <w:sz w:val="18"/>
      <w:szCs w:val="18"/>
    </w:rPr>
  </w:style>
  <w:style w:type="character" w:customStyle="1" w:styleId="29">
    <w:name w:val="标题1"/>
    <w:basedOn w:val="16"/>
    <w:qFormat/>
    <w:uiPriority w:val="0"/>
  </w:style>
  <w:style w:type="character" w:customStyle="1" w:styleId="30">
    <w:name w:val="批注主题 Char"/>
    <w:basedOn w:val="24"/>
    <w:link w:val="13"/>
    <w:semiHidden/>
    <w:qFormat/>
    <w:uiPriority w:val="99"/>
    <w:rPr>
      <w:rFonts w:ascii="Times New Roman" w:hAnsi="Times New Roman" w:eastAsia="宋体" w:cs="Times New Roman"/>
      <w:b/>
      <w:bCs/>
      <w:szCs w:val="24"/>
    </w:r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2">
    <w:name w:val="正文文本 2 Char"/>
    <w:basedOn w:val="16"/>
    <w:link w:val="11"/>
    <w:qFormat/>
    <w:uiPriority w:val="0"/>
    <w:rPr>
      <w:rFonts w:ascii="仿宋_GB2312" w:hAnsi="宋体" w:eastAsia="仿宋_GB2312"/>
      <w:kern w:val="2"/>
      <w:sz w:val="21"/>
      <w:szCs w:val="24"/>
    </w:rPr>
  </w:style>
  <w:style w:type="character" w:customStyle="1" w:styleId="33">
    <w:name w:val="脚注文本 Char"/>
    <w:basedOn w:val="16"/>
    <w:link w:val="9"/>
    <w:semiHidden/>
    <w:qFormat/>
    <w:uiPriority w:val="99"/>
    <w:rPr>
      <w:kern w:val="2"/>
      <w:sz w:val="18"/>
      <w:szCs w:val="18"/>
    </w:rPr>
  </w:style>
  <w:style w:type="paragraph" w:customStyle="1" w:styleId="34">
    <w:name w:val="List Paragraph1"/>
    <w:basedOn w:val="1"/>
    <w:qFormat/>
    <w:uiPriority w:val="0"/>
    <w:pPr>
      <w:ind w:firstLine="420" w:firstLineChars="200"/>
    </w:pPr>
    <w:rPr>
      <w:rFonts w:eastAsia="等线"/>
      <w:szCs w:val="21"/>
    </w:rPr>
  </w:style>
  <w:style w:type="paragraph" w:customStyle="1" w:styleId="35">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CD30E-7101-4DAA-B0AA-E290DF0B4DC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3975</Words>
  <Characters>22658</Characters>
  <Lines>188</Lines>
  <Paragraphs>53</Paragraphs>
  <TotalTime>14</TotalTime>
  <ScaleCrop>false</ScaleCrop>
  <LinksUpToDate>false</LinksUpToDate>
  <CharactersWithSpaces>26580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2022-06-29T02:17:00Z</dcterms:created>
  <dc:creator>Tony Young</dc:creator>
  <cp:lastModifiedBy>admin</cp:lastModifiedBy>
  <dcterms:modified xsi:type="dcterms:W3CDTF">2022-09-27T08:39:19Z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CA038CAD8BC94C1893E0B3F211B43C7D</vt:lpwstr>
  </property>
</Properties>
</file>